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First Home Owner Grant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First Home Owner Grant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First Home Owner Grant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_Toc502311114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_Toc502311115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interested person</w:t>
      </w:r>
      <w:r>
        <w:tab/>
      </w:r>
      <w:r>
        <w:fldChar w:fldCharType="begin"/>
      </w:r>
      <w:r>
        <w:instrText xml:space="preserve"> PAGEREF _Toc502311116 \h </w:instrText>
      </w:r>
      <w:r>
        <w:fldChar w:fldCharType="separate"/>
      </w:r>
      <w:r>
        <w:t>1</w:t>
      </w:r>
      <w:r>
        <w:fldChar w:fldCharType="end"/>
      </w:r>
    </w:p>
    <w:p>
      <w:pPr>
        <w:pStyle w:val="TOC8"/>
        <w:rPr>
          <w:rFonts w:asciiTheme="minorHAnsi" w:eastAsiaTheme="minorEastAsia" w:hAnsiTheme="minorHAnsi" w:cstheme="minorBidi"/>
          <w:szCs w:val="22"/>
        </w:rPr>
      </w:pPr>
      <w:r>
        <w:t>4.</w:t>
      </w:r>
      <w:r>
        <w:tab/>
        <w:t>Interest of disabled person in home prescribed to be relevant interest (s. 6(1)(h))</w:t>
      </w:r>
      <w:r>
        <w:tab/>
      </w:r>
      <w:r>
        <w:fldChar w:fldCharType="begin"/>
      </w:r>
      <w:r>
        <w:instrText xml:space="preserve"> PAGEREF _Toc502311117 \h </w:instrText>
      </w:r>
      <w:r>
        <w:fldChar w:fldCharType="separate"/>
      </w:r>
      <w:r>
        <w:t>1</w:t>
      </w:r>
      <w:r>
        <w:fldChar w:fldCharType="end"/>
      </w:r>
    </w:p>
    <w:p>
      <w:pPr>
        <w:pStyle w:val="TOC8"/>
        <w:rPr>
          <w:rFonts w:asciiTheme="minorHAnsi" w:eastAsiaTheme="minorEastAsia" w:hAnsiTheme="minorHAnsi" w:cstheme="minorBidi"/>
          <w:szCs w:val="22"/>
        </w:rPr>
      </w:pPr>
      <w:r>
        <w:t>5.</w:t>
      </w:r>
      <w:r>
        <w:tab/>
        <w:t>Interest of occupier of home on primary production land prescribed to be relevant interest (s. 6(1)(h))</w:t>
      </w:r>
      <w:r>
        <w:tab/>
      </w:r>
      <w:r>
        <w:fldChar w:fldCharType="begin"/>
      </w:r>
      <w:r>
        <w:instrText xml:space="preserve"> PAGEREF _Toc502311118 \h </w:instrText>
      </w:r>
      <w:r>
        <w:fldChar w:fldCharType="separate"/>
      </w:r>
      <w:r>
        <w:t>2</w:t>
      </w:r>
      <w:r>
        <w:fldChar w:fldCharType="end"/>
      </w:r>
    </w:p>
    <w:p>
      <w:pPr>
        <w:pStyle w:val="TOC8"/>
        <w:rPr>
          <w:rFonts w:asciiTheme="minorHAnsi" w:eastAsiaTheme="minorEastAsia" w:hAnsiTheme="minorHAnsi" w:cstheme="minorBidi"/>
          <w:szCs w:val="22"/>
        </w:rPr>
      </w:pPr>
      <w:r>
        <w:t>7.</w:t>
      </w:r>
      <w:r>
        <w:tab/>
        <w:t>Certain owners of land excluded from the operation of s. 16(1)</w:t>
      </w:r>
      <w:r>
        <w:tab/>
      </w:r>
      <w:r>
        <w:fldChar w:fldCharType="begin"/>
      </w:r>
      <w:r>
        <w:instrText xml:space="preserve"> PAGEREF _Toc502311119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rates of interest (s. 30, 32 and 52)</w:t>
      </w:r>
      <w:r>
        <w:tab/>
      </w:r>
      <w:r>
        <w:fldChar w:fldCharType="begin"/>
      </w:r>
      <w:r>
        <w:instrText xml:space="preserve"> PAGEREF _Toc502311120 \h </w:instrText>
      </w:r>
      <w:r>
        <w:fldChar w:fldCharType="separate"/>
      </w:r>
      <w:r>
        <w:t>6</w:t>
      </w:r>
      <w:r>
        <w:fldChar w:fldCharType="end"/>
      </w:r>
    </w:p>
    <w:p>
      <w:pPr>
        <w:pStyle w:val="TOC8"/>
        <w:rPr>
          <w:rFonts w:asciiTheme="minorHAnsi" w:eastAsiaTheme="minorEastAsia" w:hAnsiTheme="minorHAnsi" w:cstheme="minorBidi"/>
          <w:szCs w:val="22"/>
        </w:rPr>
      </w:pPr>
      <w:r>
        <w:t>9.</w:t>
      </w:r>
      <w:r>
        <w:tab/>
        <w:t>Conditions to be included in administration agreements (s. 37(2))</w:t>
      </w:r>
      <w:r>
        <w:tab/>
      </w:r>
      <w:r>
        <w:fldChar w:fldCharType="begin"/>
      </w:r>
      <w:r>
        <w:instrText xml:space="preserve"> PAGEREF _Toc502311121 \h </w:instrText>
      </w:r>
      <w:r>
        <w:fldChar w:fldCharType="separate"/>
      </w:r>
      <w:r>
        <w:t>6</w:t>
      </w:r>
      <w:r>
        <w:fldChar w:fldCharType="end"/>
      </w:r>
    </w:p>
    <w:p>
      <w:pPr>
        <w:pStyle w:val="TOC8"/>
        <w:rPr>
          <w:rFonts w:asciiTheme="minorHAnsi" w:eastAsiaTheme="minorEastAsia" w:hAnsiTheme="minorHAnsi" w:cstheme="minorBidi"/>
          <w:szCs w:val="22"/>
        </w:rPr>
      </w:pPr>
      <w:r>
        <w:t>10.</w:t>
      </w:r>
      <w:r>
        <w:tab/>
        <w:t>Witness fees and expenses (s. 41(7))</w:t>
      </w:r>
      <w:r>
        <w:tab/>
      </w:r>
      <w:r>
        <w:fldChar w:fldCharType="begin"/>
      </w:r>
      <w:r>
        <w:instrText xml:space="preserve"> PAGEREF _Toc502311122 \h </w:instrText>
      </w:r>
      <w:r>
        <w:fldChar w:fldCharType="separate"/>
      </w:r>
      <w:r>
        <w:t>8</w:t>
      </w:r>
      <w:r>
        <w:fldChar w:fldCharType="end"/>
      </w:r>
    </w:p>
    <w:p>
      <w:pPr>
        <w:pStyle w:val="TOC8"/>
        <w:rPr>
          <w:rFonts w:asciiTheme="minorHAnsi" w:eastAsiaTheme="minorEastAsia" w:hAnsiTheme="minorHAnsi" w:cstheme="minorBidi"/>
          <w:szCs w:val="22"/>
        </w:rPr>
      </w:pPr>
      <w:r>
        <w:t>10A.</w:t>
      </w:r>
      <w:r>
        <w:tab/>
        <w:t>Prescribed service times (s. 62(3))</w:t>
      </w:r>
      <w:r>
        <w:tab/>
      </w:r>
      <w:r>
        <w:fldChar w:fldCharType="begin"/>
      </w:r>
      <w:r>
        <w:instrText xml:space="preserve"> PAGEREF _Toc502311123 \h </w:instrText>
      </w:r>
      <w:r>
        <w:fldChar w:fldCharType="separate"/>
      </w:r>
      <w:r>
        <w:t>8</w:t>
      </w:r>
      <w:r>
        <w:fldChar w:fldCharType="end"/>
      </w:r>
    </w:p>
    <w:p>
      <w:pPr>
        <w:pStyle w:val="TOC8"/>
        <w:rPr>
          <w:rFonts w:asciiTheme="minorHAnsi" w:eastAsiaTheme="minorEastAsia" w:hAnsiTheme="minorHAnsi" w:cstheme="minorBidi"/>
          <w:szCs w:val="22"/>
        </w:rPr>
      </w:pPr>
      <w:r>
        <w:t>11.</w:t>
      </w:r>
      <w:r>
        <w:tab/>
        <w:t>Authorised receipt and permitted disclosure of confidential information (s. 65(3))</w:t>
      </w:r>
      <w:r>
        <w:tab/>
      </w:r>
      <w:r>
        <w:fldChar w:fldCharType="begin"/>
      </w:r>
      <w:r>
        <w:instrText xml:space="preserve"> PAGEREF _Toc502311124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_Toc502311126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First Home Owner Grant Act 2000</w:t>
      </w:r>
    </w:p>
    <w:p>
      <w:pPr>
        <w:pStyle w:val="NameofActReg"/>
      </w:pPr>
      <w:r>
        <w:t>First Home Owner Grant Regulations 2000</w:t>
      </w:r>
    </w:p>
    <w:p>
      <w:pPr>
        <w:pStyle w:val="Heading5"/>
      </w:pPr>
      <w:bookmarkStart w:id="3" w:name="_Toc502311114"/>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4" w:name="_Toc502311115"/>
      <w:r>
        <w:rPr>
          <w:rStyle w:val="CharSectno"/>
        </w:rPr>
        <w:t>2</w:t>
      </w:r>
      <w:r>
        <w:rPr>
          <w:spacing w:val="-2"/>
        </w:rPr>
        <w:t>.</w:t>
      </w:r>
      <w:r>
        <w:rPr>
          <w:spacing w:val="-2"/>
        </w:rPr>
        <w:tab/>
        <w:t>Commencement</w:t>
      </w:r>
      <w:bookmarkEnd w:id="4"/>
    </w:p>
    <w:p>
      <w:pPr>
        <w:pStyle w:val="Subsection"/>
      </w:pPr>
      <w:r>
        <w:rPr>
          <w:spacing w:val="-2"/>
        </w:rPr>
        <w:tab/>
      </w:r>
      <w:r>
        <w:rPr>
          <w:spacing w:val="-2"/>
        </w:rPr>
        <w:tab/>
        <w:t>These regulations come into operation on 1 July 2000</w:t>
      </w:r>
      <w:r>
        <w:t>.</w:t>
      </w:r>
    </w:p>
    <w:p>
      <w:pPr>
        <w:pStyle w:val="Heading5"/>
      </w:pPr>
      <w:bookmarkStart w:id="5" w:name="_Toc502311116"/>
      <w:r>
        <w:rPr>
          <w:rStyle w:val="CharSectno"/>
        </w:rPr>
        <w:t>3</w:t>
      </w:r>
      <w:r>
        <w:t>.</w:t>
      </w:r>
      <w:r>
        <w:tab/>
        <w:t>Term used: interested person</w:t>
      </w:r>
      <w:bookmarkEnd w:id="5"/>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6" w:name="_Toc502311117"/>
      <w:r>
        <w:rPr>
          <w:rStyle w:val="CharSectno"/>
        </w:rPr>
        <w:t>4</w:t>
      </w:r>
      <w:r>
        <w:t>.</w:t>
      </w:r>
      <w:r>
        <w:tab/>
        <w:t>Interest of disabled person in home prescribed to be relevant interest (s. 6(1)(h))</w:t>
      </w:r>
      <w:bookmarkEnd w:id="6"/>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7" w:name="_Toc502311118"/>
      <w:r>
        <w:rPr>
          <w:rStyle w:val="CharSectno"/>
        </w:rPr>
        <w:t>5</w:t>
      </w:r>
      <w:r>
        <w:t>.</w:t>
      </w:r>
      <w:r>
        <w:tab/>
        <w:t>Interest of occupier of home on primary production land prescribed to be relevant interest (s. 6(1)(h))</w:t>
      </w:r>
      <w:bookmarkEnd w:id="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8" w:name="_Toc502311119"/>
      <w:r>
        <w:rPr>
          <w:rStyle w:val="CharSectno"/>
        </w:rPr>
        <w:t>7</w:t>
      </w:r>
      <w:r>
        <w:t>.</w:t>
      </w:r>
      <w:r>
        <w:tab/>
        <w:t>Certain owners of land excluded from the operation of s. 16(1)</w:t>
      </w:r>
      <w:bookmarkEnd w:id="8"/>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 and</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w:t>
      </w:r>
    </w:p>
    <w:p>
      <w:pPr>
        <w:pStyle w:val="Heading5"/>
      </w:pPr>
      <w:bookmarkStart w:id="9" w:name="_Toc502311120"/>
      <w:r>
        <w:rPr>
          <w:rStyle w:val="CharSectno"/>
        </w:rPr>
        <w:t>8</w:t>
      </w:r>
      <w:r>
        <w:t>.</w:t>
      </w:r>
      <w:r>
        <w:tab/>
        <w:t>Prescribed rates of interest (s. 30, 32 and 52)</w:t>
      </w:r>
      <w:bookmarkEnd w:id="9"/>
    </w:p>
    <w:p>
      <w:pPr>
        <w:pStyle w:val="Subsection"/>
      </w:pPr>
      <w:r>
        <w:tab/>
        <w:t>(1)</w:t>
      </w:r>
      <w:r>
        <w:tab/>
        <w:t>The rate of interest for the purposes of section 30(3), (4)(d), (5)(c) and (6)(c) of the Act is 2.2% per annum.</w:t>
      </w:r>
    </w:p>
    <w:p>
      <w:pPr>
        <w:pStyle w:val="Subsection"/>
      </w:pPr>
      <w:r>
        <w:tab/>
        <w:t>(2)</w:t>
      </w:r>
      <w:r>
        <w:tab/>
        <w:t>The rate of interest for the purposes of section 32(2), (3)(d), (4)(c) and (5)(c) of the Act is 2.2% per annum.</w:t>
      </w:r>
    </w:p>
    <w:p>
      <w:pPr>
        <w:pStyle w:val="Subsection"/>
      </w:pPr>
      <w:r>
        <w:tab/>
        <w:t>(3)</w:t>
      </w:r>
      <w:r>
        <w:tab/>
        <w:t>The rate of interest for the purposes of section 52(3)(a) and (7) of the Act is 10.2% per annum.</w:t>
      </w:r>
    </w:p>
    <w:p>
      <w:pPr>
        <w:pStyle w:val="Footnotesection"/>
      </w:pPr>
      <w:r>
        <w:tab/>
        <w:t>[Regulation 8 inserted: Gazette 26 Jun 2015 p. 2278; amended: Gazette 11 Dec 2015 p. 4961; 29 Dec 2017 p. 6085.]</w:t>
      </w:r>
    </w:p>
    <w:p>
      <w:pPr>
        <w:pStyle w:val="Heading5"/>
      </w:pPr>
      <w:bookmarkStart w:id="10" w:name="_Toc502311121"/>
      <w:r>
        <w:rPr>
          <w:rStyle w:val="CharSectno"/>
        </w:rPr>
        <w:t>9</w:t>
      </w:r>
      <w:r>
        <w:t>.</w:t>
      </w:r>
      <w:r>
        <w:tab/>
        <w:t>Conditions to be included in administration agreements (s. 37(2))</w:t>
      </w:r>
      <w:bookmarkEnd w:id="10"/>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11" w:name="_Toc502311122"/>
      <w:r>
        <w:rPr>
          <w:rStyle w:val="CharSectno"/>
        </w:rPr>
        <w:t>10</w:t>
      </w:r>
      <w:r>
        <w:t>.</w:t>
      </w:r>
      <w:r>
        <w:tab/>
        <w:t>Witness fees and expenses (s. 41(7))</w:t>
      </w:r>
      <w:bookmarkEnd w:id="11"/>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12" w:name="_Toc494900269"/>
      <w:bookmarkStart w:id="13" w:name="_Toc495992835"/>
      <w:bookmarkStart w:id="14" w:name="_Toc502311123"/>
      <w:r>
        <w:rPr>
          <w:rStyle w:val="CharSectno"/>
        </w:rPr>
        <w:t>10A</w:t>
      </w:r>
      <w:r>
        <w:t>.</w:t>
      </w:r>
      <w:r>
        <w:tab/>
        <w:t>Prescribed service times (s. 62(3))</w:t>
      </w:r>
      <w:bookmarkEnd w:id="12"/>
      <w:bookmarkEnd w:id="13"/>
      <w:bookmarkEnd w:id="14"/>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15" w:name="_Toc502311124"/>
      <w:r>
        <w:rPr>
          <w:rStyle w:val="CharSectno"/>
        </w:rPr>
        <w:t>11</w:t>
      </w:r>
      <w:r>
        <w:t>.</w:t>
      </w:r>
      <w:r>
        <w:tab/>
        <w:t>Authorised receipt and permitted disclosure of confidential information (s. 65(3))</w:t>
      </w:r>
      <w:bookmarkEnd w:id="15"/>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3</w:t>
      </w:r>
      <w:r>
        <w:t>;</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6" w:name="_Toc502311125"/>
      <w:r>
        <w:t>Notes</w:t>
      </w:r>
      <w:bookmarkEnd w:id="16"/>
    </w:p>
    <w:p>
      <w:pPr>
        <w:pStyle w:val="nSubsection"/>
      </w:pPr>
      <w:r>
        <w:rPr>
          <w:vertAlign w:val="superscript"/>
        </w:rPr>
        <w:t>1</w:t>
      </w:r>
      <w:r>
        <w:tab/>
        <w:t xml:space="preserve">This is a compilation of the </w:t>
      </w:r>
      <w:r>
        <w:rPr>
          <w:i/>
          <w:noProof/>
        </w:rPr>
        <w:t>First Home Owner Grant Regulations 2000</w:t>
      </w:r>
      <w:r>
        <w:t xml:space="preserve"> and includes the amendments made by the other written laws referred to in the following table.  The table also contains information about any reprint.</w:t>
      </w:r>
    </w:p>
    <w:p>
      <w:pPr>
        <w:pStyle w:val="nHeading3"/>
        <w:spacing w:before="120" w:after="60"/>
      </w:pPr>
      <w:bookmarkStart w:id="17" w:name="_Toc502311126"/>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t>
            </w:r>
            <w:smartTag w:uri="urn:schemas-microsoft-com:office:smarttags" w:element="State">
              <w:smartTag w:uri="urn:schemas-microsoft-com:office:smarttags" w:element="place">
                <w:r>
                  <w:rPr>
                    <w:i/>
                  </w:rPr>
                  <w:t>Western Australia</w:t>
                </w:r>
              </w:smartTag>
            </w:smartTag>
            <w:r>
              <w:rPr>
                <w:i/>
              </w:rPr>
              <w:t>)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c>
          <w:tcPr>
            <w:tcW w:w="3119" w:type="dxa"/>
          </w:tcPr>
          <w:p>
            <w:pPr>
              <w:pStyle w:val="nTable"/>
              <w:keepNext/>
              <w:spacing w:after="40"/>
              <w:rPr>
                <w:i/>
              </w:rPr>
            </w:pPr>
            <w:r>
              <w:rPr>
                <w:i/>
              </w:rPr>
              <w:t>First Home Owner Grant Amendment Regulations 2011</w:t>
            </w:r>
          </w:p>
        </w:tc>
        <w:tc>
          <w:tcPr>
            <w:tcW w:w="1276" w:type="dxa"/>
          </w:tcPr>
          <w:p>
            <w:pPr>
              <w:pStyle w:val="nTable"/>
              <w:keepNext/>
              <w:spacing w:after="40"/>
            </w:pPr>
            <w:r>
              <w:t>9 Sep 2011 p. 3684</w:t>
            </w:r>
            <w:r>
              <w:noBreakHyphen/>
              <w:t>5</w:t>
            </w:r>
          </w:p>
        </w:tc>
        <w:tc>
          <w:tcPr>
            <w:tcW w:w="2693" w:type="dxa"/>
          </w:tcPr>
          <w:p>
            <w:pPr>
              <w:pStyle w:val="nTable"/>
              <w:keepNext/>
              <w:spacing w:after="40"/>
            </w:pPr>
            <w:r>
              <w:t>r. 1 and 2: 9 Sep 2011 (see r. 2(a));</w:t>
            </w:r>
            <w:r>
              <w:br/>
              <w:t>Regulations other than r. 1 and 2: 10 Sep 2011 (see r. 2(b))</w:t>
            </w:r>
          </w:p>
        </w:tc>
      </w:tr>
      <w:tr>
        <w:tc>
          <w:tcPr>
            <w:tcW w:w="3119" w:type="dxa"/>
          </w:tcPr>
          <w:p>
            <w:pPr>
              <w:pStyle w:val="nTable"/>
              <w:keepNext/>
              <w:spacing w:after="40"/>
              <w:rPr>
                <w:i/>
              </w:rPr>
            </w:pPr>
            <w:r>
              <w:rPr>
                <w:i/>
              </w:rPr>
              <w:t>First Home Owner Grant Amendment Regulations 2013</w:t>
            </w:r>
          </w:p>
        </w:tc>
        <w:tc>
          <w:tcPr>
            <w:tcW w:w="1276" w:type="dxa"/>
          </w:tcPr>
          <w:p>
            <w:pPr>
              <w:pStyle w:val="nTable"/>
              <w:keepNext/>
              <w:spacing w:after="40"/>
            </w:pPr>
            <w:r>
              <w:t>17 May 2013 p. 1986</w:t>
            </w:r>
          </w:p>
        </w:tc>
        <w:tc>
          <w:tcPr>
            <w:tcW w:w="2693" w:type="dxa"/>
          </w:tcPr>
          <w:p>
            <w:pPr>
              <w:pStyle w:val="nTable"/>
              <w:keepNext/>
              <w:spacing w:after="40"/>
            </w:pPr>
            <w:r>
              <w:rPr>
                <w:snapToGrid w:val="0"/>
                <w:spacing w:val="-2"/>
              </w:rPr>
              <w:t>r. 1 and 2: 17 May 2013 (see r. 2(a));</w:t>
            </w:r>
            <w:r>
              <w:rPr>
                <w:snapToGrid w:val="0"/>
                <w:spacing w:val="-2"/>
              </w:rPr>
              <w:br/>
              <w:t>Regulations other than r. 1 and 2: 18 May 2013 (see r. 2(b))</w:t>
            </w:r>
          </w:p>
        </w:tc>
      </w:tr>
      <w:tr>
        <w:tc>
          <w:tcPr>
            <w:tcW w:w="3119" w:type="dxa"/>
          </w:tcPr>
          <w:p>
            <w:pPr>
              <w:pStyle w:val="nTable"/>
              <w:keepNext/>
              <w:spacing w:after="40"/>
            </w:pPr>
            <w:r>
              <w:rPr>
                <w:i/>
              </w:rPr>
              <w:t xml:space="preserve">First Home Owner Grant Amendment Regulations (No. 2) 2013 </w:t>
            </w:r>
          </w:p>
        </w:tc>
        <w:tc>
          <w:tcPr>
            <w:tcW w:w="1276" w:type="dxa"/>
          </w:tcPr>
          <w:p>
            <w:pPr>
              <w:pStyle w:val="nTable"/>
              <w:keepNext/>
              <w:spacing w:after="40"/>
            </w:pPr>
            <w:r>
              <w:t>17 Dec 2013 p. 6239</w:t>
            </w:r>
            <w:r>
              <w:noBreakHyphen/>
              <w:t>40</w:t>
            </w:r>
          </w:p>
        </w:tc>
        <w:tc>
          <w:tcPr>
            <w:tcW w:w="2693" w:type="dxa"/>
          </w:tcPr>
          <w:p>
            <w:pPr>
              <w:pStyle w:val="nTable"/>
              <w:keepNext/>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c>
          <w:tcPr>
            <w:tcW w:w="3119" w:type="dxa"/>
          </w:tcPr>
          <w:p>
            <w:pPr>
              <w:pStyle w:val="nTable"/>
              <w:keepNext/>
              <w:spacing w:after="40"/>
              <w:rPr>
                <w:i/>
              </w:rPr>
            </w:pPr>
            <w:r>
              <w:rPr>
                <w:i/>
              </w:rPr>
              <w:t>First Home Owner Grant Amendment Regulations 2015</w:t>
            </w:r>
          </w:p>
        </w:tc>
        <w:tc>
          <w:tcPr>
            <w:tcW w:w="1276" w:type="dxa"/>
          </w:tcPr>
          <w:p>
            <w:pPr>
              <w:pStyle w:val="nTable"/>
              <w:keepNext/>
              <w:spacing w:after="40"/>
            </w:pPr>
            <w:r>
              <w:t>26 Jun 2015 p. 2277</w:t>
            </w:r>
            <w:r>
              <w:noBreakHyphen/>
              <w:t>8</w:t>
            </w:r>
          </w:p>
        </w:tc>
        <w:tc>
          <w:tcPr>
            <w:tcW w:w="2693" w:type="dxa"/>
          </w:tcPr>
          <w:p>
            <w:pPr>
              <w:pStyle w:val="nTable"/>
              <w:keepNext/>
              <w:spacing w:after="40"/>
              <w:rPr>
                <w:snapToGrid w:val="0"/>
                <w:spacing w:val="-2"/>
              </w:rPr>
            </w:pPr>
            <w:r>
              <w:rPr>
                <w:snapToGrid w:val="0"/>
                <w:spacing w:val="-2"/>
              </w:rPr>
              <w:t>r. 1 and 2: 26 Jun 2015 (see r. 2(a));</w:t>
            </w:r>
            <w:r>
              <w:rPr>
                <w:snapToGrid w:val="0"/>
                <w:spacing w:val="-2"/>
              </w:rPr>
              <w:br/>
              <w:t>Regulations other than r. 1 and 2: 1 Jul 2015 (see r. 2(b))</w:t>
            </w:r>
          </w:p>
        </w:tc>
      </w:tr>
      <w:tr>
        <w:tc>
          <w:tcPr>
            <w:tcW w:w="3119" w:type="dxa"/>
          </w:tcPr>
          <w:p>
            <w:pPr>
              <w:pStyle w:val="nTable"/>
              <w:keepNext/>
              <w:spacing w:after="40"/>
              <w:rPr>
                <w:i/>
              </w:rPr>
            </w:pPr>
            <w:r>
              <w:rPr>
                <w:i/>
              </w:rPr>
              <w:t>First Home Owner Grant Amendment Regulations (No. 2) 2015</w:t>
            </w:r>
          </w:p>
        </w:tc>
        <w:tc>
          <w:tcPr>
            <w:tcW w:w="1276" w:type="dxa"/>
          </w:tcPr>
          <w:p>
            <w:pPr>
              <w:pStyle w:val="nTable"/>
              <w:keepNext/>
              <w:spacing w:after="40"/>
            </w:pPr>
            <w:r>
              <w:t>11 Aug 2015 p. 3221</w:t>
            </w:r>
            <w:r>
              <w:noBreakHyphen/>
              <w:t>2</w:t>
            </w:r>
          </w:p>
        </w:tc>
        <w:tc>
          <w:tcPr>
            <w:tcW w:w="2693" w:type="dxa"/>
          </w:tcPr>
          <w:p>
            <w:pPr>
              <w:pStyle w:val="nTable"/>
              <w:keepNext/>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c>
          <w:tcPr>
            <w:tcW w:w="3119" w:type="dxa"/>
          </w:tcPr>
          <w:p>
            <w:pPr>
              <w:pStyle w:val="nTable"/>
              <w:keepNext/>
              <w:spacing w:after="40"/>
              <w:rPr>
                <w:i/>
              </w:rPr>
            </w:pPr>
            <w:r>
              <w:rPr>
                <w:i/>
              </w:rPr>
              <w:t>First Home Owner Grant Amendment Regulations (No. 3) 2015</w:t>
            </w:r>
          </w:p>
        </w:tc>
        <w:tc>
          <w:tcPr>
            <w:tcW w:w="1276" w:type="dxa"/>
          </w:tcPr>
          <w:p>
            <w:pPr>
              <w:pStyle w:val="nTable"/>
              <w:keepNext/>
              <w:spacing w:after="40"/>
            </w:pPr>
            <w:r>
              <w:t>11 Dec 2015 p. 4961</w:t>
            </w:r>
          </w:p>
        </w:tc>
        <w:tc>
          <w:tcPr>
            <w:tcW w:w="2693" w:type="dxa"/>
          </w:tcPr>
          <w:p>
            <w:pPr>
              <w:pStyle w:val="nTable"/>
              <w:keepNext/>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c>
          <w:tcPr>
            <w:tcW w:w="7088" w:type="dxa"/>
            <w:gridSpan w:val="3"/>
            <w:shd w:val="clear" w:color="auto" w:fill="auto"/>
          </w:tcPr>
          <w:p>
            <w:pPr>
              <w:pStyle w:val="nTable"/>
              <w:keepNext/>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c>
          <w:tcPr>
            <w:tcW w:w="3119" w:type="dxa"/>
            <w:tcBorders>
              <w:bottom w:val="single" w:sz="4" w:space="0" w:color="auto"/>
            </w:tcBorders>
          </w:tcPr>
          <w:p>
            <w:pPr>
              <w:pStyle w:val="nTable"/>
              <w:keepNext/>
              <w:spacing w:after="40"/>
              <w:rPr>
                <w:i/>
              </w:rPr>
            </w:pPr>
            <w:r>
              <w:rPr>
                <w:i/>
              </w:rPr>
              <w:t>First Home Owner Grant Amendment Regulations 2017</w:t>
            </w:r>
          </w:p>
        </w:tc>
        <w:tc>
          <w:tcPr>
            <w:tcW w:w="1276" w:type="dxa"/>
            <w:tcBorders>
              <w:bottom w:val="single" w:sz="4" w:space="0" w:color="auto"/>
            </w:tcBorders>
          </w:tcPr>
          <w:p>
            <w:pPr>
              <w:pStyle w:val="nTable"/>
              <w:keepNext/>
              <w:spacing w:after="40"/>
            </w:pPr>
            <w:r>
              <w:t>29 Dec 2017 p. 6083</w:t>
            </w:r>
            <w:r>
              <w:noBreakHyphen/>
              <w:t>6</w:t>
            </w:r>
          </w:p>
        </w:tc>
        <w:tc>
          <w:tcPr>
            <w:tcW w:w="2693" w:type="dxa"/>
            <w:tcBorders>
              <w:bottom w:val="single" w:sz="4" w:space="0" w:color="auto"/>
            </w:tcBorders>
          </w:tcPr>
          <w:p>
            <w:pPr>
              <w:pStyle w:val="nTable"/>
              <w:keepNext/>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bl>
    <w:p>
      <w:pPr>
        <w:pStyle w:val="nSubsection"/>
      </w:pPr>
      <w:r>
        <w:rPr>
          <w:vertAlign w:val="superscript"/>
        </w:rPr>
        <w:t>2</w:t>
      </w:r>
      <w:r>
        <w:tab/>
        <w:t xml:space="preserve">Repealed by the </w:t>
      </w:r>
      <w:r>
        <w:rPr>
          <w:i/>
          <w:color w:val="000000"/>
        </w:rPr>
        <w:t>Taxation Administration (Consequential Provisions) Act 2002</w:t>
      </w:r>
      <w:r>
        <w:rPr>
          <w:iCs/>
          <w:color w:val="000000"/>
        </w:rPr>
        <w:t xml:space="preserve"> s. 5(d)</w:t>
      </w:r>
      <w:r>
        <w:t>.</w:t>
      </w:r>
    </w:p>
    <w:p>
      <w:pPr>
        <w:pStyle w:val="nSubsection"/>
      </w:pPr>
      <w:r>
        <w:rPr>
          <w:vertAlign w:val="superscript"/>
        </w:rPr>
        <w:t>3</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9" w:name="_Toc502311127"/>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affairs</w:t>
      </w:r>
      <w:r>
        <w:tab/>
        <w:t>11(3)</w:t>
      </w:r>
    </w:p>
    <w:p>
      <w:pPr>
        <w:pStyle w:val="DefinedTerms"/>
      </w:pPr>
      <w:r>
        <w:t>appropriate publication</w:t>
      </w:r>
      <w:r>
        <w:tab/>
        <w:t>10(3)</w:t>
      </w:r>
    </w:p>
    <w:p>
      <w:pPr>
        <w:pStyle w:val="DefinedTerms"/>
      </w:pPr>
      <w:r>
        <w:t>confidential information</w:t>
      </w:r>
      <w:r>
        <w:tab/>
        <w:t>11(3)</w:t>
      </w:r>
    </w:p>
    <w:p>
      <w:pPr>
        <w:pStyle w:val="DefinedTerms"/>
      </w:pPr>
      <w:r>
        <w:t>co</w:t>
      </w:r>
      <w:r>
        <w:noBreakHyphen/>
        <w:t>owner</w:t>
      </w:r>
      <w:r>
        <w:tab/>
        <w:t>7(2D)</w:t>
      </w:r>
    </w:p>
    <w:p>
      <w:pPr>
        <w:pStyle w:val="DefinedTerms"/>
      </w:pPr>
      <w:r>
        <w:t>delegate</w:t>
      </w:r>
      <w:r>
        <w:tab/>
        <w:t>9(1)</w:t>
      </w:r>
    </w:p>
    <w:p>
      <w:pPr>
        <w:pStyle w:val="DefinedTerms"/>
      </w:pPr>
      <w:r>
        <w:t>interested person</w:t>
      </w:r>
      <w:r>
        <w:tab/>
        <w:t>3</w:t>
      </w:r>
    </w:p>
    <w:p>
      <w:pPr>
        <w:pStyle w:val="DefinedTerms"/>
      </w:pPr>
      <w:r>
        <w:t>new home</w:t>
      </w:r>
      <w:r>
        <w:tab/>
        <w:t>7(2b)</w:t>
      </w:r>
    </w:p>
    <w:p>
      <w:pPr>
        <w:pStyle w:val="DefinedTerms"/>
      </w:pPr>
      <w:r>
        <w:t>non</w:t>
      </w:r>
      <w:r>
        <w:noBreakHyphen/>
        <w:t>strata home unit</w:t>
      </w:r>
      <w:r>
        <w:tab/>
        <w:t>7(4)</w:t>
      </w:r>
    </w:p>
    <w:p>
      <w:pPr>
        <w:pStyle w:val="DefinedTerms"/>
      </w:pPr>
      <w:r>
        <w:t>Nyamba Buru Yawuru Ltd</w:t>
      </w:r>
      <w:r>
        <w:tab/>
        <w:t>7(4)</w:t>
      </w:r>
    </w:p>
    <w:p>
      <w:pPr>
        <w:pStyle w:val="DefinedTerms"/>
      </w:pPr>
      <w:r>
        <w:t>primary production business</w:t>
      </w:r>
      <w:r>
        <w:tab/>
        <w:t>5(2)</w:t>
      </w:r>
    </w:p>
    <w:p>
      <w:pPr>
        <w:pStyle w:val="DefinedTerms"/>
      </w:pPr>
      <w:r>
        <w:t>protected web site</w:t>
      </w:r>
      <w:r>
        <w:tab/>
        <w:t>11(3)</w:t>
      </w:r>
    </w:p>
    <w:p>
      <w:pPr>
        <w:pStyle w:val="DefinedTerms"/>
      </w:pPr>
      <w:r>
        <w:t>records</w:t>
      </w:r>
      <w:r>
        <w:tab/>
        <w:t>9(4)</w:t>
      </w:r>
    </w:p>
    <w:p>
      <w:pPr>
        <w:pStyle w:val="DefinedTerms"/>
      </w:pPr>
      <w:r>
        <w:t>State Housing Commission</w:t>
      </w:r>
      <w:r>
        <w:tab/>
        <w:t>7(4)</w:t>
      </w:r>
    </w:p>
    <w:p>
      <w:pPr>
        <w:pStyle w:val="DefinedTerms"/>
      </w:pPr>
      <w:r>
        <w:t>witness</w:t>
      </w:r>
      <w:r>
        <w:tab/>
        <w:t>10(1)</w:t>
      </w:r>
    </w:p>
    <w:p>
      <w:pPr>
        <w:pStyle w:val="DefinedTerms"/>
      </w:pPr>
      <w:r>
        <w:t>Yawuru Home Ownership Project</w:t>
      </w:r>
      <w:r>
        <w:tab/>
        <w:t>7(4)</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A7EFA"/>
    <w:lvl w:ilvl="0">
      <w:start w:val="1"/>
      <w:numFmt w:val="decimal"/>
      <w:lvlText w:val="%1."/>
      <w:lvlJc w:val="left"/>
      <w:pPr>
        <w:tabs>
          <w:tab w:val="num" w:pos="1492"/>
        </w:tabs>
        <w:ind w:left="1492" w:hanging="360"/>
      </w:pPr>
    </w:lvl>
  </w:abstractNum>
  <w:abstractNum w:abstractNumId="1">
    <w:nsid w:val="FFFFFF7D"/>
    <w:multiLevelType w:val="singleLevel"/>
    <w:tmpl w:val="9E464FFC"/>
    <w:lvl w:ilvl="0">
      <w:start w:val="1"/>
      <w:numFmt w:val="decimal"/>
      <w:lvlText w:val="%1."/>
      <w:lvlJc w:val="left"/>
      <w:pPr>
        <w:tabs>
          <w:tab w:val="num" w:pos="1209"/>
        </w:tabs>
        <w:ind w:left="1209" w:hanging="360"/>
      </w:pPr>
    </w:lvl>
  </w:abstractNum>
  <w:abstractNum w:abstractNumId="2">
    <w:nsid w:val="FFFFFF7E"/>
    <w:multiLevelType w:val="singleLevel"/>
    <w:tmpl w:val="9E54705A"/>
    <w:lvl w:ilvl="0">
      <w:start w:val="1"/>
      <w:numFmt w:val="decimal"/>
      <w:lvlText w:val="%1."/>
      <w:lvlJc w:val="left"/>
      <w:pPr>
        <w:tabs>
          <w:tab w:val="num" w:pos="926"/>
        </w:tabs>
        <w:ind w:left="926" w:hanging="360"/>
      </w:pPr>
    </w:lvl>
  </w:abstractNum>
  <w:abstractNum w:abstractNumId="3">
    <w:nsid w:val="FFFFFF7F"/>
    <w:multiLevelType w:val="singleLevel"/>
    <w:tmpl w:val="98C2E14C"/>
    <w:lvl w:ilvl="0">
      <w:start w:val="1"/>
      <w:numFmt w:val="decimal"/>
      <w:lvlText w:val="%1."/>
      <w:lvlJc w:val="left"/>
      <w:pPr>
        <w:tabs>
          <w:tab w:val="num" w:pos="643"/>
        </w:tabs>
        <w:ind w:left="643" w:hanging="360"/>
      </w:pPr>
    </w:lvl>
  </w:abstractNum>
  <w:abstractNum w:abstractNumId="4">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0ECDCC"/>
    <w:lvl w:ilvl="0">
      <w:start w:val="1"/>
      <w:numFmt w:val="decimal"/>
      <w:lvlText w:val="%1."/>
      <w:lvlJc w:val="left"/>
      <w:pPr>
        <w:tabs>
          <w:tab w:val="num" w:pos="360"/>
        </w:tabs>
        <w:ind w:left="360" w:hanging="360"/>
      </w:pPr>
    </w:lvl>
  </w:abstractNum>
  <w:abstractNum w:abstractNumId="9">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9102139"/>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3524</Words>
  <Characters>16567</Characters>
  <Application>Microsoft Office Word</Application>
  <DocSecurity>0</DocSecurity>
  <Lines>534</Lines>
  <Paragraphs>282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2000 - 03-b0-02</dc:title>
  <dc:subject/>
  <dc:creator/>
  <cp:keywords/>
  <dc:description/>
  <cp:lastModifiedBy>svcMRProcess</cp:lastModifiedBy>
  <cp:revision>4</cp:revision>
  <cp:lastPrinted>2019-01-18T03:31:00Z</cp:lastPrinted>
  <dcterms:created xsi:type="dcterms:W3CDTF">2019-01-24T08:22:00Z</dcterms:created>
  <dcterms:modified xsi:type="dcterms:W3CDTF">2019-01-24T08:22:00Z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CommencementDate">
    <vt:lpwstr>20171230</vt:lpwstr>
  </property>
  <property fmtid="{D5CDD505-2E9C-101B-9397-08002B2CF9AE}" pid="8" name="AsAtDate">
    <vt:lpwstr>30 Dec 2017</vt:lpwstr>
  </property>
  <property fmtid="{D5CDD505-2E9C-101B-9397-08002B2CF9AE}" pid="9" name="Suffix">
    <vt:lpwstr>03-b0-02</vt:lpwstr>
  </property>
</Properties>
</file>