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Residential Tenancies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Residential Tenancies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Residential Tenancies Regulations 1989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_Toc501528172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_Toc501528173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_Toc501528174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Act, modification of application</w:t>
      </w:r>
    </w:p>
    <w:p>
      <w:pPr>
        <w:pStyle w:val="TOC8"/>
        <w:rPr>
          <w:rFonts w:asciiTheme="minorHAnsi" w:eastAsiaTheme="minorEastAsia" w:hAnsiTheme="minorHAnsi" w:cstheme="minorBidi"/>
          <w:szCs w:val="22"/>
        </w:rPr>
      </w:pPr>
      <w:r>
        <w:t>3</w:t>
      </w:r>
      <w:r>
        <w:rPr>
          <w:snapToGrid w:val="0"/>
        </w:rPr>
        <w:t>.</w:t>
      </w:r>
      <w:r>
        <w:rPr>
          <w:snapToGrid w:val="0"/>
        </w:rPr>
        <w:tab/>
        <w:t>Exemption for retirement villages</w:t>
      </w:r>
      <w:r>
        <w:tab/>
      </w:r>
      <w:r>
        <w:fldChar w:fldCharType="begin"/>
      </w:r>
      <w:r>
        <w:instrText xml:space="preserve"> PAGEREF _Toc501528176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Exemption for certain agreements with squatters</w:t>
      </w:r>
      <w:r>
        <w:tab/>
      </w:r>
      <w:r>
        <w:fldChar w:fldCharType="begin"/>
      </w:r>
      <w:r>
        <w:instrText xml:space="preserve"> PAGEREF _Toc501528177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Exemption for certain agreements under </w:t>
      </w:r>
      <w:r>
        <w:rPr>
          <w:i/>
          <w:snapToGrid w:val="0"/>
        </w:rPr>
        <w:t>Land Act 1933</w:t>
      </w:r>
      <w:r>
        <w:tab/>
      </w:r>
      <w:r>
        <w:fldChar w:fldCharType="begin"/>
      </w:r>
      <w:r>
        <w:instrText xml:space="preserve"> PAGEREF _Toc501528178 \h </w:instrText>
      </w:r>
      <w:r>
        <w:fldChar w:fldCharType="separate"/>
      </w:r>
      <w:r>
        <w:t>3</w:t>
      </w:r>
      <w:r>
        <w:fldChar w:fldCharType="end"/>
      </w:r>
    </w:p>
    <w:p>
      <w:pPr>
        <w:pStyle w:val="TOC8"/>
        <w:rPr>
          <w:rFonts w:asciiTheme="minorHAnsi" w:eastAsiaTheme="minorEastAsia" w:hAnsiTheme="minorHAnsi" w:cstheme="minorBidi"/>
          <w:szCs w:val="22"/>
        </w:rPr>
      </w:pPr>
      <w:r>
        <w:t>5AAA.</w:t>
      </w:r>
      <w:r>
        <w:tab/>
        <w:t>Application of Act to certain accommodation at St Thomas More College</w:t>
      </w:r>
      <w:r>
        <w:tab/>
      </w:r>
      <w:r>
        <w:fldChar w:fldCharType="begin"/>
      </w:r>
      <w:r>
        <w:instrText xml:space="preserve"> PAGEREF _Toc501528179 \h </w:instrText>
      </w:r>
      <w:r>
        <w:fldChar w:fldCharType="separate"/>
      </w:r>
      <w:r>
        <w:t>3</w:t>
      </w:r>
      <w:r>
        <w:fldChar w:fldCharType="end"/>
      </w:r>
    </w:p>
    <w:p>
      <w:pPr>
        <w:pStyle w:val="TOC8"/>
        <w:rPr>
          <w:rFonts w:asciiTheme="minorHAnsi" w:eastAsiaTheme="minorEastAsia" w:hAnsiTheme="minorHAnsi" w:cstheme="minorBidi"/>
          <w:szCs w:val="22"/>
        </w:rPr>
      </w:pPr>
      <w:r>
        <w:t>5AA.</w:t>
      </w:r>
      <w:r>
        <w:tab/>
        <w:t>Modified application of section 22(2) of Act</w:t>
      </w:r>
      <w:r>
        <w:tab/>
      </w:r>
      <w:r>
        <w:fldChar w:fldCharType="begin"/>
      </w:r>
      <w:r>
        <w:instrText xml:space="preserve"> PAGEREF _Toc501528180 \h </w:instrText>
      </w:r>
      <w:r>
        <w:fldChar w:fldCharType="separate"/>
      </w:r>
      <w:r>
        <w:t>3</w:t>
      </w:r>
      <w:r>
        <w:fldChar w:fldCharType="end"/>
      </w:r>
    </w:p>
    <w:p>
      <w:pPr>
        <w:pStyle w:val="TOC8"/>
        <w:rPr>
          <w:rFonts w:asciiTheme="minorHAnsi" w:eastAsiaTheme="minorEastAsia" w:hAnsiTheme="minorHAnsi" w:cstheme="minorBidi"/>
          <w:szCs w:val="22"/>
        </w:rPr>
      </w:pPr>
      <w:r>
        <w:t>5AB.</w:t>
      </w:r>
      <w:r>
        <w:tab/>
        <w:t>Exemptions from section 27A of Act — residential agreements not required to be in prescribed form</w:t>
      </w:r>
      <w:r>
        <w:tab/>
      </w:r>
      <w:r>
        <w:fldChar w:fldCharType="begin"/>
      </w:r>
      <w:r>
        <w:instrText xml:space="preserve"> PAGEREF _Toc501528181 \h </w:instrText>
      </w:r>
      <w:r>
        <w:fldChar w:fldCharType="separate"/>
      </w:r>
      <w:r>
        <w:t>4</w:t>
      </w:r>
      <w:r>
        <w:fldChar w:fldCharType="end"/>
      </w:r>
    </w:p>
    <w:p>
      <w:pPr>
        <w:pStyle w:val="TOC8"/>
        <w:rPr>
          <w:rFonts w:asciiTheme="minorHAnsi" w:eastAsiaTheme="minorEastAsia" w:hAnsiTheme="minorHAnsi" w:cstheme="minorBidi"/>
          <w:szCs w:val="22"/>
        </w:rPr>
      </w:pPr>
      <w:r>
        <w:t>5AC.</w:t>
      </w:r>
      <w:r>
        <w:tab/>
        <w:t>Exemption from section 27B of Act if residential tenancy agreement extended or renewed</w:t>
      </w:r>
      <w:r>
        <w:tab/>
      </w:r>
      <w:r>
        <w:fldChar w:fldCharType="begin"/>
      </w:r>
      <w:r>
        <w:instrText xml:space="preserve"> PAGEREF _Toc501528182 \h </w:instrText>
      </w:r>
      <w:r>
        <w:fldChar w:fldCharType="separate"/>
      </w:r>
      <w:r>
        <w:t>5</w:t>
      </w:r>
      <w:r>
        <w:fldChar w:fldCharType="end"/>
      </w:r>
    </w:p>
    <w:p>
      <w:pPr>
        <w:pStyle w:val="TOC8"/>
        <w:rPr>
          <w:rFonts w:asciiTheme="minorHAnsi" w:eastAsiaTheme="minorEastAsia" w:hAnsiTheme="minorHAnsi" w:cstheme="minorBidi"/>
          <w:szCs w:val="22"/>
        </w:rPr>
      </w:pPr>
      <w:r>
        <w:t>5AD.</w:t>
      </w:r>
      <w:r>
        <w:tab/>
        <w:t>Modified application of section 27C(4) of Act for Housing Authority</w:t>
      </w:r>
      <w:r>
        <w:tab/>
      </w:r>
      <w:r>
        <w:fldChar w:fldCharType="begin"/>
      </w:r>
      <w:r>
        <w:instrText xml:space="preserve"> PAGEREF _Toc501528183 \h </w:instrText>
      </w:r>
      <w:r>
        <w:fldChar w:fldCharType="separate"/>
      </w:r>
      <w:r>
        <w:t>5</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Exemption of Housing Authority from sections 29(4)(b) and 33 of Act</w:t>
      </w:r>
      <w:r>
        <w:tab/>
      </w:r>
      <w:r>
        <w:fldChar w:fldCharType="begin"/>
      </w:r>
      <w:r>
        <w:instrText xml:space="preserve"> PAGEREF _Toc501528184 \h </w:instrText>
      </w:r>
      <w:r>
        <w:fldChar w:fldCharType="separate"/>
      </w:r>
      <w:r>
        <w:t>6</w:t>
      </w:r>
      <w:r>
        <w:fldChar w:fldCharType="end"/>
      </w:r>
    </w:p>
    <w:p>
      <w:pPr>
        <w:pStyle w:val="TOC8"/>
        <w:rPr>
          <w:rFonts w:asciiTheme="minorHAnsi" w:eastAsiaTheme="minorEastAsia" w:hAnsiTheme="minorHAnsi" w:cstheme="minorBidi"/>
          <w:szCs w:val="22"/>
        </w:rPr>
      </w:pPr>
      <w:r>
        <w:t>5BA.</w:t>
      </w:r>
      <w:r>
        <w:tab/>
        <w:t>Exemptions from section 29(8) of Act</w:t>
      </w:r>
      <w:r>
        <w:tab/>
      </w:r>
      <w:r>
        <w:fldChar w:fldCharType="begin"/>
      </w:r>
      <w:r>
        <w:instrText xml:space="preserve"> PAGEREF _Toc501528185 \h </w:instrText>
      </w:r>
      <w:r>
        <w:fldChar w:fldCharType="separate"/>
      </w:r>
      <w:r>
        <w:t>7</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Exemptions from section 30(1) of Act</w:t>
      </w:r>
      <w:r>
        <w:tab/>
      </w:r>
      <w:r>
        <w:fldChar w:fldCharType="begin"/>
      </w:r>
      <w:r>
        <w:instrText xml:space="preserve"> PAGEREF _Toc501528186 \h </w:instrText>
      </w:r>
      <w:r>
        <w:fldChar w:fldCharType="separate"/>
      </w:r>
      <w:r>
        <w:t>7</w:t>
      </w:r>
      <w:r>
        <w:fldChar w:fldCharType="end"/>
      </w:r>
    </w:p>
    <w:p>
      <w:pPr>
        <w:pStyle w:val="TOC8"/>
        <w:rPr>
          <w:rFonts w:asciiTheme="minorHAnsi" w:eastAsiaTheme="minorEastAsia" w:hAnsiTheme="minorHAnsi" w:cstheme="minorBidi"/>
          <w:szCs w:val="22"/>
        </w:rPr>
      </w:pPr>
      <w:r>
        <w:t>5CA.</w:t>
      </w:r>
      <w:r>
        <w:tab/>
        <w:t>Modified application of section 30(2)(a) of Act</w:t>
      </w:r>
      <w:r>
        <w:tab/>
      </w:r>
      <w:r>
        <w:fldChar w:fldCharType="begin"/>
      </w:r>
      <w:r>
        <w:instrText xml:space="preserve"> PAGEREF _Toc501528187 \h </w:instrText>
      </w:r>
      <w:r>
        <w:fldChar w:fldCharType="separate"/>
      </w:r>
      <w:r>
        <w:t>10</w:t>
      </w:r>
      <w:r>
        <w:fldChar w:fldCharType="end"/>
      </w:r>
    </w:p>
    <w:p>
      <w:pPr>
        <w:pStyle w:val="TOC8"/>
        <w:rPr>
          <w:rFonts w:asciiTheme="minorHAnsi" w:eastAsiaTheme="minorEastAsia" w:hAnsiTheme="minorHAnsi" w:cstheme="minorBidi"/>
          <w:szCs w:val="22"/>
        </w:rPr>
      </w:pPr>
      <w:r>
        <w:t>5C.</w:t>
      </w:r>
      <w:r>
        <w:tab/>
        <w:t>Exemption from section 33 of Act for employment</w:t>
      </w:r>
      <w:r>
        <w:noBreakHyphen/>
        <w:t>linked residential tenancy agreements</w:t>
      </w:r>
      <w:r>
        <w:tab/>
      </w:r>
      <w:r>
        <w:fldChar w:fldCharType="begin"/>
      </w:r>
      <w:r>
        <w:instrText xml:space="preserve"> PAGEREF _Toc501528188 \h </w:instrText>
      </w:r>
      <w:r>
        <w:fldChar w:fldCharType="separate"/>
      </w:r>
      <w:r>
        <w:t>10</w:t>
      </w:r>
      <w:r>
        <w:fldChar w:fldCharType="end"/>
      </w:r>
    </w:p>
    <w:p>
      <w:pPr>
        <w:pStyle w:val="TOC8"/>
        <w:rPr>
          <w:rFonts w:asciiTheme="minorHAnsi" w:eastAsiaTheme="minorEastAsia" w:hAnsiTheme="minorHAnsi" w:cstheme="minorBidi"/>
          <w:szCs w:val="22"/>
        </w:rPr>
      </w:pPr>
      <w:r>
        <w:t>5D.</w:t>
      </w:r>
      <w:r>
        <w:tab/>
        <w:t xml:space="preserve">Exemption for certain agreements under </w:t>
      </w:r>
      <w:r>
        <w:rPr>
          <w:i/>
        </w:rPr>
        <w:t>Land Administration Act 1997</w:t>
      </w:r>
      <w:r>
        <w:tab/>
      </w:r>
      <w:r>
        <w:fldChar w:fldCharType="begin"/>
      </w:r>
      <w:r>
        <w:instrText xml:space="preserve"> PAGEREF _Toc501528189 \h </w:instrText>
      </w:r>
      <w:r>
        <w:fldChar w:fldCharType="separate"/>
      </w:r>
      <w:r>
        <w:t>11</w:t>
      </w:r>
      <w:r>
        <w:fldChar w:fldCharType="end"/>
      </w:r>
    </w:p>
    <w:p>
      <w:pPr>
        <w:pStyle w:val="TOC8"/>
        <w:rPr>
          <w:rFonts w:asciiTheme="minorHAnsi" w:eastAsiaTheme="minorEastAsia" w:hAnsiTheme="minorHAnsi" w:cstheme="minorBidi"/>
          <w:szCs w:val="22"/>
        </w:rPr>
      </w:pPr>
      <w:r>
        <w:t>6.</w:t>
      </w:r>
      <w:r>
        <w:tab/>
        <w:t>Modified application of section 43(3) of Act when Housing Authority is lessor of premises outside metropolitan region</w:t>
      </w:r>
      <w:r>
        <w:tab/>
      </w:r>
      <w:r>
        <w:fldChar w:fldCharType="begin"/>
      </w:r>
      <w:r>
        <w:instrText xml:space="preserve"> PAGEREF _Toc501528190 \h </w:instrText>
      </w:r>
      <w:r>
        <w:fldChar w:fldCharType="separate"/>
      </w:r>
      <w:r>
        <w:t>11</w:t>
      </w:r>
      <w:r>
        <w:fldChar w:fldCharType="end"/>
      </w:r>
    </w:p>
    <w:p>
      <w:pPr>
        <w:pStyle w:val="TOC8"/>
        <w:rPr>
          <w:rFonts w:asciiTheme="minorHAnsi" w:eastAsiaTheme="minorEastAsia" w:hAnsiTheme="minorHAnsi" w:cstheme="minorBidi"/>
          <w:szCs w:val="22"/>
        </w:rPr>
      </w:pPr>
      <w:r>
        <w:t>7A.</w:t>
      </w:r>
      <w:r>
        <w:tab/>
        <w:t>Modified application of section 45 of Act</w:t>
      </w:r>
      <w:r>
        <w:tab/>
      </w:r>
      <w:r>
        <w:fldChar w:fldCharType="begin"/>
      </w:r>
      <w:r>
        <w:instrText xml:space="preserve"> PAGEREF _Toc501528191 \h </w:instrText>
      </w:r>
      <w:r>
        <w:fldChar w:fldCharType="separate"/>
      </w:r>
      <w:r>
        <w:t>11</w:t>
      </w:r>
      <w:r>
        <w:fldChar w:fldCharType="end"/>
      </w:r>
    </w:p>
    <w:p>
      <w:pPr>
        <w:pStyle w:val="TOC8"/>
        <w:rPr>
          <w:rFonts w:asciiTheme="minorHAnsi" w:eastAsiaTheme="minorEastAsia" w:hAnsiTheme="minorHAnsi" w:cstheme="minorBidi"/>
          <w:szCs w:val="22"/>
        </w:rPr>
      </w:pPr>
      <w:r>
        <w:t>7B.</w:t>
      </w:r>
      <w:r>
        <w:tab/>
        <w:t>Modified application of section 47(1)(b) of Act for Housing Authority</w:t>
      </w:r>
      <w:r>
        <w:tab/>
      </w:r>
      <w:r>
        <w:fldChar w:fldCharType="begin"/>
      </w:r>
      <w:r>
        <w:instrText xml:space="preserve"> PAGEREF _Toc501528192 \h </w:instrText>
      </w:r>
      <w:r>
        <w:fldChar w:fldCharType="separate"/>
      </w:r>
      <w:r>
        <w:t>12</w:t>
      </w:r>
      <w:r>
        <w:fldChar w:fldCharType="end"/>
      </w:r>
    </w:p>
    <w:p>
      <w:pPr>
        <w:pStyle w:val="TOC8"/>
        <w:rPr>
          <w:rFonts w:asciiTheme="minorHAnsi" w:eastAsiaTheme="minorEastAsia" w:hAnsiTheme="minorHAnsi" w:cstheme="minorBidi"/>
          <w:szCs w:val="22"/>
        </w:rPr>
      </w:pPr>
      <w:r>
        <w:t>7C.</w:t>
      </w:r>
      <w:r>
        <w:tab/>
        <w:t>Modified application of section 60(b) of Act</w:t>
      </w:r>
      <w:r>
        <w:tab/>
      </w:r>
      <w:r>
        <w:fldChar w:fldCharType="begin"/>
      </w:r>
      <w:r>
        <w:instrText xml:space="preserve"> PAGEREF _Toc501528193 \h </w:instrText>
      </w:r>
      <w:r>
        <w:fldChar w:fldCharType="separate"/>
      </w:r>
      <w:r>
        <w:t>13</w:t>
      </w:r>
      <w:r>
        <w:fldChar w:fldCharType="end"/>
      </w:r>
    </w:p>
    <w:p>
      <w:pPr>
        <w:pStyle w:val="TOC8"/>
        <w:rPr>
          <w:rFonts w:asciiTheme="minorHAnsi" w:eastAsiaTheme="minorEastAsia" w:hAnsiTheme="minorHAnsi" w:cstheme="minorBidi"/>
          <w:szCs w:val="22"/>
        </w:rPr>
      </w:pPr>
      <w:r>
        <w:t>7D.</w:t>
      </w:r>
      <w:r>
        <w:tab/>
        <w:t>Modified application of section 70A of Act for Foyer Oxford</w:t>
      </w:r>
      <w:r>
        <w:tab/>
      </w:r>
      <w:r>
        <w:fldChar w:fldCharType="begin"/>
      </w:r>
      <w:r>
        <w:instrText xml:space="preserve"> PAGEREF _Toc501528194 \h </w:instrText>
      </w:r>
      <w:r>
        <w:fldChar w:fldCharType="separate"/>
      </w:r>
      <w:r>
        <w:t>13</w:t>
      </w:r>
      <w:r>
        <w:fldChar w:fldCharType="end"/>
      </w:r>
    </w:p>
    <w:p>
      <w:pPr>
        <w:pStyle w:val="TOC8"/>
        <w:rPr>
          <w:rFonts w:asciiTheme="minorHAnsi" w:eastAsiaTheme="minorEastAsia" w:hAnsiTheme="minorHAnsi" w:cstheme="minorBidi"/>
          <w:szCs w:val="22"/>
        </w:rPr>
      </w:pPr>
      <w:r>
        <w:t>7E.</w:t>
      </w:r>
      <w:r>
        <w:tab/>
        <w:t>Modified application of section 72 of Act</w:t>
      </w:r>
      <w:r>
        <w:tab/>
      </w:r>
      <w:r>
        <w:fldChar w:fldCharType="begin"/>
      </w:r>
      <w:r>
        <w:instrText xml:space="preserve"> PAGEREF _Toc501528195 \h </w:instrText>
      </w:r>
      <w:r>
        <w:fldChar w:fldCharType="separate"/>
      </w:r>
      <w:r>
        <w:t>14</w:t>
      </w:r>
      <w:r>
        <w:fldChar w:fldCharType="end"/>
      </w:r>
    </w:p>
    <w:p>
      <w:pPr>
        <w:pStyle w:val="TOC8"/>
        <w:rPr>
          <w:rFonts w:asciiTheme="minorHAnsi" w:eastAsiaTheme="minorEastAsia" w:hAnsiTheme="minorHAnsi" w:cstheme="minorBidi"/>
          <w:szCs w:val="22"/>
        </w:rPr>
      </w:pPr>
      <w:r>
        <w:t>7F.</w:t>
      </w:r>
      <w:r>
        <w:tab/>
        <w:t>Exemption from section 82 of Act</w:t>
      </w:r>
      <w:r>
        <w:tab/>
      </w:r>
      <w:r>
        <w:fldChar w:fldCharType="begin"/>
      </w:r>
      <w:r>
        <w:instrText xml:space="preserve"> PAGEREF _Toc501528196 \h </w:instrText>
      </w:r>
      <w:r>
        <w:fldChar w:fldCharType="separate"/>
      </w:r>
      <w:r>
        <w:t>14</w:t>
      </w:r>
      <w:r>
        <w:fldChar w:fldCharType="end"/>
      </w:r>
    </w:p>
    <w:p>
      <w:pPr>
        <w:pStyle w:val="TOC8"/>
        <w:rPr>
          <w:rFonts w:asciiTheme="minorHAnsi" w:eastAsiaTheme="minorEastAsia" w:hAnsiTheme="minorHAnsi" w:cstheme="minorBidi"/>
          <w:szCs w:val="22"/>
        </w:rPr>
      </w:pPr>
      <w:r>
        <w:t>7G.</w:t>
      </w:r>
      <w:r>
        <w:tab/>
        <w:t>Modified application of section 93 of Act for Housing Authority</w:t>
      </w:r>
      <w:r>
        <w:tab/>
      </w:r>
      <w:r>
        <w:fldChar w:fldCharType="begin"/>
      </w:r>
      <w:r>
        <w:instrText xml:space="preserve"> PAGEREF _Toc501528197 \h </w:instrText>
      </w:r>
      <w:r>
        <w:fldChar w:fldCharType="separate"/>
      </w:r>
      <w:r>
        <w:t>15</w:t>
      </w:r>
      <w:r>
        <w:fldChar w:fldCharType="end"/>
      </w:r>
    </w:p>
    <w:p>
      <w:pPr>
        <w:pStyle w:val="TOC8"/>
        <w:rPr>
          <w:rFonts w:asciiTheme="minorHAnsi" w:eastAsiaTheme="minorEastAsia" w:hAnsiTheme="minorHAnsi" w:cstheme="minorBidi"/>
          <w:szCs w:val="22"/>
        </w:rPr>
      </w:pPr>
      <w:r>
        <w:t>7H.</w:t>
      </w:r>
      <w:r>
        <w:tab/>
        <w:t>Modified application of Schedule 1 clauses 5A and 5 of Act</w:t>
      </w:r>
      <w:r>
        <w:tab/>
      </w:r>
      <w:r>
        <w:fldChar w:fldCharType="begin"/>
      </w:r>
      <w:r>
        <w:instrText xml:space="preserve"> PAGEREF _Toc501528198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Other matters</w:t>
      </w:r>
    </w:p>
    <w:p>
      <w:pPr>
        <w:pStyle w:val="TOC8"/>
        <w:rPr>
          <w:rFonts w:asciiTheme="minorHAnsi" w:eastAsiaTheme="minorEastAsia" w:hAnsiTheme="minorHAnsi" w:cstheme="minorBidi"/>
          <w:szCs w:val="22"/>
        </w:rPr>
      </w:pPr>
      <w:r>
        <w:t>7</w:t>
      </w:r>
      <w:r>
        <w:rPr>
          <w:snapToGrid w:val="0"/>
        </w:rPr>
        <w:t>.</w:t>
      </w:r>
      <w:r>
        <w:rPr>
          <w:snapToGrid w:val="0"/>
        </w:rPr>
        <w:tab/>
        <w:t>Applications prescribed for the purposes of section 13A(2)(a) of Act</w:t>
      </w:r>
      <w:r>
        <w:tab/>
      </w:r>
      <w:r>
        <w:fldChar w:fldCharType="begin"/>
      </w:r>
      <w:r>
        <w:instrText xml:space="preserve"> PAGEREF _Toc501528200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Determination of nearest Magistrates Court</w:t>
      </w:r>
      <w:r>
        <w:tab/>
      </w:r>
      <w:r>
        <w:fldChar w:fldCharType="begin"/>
      </w:r>
      <w:r>
        <w:instrText xml:space="preserve"> PAGEREF _Toc501528201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Scale of costs for section 24 of Act</w:t>
      </w:r>
      <w:r>
        <w:tab/>
      </w:r>
      <w:r>
        <w:fldChar w:fldCharType="begin"/>
      </w:r>
      <w:r>
        <w:instrText xml:space="preserve"> PAGEREF _Toc501528202 \h </w:instrText>
      </w:r>
      <w:r>
        <w:fldChar w:fldCharType="separate"/>
      </w:r>
      <w:r>
        <w:t>20</w:t>
      </w:r>
      <w:r>
        <w:fldChar w:fldCharType="end"/>
      </w:r>
    </w:p>
    <w:p>
      <w:pPr>
        <w:pStyle w:val="TOC8"/>
        <w:rPr>
          <w:rFonts w:asciiTheme="minorHAnsi" w:eastAsiaTheme="minorEastAsia" w:hAnsiTheme="minorHAnsi" w:cstheme="minorBidi"/>
          <w:szCs w:val="22"/>
        </w:rPr>
      </w:pPr>
      <w:r>
        <w:t>10AA.</w:t>
      </w:r>
      <w:r>
        <w:tab/>
        <w:t>Form of written residential tenancy agreement for section 27A of Act</w:t>
      </w:r>
      <w:r>
        <w:tab/>
      </w:r>
      <w:r>
        <w:fldChar w:fldCharType="begin"/>
      </w:r>
      <w:r>
        <w:instrText xml:space="preserve"> PAGEREF _Toc501528203 \h </w:instrText>
      </w:r>
      <w:r>
        <w:fldChar w:fldCharType="separate"/>
      </w:r>
      <w:r>
        <w:t>20</w:t>
      </w:r>
      <w:r>
        <w:fldChar w:fldCharType="end"/>
      </w:r>
    </w:p>
    <w:p>
      <w:pPr>
        <w:pStyle w:val="TOC8"/>
        <w:rPr>
          <w:rFonts w:asciiTheme="minorHAnsi" w:eastAsiaTheme="minorEastAsia" w:hAnsiTheme="minorHAnsi" w:cstheme="minorBidi"/>
          <w:szCs w:val="22"/>
        </w:rPr>
      </w:pPr>
      <w:r>
        <w:t>10AB.</w:t>
      </w:r>
      <w:r>
        <w:tab/>
        <w:t>Information to be given to tenant for section 27B of Act</w:t>
      </w:r>
      <w:r>
        <w:tab/>
      </w:r>
      <w:r>
        <w:fldChar w:fldCharType="begin"/>
      </w:r>
      <w:r>
        <w:instrText xml:space="preserve"> PAGEREF _Toc501528204 \h </w:instrText>
      </w:r>
      <w:r>
        <w:fldChar w:fldCharType="separate"/>
      </w:r>
      <w:r>
        <w:t>21</w:t>
      </w:r>
      <w:r>
        <w:fldChar w:fldCharType="end"/>
      </w:r>
    </w:p>
    <w:p>
      <w:pPr>
        <w:pStyle w:val="TOC8"/>
        <w:rPr>
          <w:rFonts w:asciiTheme="minorHAnsi" w:eastAsiaTheme="minorEastAsia" w:hAnsiTheme="minorHAnsi" w:cstheme="minorBidi"/>
          <w:szCs w:val="22"/>
        </w:rPr>
      </w:pPr>
      <w:r>
        <w:t>10AC.</w:t>
      </w:r>
      <w:r>
        <w:tab/>
        <w:t>Information to be included in property condition report for section 27C(6) of Act</w:t>
      </w:r>
      <w:r>
        <w:tab/>
      </w:r>
      <w:r>
        <w:fldChar w:fldCharType="begin"/>
      </w:r>
      <w:r>
        <w:instrText xml:space="preserve"> PAGEREF _Toc501528205 \h </w:instrText>
      </w:r>
      <w:r>
        <w:fldChar w:fldCharType="separate"/>
      </w:r>
      <w:r>
        <w:t>21</w:t>
      </w:r>
      <w:r>
        <w:fldChar w:fldCharType="end"/>
      </w:r>
    </w:p>
    <w:p>
      <w:pPr>
        <w:pStyle w:val="TOC8"/>
        <w:rPr>
          <w:rFonts w:asciiTheme="minorHAnsi" w:eastAsiaTheme="minorEastAsia" w:hAnsiTheme="minorHAnsi" w:cstheme="minorBidi"/>
          <w:szCs w:val="22"/>
        </w:rPr>
      </w:pPr>
      <w:r>
        <w:t>10AD.</w:t>
      </w:r>
      <w:r>
        <w:tab/>
        <w:t>Amount prescribed for section 27(2)(a) of Act</w:t>
      </w:r>
      <w:r>
        <w:tab/>
      </w:r>
      <w:r>
        <w:fldChar w:fldCharType="begin"/>
      </w:r>
      <w:r>
        <w:instrText xml:space="preserve"> PAGEREF _Toc501528206 \h </w:instrText>
      </w:r>
      <w:r>
        <w:fldChar w:fldCharType="separate"/>
      </w:r>
      <w:r>
        <w:t>21</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Amount prescribed for section 29(1)(b)(ii) of Act</w:t>
      </w:r>
      <w:r>
        <w:tab/>
      </w:r>
      <w:r>
        <w:fldChar w:fldCharType="begin"/>
      </w:r>
      <w:r>
        <w:instrText xml:space="preserve"> PAGEREF _Toc501528207 \h </w:instrText>
      </w:r>
      <w:r>
        <w:fldChar w:fldCharType="separate"/>
      </w:r>
      <w:r>
        <w:t>22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Amount prescribed for section 29(2) of Act</w:t>
      </w:r>
      <w:r>
        <w:tab/>
      </w:r>
      <w:r>
        <w:fldChar w:fldCharType="begin"/>
      </w:r>
      <w:r>
        <w:instrText xml:space="preserve"> PAGEREF _Toc501528208 \h </w:instrText>
      </w:r>
      <w:r>
        <w:fldChar w:fldCharType="separate"/>
      </w:r>
      <w:r>
        <w:t>22</w:t>
      </w:r>
      <w:r>
        <w:fldChar w:fldCharType="end"/>
      </w:r>
    </w:p>
    <w:p>
      <w:pPr>
        <w:pStyle w:val="TOC8"/>
        <w:rPr>
          <w:rFonts w:asciiTheme="minorHAnsi" w:eastAsiaTheme="minorEastAsia" w:hAnsiTheme="minorHAnsi" w:cstheme="minorBidi"/>
          <w:szCs w:val="22"/>
        </w:rPr>
      </w:pPr>
      <w:r>
        <w:t>12A.</w:t>
      </w:r>
      <w:r>
        <w:tab/>
        <w:t>Essential services prescribed for section 43(1) of Act</w:t>
      </w:r>
      <w:r>
        <w:tab/>
      </w:r>
      <w:r>
        <w:fldChar w:fldCharType="begin"/>
      </w:r>
      <w:r>
        <w:instrText xml:space="preserve"> PAGEREF _Toc501528209 \h </w:instrText>
      </w:r>
      <w:r>
        <w:fldChar w:fldCharType="separate"/>
      </w:r>
      <w:r>
        <w:t>22</w:t>
      </w:r>
      <w:r>
        <w:fldChar w:fldCharType="end"/>
      </w:r>
    </w:p>
    <w:p>
      <w:pPr>
        <w:pStyle w:val="TOC8"/>
        <w:rPr>
          <w:rFonts w:asciiTheme="minorHAnsi" w:eastAsiaTheme="minorEastAsia" w:hAnsiTheme="minorHAnsi" w:cstheme="minorBidi"/>
          <w:szCs w:val="22"/>
        </w:rPr>
      </w:pPr>
      <w:r>
        <w:t>12B.</w:t>
      </w:r>
      <w:r>
        <w:tab/>
        <w:t>Means to secure residential premises prescribed for section 45(a) of Act</w:t>
      </w:r>
      <w:r>
        <w:tab/>
      </w:r>
      <w:r>
        <w:fldChar w:fldCharType="begin"/>
      </w:r>
      <w:r>
        <w:instrText xml:space="preserve"> PAGEREF _Toc501528210 \h </w:instrText>
      </w:r>
      <w:r>
        <w:fldChar w:fldCharType="separate"/>
      </w:r>
      <w:r>
        <w:t>22</w:t>
      </w:r>
      <w:r>
        <w:fldChar w:fldCharType="end"/>
      </w:r>
    </w:p>
    <w:p>
      <w:pPr>
        <w:pStyle w:val="TOC8"/>
        <w:rPr>
          <w:rFonts w:asciiTheme="minorHAnsi" w:eastAsiaTheme="minorEastAsia" w:hAnsiTheme="minorHAnsi" w:cstheme="minorBidi"/>
          <w:szCs w:val="22"/>
        </w:rPr>
      </w:pPr>
      <w:r>
        <w:t>12C.</w:t>
      </w:r>
      <w:r>
        <w:tab/>
        <w:t>Social housing tenancy agreement for the purposes of section 71A of Act</w:t>
      </w:r>
      <w:r>
        <w:tab/>
      </w:r>
      <w:r>
        <w:fldChar w:fldCharType="begin"/>
      </w:r>
      <w:r>
        <w:instrText xml:space="preserve"> PAGEREF _Toc501528211 \h </w:instrText>
      </w:r>
      <w:r>
        <w:fldChar w:fldCharType="separate"/>
      </w:r>
      <w:r>
        <w:t>24</w:t>
      </w:r>
      <w:r>
        <w:fldChar w:fldCharType="end"/>
      </w:r>
    </w:p>
    <w:p>
      <w:pPr>
        <w:pStyle w:val="TOC8"/>
        <w:rPr>
          <w:rFonts w:asciiTheme="minorHAnsi" w:eastAsiaTheme="minorEastAsia" w:hAnsiTheme="minorHAnsi" w:cstheme="minorBidi"/>
          <w:szCs w:val="22"/>
        </w:rPr>
      </w:pPr>
      <w:r>
        <w:t>12D.</w:t>
      </w:r>
      <w:r>
        <w:tab/>
        <w:t>Manner prescribed for purposes of section 79(3)(b) of Act</w:t>
      </w:r>
      <w:r>
        <w:tab/>
      </w:r>
      <w:r>
        <w:fldChar w:fldCharType="begin"/>
      </w:r>
      <w:r>
        <w:instrText xml:space="preserve"> PAGEREF _Toc501528212 \h </w:instrText>
      </w:r>
      <w:r>
        <w:fldChar w:fldCharType="separate"/>
      </w:r>
      <w:r>
        <w:t>25</w:t>
      </w:r>
      <w:r>
        <w:fldChar w:fldCharType="end"/>
      </w:r>
    </w:p>
    <w:p>
      <w:pPr>
        <w:pStyle w:val="TOC8"/>
        <w:rPr>
          <w:rFonts w:asciiTheme="minorHAnsi" w:eastAsiaTheme="minorEastAsia" w:hAnsiTheme="minorHAnsi" w:cstheme="minorBidi"/>
          <w:szCs w:val="22"/>
        </w:rPr>
      </w:pPr>
      <w:r>
        <w:t>12E.</w:t>
      </w:r>
      <w:r>
        <w:tab/>
        <w:t>Information prescribed for section 79(10) of Act</w:t>
      </w:r>
      <w:r>
        <w:tab/>
      </w:r>
      <w:r>
        <w:fldChar w:fldCharType="begin"/>
      </w:r>
      <w:r>
        <w:instrText xml:space="preserve"> PAGEREF _Toc501528213 \h </w:instrText>
      </w:r>
      <w:r>
        <w:fldChar w:fldCharType="separate"/>
      </w:r>
      <w:r>
        <w:t>25</w:t>
      </w:r>
      <w:r>
        <w:fldChar w:fldCharType="end"/>
      </w:r>
    </w:p>
    <w:p>
      <w:pPr>
        <w:pStyle w:val="TOC8"/>
        <w:rPr>
          <w:rFonts w:asciiTheme="minorHAnsi" w:eastAsiaTheme="minorEastAsia" w:hAnsiTheme="minorHAnsi" w:cstheme="minorBidi"/>
          <w:szCs w:val="22"/>
        </w:rPr>
      </w:pPr>
      <w:r>
        <w:t>12.</w:t>
      </w:r>
      <w:r>
        <w:tab/>
        <w:t>Manner prescribed for purposes of section 85(3)(c) of Act</w:t>
      </w:r>
      <w:r>
        <w:tab/>
      </w:r>
      <w:r>
        <w:fldChar w:fldCharType="begin"/>
      </w:r>
      <w:r>
        <w:instrText xml:space="preserve"> PAGEREF _Toc501528214 \h </w:instrText>
      </w:r>
      <w:r>
        <w:fldChar w:fldCharType="separate"/>
      </w:r>
      <w:r>
        <w:t>25</w:t>
      </w:r>
      <w:r>
        <w:fldChar w:fldCharType="end"/>
      </w:r>
    </w:p>
    <w:p>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_Toc501528215 \h </w:instrText>
      </w:r>
      <w:r>
        <w:fldChar w:fldCharType="separate"/>
      </w:r>
      <w:r>
        <w:t>26</w:t>
      </w:r>
      <w:r>
        <w:fldChar w:fldCharType="end"/>
      </w:r>
    </w:p>
    <w:p>
      <w:pPr>
        <w:pStyle w:val="TOC8"/>
        <w:rPr>
          <w:rFonts w:asciiTheme="minorHAnsi" w:eastAsiaTheme="minorEastAsia" w:hAnsiTheme="minorHAnsi" w:cstheme="minorBidi"/>
          <w:szCs w:val="22"/>
        </w:rPr>
      </w:pPr>
      <w:r>
        <w:t>14.</w:t>
      </w:r>
      <w:r>
        <w:tab/>
        <w:t>Matters prescribed for section 94 of Act</w:t>
      </w:r>
      <w:r>
        <w:tab/>
      </w:r>
      <w:r>
        <w:fldChar w:fldCharType="begin"/>
      </w:r>
      <w:r>
        <w:instrText xml:space="preserve"> PAGEREF _Toc501528216 \h </w:instrText>
      </w:r>
      <w:r>
        <w:fldChar w:fldCharType="separate"/>
      </w:r>
      <w:r>
        <w:t>26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Disposal of unclaimed security bonds</w:t>
      </w:r>
      <w:r>
        <w:tab/>
      </w:r>
      <w:r>
        <w:fldChar w:fldCharType="begin"/>
      </w:r>
      <w:r>
        <w:instrText xml:space="preserve"> PAGEREF _Toc501528217 \h </w:instrText>
      </w:r>
      <w:r>
        <w:fldChar w:fldCharType="separate"/>
      </w:r>
      <w:r>
        <w:t>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prescribed</w:t>
      </w:r>
      <w:r>
        <w:tab/>
      </w:r>
      <w:r>
        <w:fldChar w:fldCharType="begin"/>
      </w:r>
      <w:r>
        <w:instrText xml:space="preserve"> PAGEREF _Toc501528218 \h </w:instrText>
      </w:r>
      <w:r>
        <w:fldChar w:fldCharType="separate"/>
      </w:r>
      <w:r>
        <w:t>28</w:t>
      </w:r>
      <w:r>
        <w:fldChar w:fldCharType="end"/>
      </w:r>
    </w:p>
    <w:p>
      <w:pPr>
        <w:pStyle w:val="TOC8"/>
        <w:rPr>
          <w:rFonts w:asciiTheme="minorHAnsi" w:eastAsiaTheme="minorEastAsia" w:hAnsiTheme="minorHAnsi" w:cstheme="minorBidi"/>
          <w:szCs w:val="22"/>
        </w:rPr>
      </w:pPr>
      <w:r>
        <w:t>18.</w:t>
      </w:r>
      <w:r>
        <w:tab/>
        <w:t>Forms</w:t>
      </w:r>
      <w:r>
        <w:tab/>
      </w:r>
      <w:r>
        <w:fldChar w:fldCharType="begin"/>
      </w:r>
      <w:r>
        <w:instrText xml:space="preserve"> PAGEREF _Toc501528219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_Toc501528224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3" w:name="_Toc500418570"/>
      <w:bookmarkStart w:id="4" w:name="_Toc501528171"/>
      <w:r>
        <w:rPr>
          <w:rStyle w:val="CharPartNo"/>
        </w:rPr>
        <w:t>Part 1</w:t>
      </w:r>
      <w:r>
        <w:rPr>
          <w:rStyle w:val="CharDivNo"/>
        </w:rPr>
        <w:t> </w:t>
      </w:r>
      <w:r>
        <w:t>—</w:t>
      </w:r>
      <w:r>
        <w:rPr>
          <w:rStyle w:val="CharDivText"/>
        </w:rPr>
        <w:t> </w:t>
      </w:r>
      <w:r>
        <w:rPr>
          <w:rStyle w:val="CharPartText"/>
        </w:rPr>
        <w:t>Preliminary</w:t>
      </w:r>
      <w:bookmarkEnd w:id="3"/>
      <w:bookmarkEnd w:id="4"/>
    </w:p>
    <w:p>
      <w:pPr>
        <w:pStyle w:val="Footnoteheading"/>
        <w:spacing w:before="100"/>
      </w:pPr>
      <w:r>
        <w:tab/>
        <w:t>[Heading inserted in Gazette 3 May 2013 p. 1737.]</w:t>
      </w:r>
    </w:p>
    <w:p>
      <w:pPr>
        <w:pStyle w:val="Heading5"/>
        <w:rPr>
          <w:snapToGrid w:val="0"/>
        </w:rPr>
      </w:pPr>
      <w:bookmarkStart w:id="5" w:name="_Toc501528172"/>
      <w:r>
        <w:rPr>
          <w:rStyle w:val="CharSectno"/>
        </w:rPr>
        <w:t>1</w:t>
      </w:r>
      <w:r>
        <w:rPr>
          <w:snapToGrid w:val="0"/>
        </w:rPr>
        <w:t>.</w:t>
      </w:r>
      <w:r>
        <w:rPr>
          <w:snapToGrid w:val="0"/>
        </w:rPr>
        <w:tab/>
        <w:t>Citation</w:t>
      </w:r>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6" w:name="_Toc501528173"/>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Ednotesection"/>
      </w:pPr>
      <w:r>
        <w:t>[</w:t>
      </w:r>
      <w:r>
        <w:rPr>
          <w:b/>
        </w:rPr>
        <w:t>2A.</w:t>
      </w:r>
      <w:r>
        <w:rPr>
          <w:b/>
        </w:rPr>
        <w:tab/>
      </w:r>
      <w:r>
        <w:t>Deleted in Gazette 3 May 2013 p. 1738.]</w:t>
      </w:r>
    </w:p>
    <w:p>
      <w:pPr>
        <w:pStyle w:val="Heading5"/>
      </w:pPr>
      <w:bookmarkStart w:id="7" w:name="_Toc501528174"/>
      <w:r>
        <w:rPr>
          <w:rStyle w:val="CharSectno"/>
        </w:rPr>
        <w:t>3A</w:t>
      </w:r>
      <w:r>
        <w:t>.</w:t>
      </w:r>
      <w:r>
        <w:tab/>
        <w:t>Terms used</w:t>
      </w:r>
      <w:bookmarkEnd w:id="7"/>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in Gazette 3 May 2013 p. 1738.]</w:t>
      </w:r>
    </w:p>
    <w:p>
      <w:pPr>
        <w:pStyle w:val="Heading2"/>
      </w:pPr>
      <w:bookmarkStart w:id="8" w:name="_Toc500418574"/>
      <w:bookmarkStart w:id="9" w:name="_Toc501528175"/>
      <w:r>
        <w:rPr>
          <w:rStyle w:val="CharPartNo"/>
        </w:rPr>
        <w:t>Part 2</w:t>
      </w:r>
      <w:r>
        <w:rPr>
          <w:rStyle w:val="CharDivNo"/>
        </w:rPr>
        <w:t> </w:t>
      </w:r>
      <w:r>
        <w:t>—</w:t>
      </w:r>
      <w:r>
        <w:rPr>
          <w:rStyle w:val="CharDivText"/>
        </w:rPr>
        <w:t> </w:t>
      </w:r>
      <w:r>
        <w:rPr>
          <w:rStyle w:val="CharPartText"/>
        </w:rPr>
        <w:t>Application of Act, modification of application</w:t>
      </w:r>
      <w:bookmarkEnd w:id="8"/>
      <w:bookmarkEnd w:id="9"/>
    </w:p>
    <w:p>
      <w:pPr>
        <w:pStyle w:val="Footnoteheading"/>
      </w:pPr>
      <w:r>
        <w:tab/>
        <w:t>[Heading inserted in Gazette 21 Mar 2014 p. 731.]</w:t>
      </w:r>
    </w:p>
    <w:p>
      <w:pPr>
        <w:pStyle w:val="Heading5"/>
        <w:spacing w:before="200"/>
        <w:rPr>
          <w:snapToGrid w:val="0"/>
        </w:rPr>
      </w:pPr>
      <w:bookmarkStart w:id="10" w:name="_Toc501528176"/>
      <w:r>
        <w:rPr>
          <w:rStyle w:val="CharSectno"/>
        </w:rPr>
        <w:t>3</w:t>
      </w:r>
      <w:r>
        <w:rPr>
          <w:snapToGrid w:val="0"/>
        </w:rPr>
        <w:t>.</w:t>
      </w:r>
      <w:r>
        <w:rPr>
          <w:snapToGrid w:val="0"/>
        </w:rPr>
        <w:tab/>
        <w:t>Exemption for retirement villages</w:t>
      </w:r>
      <w:bookmarkEnd w:id="10"/>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in Gazette 8 Jan 1993 p. 29.] </w:t>
      </w:r>
    </w:p>
    <w:p>
      <w:pPr>
        <w:pStyle w:val="Heading5"/>
        <w:spacing w:before="200"/>
        <w:rPr>
          <w:snapToGrid w:val="0"/>
        </w:rPr>
      </w:pPr>
      <w:bookmarkStart w:id="11" w:name="_Toc501528177"/>
      <w:r>
        <w:rPr>
          <w:rStyle w:val="CharSectno"/>
        </w:rPr>
        <w:t>4</w:t>
      </w:r>
      <w:r>
        <w:rPr>
          <w:snapToGrid w:val="0"/>
        </w:rPr>
        <w:t>.</w:t>
      </w:r>
      <w:r>
        <w:rPr>
          <w:snapToGrid w:val="0"/>
        </w:rPr>
        <w:tab/>
        <w:t>Exemption for certain agreements with squatters</w:t>
      </w:r>
      <w:bookmarkEnd w:id="11"/>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keepNext/>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in Gazette 12 Feb 1993 p. 1214; 19 Feb 1999 p. 553.] </w:t>
      </w:r>
    </w:p>
    <w:p>
      <w:pPr>
        <w:pStyle w:val="Heading5"/>
        <w:rPr>
          <w:snapToGrid w:val="0"/>
        </w:rPr>
      </w:pPr>
      <w:bookmarkStart w:id="12" w:name="_Toc501528178"/>
      <w:r>
        <w:rPr>
          <w:rStyle w:val="CharSectno"/>
        </w:rPr>
        <w:t>5</w:t>
      </w:r>
      <w:r>
        <w:rPr>
          <w:snapToGrid w:val="0"/>
        </w:rPr>
        <w:t>.</w:t>
      </w:r>
      <w:r>
        <w:rPr>
          <w:snapToGrid w:val="0"/>
        </w:rPr>
        <w:tab/>
        <w:t xml:space="preserve">Exemption for certain agreements under </w:t>
      </w:r>
      <w:r>
        <w:rPr>
          <w:i/>
          <w:snapToGrid w:val="0"/>
        </w:rPr>
        <w:t>Land Act 1933</w:t>
      </w:r>
      <w:bookmarkEnd w:id="12"/>
    </w:p>
    <w:p>
      <w:pPr>
        <w:pStyle w:val="Subsection"/>
        <w:spacing w:before="180"/>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spacing w:before="180"/>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spacing w:before="180"/>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snapToGrid w:val="0"/>
        </w:rPr>
        <w:t xml:space="preserve"> is a prescribed agreement for the purposes of section 5(2)(g) of the Act.</w:t>
      </w:r>
    </w:p>
    <w:p>
      <w:pPr>
        <w:pStyle w:val="Heading5"/>
      </w:pPr>
      <w:bookmarkStart w:id="13" w:name="_Toc501528179"/>
      <w:r>
        <w:rPr>
          <w:rStyle w:val="CharSectno"/>
        </w:rPr>
        <w:t>5AAA</w:t>
      </w:r>
      <w:r>
        <w:t>.</w:t>
      </w:r>
      <w:r>
        <w:tab/>
        <w:t>Application of Act to certain accommodation at St Thomas More College</w:t>
      </w:r>
      <w:bookmarkEnd w:id="13"/>
    </w:p>
    <w:p>
      <w:pPr>
        <w:pStyle w:val="Subsection"/>
        <w:spacing w:before="180"/>
      </w:pPr>
      <w:r>
        <w:tab/>
        <w:t>(1)</w:t>
      </w:r>
      <w:r>
        <w:tab/>
        <w:t xml:space="preserve">In this regulation — </w:t>
      </w:r>
    </w:p>
    <w:p>
      <w:pPr>
        <w:pStyle w:val="Defstart"/>
      </w:pPr>
      <w:r>
        <w:tab/>
      </w:r>
      <w:r>
        <w:rPr>
          <w:rStyle w:val="CharDefText"/>
        </w:rPr>
        <w:t>St Thomas More College</w:t>
      </w:r>
      <w:r>
        <w:t xml:space="preserve"> means the premises comprising St Thomas More College on Mounts Bay Road, Crawley.</w:t>
      </w:r>
    </w:p>
    <w:p>
      <w:pPr>
        <w:pStyle w:val="Subsection"/>
        <w:spacing w:before="180"/>
      </w:pPr>
      <w:r>
        <w:tab/>
        <w:t>(2)</w:t>
      </w:r>
      <w:r>
        <w:tab/>
        <w:t xml:space="preserve">The following accommodation at St Thomas More College is prescribed for the purposes of section 5(3)(b) of the Act — </w:t>
      </w:r>
    </w:p>
    <w:p>
      <w:pPr>
        <w:pStyle w:val="Indenta"/>
      </w:pPr>
      <w:r>
        <w:tab/>
        <w:t>(a)</w:t>
      </w:r>
      <w:r>
        <w:tab/>
        <w:t>the student accommodation provided in the building on the western side of the College; and</w:t>
      </w:r>
    </w:p>
    <w:p>
      <w:pPr>
        <w:pStyle w:val="Indenta"/>
      </w:pPr>
      <w:r>
        <w:tab/>
        <w:t>(b)</w:t>
      </w:r>
      <w:r>
        <w:tab/>
        <w:t>the student accommodation provided in the southern</w:t>
      </w:r>
      <w:r>
        <w:noBreakHyphen/>
        <w:t>most building of the College.</w:t>
      </w:r>
    </w:p>
    <w:p>
      <w:pPr>
        <w:pStyle w:val="Footnotesection"/>
      </w:pPr>
      <w:r>
        <w:tab/>
        <w:t>[Regulation 5AAA inserted in Gazette 21 Mar 2014 p. 731.]</w:t>
      </w:r>
    </w:p>
    <w:p>
      <w:pPr>
        <w:pStyle w:val="Heading5"/>
      </w:pPr>
      <w:bookmarkStart w:id="14" w:name="_Toc501528180"/>
      <w:r>
        <w:rPr>
          <w:rStyle w:val="CharSectno"/>
        </w:rPr>
        <w:t>5AA</w:t>
      </w:r>
      <w:r>
        <w:t>.</w:t>
      </w:r>
      <w:r>
        <w:tab/>
        <w:t>Modified application of section 22(2) of Act</w:t>
      </w:r>
      <w:bookmarkEnd w:id="14"/>
    </w:p>
    <w:p>
      <w:pPr>
        <w:pStyle w:val="Subsection"/>
        <w:spacing w:before="180"/>
      </w:pPr>
      <w:r>
        <w:tab/>
      </w:r>
      <w:r>
        <w:tab/>
        <w:t>Under section 6(a) of the Act it is provided that section 22(2) of the Act shall apply to a residential tenancy agreement the subject of proceedings as if it were modified by inserting after paragraph (a):</w:t>
      </w:r>
    </w:p>
    <w:p>
      <w:pPr>
        <w:pStyle w:val="BlankOpen"/>
      </w:pPr>
    </w:p>
    <w:p>
      <w:pPr>
        <w:pStyle w:val="MiscellaneousBody"/>
        <w:tabs>
          <w:tab w:val="left" w:pos="1134"/>
          <w:tab w:val="left" w:pos="1701"/>
        </w:tabs>
        <w:spacing w:before="0"/>
        <w:ind w:left="1701" w:hanging="1701"/>
      </w:pPr>
      <w:r>
        <w:tab/>
        <w:t>(ba)</w:t>
      </w:r>
      <w:r>
        <w:tab/>
        <w:t xml:space="preserve">a person who is — </w:t>
      </w:r>
    </w:p>
    <w:p>
      <w:pPr>
        <w:pStyle w:val="MiscellaneousBody"/>
        <w:tabs>
          <w:tab w:val="left" w:pos="1701"/>
          <w:tab w:val="left" w:pos="2268"/>
        </w:tabs>
        <w:ind w:left="2268" w:hanging="2268"/>
      </w:pPr>
      <w:r>
        <w:tab/>
        <w:t>(i)</w:t>
      </w:r>
      <w:r>
        <w:tab/>
        <w:t>an employee of, or acting on behalf of, the property manager of the premises the subject of the proceedings; and</w:t>
      </w:r>
    </w:p>
    <w:p>
      <w:pPr>
        <w:pStyle w:val="MiscellaneousBody"/>
        <w:tabs>
          <w:tab w:val="left" w:pos="1701"/>
          <w:tab w:val="left" w:pos="2268"/>
        </w:tabs>
        <w:ind w:left="2268" w:hanging="2268"/>
      </w:pPr>
      <w:r>
        <w:tab/>
        <w:t>(ii)</w:t>
      </w:r>
      <w:r>
        <w:tab/>
        <w:t xml:space="preserve">registered as a sales representative under the </w:t>
      </w:r>
      <w:r>
        <w:rPr>
          <w:i/>
        </w:rPr>
        <w:t>Real Estate and Business Agents Act 1978</w:t>
      </w:r>
      <w:r>
        <w:t>;</w:t>
      </w:r>
    </w:p>
    <w:p>
      <w:pPr>
        <w:pStyle w:val="MiscellaneousBody"/>
        <w:tabs>
          <w:tab w:val="left" w:pos="1134"/>
          <w:tab w:val="left" w:pos="1701"/>
        </w:tabs>
        <w:ind w:left="1701" w:hanging="1701"/>
      </w:pPr>
      <w:r>
        <w:tab/>
      </w:r>
      <w:r>
        <w:tab/>
        <w:t>or</w:t>
      </w:r>
    </w:p>
    <w:p>
      <w:pPr>
        <w:pStyle w:val="BlankClose"/>
      </w:pPr>
    </w:p>
    <w:p>
      <w:pPr>
        <w:pStyle w:val="Footnotesection"/>
      </w:pPr>
      <w:r>
        <w:tab/>
        <w:t>[Regulation 5AA inserted in Gazette 3 May 2013 p. 1738-9.]</w:t>
      </w:r>
    </w:p>
    <w:p>
      <w:pPr>
        <w:pStyle w:val="Heading5"/>
      </w:pPr>
      <w:bookmarkStart w:id="15" w:name="_Toc501528181"/>
      <w:r>
        <w:rPr>
          <w:rStyle w:val="CharSectno"/>
        </w:rPr>
        <w:t>5AB</w:t>
      </w:r>
      <w:r>
        <w:t>.</w:t>
      </w:r>
      <w:r>
        <w:tab/>
        <w:t>Exemptions from section 27A of Act — residential agreements not required to be in prescribed form</w:t>
      </w:r>
      <w:bookmarkEnd w:id="15"/>
    </w:p>
    <w:p>
      <w:pPr>
        <w:pStyle w:val="Subsection"/>
      </w:pPr>
      <w:r>
        <w:tab/>
      </w:r>
      <w:r>
        <w:tab/>
        <w:t xml:space="preserve">Under section 6(a) of the Act it is provided that section 27A of the Act shall not apply to the following — </w:t>
      </w:r>
    </w:p>
    <w:p>
      <w:pPr>
        <w:pStyle w:val="Indenta"/>
      </w:pPr>
      <w:r>
        <w:tab/>
        <w:t>(a)</w:t>
      </w:r>
      <w:r>
        <w:tab/>
        <w:t>a residential tenancy agreement in relation to premises to which a housing management agreement applies;</w:t>
      </w:r>
    </w:p>
    <w:p>
      <w:pPr>
        <w:pStyle w:val="Indenta"/>
      </w:pPr>
      <w:r>
        <w:tab/>
        <w:t>(b)</w:t>
      </w:r>
      <w:r>
        <w:tab/>
        <w:t xml:space="preserve">a residential tenancy agreement if — </w:t>
      </w:r>
    </w:p>
    <w:p>
      <w:pPr>
        <w:pStyle w:val="Indenti"/>
      </w:pPr>
      <w:r>
        <w:tab/>
        <w:t>(i)</w:t>
      </w:r>
      <w:r>
        <w:tab/>
        <w:t>the Housing Authority is a party to the agreement; and</w:t>
      </w:r>
    </w:p>
    <w:p>
      <w:pPr>
        <w:pStyle w:val="Indenti"/>
      </w:pPr>
      <w:r>
        <w:tab/>
        <w:t>(ii)</w:t>
      </w:r>
      <w:r>
        <w:tab/>
        <w:t>the agreement provides that, or is deemed to contain a provision to the effect that, the tenant may sub</w:t>
      </w:r>
      <w:r>
        <w:noBreakHyphen/>
        <w:t>let the premises; and</w:t>
      </w:r>
    </w:p>
    <w:p>
      <w:pPr>
        <w:pStyle w:val="Indenti"/>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ind w:left="890" w:hanging="890"/>
      </w:pPr>
      <w:r>
        <w:tab/>
        <w:t>[Regulation 5AB inserted in Gazette 3 May 2013 p. 1739; amended in Gazette 21 Aug 2015 p. 3311.]</w:t>
      </w:r>
    </w:p>
    <w:p>
      <w:pPr>
        <w:pStyle w:val="Heading5"/>
      </w:pPr>
      <w:bookmarkStart w:id="16" w:name="_Toc501528182"/>
      <w:r>
        <w:rPr>
          <w:rStyle w:val="CharSectno"/>
        </w:rPr>
        <w:t>5AC</w:t>
      </w:r>
      <w:r>
        <w:t>.</w:t>
      </w:r>
      <w:r>
        <w:tab/>
        <w:t>Exemption from section 27B of Act if residential tenancy agreement extended or renewed</w:t>
      </w:r>
      <w:bookmarkEnd w:id="16"/>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in Gazette 3 May 2013 p. 1740.]</w:t>
      </w:r>
    </w:p>
    <w:p>
      <w:pPr>
        <w:pStyle w:val="Heading5"/>
      </w:pPr>
      <w:bookmarkStart w:id="17" w:name="_Toc501528183"/>
      <w:r>
        <w:rPr>
          <w:rStyle w:val="CharSectno"/>
        </w:rPr>
        <w:t>5AD</w:t>
      </w:r>
      <w:r>
        <w:t>.</w:t>
      </w:r>
      <w:r>
        <w:tab/>
        <w:t>Modified application of section 27C(4) of Act for Housing Authority</w:t>
      </w:r>
      <w:bookmarkEnd w:id="17"/>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keepNext/>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in Gazette 3 May 2013 p. 1740-1.]</w:t>
      </w:r>
    </w:p>
    <w:p>
      <w:pPr>
        <w:pStyle w:val="Heading5"/>
        <w:keepNext w:val="0"/>
        <w:keepLines w:val="0"/>
        <w:spacing w:before="240"/>
        <w:rPr>
          <w:snapToGrid w:val="0"/>
        </w:rPr>
      </w:pPr>
      <w:bookmarkStart w:id="18" w:name="_Toc501528184"/>
      <w:r>
        <w:rPr>
          <w:rStyle w:val="CharSectno"/>
        </w:rPr>
        <w:t>5A</w:t>
      </w:r>
      <w:r>
        <w:rPr>
          <w:snapToGrid w:val="0"/>
        </w:rPr>
        <w:t>.</w:t>
      </w:r>
      <w:r>
        <w:rPr>
          <w:snapToGrid w:val="0"/>
        </w:rPr>
        <w:tab/>
        <w:t>Exemption of Housing Authority from sections 29(4)(b) and 33 of Act</w:t>
      </w:r>
      <w:bookmarkEnd w:id="18"/>
      <w:r>
        <w:rPr>
          <w:snapToGrid w:val="0"/>
        </w:rPr>
        <w:t xml:space="preserve"> </w:t>
      </w:r>
    </w:p>
    <w:p>
      <w:pPr>
        <w:pStyle w:val="Subsection"/>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in Gazette 13 Dec 1991 p. 6154; amended in Gazette 30 Dec 1994 p. 7231</w:t>
      </w:r>
      <w:r>
        <w:noBreakHyphen/>
        <w:t xml:space="preserve">2; 31 Jul 2007 p. 3790; 3 May 2013 p. 1741-2.] </w:t>
      </w:r>
    </w:p>
    <w:p>
      <w:pPr>
        <w:pStyle w:val="Heading5"/>
      </w:pPr>
      <w:bookmarkStart w:id="19" w:name="_Toc501528185"/>
      <w:r>
        <w:rPr>
          <w:rStyle w:val="CharSectno"/>
        </w:rPr>
        <w:t>5BA</w:t>
      </w:r>
      <w:r>
        <w:t>.</w:t>
      </w:r>
      <w:r>
        <w:tab/>
        <w:t>Exemptions from section 29(8) of Act</w:t>
      </w:r>
      <w:bookmarkEnd w:id="19"/>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in Gazette 21 Aug 2015 p. 3312.] </w:t>
      </w:r>
    </w:p>
    <w:p>
      <w:pPr>
        <w:pStyle w:val="Heading5"/>
        <w:spacing w:before="180"/>
        <w:rPr>
          <w:snapToGrid w:val="0"/>
        </w:rPr>
      </w:pPr>
      <w:bookmarkStart w:id="20" w:name="_Toc501528186"/>
      <w:r>
        <w:rPr>
          <w:rStyle w:val="CharSectno"/>
        </w:rPr>
        <w:t>5B</w:t>
      </w:r>
      <w:r>
        <w:rPr>
          <w:snapToGrid w:val="0"/>
        </w:rPr>
        <w:t>.</w:t>
      </w:r>
      <w:r>
        <w:rPr>
          <w:snapToGrid w:val="0"/>
        </w:rPr>
        <w:tab/>
        <w:t>Exemptions from section 30(1) of Act</w:t>
      </w:r>
      <w:bookmarkEnd w:id="20"/>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keepNext/>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3</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3"/>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in Gazette 6 Apr 1990 p. 1701; erratum in Gazette 12 Apr 1990 p. 1907; amended in Gazette 14 Jun 1991 p. 2872</w:t>
      </w:r>
      <w:r>
        <w:noBreakHyphen/>
        <w:t xml:space="preserve">3; 13 Dec 1991 p. 6153; 31 Mar 2006 p. 1351-2; 31 Jul 2007 p. 3791; 3 May 2013 p. 1742-3; 27 Dec 2013 p. 6478.] </w:t>
      </w:r>
    </w:p>
    <w:p>
      <w:pPr>
        <w:pStyle w:val="Heading5"/>
        <w:keepNext w:val="0"/>
        <w:keepLines w:val="0"/>
        <w:pageBreakBefore/>
        <w:spacing w:before="0"/>
      </w:pPr>
      <w:bookmarkStart w:id="21" w:name="_Toc501528187"/>
      <w:r>
        <w:rPr>
          <w:rStyle w:val="CharSectno"/>
        </w:rPr>
        <w:t>5CA</w:t>
      </w:r>
      <w:r>
        <w:t>.</w:t>
      </w:r>
      <w:r>
        <w:tab/>
        <w:t>Modified application of section 30(2)(a) of Act</w:t>
      </w:r>
      <w:bookmarkEnd w:id="21"/>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in Gazette 3 May 2013 p. 1744.]</w:t>
      </w:r>
    </w:p>
    <w:p>
      <w:pPr>
        <w:pStyle w:val="Heading5"/>
      </w:pPr>
      <w:bookmarkStart w:id="22" w:name="_Toc501528188"/>
      <w:r>
        <w:rPr>
          <w:rStyle w:val="CharSectno"/>
        </w:rPr>
        <w:t>5C</w:t>
      </w:r>
      <w:r>
        <w:t>.</w:t>
      </w:r>
      <w:r>
        <w:tab/>
        <w:t>Exemption from section 33 of Act for employment</w:t>
      </w:r>
      <w:r>
        <w:noBreakHyphen/>
        <w:t>linked residential tenancy agreements</w:t>
      </w:r>
      <w:bookmarkEnd w:id="22"/>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in Gazette 3 May 2013 p. 1744-5.]</w:t>
      </w:r>
    </w:p>
    <w:p>
      <w:pPr>
        <w:pStyle w:val="Heading5"/>
        <w:rPr>
          <w:i/>
        </w:rPr>
      </w:pPr>
      <w:bookmarkStart w:id="23" w:name="_Toc501528189"/>
      <w:r>
        <w:rPr>
          <w:rStyle w:val="CharSectno"/>
        </w:rPr>
        <w:t>5D</w:t>
      </w:r>
      <w:r>
        <w:t>.</w:t>
      </w:r>
      <w:r>
        <w:tab/>
        <w:t xml:space="preserve">Exemption for certain agreements under </w:t>
      </w:r>
      <w:r>
        <w:rPr>
          <w:i/>
        </w:rPr>
        <w:t>Land Administration Act 1997</w:t>
      </w:r>
      <w:bookmarkEnd w:id="23"/>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spacing w:before="200"/>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in Gazette 19 Feb 1999 p. 554.]</w:t>
      </w:r>
    </w:p>
    <w:p>
      <w:pPr>
        <w:pStyle w:val="Ednotesection"/>
        <w:spacing w:before="200"/>
      </w:pPr>
      <w:r>
        <w:t>[</w:t>
      </w:r>
      <w:r>
        <w:rPr>
          <w:b/>
        </w:rPr>
        <w:t>5E.</w:t>
      </w:r>
      <w:r>
        <w:rPr>
          <w:b/>
        </w:rPr>
        <w:tab/>
      </w:r>
      <w:r>
        <w:t>Deleted in Gazette 3 May 2013 p. 1745.]</w:t>
      </w:r>
    </w:p>
    <w:p>
      <w:pPr>
        <w:pStyle w:val="Heading5"/>
        <w:spacing w:before="200"/>
      </w:pPr>
      <w:bookmarkStart w:id="24" w:name="_Toc501528190"/>
      <w:r>
        <w:rPr>
          <w:rStyle w:val="CharSectno"/>
        </w:rPr>
        <w:t>6</w:t>
      </w:r>
      <w:r>
        <w:t>.</w:t>
      </w:r>
      <w:r>
        <w:tab/>
        <w:t>Modified application of section 43(3) of Act when Housing Authority is lessor of premises outside metropolitan region</w:t>
      </w:r>
      <w:bookmarkEnd w:id="24"/>
    </w:p>
    <w:p>
      <w:pPr>
        <w:pStyle w:val="Subsection"/>
        <w:spacing w:before="200"/>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spacing w:before="200"/>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in Gazette 3 May 2013 p. 1745.]</w:t>
      </w:r>
    </w:p>
    <w:p>
      <w:pPr>
        <w:pStyle w:val="Heading5"/>
        <w:spacing w:before="280"/>
      </w:pPr>
      <w:bookmarkStart w:id="25" w:name="_Toc501528191"/>
      <w:r>
        <w:rPr>
          <w:rStyle w:val="CharSectno"/>
        </w:rPr>
        <w:t>7A</w:t>
      </w:r>
      <w:r>
        <w:t>.</w:t>
      </w:r>
      <w:r>
        <w:tab/>
        <w:t>Modified application of section 45 of Act</w:t>
      </w:r>
      <w:bookmarkEnd w:id="25"/>
    </w:p>
    <w:p>
      <w:pPr>
        <w:pStyle w:val="Subsection"/>
        <w:spacing w:before="200"/>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keepNex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spacing w:before="120"/>
      </w:pPr>
      <w:r>
        <w:tab/>
        <w:t>(2)</w:t>
      </w:r>
      <w:r>
        <w:tab/>
        <w:t>Under section 6(a) of the Act it is provided that section 45 of the Act shall apply to a residential tenancy agreement as if it were modified by deleting “It is a term” and inserting:</w:t>
      </w:r>
    </w:p>
    <w:p>
      <w:pPr>
        <w:pStyle w:val="Indenta"/>
        <w:spacing w:before="60"/>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spacing w:before="60"/>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spacing w:before="120"/>
      </w:pPr>
      <w:r>
        <w:tab/>
        <w:t>(3)</w:t>
      </w:r>
      <w:r>
        <w:tab/>
        <w:t>Subregulation (4) applies if a residential tenancy agreement is for residential premises that —</w:t>
      </w:r>
    </w:p>
    <w:p>
      <w:pPr>
        <w:pStyle w:val="Indenta"/>
        <w:spacing w:before="60"/>
      </w:pPr>
      <w:r>
        <w:tab/>
        <w:t>(a)</w:t>
      </w:r>
      <w:r>
        <w:tab/>
        <w:t>are the subject of an entry in the Register of Heritage Places; or</w:t>
      </w:r>
    </w:p>
    <w:p>
      <w:pPr>
        <w:pStyle w:val="Indenta"/>
        <w:spacing w:before="60"/>
      </w:pPr>
      <w:r>
        <w:tab/>
        <w:t>(b)</w:t>
      </w:r>
      <w:r>
        <w:tab/>
        <w:t>comprise rural land; or</w:t>
      </w:r>
    </w:p>
    <w:p>
      <w:pPr>
        <w:pStyle w:val="Indenta"/>
        <w:spacing w:before="60"/>
      </w:pPr>
      <w:r>
        <w:tab/>
        <w:t>(c)</w:t>
      </w:r>
      <w:r>
        <w:tab/>
        <w:t>are premises to which a housing management agreement applies.</w:t>
      </w:r>
    </w:p>
    <w:p>
      <w:pPr>
        <w:pStyle w:val="Subsection"/>
        <w:spacing w:before="120"/>
      </w:pPr>
      <w:r>
        <w:tab/>
        <w:t>(4)</w:t>
      </w:r>
      <w:r>
        <w:tab/>
        <w:t>Under section 6(a) of the Act it is provided that section 45(a)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in Gazette 3 May 2013 p. 1746-7.]</w:t>
      </w:r>
    </w:p>
    <w:p>
      <w:pPr>
        <w:pStyle w:val="Heading5"/>
        <w:spacing w:before="180"/>
      </w:pPr>
      <w:bookmarkStart w:id="26" w:name="_Toc501528192"/>
      <w:r>
        <w:rPr>
          <w:rStyle w:val="CharSectno"/>
        </w:rPr>
        <w:t>7B</w:t>
      </w:r>
      <w:r>
        <w:t>.</w:t>
      </w:r>
      <w:r>
        <w:tab/>
        <w:t>Modified application of section 47(1)(b) of Act for Housing Authority</w:t>
      </w:r>
      <w:bookmarkEnd w:id="26"/>
    </w:p>
    <w:p>
      <w:pPr>
        <w:pStyle w:val="Subsection"/>
        <w:spacing w:before="120"/>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in Gazette 3 May 2013 p. 1747.]</w:t>
      </w:r>
    </w:p>
    <w:p>
      <w:pPr>
        <w:pStyle w:val="Heading5"/>
        <w:spacing w:before="280"/>
      </w:pPr>
      <w:bookmarkStart w:id="27" w:name="_Toc501528193"/>
      <w:r>
        <w:rPr>
          <w:rStyle w:val="CharSectno"/>
        </w:rPr>
        <w:t>7C</w:t>
      </w:r>
      <w:r>
        <w:t>.</w:t>
      </w:r>
      <w:r>
        <w:tab/>
        <w:t>Modified application of section 60(b) of Act</w:t>
      </w:r>
      <w:bookmarkEnd w:id="27"/>
      <w:r>
        <w:t xml:space="preserve"> </w:t>
      </w:r>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in Gazette 3 May 2013 p. 1747-8.]</w:t>
      </w:r>
    </w:p>
    <w:p>
      <w:pPr>
        <w:pStyle w:val="Heading5"/>
      </w:pPr>
      <w:bookmarkStart w:id="28" w:name="_Toc501528194"/>
      <w:r>
        <w:rPr>
          <w:rStyle w:val="CharSectno"/>
        </w:rPr>
        <w:t>7D</w:t>
      </w:r>
      <w:r>
        <w:t>.</w:t>
      </w:r>
      <w:r>
        <w:tab/>
        <w:t>Modified application of section 70A of Act for Foyer Oxford</w:t>
      </w:r>
      <w:bookmarkEnd w:id="28"/>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in Gazette 21 Aug 2015 p. 3312</w:t>
      </w:r>
      <w:r>
        <w:noBreakHyphen/>
        <w:t>13.]</w:t>
      </w:r>
    </w:p>
    <w:p>
      <w:pPr>
        <w:pStyle w:val="Heading5"/>
      </w:pPr>
      <w:bookmarkStart w:id="29" w:name="_Toc501528195"/>
      <w:r>
        <w:rPr>
          <w:rStyle w:val="CharSectno"/>
        </w:rPr>
        <w:t>7E</w:t>
      </w:r>
      <w:r>
        <w:t>.</w:t>
      </w:r>
      <w:r>
        <w:tab/>
        <w:t>Modified application of section 72 of Act</w:t>
      </w:r>
      <w:bookmarkEnd w:id="29"/>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in Gazette 3 May 2013 p. 1748.]</w:t>
      </w:r>
    </w:p>
    <w:p>
      <w:pPr>
        <w:pStyle w:val="Heading5"/>
      </w:pPr>
      <w:bookmarkStart w:id="30" w:name="_Toc501528196"/>
      <w:r>
        <w:rPr>
          <w:rStyle w:val="CharSectno"/>
        </w:rPr>
        <w:t>7F</w:t>
      </w:r>
      <w:r>
        <w:t>.</w:t>
      </w:r>
      <w:r>
        <w:tab/>
        <w:t>Exemption from section 82 of Act</w:t>
      </w:r>
      <w:bookmarkEnd w:id="30"/>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in Gazette 3 May 2013 p. 1749.]</w:t>
      </w:r>
    </w:p>
    <w:p>
      <w:pPr>
        <w:pStyle w:val="Heading5"/>
      </w:pPr>
      <w:bookmarkStart w:id="31" w:name="_Toc501528197"/>
      <w:r>
        <w:rPr>
          <w:rStyle w:val="CharSectno"/>
        </w:rPr>
        <w:t>7G</w:t>
      </w:r>
      <w:r>
        <w:t>.</w:t>
      </w:r>
      <w:r>
        <w:tab/>
        <w:t>Modified application of section 93 of Act for Housing Authority</w:t>
      </w:r>
      <w:bookmarkEnd w:id="31"/>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in Gazette 3 May 2013 p. 1749.]</w:t>
      </w:r>
    </w:p>
    <w:p>
      <w:pPr>
        <w:pStyle w:val="Heading5"/>
      </w:pPr>
      <w:bookmarkStart w:id="32" w:name="_Toc501528198"/>
      <w:r>
        <w:rPr>
          <w:rStyle w:val="CharSectno"/>
        </w:rPr>
        <w:t>7H</w:t>
      </w:r>
      <w:r>
        <w:t>.</w:t>
      </w:r>
      <w:r>
        <w:tab/>
        <w:t>Modified application of Schedule 1 clauses 5A and 5 of Act</w:t>
      </w:r>
      <w:bookmarkEnd w:id="32"/>
    </w:p>
    <w:p>
      <w:pPr>
        <w:pStyle w:val="Subsection"/>
      </w:pPr>
      <w:r>
        <w:tab/>
        <w:t>(1)</w:t>
      </w:r>
      <w:r>
        <w:tab/>
        <w:t>Under section 6(a) and (b) of the Act it is provided that Schedule 1 clause 5A of the Act shall apply in respect of a residential tenancy agreement for residential premises that are managed by a property manager as if it were modified by deleting subclause (2) and inserting:</w:t>
      </w:r>
    </w:p>
    <w:p>
      <w:pPr>
        <w:pStyle w:val="BlankOpen"/>
      </w:pPr>
    </w:p>
    <w:p>
      <w:pPr>
        <w:pStyle w:val="yMiscellaneousBody"/>
        <w:tabs>
          <w:tab w:val="left" w:pos="1276"/>
        </w:tabs>
        <w:ind w:firstLine="851"/>
      </w:pPr>
      <w:r>
        <w:t>(2)</w:t>
      </w:r>
      <w:r>
        <w:tab/>
        <w:t xml:space="preserve">The payment must be made — </w:t>
      </w:r>
    </w:p>
    <w:p>
      <w:pPr>
        <w:pStyle w:val="yMiscellaneousBody"/>
        <w:ind w:left="1985" w:hanging="567"/>
      </w:pPr>
      <w:r>
        <w:t>(a)</w:t>
      </w:r>
      <w:r>
        <w:tab/>
        <w:t>if subclause (3) applies, either directly or by lodging the amount with an authorised agent of the bond administrator; or</w:t>
      </w:r>
    </w:p>
    <w:p>
      <w:pPr>
        <w:pStyle w:val="yMiscellaneousBody"/>
        <w:ind w:left="1985" w:hanging="567"/>
      </w:pPr>
      <w:r>
        <w:t>(b)</w:t>
      </w:r>
      <w:r>
        <w:tab/>
        <w:t>otherwise, using the Bonds Online eTransactions system administered by the bond administrator and available on the website maintained by the Department at     &lt;www.commerce.wa.gov.au/consumer</w:t>
      </w:r>
      <w:r>
        <w:noBreakHyphen/>
        <w:t>protection/ bondsonline&gt;.</w:t>
      </w:r>
    </w:p>
    <w:p>
      <w:pPr>
        <w:pStyle w:val="yMiscellaneousBody"/>
        <w:keepNext/>
        <w:tabs>
          <w:tab w:val="left" w:pos="1276"/>
        </w:tabs>
        <w:ind w:firstLine="851"/>
      </w:pPr>
      <w:r>
        <w:t>(3)</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hanging="567"/>
      </w:pPr>
      <w:r>
        <w:tab/>
        <w:t>or</w:t>
      </w:r>
    </w:p>
    <w:p>
      <w:pPr>
        <w:pStyle w:val="yMiscellaneousBody"/>
        <w:ind w:left="1985" w:hanging="567"/>
      </w:pPr>
      <w:r>
        <w:t>(b)</w:t>
      </w:r>
      <w:r>
        <w:tab/>
        <w:t>the payment is made by way of the transfer of a security bond from one property to another property; or</w:t>
      </w:r>
    </w:p>
    <w:p>
      <w:pPr>
        <w:pStyle w:val="yMiscellaneousBody"/>
        <w:ind w:left="1985" w:hanging="567"/>
      </w:pPr>
      <w:r>
        <w:t>(c)</w:t>
      </w:r>
      <w:r>
        <w:tab/>
        <w:t>the bond administrator or an authorised agent has approved the making of the payment in accordance with subclause 2(a).</w:t>
      </w:r>
    </w:p>
    <w:p>
      <w:pPr>
        <w:pStyle w:val="zyMiscellaneousBody"/>
        <w:tabs>
          <w:tab w:val="left" w:pos="1274"/>
        </w:tabs>
        <w:ind w:left="1276" w:hanging="425"/>
      </w:pPr>
      <w:r>
        <w:t>(4)</w:t>
      </w:r>
      <w:r>
        <w:tab/>
        <w:t>Use of the Bonds Online eTransactions system is subject to any terms and conditions determined from time to time by the bond administrator and published on the website referred to in subclause (2)(b).</w:t>
      </w:r>
    </w:p>
    <w:p>
      <w:pPr>
        <w:pStyle w:val="BlankOpen"/>
        <w:keepNext w:val="0"/>
      </w:pPr>
    </w:p>
    <w:p>
      <w:pPr>
        <w:pStyle w:val="Subsection"/>
      </w:pPr>
      <w:r>
        <w:tab/>
        <w:t>(2)</w:t>
      </w:r>
      <w:r>
        <w:tab/>
        <w:t xml:space="preserve">Under section 6(a) and (b) of the Act it is provided that Schedule 1 clause 5 of the Act shall apply in respect of a residential tenancy agreement for residential premises that are managed by a property manager as if it were modified — </w:t>
      </w:r>
    </w:p>
    <w:p>
      <w:pPr>
        <w:pStyle w:val="Indenta"/>
      </w:pPr>
      <w:r>
        <w:tab/>
        <w:t>(a)</w:t>
      </w:r>
      <w:r>
        <w:tab/>
        <w:t>in subclause (1)(a) before “</w:t>
      </w:r>
      <w:r>
        <w:rPr>
          <w:sz w:val="22"/>
          <w:szCs w:val="22"/>
        </w:rPr>
        <w:t>an application</w:t>
      </w:r>
      <w:r>
        <w:t>” by inserting:</w:t>
      </w:r>
    </w:p>
    <w:p>
      <w:pPr>
        <w:pStyle w:val="BlankOpen"/>
      </w:pPr>
    </w:p>
    <w:p>
      <w:pPr>
        <w:pStyle w:val="Indenta"/>
      </w:pPr>
      <w:r>
        <w:tab/>
      </w:r>
      <w:r>
        <w:tab/>
      </w:r>
      <w:r>
        <w:rPr>
          <w:sz w:val="22"/>
          <w:szCs w:val="22"/>
        </w:rPr>
        <w:t>if subclause (1A) applies,</w:t>
      </w:r>
    </w:p>
    <w:p>
      <w:pPr>
        <w:pStyle w:val="BlankClose"/>
      </w:pPr>
    </w:p>
    <w:p>
      <w:pPr>
        <w:pStyle w:val="Indenta"/>
      </w:pPr>
      <w:r>
        <w:tab/>
        <w:t>(b)</w:t>
      </w:r>
      <w:r>
        <w:tab/>
        <w:t>by deleting subclause (1)(b) and inserting:</w:t>
      </w:r>
    </w:p>
    <w:p>
      <w:pPr>
        <w:pStyle w:val="BlankOpen"/>
      </w:pPr>
    </w:p>
    <w:p>
      <w:pPr>
        <w:pStyle w:val="yMiscellaneousBody"/>
        <w:ind w:left="1985" w:hanging="567"/>
      </w:pPr>
      <w:r>
        <w:t>(b)</w:t>
      </w:r>
      <w:r>
        <w:tab/>
        <w:t xml:space="preserve">if an order has been made under </w:t>
      </w:r>
      <w:r>
        <w:rPr>
          <w:szCs w:val="22"/>
        </w:rPr>
        <w:t>clause 8, a copy of that order; or</w:t>
      </w:r>
    </w:p>
    <w:p>
      <w:pPr>
        <w:pStyle w:val="yMiscellaneousBody"/>
        <w:ind w:left="1985" w:hanging="567"/>
      </w:pPr>
      <w:r>
        <w:t>(c)</w:t>
      </w:r>
      <w:r>
        <w:tab/>
        <w:t>otherwise, an application made by all parties to the residential tenancy agreement to which the security bond relates using the Bonds Online eTransaction system administered by the bond administrator and available on the website maintained by the Department at &lt;www.commerce.wa.gov.au/consumer</w:t>
      </w:r>
      <w:r>
        <w:noBreakHyphen/>
        <w:t>protection/ bondsonline&gt;,</w:t>
      </w:r>
    </w:p>
    <w:p>
      <w:pPr>
        <w:pStyle w:val="BlankClose"/>
      </w:pPr>
    </w:p>
    <w:p>
      <w:pPr>
        <w:pStyle w:val="Indenta"/>
      </w:pPr>
      <w:r>
        <w:tab/>
        <w:t>(c)</w:t>
      </w:r>
      <w:r>
        <w:tab/>
        <w:t>after subclause (1) by inserting:</w:t>
      </w:r>
    </w:p>
    <w:p>
      <w:pPr>
        <w:pStyle w:val="BlankOpen"/>
      </w:pPr>
    </w:p>
    <w:p>
      <w:pPr>
        <w:pStyle w:val="yMiscellaneousBody"/>
        <w:ind w:left="1418" w:hanging="567"/>
      </w:pPr>
      <w:r>
        <w:t>(1A)</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pPr>
      <w:r>
        <w:t>or</w:t>
      </w:r>
    </w:p>
    <w:p>
      <w:pPr>
        <w:pStyle w:val="yMiscellaneousBody"/>
        <w:ind w:left="1985" w:hanging="567"/>
      </w:pPr>
      <w:r>
        <w:t>(b)</w:t>
      </w:r>
      <w:r>
        <w:tab/>
        <w:t>the application relates to the disposal of a security bond to an overseas bank account; or</w:t>
      </w:r>
    </w:p>
    <w:p>
      <w:pPr>
        <w:pStyle w:val="yMiscellaneousBody"/>
        <w:ind w:left="1985" w:hanging="567"/>
      </w:pPr>
      <w:r>
        <w:t>(c)</w:t>
      </w:r>
      <w:r>
        <w:tab/>
        <w:t>the application relates to the transfer of a security bond from one property to another, or from one property manager to another property manager; or</w:t>
      </w:r>
    </w:p>
    <w:p>
      <w:pPr>
        <w:pStyle w:val="yMiscellaneousBody"/>
        <w:ind w:left="1985" w:hanging="567"/>
      </w:pPr>
      <w:r>
        <w:t>(d)</w:t>
      </w:r>
      <w:r>
        <w:tab/>
        <w:t>the bond administrator or an authorised agent has approved the lodging of an application in accordance with subclause (1)(a)(ii).</w:t>
      </w:r>
    </w:p>
    <w:p>
      <w:pPr>
        <w:pStyle w:val="zyMiscellaneousBody"/>
        <w:ind w:left="1418" w:hanging="567"/>
      </w:pPr>
      <w:r>
        <w:t>(1B)</w:t>
      </w:r>
      <w:r>
        <w:tab/>
        <w:t>Use of the Bonds Online eTransactions system is subject to any terms and conditions determined from time to time by the bond administrator and published on the website referred to in subclause (1)(c).</w:t>
      </w:r>
    </w:p>
    <w:p>
      <w:pPr>
        <w:pStyle w:val="BlankClose"/>
      </w:pPr>
    </w:p>
    <w:p>
      <w:pPr>
        <w:pStyle w:val="Footnotesection"/>
        <w:keepLines w:val="0"/>
        <w:ind w:left="890" w:hanging="890"/>
      </w:pPr>
      <w:r>
        <w:tab/>
        <w:t>[Regulation 7H inserted in Gazette 3 Jun 2016 p. 1714</w:t>
      </w:r>
      <w:r>
        <w:noBreakHyphen/>
        <w:t>16; amended in Gazette 30 Jun 2017 p. 3554</w:t>
      </w:r>
      <w:r>
        <w:noBreakHyphen/>
        <w:t>5.]</w:t>
      </w:r>
    </w:p>
    <w:p>
      <w:pPr>
        <w:pStyle w:val="Heading2"/>
      </w:pPr>
      <w:bookmarkStart w:id="33" w:name="_Toc500418598"/>
      <w:bookmarkStart w:id="34" w:name="_Toc501528199"/>
      <w:r>
        <w:rPr>
          <w:rStyle w:val="CharPartNo"/>
        </w:rPr>
        <w:t>Part 3</w:t>
      </w:r>
      <w:r>
        <w:rPr>
          <w:rStyle w:val="CharDivNo"/>
        </w:rPr>
        <w:t> </w:t>
      </w:r>
      <w:r>
        <w:t>—</w:t>
      </w:r>
      <w:r>
        <w:rPr>
          <w:rStyle w:val="CharDivText"/>
        </w:rPr>
        <w:t> </w:t>
      </w:r>
      <w:r>
        <w:rPr>
          <w:rStyle w:val="CharPartText"/>
        </w:rPr>
        <w:t>Other matters</w:t>
      </w:r>
      <w:bookmarkEnd w:id="33"/>
      <w:bookmarkEnd w:id="34"/>
    </w:p>
    <w:p>
      <w:pPr>
        <w:pStyle w:val="Footnoteheading"/>
      </w:pPr>
      <w:r>
        <w:tab/>
        <w:t>[Heading inserted in Gazette 3 May 2013 p. 1749.]</w:t>
      </w:r>
    </w:p>
    <w:p>
      <w:pPr>
        <w:pStyle w:val="Heading5"/>
        <w:rPr>
          <w:snapToGrid w:val="0"/>
        </w:rPr>
      </w:pPr>
      <w:bookmarkStart w:id="35" w:name="_Toc501528200"/>
      <w:r>
        <w:rPr>
          <w:rStyle w:val="CharSectno"/>
        </w:rPr>
        <w:t>7</w:t>
      </w:r>
      <w:r>
        <w:rPr>
          <w:snapToGrid w:val="0"/>
        </w:rPr>
        <w:t>.</w:t>
      </w:r>
      <w:r>
        <w:rPr>
          <w:snapToGrid w:val="0"/>
        </w:rPr>
        <w:tab/>
        <w:t>Applications prescribed for the purposes of section 13A(2)(a) of Act</w:t>
      </w:r>
      <w:bookmarkEnd w:id="35"/>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Footnotesection"/>
      </w:pPr>
      <w:r>
        <w:tab/>
        <w:t>[Regulation 7 amended in Gazette 16 Jun 1995 p. 2318; 29 Apr 2005 p. 1772</w:t>
      </w:r>
      <w:r>
        <w:noBreakHyphen/>
        <w:t xml:space="preserve">3; 3 May 2013 p. 1749-50.] </w:t>
      </w:r>
    </w:p>
    <w:p>
      <w:pPr>
        <w:pStyle w:val="Ednotesection"/>
      </w:pPr>
      <w:r>
        <w:t>[</w:t>
      </w:r>
      <w:r>
        <w:rPr>
          <w:b/>
        </w:rPr>
        <w:t>8.</w:t>
      </w:r>
      <w:r>
        <w:tab/>
        <w:t>Deleted in Gazette 29 Apr 2005 p. 1773.]</w:t>
      </w:r>
    </w:p>
    <w:p>
      <w:pPr>
        <w:pStyle w:val="Heading5"/>
        <w:rPr>
          <w:snapToGrid w:val="0"/>
        </w:rPr>
      </w:pPr>
      <w:bookmarkStart w:id="36" w:name="_Toc501528201"/>
      <w:r>
        <w:rPr>
          <w:rStyle w:val="CharSectno"/>
        </w:rPr>
        <w:t>9</w:t>
      </w:r>
      <w:r>
        <w:rPr>
          <w:snapToGrid w:val="0"/>
        </w:rPr>
        <w:t>.</w:t>
      </w:r>
      <w:r>
        <w:rPr>
          <w:snapToGrid w:val="0"/>
        </w:rPr>
        <w:tab/>
        <w:t>Determination of nearest Magistrates Court</w:t>
      </w:r>
      <w:bookmarkEnd w:id="36"/>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in Gazette 29 Apr 2005 p. 1773.]</w:t>
      </w:r>
    </w:p>
    <w:p>
      <w:pPr>
        <w:pStyle w:val="Heading5"/>
        <w:spacing w:before="180"/>
        <w:rPr>
          <w:snapToGrid w:val="0"/>
        </w:rPr>
      </w:pPr>
      <w:bookmarkStart w:id="37" w:name="_Toc501528202"/>
      <w:r>
        <w:rPr>
          <w:rStyle w:val="CharSectno"/>
        </w:rPr>
        <w:t>10</w:t>
      </w:r>
      <w:r>
        <w:rPr>
          <w:snapToGrid w:val="0"/>
        </w:rPr>
        <w:t>.</w:t>
      </w:r>
      <w:r>
        <w:rPr>
          <w:snapToGrid w:val="0"/>
        </w:rPr>
        <w:tab/>
        <w:t>Scale of costs for section 24 of Act</w:t>
      </w:r>
      <w:bookmarkEnd w:id="37"/>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4</w:t>
      </w:r>
      <w:r>
        <w:rPr>
          <w:snapToGrid w:val="0"/>
        </w:rPr>
        <w:t>.</w:t>
      </w:r>
    </w:p>
    <w:p>
      <w:pPr>
        <w:pStyle w:val="Footnotesection"/>
      </w:pPr>
      <w:r>
        <w:tab/>
        <w:t>[Regulation 10 amended in Gazette 19 Apr 2005 p. 1298; 29 Apr 2005 p. 1773.]</w:t>
      </w:r>
    </w:p>
    <w:p>
      <w:pPr>
        <w:pStyle w:val="Heading5"/>
      </w:pPr>
      <w:bookmarkStart w:id="38" w:name="_Toc501528203"/>
      <w:r>
        <w:rPr>
          <w:rStyle w:val="CharSectno"/>
        </w:rPr>
        <w:t>10AA</w:t>
      </w:r>
      <w:r>
        <w:t>.</w:t>
      </w:r>
      <w:r>
        <w:tab/>
        <w:t>Form of written residential tenancy agreement for section 27A of Act</w:t>
      </w:r>
      <w:bookmarkEnd w:id="38"/>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in Gazette 3 May 2013 p. 1750.] </w:t>
      </w:r>
    </w:p>
    <w:p>
      <w:pPr>
        <w:pStyle w:val="Heading5"/>
      </w:pPr>
      <w:bookmarkStart w:id="39" w:name="_Toc501528204"/>
      <w:r>
        <w:rPr>
          <w:rStyle w:val="CharSectno"/>
        </w:rPr>
        <w:t>10AB</w:t>
      </w:r>
      <w:r>
        <w:t>.</w:t>
      </w:r>
      <w:r>
        <w:tab/>
        <w:t>Information to be given to tenant for section 27B of Act</w:t>
      </w:r>
      <w:bookmarkEnd w:id="39"/>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in Gazette 3 May 2013 p. 1751.] </w:t>
      </w:r>
    </w:p>
    <w:p>
      <w:pPr>
        <w:pStyle w:val="Heading5"/>
      </w:pPr>
      <w:bookmarkStart w:id="40" w:name="_Toc501528205"/>
      <w:r>
        <w:rPr>
          <w:rStyle w:val="CharSectno"/>
        </w:rPr>
        <w:t>10AC</w:t>
      </w:r>
      <w:r>
        <w:t>.</w:t>
      </w:r>
      <w:r>
        <w:tab/>
        <w:t>Information to be included in property condition report for section 27C(6) of Act</w:t>
      </w:r>
      <w:bookmarkEnd w:id="40"/>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in Gazette 3 May 2013 p. 1751.] </w:t>
      </w:r>
    </w:p>
    <w:p>
      <w:pPr>
        <w:pStyle w:val="Heading5"/>
      </w:pPr>
      <w:bookmarkStart w:id="41" w:name="_Toc501528206"/>
      <w:r>
        <w:rPr>
          <w:rStyle w:val="CharSectno"/>
        </w:rPr>
        <w:t>10AD</w:t>
      </w:r>
      <w:r>
        <w:t>.</w:t>
      </w:r>
      <w:r>
        <w:tab/>
        <w:t>Amount prescribed for section 27(2)(a) of Act</w:t>
      </w:r>
      <w:bookmarkEnd w:id="41"/>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in Gazette 3 May 2013 p. 1751.] </w:t>
      </w:r>
    </w:p>
    <w:p>
      <w:pPr>
        <w:pStyle w:val="Heading5"/>
        <w:spacing w:before="180"/>
        <w:rPr>
          <w:snapToGrid w:val="0"/>
        </w:rPr>
      </w:pPr>
      <w:bookmarkStart w:id="42" w:name="_Toc501528207"/>
      <w:r>
        <w:rPr>
          <w:rStyle w:val="CharSectno"/>
        </w:rPr>
        <w:t>10A</w:t>
      </w:r>
      <w:r>
        <w:rPr>
          <w:snapToGrid w:val="0"/>
        </w:rPr>
        <w:t>.</w:t>
      </w:r>
      <w:r>
        <w:rPr>
          <w:snapToGrid w:val="0"/>
        </w:rPr>
        <w:tab/>
        <w:t>Amount prescribed for section 29(1)(b)(ii) of Act</w:t>
      </w:r>
      <w:bookmarkEnd w:id="42"/>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in Gazette 16 Jun 1995 p. 2318; amended in Gazette 24 May 2011 p. 1894.] </w:t>
      </w:r>
    </w:p>
    <w:p>
      <w:pPr>
        <w:pStyle w:val="Heading5"/>
        <w:rPr>
          <w:snapToGrid w:val="0"/>
        </w:rPr>
      </w:pPr>
      <w:bookmarkStart w:id="43" w:name="_Toc501528208"/>
      <w:r>
        <w:rPr>
          <w:rStyle w:val="CharSectno"/>
        </w:rPr>
        <w:t>11</w:t>
      </w:r>
      <w:r>
        <w:rPr>
          <w:snapToGrid w:val="0"/>
        </w:rPr>
        <w:t>.</w:t>
      </w:r>
      <w:r>
        <w:rPr>
          <w:snapToGrid w:val="0"/>
        </w:rPr>
        <w:tab/>
        <w:t>Amount prescribed for section 29(2) of Act</w:t>
      </w:r>
      <w:bookmarkEnd w:id="43"/>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in Gazette 24 May 2011 p. 1894; 3 May 2013 p. 1752.] </w:t>
      </w:r>
    </w:p>
    <w:p>
      <w:pPr>
        <w:pStyle w:val="Ednotesection"/>
      </w:pPr>
      <w:r>
        <w:t>[</w:t>
      </w:r>
      <w:r>
        <w:rPr>
          <w:b/>
        </w:rPr>
        <w:t>11A.</w:t>
      </w:r>
      <w:r>
        <w:rPr>
          <w:b/>
        </w:rPr>
        <w:tab/>
      </w:r>
      <w:r>
        <w:t>Deleted in Gazette 3 May 2013 p. 1752.]</w:t>
      </w:r>
    </w:p>
    <w:p>
      <w:pPr>
        <w:pStyle w:val="Heading5"/>
      </w:pPr>
      <w:bookmarkStart w:id="44" w:name="_Toc501528209"/>
      <w:r>
        <w:rPr>
          <w:rStyle w:val="CharSectno"/>
        </w:rPr>
        <w:t>12A</w:t>
      </w:r>
      <w:r>
        <w:t>.</w:t>
      </w:r>
      <w:r>
        <w:tab/>
        <w:t>Essential services prescribed for section 43(1) of Act</w:t>
      </w:r>
      <w:bookmarkEnd w:id="44"/>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in Gazette 3 May 2013 p. 1752.] </w:t>
      </w:r>
    </w:p>
    <w:p>
      <w:pPr>
        <w:pStyle w:val="Heading5"/>
      </w:pPr>
      <w:bookmarkStart w:id="45" w:name="_Toc501528210"/>
      <w:r>
        <w:rPr>
          <w:rStyle w:val="CharSectno"/>
        </w:rPr>
        <w:t>12B</w:t>
      </w:r>
      <w:r>
        <w:t>.</w:t>
      </w:r>
      <w:r>
        <w:tab/>
        <w:t>Means to secure residential premises prescribed for section 45(a) of Act</w:t>
      </w:r>
      <w:bookmarkEnd w:id="45"/>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keepNext/>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in Gazette 3 May 2013 p. 1752-4.] </w:t>
      </w:r>
    </w:p>
    <w:p>
      <w:pPr>
        <w:pStyle w:val="Heading5"/>
        <w:spacing w:before="180"/>
      </w:pPr>
      <w:bookmarkStart w:id="46" w:name="_Toc501528211"/>
      <w:r>
        <w:rPr>
          <w:rStyle w:val="CharSectno"/>
        </w:rPr>
        <w:t>12C</w:t>
      </w:r>
      <w:r>
        <w:t>.</w:t>
      </w:r>
      <w:r>
        <w:tab/>
        <w:t>Social housing tenancy agreement for the purposes of section 71A of Act</w:t>
      </w:r>
      <w:bookmarkEnd w:id="46"/>
    </w:p>
    <w:p>
      <w:pPr>
        <w:pStyle w:val="Subsection"/>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in Gazette 3 May 2013 p. 1754-5.] </w:t>
      </w:r>
    </w:p>
    <w:p>
      <w:pPr>
        <w:pStyle w:val="Heading5"/>
      </w:pPr>
      <w:bookmarkStart w:id="47" w:name="_Toc501528212"/>
      <w:r>
        <w:rPr>
          <w:rStyle w:val="CharSectno"/>
        </w:rPr>
        <w:t>12D</w:t>
      </w:r>
      <w:r>
        <w:t>.</w:t>
      </w:r>
      <w:r>
        <w:tab/>
        <w:t>Manner prescribed for purposes of section 79(3)(b) of Act</w:t>
      </w:r>
      <w:bookmarkEnd w:id="47"/>
    </w:p>
    <w:p>
      <w:pPr>
        <w:pStyle w:val="Subsection"/>
      </w:pPr>
      <w:r>
        <w:tab/>
      </w:r>
      <w:r>
        <w:tab/>
        <w:t>For the purposes of section 79(3)(b)(i) of the Act, a notice is made publicly available in the prescribed manner if it is published in a newspaper circulating generally throughout all, or most of, the State.</w:t>
      </w:r>
    </w:p>
    <w:p>
      <w:pPr>
        <w:pStyle w:val="Footnotesection"/>
        <w:spacing w:before="100"/>
      </w:pPr>
      <w:r>
        <w:tab/>
        <w:t xml:space="preserve">[Regulation 12D inserted in Gazette 30 Jun 2017 p. 3555.] </w:t>
      </w:r>
    </w:p>
    <w:p>
      <w:pPr>
        <w:pStyle w:val="Heading5"/>
      </w:pPr>
      <w:bookmarkStart w:id="48" w:name="_Toc501528213"/>
      <w:r>
        <w:rPr>
          <w:rStyle w:val="CharSectno"/>
        </w:rPr>
        <w:t>12E</w:t>
      </w:r>
      <w:r>
        <w:t>.</w:t>
      </w:r>
      <w:r>
        <w:tab/>
        <w:t>Information prescribed for section 79(10) of Act</w:t>
      </w:r>
      <w:bookmarkEnd w:id="48"/>
    </w:p>
    <w:p>
      <w:pPr>
        <w:pStyle w:val="Subsection"/>
        <w:rPr>
          <w:snapToGrid w:val="0"/>
        </w:rPr>
      </w:pPr>
      <w:r>
        <w:tab/>
      </w:r>
      <w:r>
        <w:tab/>
      </w:r>
      <w:r>
        <w:rPr>
          <w:snapToGrid w:val="0"/>
        </w:rPr>
        <w:t xml:space="preserve">The following information is prescribed as that to be provided by </w:t>
      </w:r>
      <w:r>
        <w:t>a lessor</w:t>
      </w:r>
      <w:r>
        <w:rPr>
          <w:snapToGrid w:val="0"/>
        </w:rPr>
        <w:t xml:space="preserve"> who makes an application under section 79(10) of the Act — </w:t>
      </w:r>
    </w:p>
    <w:p>
      <w:pPr>
        <w:pStyle w:val="Indenta"/>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 xml:space="preserve">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spacing w:before="100"/>
      </w:pPr>
      <w:r>
        <w:tab/>
        <w:t xml:space="preserve">[Regulation 12E inserted in Gazette 30 Jun 2017 p. 3555.] </w:t>
      </w:r>
    </w:p>
    <w:p>
      <w:pPr>
        <w:pStyle w:val="Heading5"/>
      </w:pPr>
      <w:bookmarkStart w:id="49" w:name="_Toc501528214"/>
      <w:r>
        <w:rPr>
          <w:rStyle w:val="CharSectno"/>
        </w:rPr>
        <w:t>12</w:t>
      </w:r>
      <w:r>
        <w:t>.</w:t>
      </w:r>
      <w:r>
        <w:tab/>
        <w:t>Manner prescribed for purposes of section 85(3)(c) of Act</w:t>
      </w:r>
      <w:bookmarkEnd w:id="49"/>
    </w:p>
    <w:p>
      <w:pPr>
        <w:pStyle w:val="Subsection"/>
      </w:pPr>
      <w:r>
        <w:tab/>
      </w:r>
      <w:r>
        <w:tab/>
        <w:t>For the purposes of section 85(3)(c) of the Act, a notice required to be given by a competent court under section 18(2) of the Act is made publicly available in the prescribed manner if an electronic version of it is published on a website maintained for that purpose by the competent court.</w:t>
      </w:r>
    </w:p>
    <w:p>
      <w:pPr>
        <w:pStyle w:val="Footnotesection"/>
        <w:spacing w:before="100"/>
      </w:pPr>
      <w:r>
        <w:tab/>
        <w:t>[Regulation 12 inserted in Gazette 30 Jun 2017 p. 3555</w:t>
      </w:r>
      <w:r>
        <w:noBreakHyphen/>
        <w:t xml:space="preserve">6.] </w:t>
      </w:r>
    </w:p>
    <w:p>
      <w:pPr>
        <w:pStyle w:val="Heading5"/>
        <w:spacing w:before="180"/>
      </w:pPr>
      <w:bookmarkStart w:id="50" w:name="_Toc501528215"/>
      <w:r>
        <w:rPr>
          <w:rStyle w:val="CharSectno"/>
        </w:rPr>
        <w:t>13</w:t>
      </w:r>
      <w:r>
        <w:t>.</w:t>
      </w:r>
      <w:r>
        <w:tab/>
        <w:t>Infringement notices</w:t>
      </w:r>
      <w:bookmarkEnd w:id="50"/>
    </w:p>
    <w:p>
      <w:pPr>
        <w:pStyle w:val="Subsection"/>
        <w:spacing w:before="120"/>
      </w:pPr>
      <w:r>
        <w:tab/>
        <w:t>(1)</w:t>
      </w:r>
      <w:r>
        <w:tab/>
        <w:t>For the purposes of section 88A(2) of the Act, an offence specified in Schedule 5 is a prescribed offence.</w:t>
      </w:r>
    </w:p>
    <w:p>
      <w:pPr>
        <w:pStyle w:val="Subsection"/>
        <w:spacing w:before="120"/>
      </w:pPr>
      <w:r>
        <w:tab/>
        <w:t>(2)</w:t>
      </w:r>
      <w:r>
        <w:tab/>
        <w:t>The modified penalty specified opposite an offence in Schedule 5 is the modified penalty for that offence.</w:t>
      </w:r>
    </w:p>
    <w:p>
      <w:pPr>
        <w:pStyle w:val="Footnotesection"/>
      </w:pPr>
      <w:r>
        <w:tab/>
        <w:t>[Regulation 13 inserted in Gazette 3 May 2013 p. 1755-6.]</w:t>
      </w:r>
    </w:p>
    <w:p>
      <w:pPr>
        <w:pStyle w:val="Heading5"/>
        <w:spacing w:before="180"/>
      </w:pPr>
      <w:bookmarkStart w:id="51" w:name="_Toc501528216"/>
      <w:r>
        <w:rPr>
          <w:rStyle w:val="CharSectno"/>
        </w:rPr>
        <w:t>14</w:t>
      </w:r>
      <w:r>
        <w:t>.</w:t>
      </w:r>
      <w:r>
        <w:tab/>
        <w:t>Matters prescribed for section 94 of Act</w:t>
      </w:r>
      <w:bookmarkEnd w:id="51"/>
    </w:p>
    <w:p>
      <w:pPr>
        <w:pStyle w:val="Subsection"/>
        <w:spacing w:before="120"/>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Example for this definition:</w:t>
      </w:r>
    </w:p>
    <w:p>
      <w:pPr>
        <w:pStyle w:val="PermNoteText"/>
      </w:pPr>
      <w:r>
        <w:tab/>
      </w:r>
      <w:r>
        <w:tab/>
        <w:t>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in Gazette 3 May 2013 p. 1756.]</w:t>
      </w:r>
    </w:p>
    <w:p>
      <w:pPr>
        <w:pStyle w:val="Heading5"/>
        <w:rPr>
          <w:snapToGrid w:val="0"/>
        </w:rPr>
      </w:pPr>
      <w:bookmarkStart w:id="52" w:name="_Toc501528217"/>
      <w:r>
        <w:rPr>
          <w:rStyle w:val="CharSectno"/>
        </w:rPr>
        <w:t>15</w:t>
      </w:r>
      <w:r>
        <w:rPr>
          <w:snapToGrid w:val="0"/>
        </w:rPr>
        <w:t>.</w:t>
      </w:r>
      <w:r>
        <w:rPr>
          <w:snapToGrid w:val="0"/>
        </w:rPr>
        <w:tab/>
        <w:t>Disposal of unclaimed security bonds</w:t>
      </w:r>
      <w:bookmarkEnd w:id="52"/>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5</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6</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in Gazette 25 Jun 1996 p. 2905; 31 Jul 2007 p. 3791.] </w:t>
      </w:r>
    </w:p>
    <w:p>
      <w:pPr>
        <w:pStyle w:val="Ednotesection"/>
        <w:spacing w:before="180"/>
      </w:pPr>
      <w:r>
        <w:t>[</w:t>
      </w:r>
      <w:r>
        <w:rPr>
          <w:b/>
        </w:rPr>
        <w:t>16.</w:t>
      </w:r>
      <w:r>
        <w:tab/>
        <w:t>Deleted in Gazette 3 May 2013 p. 1756.]</w:t>
      </w:r>
    </w:p>
    <w:p>
      <w:pPr>
        <w:pStyle w:val="Heading5"/>
        <w:keepLines w:val="0"/>
        <w:spacing w:before="180"/>
        <w:rPr>
          <w:snapToGrid w:val="0"/>
        </w:rPr>
      </w:pPr>
      <w:bookmarkStart w:id="53" w:name="_Toc501528218"/>
      <w:r>
        <w:rPr>
          <w:rStyle w:val="CharSectno"/>
        </w:rPr>
        <w:t>17</w:t>
      </w:r>
      <w:r>
        <w:rPr>
          <w:snapToGrid w:val="0"/>
        </w:rPr>
        <w:t>.</w:t>
      </w:r>
      <w:r>
        <w:rPr>
          <w:snapToGrid w:val="0"/>
        </w:rPr>
        <w:tab/>
        <w:t>Fees prescribed</w:t>
      </w:r>
      <w:bookmarkEnd w:id="53"/>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in Gazette 29 Apr 2005 p. 1773.]</w:t>
      </w:r>
    </w:p>
    <w:p>
      <w:pPr>
        <w:pStyle w:val="Heading5"/>
      </w:pPr>
      <w:bookmarkStart w:id="54" w:name="_Toc501528219"/>
      <w:r>
        <w:rPr>
          <w:rStyle w:val="CharSectno"/>
        </w:rPr>
        <w:t>18</w:t>
      </w:r>
      <w:r>
        <w:t>.</w:t>
      </w:r>
      <w:r>
        <w:tab/>
        <w:t>Forms</w:t>
      </w:r>
      <w:bookmarkEnd w:id="54"/>
    </w:p>
    <w:p>
      <w:pPr>
        <w:pStyle w:val="Subsection"/>
      </w:pPr>
      <w:r>
        <w:tab/>
      </w:r>
      <w:r>
        <w:tab/>
        <w:t>The forms set out in Schedule 4 are prescribed in relation to the matters specified in those forms.</w:t>
      </w:r>
    </w:p>
    <w:p>
      <w:pPr>
        <w:pStyle w:val="Footnotesection"/>
      </w:pPr>
      <w:r>
        <w:tab/>
        <w:t>[Regulation 18 inserted in Gazette 22 Sep 2006 p. 4127.]</w:t>
      </w:r>
    </w:p>
    <w:p>
      <w:pPr>
        <w:pStyle w:val="Ednotesection"/>
      </w:pPr>
      <w:r>
        <w:t>[</w:t>
      </w:r>
      <w:r>
        <w:rPr>
          <w:b/>
        </w:rPr>
        <w:t>19, 20.</w:t>
      </w:r>
      <w:r>
        <w:tab/>
        <w:t>Deleted in Gazette 3 May 2013 p. 1757.]</w:t>
      </w:r>
    </w:p>
    <w:p>
      <w:pPr>
        <w:pStyle w:val="yEdnoteschedule"/>
        <w:rPr>
          <w:sz w:val="24"/>
          <w:szCs w:val="24"/>
        </w:rPr>
      </w:pPr>
      <w:r>
        <w:rPr>
          <w:sz w:val="24"/>
          <w:szCs w:val="24"/>
        </w:rPr>
        <w:t>[Schedule 1 deleted in Gazette 30 Mar 2007 p. 1452.]</w:t>
      </w:r>
    </w:p>
    <w:p>
      <w:pPr>
        <w:pStyle w:val="yEdnoteschedule"/>
        <w:rPr>
          <w:sz w:val="24"/>
          <w:szCs w:val="24"/>
        </w:rPr>
      </w:pPr>
      <w:r>
        <w:rPr>
          <w:sz w:val="24"/>
          <w:szCs w:val="24"/>
        </w:rPr>
        <w:t>[Schedule 2 deleted in Gazette 3 May 2013 p. 1757.]</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5" w:name="_Toc500418619"/>
      <w:bookmarkStart w:id="56" w:name="_Toc501528220"/>
      <w:r>
        <w:rPr>
          <w:rStyle w:val="CharSchNo"/>
        </w:rPr>
        <w:t>Schedule 3</w:t>
      </w:r>
      <w:bookmarkEnd w:id="55"/>
      <w:bookmarkEnd w:id="56"/>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rPr>
                <w:szCs w:val="22"/>
              </w:rPr>
              <w:t>19.70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rPr>
                <w:szCs w:val="22"/>
              </w:rPr>
              <w:t>65.00</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spacing w:before="0"/>
              <w:ind w:left="-142" w:right="-283"/>
              <w:jc w:val="center"/>
            </w:pPr>
            <w:r>
              <w:br/>
            </w:r>
            <w:r>
              <w:rPr>
                <w:szCs w:val="22"/>
              </w:rPr>
              <w:t>18.20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t>00.60</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t>04.00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t>03.00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t>00.70</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t>03.00</w:t>
            </w:r>
          </w:p>
        </w:tc>
      </w:tr>
    </w:tbl>
    <w:p>
      <w:pPr>
        <w:pStyle w:val="yFootnotesection"/>
      </w:pPr>
      <w:r>
        <w:tab/>
        <w:t>[Schedule 3 amended in Gazette 29 Apr 2005 p. 1774</w:t>
      </w:r>
      <w:r>
        <w:noBreakHyphen/>
        <w:t>5; 29 Dec 2015 p. 5171; 3 Jun 2016 p. 1771; 23 Jun 2017 p. 3251; 8 Dec 2017 p. 5843.]</w:t>
      </w:r>
    </w:p>
    <w:p>
      <w:pPr>
        <w:pStyle w:val="yScheduleHeading"/>
        <w:rPr>
          <w:rStyle w:val="CharSchNo"/>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58" w:name="_Toc500418620"/>
      <w:bookmarkStart w:id="59" w:name="_Toc501528221"/>
      <w:r>
        <w:rPr>
          <w:rStyle w:val="CharSchNo"/>
        </w:rPr>
        <w:t>Schedule 4</w:t>
      </w:r>
      <w:r>
        <w:rPr>
          <w:rStyle w:val="CharSDivNo"/>
        </w:rPr>
        <w:t> </w:t>
      </w:r>
      <w:r>
        <w:t>—</w:t>
      </w:r>
      <w:r>
        <w:rPr>
          <w:rStyle w:val="CharSDivText"/>
        </w:rPr>
        <w:t> </w:t>
      </w:r>
      <w:r>
        <w:rPr>
          <w:rStyle w:val="CharSchText"/>
        </w:rPr>
        <w:t>Forms</w:t>
      </w:r>
      <w:bookmarkEnd w:id="58"/>
      <w:bookmarkEnd w:id="59"/>
    </w:p>
    <w:p>
      <w:pPr>
        <w:pStyle w:val="yShoulderClause"/>
        <w:spacing w:before="100"/>
      </w:pPr>
      <w:r>
        <w:t>[r. 10AA, 10AB, 10AC and 18]</w:t>
      </w:r>
    </w:p>
    <w:p>
      <w:pPr>
        <w:pStyle w:val="yFootnoteheading"/>
        <w:spacing w:before="100"/>
      </w:pPr>
      <w:r>
        <w:tab/>
        <w:t>[Heading inserted in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keepNext/>
        <w:spacing w:before="120"/>
      </w:pPr>
      <w:r>
        <w:t>Lessor’s property manager</w:t>
      </w:r>
    </w:p>
    <w:p>
      <w:pPr>
        <w:pStyle w:val="yMiscellaneousBody"/>
        <w:keepNext/>
        <w:spacing w:before="120"/>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spacing w:before="80"/>
      </w:pPr>
      <w:r>
        <w:t>[</w:t>
      </w:r>
      <w:r>
        <w:rPr>
          <w:i/>
        </w:rPr>
        <w:t>insert email address or facsimile number if different from contact details above</w:t>
      </w:r>
      <w:r>
        <w:t>]</w:t>
      </w:r>
    </w:p>
    <w:p>
      <w:pPr>
        <w:pStyle w:val="yMiscellaneousBody"/>
        <w:spacing w:before="120"/>
        <w:rPr>
          <w:b/>
        </w:rPr>
      </w:pPr>
      <w:r>
        <w:rPr>
          <w:b/>
        </w:rPr>
        <w:t>TERM OF AGREEMENT</w:t>
      </w:r>
    </w:p>
    <w:p>
      <w:pPr>
        <w:pStyle w:val="yMiscellaneousBody"/>
        <w:spacing w:before="120"/>
        <w:ind w:left="425" w:hanging="425"/>
      </w:pPr>
      <w:r>
        <w:t>*</w:t>
      </w:r>
      <w:r>
        <w:tab/>
        <w:t>This residential tenancy agreement is periodic starting on [</w:t>
      </w:r>
      <w:r>
        <w:rPr>
          <w:i/>
        </w:rPr>
        <w:t>insert date</w:t>
      </w:r>
      <w:r>
        <w:t>].</w:t>
      </w:r>
    </w:p>
    <w:p>
      <w:pPr>
        <w:pStyle w:val="yMiscellaneousBody"/>
        <w:spacing w:before="120"/>
        <w:ind w:left="425" w:hanging="425"/>
      </w:pPr>
      <w:r>
        <w:t>*</w:t>
      </w:r>
      <w:r>
        <w:tab/>
        <w:t>This residential tenancy agreement is fixed starting on [</w:t>
      </w:r>
      <w:r>
        <w:rPr>
          <w:i/>
        </w:rPr>
        <w:t>insert date</w:t>
      </w:r>
      <w:r>
        <w:t>] and ending on [</w:t>
      </w:r>
      <w:r>
        <w:rPr>
          <w:i/>
        </w:rPr>
        <w:t>insert date</w:t>
      </w:r>
      <w:r>
        <w:t>].</w:t>
      </w:r>
    </w:p>
    <w:p>
      <w:pPr>
        <w:pStyle w:val="yMiscellaneousBody"/>
        <w:spacing w:before="80"/>
        <w:ind w:left="425" w:hanging="425"/>
      </w:pPr>
      <w:r>
        <w:t>(* </w:t>
      </w:r>
      <w:r>
        <w:rPr>
          <w:i/>
        </w:rPr>
        <w:t>delete as appropriate</w:t>
      </w:r>
      <w:r>
        <w:t>)</w:t>
      </w:r>
    </w:p>
    <w:p>
      <w:pPr>
        <w:pStyle w:val="yMiscellaneousBody"/>
        <w:spacing w:before="12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spacing w:before="120"/>
        <w:rPr>
          <w:b/>
        </w:rPr>
      </w:pPr>
      <w:r>
        <w:rPr>
          <w:b/>
        </w:rPr>
        <w:t>RESIDENTIAL PREMISES</w:t>
      </w:r>
    </w:p>
    <w:p>
      <w:pPr>
        <w:pStyle w:val="yMiscellaneousBody"/>
        <w:spacing w:before="120"/>
      </w:pPr>
      <w:r>
        <w:t>The residential premises are [</w:t>
      </w:r>
      <w:r>
        <w:rPr>
          <w:i/>
        </w:rPr>
        <w:t>insert address</w:t>
      </w:r>
      <w:r>
        <w:t>] and include/exclude* (* </w:t>
      </w:r>
      <w:r>
        <w:rPr>
          <w:i/>
        </w:rPr>
        <w:t>delete as appropriate</w:t>
      </w:r>
      <w:r>
        <w:t>): ..........................................................................................................</w:t>
      </w:r>
    </w:p>
    <w:p>
      <w:pPr>
        <w:pStyle w:val="yMiscellaneousBody"/>
        <w:spacing w:before="80"/>
      </w:pPr>
      <w:r>
        <w:t>[</w:t>
      </w:r>
      <w:r>
        <w:rPr>
          <w:i/>
        </w:rPr>
        <w:t>include any additional matters, such as a parking space or furniture provided, or any exclusions, such as sheds</w:t>
      </w:r>
      <w:r>
        <w:t>]</w:t>
      </w:r>
    </w:p>
    <w:p>
      <w:pPr>
        <w:pStyle w:val="yMiscellaneousBody"/>
        <w:spacing w:before="120"/>
        <w:rPr>
          <w:b/>
        </w:rPr>
      </w:pPr>
      <w:r>
        <w:rPr>
          <w:b/>
        </w:rPr>
        <w:t>MAXIMUM NUMBER OF OCCUPANTS</w:t>
      </w:r>
    </w:p>
    <w:p>
      <w:pPr>
        <w:pStyle w:val="yMiscellaneousBody"/>
        <w:spacing w:before="120"/>
      </w:pPr>
      <w:r>
        <w:t>No more than [</w:t>
      </w:r>
      <w:r>
        <w:rPr>
          <w:i/>
        </w:rPr>
        <w:t>insert number</w:t>
      </w:r>
      <w:r>
        <w:t>] persons may ordinarily live at the premises at any one time.</w:t>
      </w:r>
    </w:p>
    <w:p>
      <w:pPr>
        <w:pStyle w:val="yMiscellaneousBody"/>
        <w:spacing w:before="120"/>
        <w:rPr>
          <w:b/>
        </w:rPr>
      </w:pPr>
      <w:r>
        <w:rPr>
          <w:b/>
        </w:rPr>
        <w:t>R</w:t>
      </w:r>
      <w:r>
        <w:rPr>
          <w:b/>
          <w:caps/>
        </w:rPr>
        <w:t>ent</w:t>
      </w:r>
    </w:p>
    <w:p>
      <w:pPr>
        <w:pStyle w:val="yMiscellaneousBody"/>
        <w:spacing w:before="80"/>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spacing w:before="80"/>
      </w:pPr>
      <w:r>
        <w:t>(* </w:t>
      </w:r>
      <w:r>
        <w:rPr>
          <w:i/>
        </w:rPr>
        <w:t>delete as appropriate</w:t>
      </w:r>
      <w:r>
        <w:t>)</w:t>
      </w:r>
    </w:p>
    <w:p>
      <w:pPr>
        <w:pStyle w:val="yMiscellaneousBody"/>
        <w:spacing w:before="120"/>
      </w:pPr>
      <w:r>
        <w:t>The method by which the rent must be paid is:</w:t>
      </w:r>
    </w:p>
    <w:p>
      <w:pPr>
        <w:pStyle w:val="yMiscellaneousBody"/>
        <w:spacing w:before="120"/>
        <w:ind w:left="567" w:hanging="567"/>
      </w:pPr>
      <w:r>
        <w:t>(a)</w:t>
      </w:r>
      <w:r>
        <w:tab/>
        <w:t>by cash or cheque; or</w:t>
      </w:r>
    </w:p>
    <w:p>
      <w:pPr>
        <w:pStyle w:val="yMiscellaneousBody"/>
        <w:spacing w:before="120"/>
        <w:ind w:left="567" w:hanging="567"/>
      </w:pPr>
      <w:r>
        <w:t>(b)</w:t>
      </w:r>
      <w:r>
        <w:tab/>
        <w:t>into the following account or any other account nominated by the lessor:</w:t>
      </w:r>
    </w:p>
    <w:p>
      <w:pPr>
        <w:pStyle w:val="yMiscellaneousBody"/>
        <w:spacing w:before="60"/>
        <w:ind w:left="567" w:hanging="567"/>
      </w:pPr>
      <w:r>
        <w:tab/>
        <w:t>BSB number:</w:t>
      </w:r>
    </w:p>
    <w:p>
      <w:pPr>
        <w:pStyle w:val="yMiscellaneousBody"/>
        <w:spacing w:before="60"/>
        <w:ind w:left="567" w:hanging="567"/>
      </w:pPr>
      <w:r>
        <w:tab/>
        <w:t>account number:</w:t>
      </w:r>
    </w:p>
    <w:p>
      <w:pPr>
        <w:pStyle w:val="yMiscellaneousBody"/>
        <w:spacing w:before="60"/>
        <w:ind w:left="567" w:hanging="567"/>
      </w:pPr>
      <w:r>
        <w:tab/>
        <w:t>account name:</w:t>
      </w:r>
    </w:p>
    <w:p>
      <w:pPr>
        <w:pStyle w:val="yMiscellaneousBody"/>
        <w:spacing w:before="60"/>
        <w:ind w:left="567" w:hanging="567"/>
      </w:pPr>
      <w:r>
        <w:tab/>
        <w:t>payment reference:</w:t>
      </w:r>
    </w:p>
    <w:p>
      <w:pPr>
        <w:pStyle w:val="yMiscellaneousBody"/>
        <w:spacing w:before="100"/>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keepNext/>
        <w:rPr>
          <w:b/>
        </w:rPr>
      </w:pPr>
      <w:r>
        <w:rPr>
          <w:b/>
        </w:rPr>
        <w:t>PART B</w:t>
      </w:r>
    </w:p>
    <w:p>
      <w:pPr>
        <w:pStyle w:val="yMiscellaneousBody"/>
        <w:keepNext/>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keepNext/>
        <w:rPr>
          <w:b/>
        </w:rPr>
      </w:pPr>
      <w:r>
        <w:rPr>
          <w:b/>
        </w:rPr>
        <w:t>USE OF THE PREMISES BY TENANT</w:t>
      </w:r>
    </w:p>
    <w:p>
      <w:pPr>
        <w:pStyle w:val="yMiscellaneousBody"/>
        <w:keepNext/>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rPr>
          <w:b/>
        </w:rPr>
      </w:pPr>
      <w:r>
        <w:rPr>
          <w:b/>
        </w:rPr>
        <w:t>LESSOR’S ACCESS TO THE PREMISES</w:t>
      </w:r>
    </w:p>
    <w:p>
      <w:pPr>
        <w:pStyle w:val="yMiscellaneousBody"/>
        <w:spacing w:before="120"/>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 entry.</w:t>
      </w:r>
    </w:p>
    <w:p>
      <w:pPr>
        <w:pStyle w:val="yMiscellaneousBody"/>
        <w:spacing w:before="120"/>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spacing w:before="120"/>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pPr>
      <w:r>
        <w:rPr>
          <w:b/>
        </w:rPr>
        <w:t>REQUIREMENT TO NEGOTIATE A DAY AND TIME FOR A PROPOSED ENTRY BY THE LESSOR</w:t>
      </w:r>
    </w:p>
    <w:p>
      <w:pPr>
        <w:pStyle w:val="yMiscellaneousBody"/>
        <w:spacing w:before="120"/>
        <w:ind w:left="567" w:hanging="567"/>
      </w:pPr>
      <w:r>
        <w:t>27.</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spacing w:before="120"/>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keepNext/>
        <w:rPr>
          <w:b/>
        </w:rPr>
      </w:pPr>
      <w:r>
        <w:rPr>
          <w:b/>
        </w:rPr>
        <w:t>LOCKS AND SECURITY DEVICES</w:t>
      </w:r>
    </w:p>
    <w:p>
      <w:pPr>
        <w:pStyle w:val="yMiscellaneousBody"/>
        <w:spacing w:before="120"/>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 other; and</w:t>
      </w:r>
    </w:p>
    <w:p>
      <w:pPr>
        <w:pStyle w:val="yMiscellaneousBody"/>
        <w:tabs>
          <w:tab w:val="left" w:pos="567"/>
          <w:tab w:val="left" w:pos="1134"/>
        </w:tabs>
        <w:ind w:left="1134" w:hanging="1134"/>
      </w:pPr>
      <w:r>
        <w:tab/>
        <w:t>34.3</w:t>
      </w:r>
      <w:r>
        <w:tab/>
        <w:t>the lessor or the tenant must not unreasonably withhold that consent.</w:t>
      </w:r>
    </w:p>
    <w:p>
      <w:pPr>
        <w:pStyle w:val="yMiscellaneousBody"/>
        <w:rPr>
          <w:b/>
        </w:rPr>
      </w:pPr>
      <w:r>
        <w:rPr>
          <w:b/>
        </w:rPr>
        <w:t>TRANSFER OF TENANCY OR SUB</w:t>
      </w:r>
      <w:r>
        <w:rPr>
          <w:b/>
        </w:rPr>
        <w:noBreakHyphen/>
        <w:t xml:space="preserve">LETTING BY TENANT </w:t>
      </w:r>
    </w:p>
    <w:p>
      <w:pPr>
        <w:pStyle w:val="yMiscellaneousBody"/>
        <w:spacing w:before="120"/>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spacing w:before="120"/>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spacing w:before="120"/>
        <w:ind w:left="567" w:hanging="567"/>
      </w:pPr>
      <w:r>
        <w:t>37.</w:t>
      </w:r>
      <w:r>
        <w:tab/>
        <w:t>This residential tenancy agreement can only be terminated in certain circumstances.</w:t>
      </w:r>
    </w:p>
    <w:p>
      <w:pPr>
        <w:pStyle w:val="yMiscellaneousBody"/>
        <w:spacing w:before="120"/>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spacing w:before="120"/>
        <w:ind w:left="1134" w:hanging="1134"/>
      </w:pPr>
      <w:r>
        <w:tab/>
        <w:t>38.1</w:t>
      </w:r>
      <w:r>
        <w:tab/>
        <w:t>remove all the tenant’s goods from the residential premises; and</w:t>
      </w:r>
    </w:p>
    <w:p>
      <w:pPr>
        <w:pStyle w:val="yMiscellaneousBody"/>
        <w:tabs>
          <w:tab w:val="left" w:pos="567"/>
          <w:tab w:val="left" w:pos="1134"/>
        </w:tabs>
        <w:spacing w:before="120"/>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spacing w:before="120"/>
        <w:ind w:left="1134" w:hanging="1134"/>
      </w:pPr>
      <w:r>
        <w:tab/>
        <w:t>38.3</w:t>
      </w:r>
      <w:r>
        <w:tab/>
        <w:t>return to the lessor all keys, and other opening devices or similar devices, provided by the lessor.</w:t>
      </w:r>
    </w:p>
    <w:p>
      <w:pPr>
        <w:pStyle w:val="yMiscellaneousBody"/>
        <w:spacing w:before="120"/>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spacing w:before="120"/>
        <w:ind w:left="567" w:hanging="567"/>
      </w:pPr>
      <w:r>
        <w:t>40.</w:t>
      </w:r>
      <w:r>
        <w:tab/>
        <w:t>If this agreement is a fixed term agreement it may be ended:</w:t>
      </w:r>
    </w:p>
    <w:p>
      <w:pPr>
        <w:pStyle w:val="yMiscellaneousBody"/>
        <w:tabs>
          <w:tab w:val="left" w:pos="567"/>
          <w:tab w:val="left" w:pos="1134"/>
        </w:tabs>
        <w:spacing w:before="120"/>
        <w:ind w:left="1134" w:hanging="1134"/>
      </w:pPr>
      <w:r>
        <w:tab/>
        <w:t>40.1</w:t>
      </w:r>
      <w:r>
        <w:tab/>
        <w:t>by agreement in writing between the lessor and the tenant; or</w:t>
      </w:r>
    </w:p>
    <w:p>
      <w:pPr>
        <w:pStyle w:val="yMiscellaneousBody"/>
        <w:tabs>
          <w:tab w:val="left" w:pos="567"/>
          <w:tab w:val="left" w:pos="1134"/>
        </w:tabs>
        <w:spacing w:before="120"/>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spacing w:before="120"/>
        <w:ind w:left="567" w:hanging="567"/>
      </w:pPr>
      <w:r>
        <w:t>41.</w:t>
      </w:r>
      <w:r>
        <w:tab/>
        <w:t>If this agreement is a periodic agreement it may be ended:</w:t>
      </w:r>
    </w:p>
    <w:p>
      <w:pPr>
        <w:pStyle w:val="yMiscellaneousBody"/>
        <w:tabs>
          <w:tab w:val="left" w:pos="567"/>
          <w:tab w:val="left" w:pos="1134"/>
        </w:tabs>
        <w:spacing w:before="120"/>
        <w:ind w:left="1134" w:hanging="1134"/>
      </w:pPr>
      <w:r>
        <w:tab/>
        <w:t>41.1</w:t>
      </w:r>
      <w:r>
        <w:tab/>
        <w:t>by agreement in writing between the lessor and the tenant; or</w:t>
      </w:r>
    </w:p>
    <w:p>
      <w:pPr>
        <w:pStyle w:val="yMiscellaneousBody"/>
        <w:tabs>
          <w:tab w:val="left" w:pos="567"/>
          <w:tab w:val="left" w:pos="1134"/>
        </w:tabs>
        <w:spacing w:before="120"/>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&lt;www.commerce.wa.gov.au/ConsumerProtection&gt;.</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pPr>
      <w:r>
        <w:rPr>
          <w:b/>
          <w:bCs/>
        </w:rPr>
        <w:t>NOTICES</w:t>
      </w:r>
    </w:p>
    <w:p>
      <w:pPr>
        <w:pStyle w:val="yMiscellaneousBody"/>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 xml:space="preserve">if an address for service for the person is given in the agreement — by posting it </w:t>
      </w:r>
      <w:r>
        <w:rPr>
          <w:szCs w:val="22"/>
        </w:rPr>
        <w:t>to</w:t>
      </w:r>
      <w:r>
        <w:t xml:space="preserve">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1AA inserted in Gazette 3 May 2013 p. 1757-76; amended in Gazette 21 Aug 2015 p. 3313</w:t>
      </w:r>
      <w:r>
        <w:noBreakHyphen/>
        <w:t>14; 30 Jun 2017 p. 3556</w:t>
      </w:r>
      <w:r>
        <w:noBreakHyphen/>
        <w:t>7.]</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widowControl w:val="0"/>
        <w:rPr>
          <w:b/>
          <w:caps/>
        </w:rPr>
      </w:pPr>
      <w:r>
        <w:rPr>
          <w:b/>
          <w:caps/>
        </w:rPr>
        <w:t>Permission to contact the Water services provider</w:t>
      </w:r>
    </w:p>
    <w:p>
      <w:pPr>
        <w:pStyle w:val="yMiscellaneousBody"/>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keepNext/>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keepNext/>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 entry.</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pPr>
      <w:r>
        <w:rPr>
          <w:b/>
        </w:rPr>
        <w:t>REQUIREMENT TO NEGOTIATE A DAY AND TIME FOR A PROPOSED ENTRY BY THE LESSOR</w:t>
      </w:r>
    </w:p>
    <w:p>
      <w:pPr>
        <w:pStyle w:val="yMiscellaneousBody"/>
        <w:tabs>
          <w:tab w:val="left" w:pos="567"/>
        </w:tabs>
        <w:ind w:left="567" w:hanging="567"/>
      </w:pPr>
      <w:r>
        <w:t>29.</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keepNext/>
        <w:rPr>
          <w:b/>
          <w:caps/>
        </w:rPr>
      </w:pPr>
      <w:r>
        <w:rPr>
          <w:b/>
          <w:caps/>
        </w:rPr>
        <w:t>Entry must be reasonable and no longer than necessary</w:t>
      </w:r>
    </w:p>
    <w:p>
      <w:pPr>
        <w:pStyle w:val="yMiscellaneousBody"/>
        <w:keepNext/>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 other; and</w:t>
      </w:r>
    </w:p>
    <w:p>
      <w:pPr>
        <w:pStyle w:val="yMiscellaneousBody"/>
        <w:tabs>
          <w:tab w:val="left" w:pos="567"/>
          <w:tab w:val="left" w:pos="1134"/>
        </w:tabs>
        <w:spacing w:before="130"/>
        <w:ind w:left="1134" w:hanging="1134"/>
      </w:pPr>
      <w:r>
        <w:tab/>
        <w:t>36.3</w:t>
      </w:r>
      <w:r>
        <w:tab/>
        <w:t>the lessor or the tenant must not unreasonably withhold that consent.</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&lt;</w:t>
      </w:r>
      <w:hyperlink r:id="rId28" w:history="1">
        <w:r>
          <w:t>www.commerce.wa.gov.au/ConsumerProtection</w:t>
        </w:r>
      </w:hyperlink>
      <w:r>
        <w:t>&gt;.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pPr>
      <w:r>
        <w:rPr>
          <w:b/>
        </w:rPr>
        <w:t>NOTICES</w:t>
      </w:r>
    </w:p>
    <w:p>
      <w:pPr>
        <w:pStyle w:val="yMiscellaneousBody"/>
      </w:pPr>
      <w:r>
        <w:t>55A.</w:t>
      </w:r>
      <w:r>
        <w:tab/>
        <w:t>A notice under this agreement must be given:</w:t>
      </w:r>
    </w:p>
    <w:p>
      <w:pPr>
        <w:pStyle w:val="yMiscellaneousBody"/>
        <w:tabs>
          <w:tab w:val="left" w:pos="709"/>
          <w:tab w:val="left" w:pos="1418"/>
        </w:tabs>
      </w:pPr>
      <w:r>
        <w:tab/>
        <w:t>55A.1</w:t>
      </w:r>
      <w:r>
        <w:tab/>
        <w:t>in the prescribed form; or</w:t>
      </w:r>
    </w:p>
    <w:p>
      <w:pPr>
        <w:pStyle w:val="yMiscellaneousBody"/>
        <w:tabs>
          <w:tab w:val="left" w:pos="709"/>
          <w:tab w:val="left" w:pos="1418"/>
        </w:tabs>
        <w:ind w:left="1418" w:hanging="1418"/>
      </w:pPr>
      <w:r>
        <w:tab/>
        <w:t>55A.2</w:t>
      </w:r>
      <w:r>
        <w:tab/>
        <w:t>if there is no prescribed form but there is an approved form — in the approved form; or</w:t>
      </w:r>
    </w:p>
    <w:p>
      <w:pPr>
        <w:pStyle w:val="yMiscellaneousBody"/>
        <w:tabs>
          <w:tab w:val="left" w:pos="709"/>
          <w:tab w:val="left" w:pos="1418"/>
        </w:tabs>
      </w:pPr>
      <w:r>
        <w:tab/>
        <w:t>55A.3</w:t>
      </w:r>
      <w:r>
        <w:tab/>
        <w:t>if there is no prescribed form or approved form — in writing.</w:t>
      </w:r>
    </w:p>
    <w:p>
      <w:pPr>
        <w:pStyle w:val="yMiscellaneousBody"/>
      </w:pPr>
      <w:r>
        <w:t>55B.</w:t>
      </w:r>
      <w:r>
        <w:tab/>
        <w:t>A notice under this agreement may be given to a person:</w:t>
      </w:r>
    </w:p>
    <w:p>
      <w:pPr>
        <w:pStyle w:val="yMiscellaneousBody"/>
        <w:tabs>
          <w:tab w:val="left" w:pos="709"/>
          <w:tab w:val="left" w:pos="1418"/>
        </w:tabs>
      </w:pPr>
      <w:r>
        <w:tab/>
        <w:t>55B.1</w:t>
      </w:r>
      <w:r>
        <w:tab/>
        <w:t>by giving it to the person directly; or</w:t>
      </w:r>
    </w:p>
    <w:p>
      <w:pPr>
        <w:pStyle w:val="yMiscellaneousBody"/>
        <w:tabs>
          <w:tab w:val="left" w:pos="709"/>
          <w:tab w:val="left" w:pos="1418"/>
        </w:tabs>
        <w:ind w:left="1418" w:hanging="1418"/>
      </w:pPr>
      <w:r>
        <w:tab/>
        <w:t>55B.2</w:t>
      </w:r>
      <w:r>
        <w:tab/>
        <w:t xml:space="preserve">if an address for service for the person is given in the agreement — by posting it </w:t>
      </w:r>
      <w:r>
        <w:rPr>
          <w:szCs w:val="22"/>
        </w:rPr>
        <w:t>to</w:t>
      </w:r>
      <w:r>
        <w:t xml:space="preserve"> the address for service; or</w:t>
      </w:r>
    </w:p>
    <w:p>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pPr>
        <w:pStyle w:val="yMiscellaneousBody"/>
        <w:ind w:left="720" w:hanging="720"/>
      </w:pPr>
      <w:r>
        <w:t>55C.</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keepNext/>
      </w:pPr>
      <w:r>
        <w:rPr>
          <w:b/>
        </w:rPr>
        <w:t>PART C</w:t>
      </w:r>
    </w:p>
    <w:p>
      <w:pPr>
        <w:pStyle w:val="yMiscellaneousBody"/>
        <w:keepNext/>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1AB inserted in Gazette 3 May 2013 p. 1776-96; amended in Gazette 21 Aug 2015 p. 3314-15; 30 Jun 2017 p. 3557</w:t>
      </w:r>
      <w:r>
        <w:noBreakHyphen/>
        <w:t>8.]</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receipt for any bond that you have paid</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r>
        <w:rPr>
          <w:szCs w:val="22"/>
        </w:rPr>
        <w:t>www.commerce.wa.gov.au/ConsumerProtection</w:t>
      </w:r>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in Gazette 3 May 2013 p. 1797-800; amended in Gazette 20 Jan 2015 p. 371; 30 Jun 2017 p. 3558.]</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receipt for any bond that you have paid</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r>
        <w:rPr>
          <w:szCs w:val="22"/>
        </w:rPr>
        <w:t>www.commerce.wa.gov.au/ConsumerProtection</w:t>
      </w:r>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 entry.</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pPr>
      <w:r>
        <w:rPr>
          <w:b/>
        </w:rPr>
        <w:t>REQUIREMENT TO NEGOTIATE A DAY AND TIME FOR A PROPOSED ENTRY BY THE LESSOR</w:t>
      </w:r>
    </w:p>
    <w:p>
      <w:pPr>
        <w:pStyle w:val="yMiscellaneousBody"/>
        <w:ind w:left="567" w:hanging="567"/>
      </w:pPr>
      <w:r>
        <w:t>26.</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 other; and</w:t>
      </w:r>
    </w:p>
    <w:p>
      <w:pPr>
        <w:pStyle w:val="yMiscellaneousBody"/>
        <w:tabs>
          <w:tab w:val="left" w:pos="567"/>
          <w:tab w:val="left" w:pos="1134"/>
        </w:tabs>
        <w:spacing w:before="150"/>
        <w:ind w:left="1134" w:hanging="1134"/>
      </w:pPr>
      <w:r>
        <w:tab/>
        <w:t>33.3</w:t>
      </w:r>
      <w:r>
        <w:tab/>
        <w:t>the lessor or the tenant must not unreasonably withhold that consent.</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keepNext/>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&lt;</w:t>
      </w:r>
      <w:r>
        <w:rPr>
          <w:szCs w:val="22"/>
        </w:rPr>
        <w:t>www.commerce.wa.gov.au/ConsumerProtection&gt;</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 xml:space="preserve">if an address for service for the person is provided by the person — by posting it </w:t>
      </w:r>
      <w:r>
        <w:rPr>
          <w:szCs w:val="22"/>
        </w:rPr>
        <w:t>to</w:t>
      </w:r>
      <w:r>
        <w:t xml:space="preserve">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in Gazette 3 May 2013 p. 1801-17; amended in Gazette 20 Jan 2015 p. 371; 21 Aug 2015 p. 3315</w:t>
      </w:r>
      <w:r>
        <w:noBreakHyphen/>
        <w:t>16; 30 Jun 2017 p. 3558</w:t>
      </w:r>
      <w:r>
        <w:noBreakHyphen/>
        <w:t>9.]</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Information about the rights and responsibilities of lessors and tenants may be obtained by contacting the Department of Commerce on 1300 30 40 54 or visiting &lt;</w:t>
      </w:r>
      <w:r>
        <w:rPr>
          <w:szCs w:val="22"/>
        </w:rPr>
        <w:t>www.commerce.wa.gov.au/ConsumerProtection&gt;</w:t>
      </w:r>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in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in Gazette 25 Jun 1996 p. 2412</w:t>
      </w:r>
      <w:r>
        <w:noBreakHyphen/>
        <w:t>13; amended in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in Gazette 25 Jun 1996 p. 2913</w:t>
      </w:r>
      <w:r>
        <w:noBreakHyphen/>
        <w:t>14; amended in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60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in Gazette 3 May 2013 p. 1826-9; amended in Gazette 30 Jun 2017 p. 3559.]</w:t>
      </w:r>
    </w:p>
    <w:p>
      <w:pPr>
        <w:pStyle w:val="CentredBaseLine"/>
        <w:jc w:val="center"/>
      </w:pPr>
    </w:p>
    <w:p>
      <w:pPr>
        <w:pStyle w:val="yEdnotesection"/>
      </w:pPr>
      <w:r>
        <w:t>[Forms 2 and 3 deleted in Gazette 30 Jun 2017 p. 3559.]</w:t>
      </w:r>
    </w:p>
    <w:p>
      <w:pPr>
        <w:pStyle w:val="yEdnotesection"/>
      </w:pPr>
      <w:r>
        <w:t>[Form 4 deleted in Gazette 3 May 2013 p. 1830.]</w:t>
      </w:r>
    </w:p>
    <w:p>
      <w:pPr>
        <w:pStyle w:val="yEdnotesection"/>
      </w:pPr>
      <w:r>
        <w:t>[Form 5 deleted in Gazette 30 Jun 2017 p. 3559.]</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in Gazette 22 Sep 2006 p. 4128; amended in Gazette 24 May 2011 p. 1895; 3 May 2013 p. 1830-1; 20 Aug 2013 p. 3840.]</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in Gazette 22 Sep 2006 p. 4128</w:t>
      </w:r>
      <w:r>
        <w:noBreakHyphen/>
        <w:t>9; amended in Gazette 24 May 2011 p. 1895; 3 May 2013 p. 1831.]</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60" w:name="_Toc500418621"/>
      <w:bookmarkStart w:id="61" w:name="_Toc501528222"/>
      <w:r>
        <w:rPr>
          <w:rStyle w:val="CharSchNo"/>
        </w:rPr>
        <w:t>Schedule 5</w:t>
      </w:r>
      <w:r>
        <w:rPr>
          <w:rStyle w:val="CharSDivNo"/>
        </w:rPr>
        <w:t> </w:t>
      </w:r>
      <w:r>
        <w:t>—</w:t>
      </w:r>
      <w:r>
        <w:rPr>
          <w:rStyle w:val="CharSDivText"/>
        </w:rPr>
        <w:t> </w:t>
      </w:r>
      <w:r>
        <w:rPr>
          <w:rStyle w:val="CharSchText"/>
        </w:rPr>
        <w:t>Prescribed offences and modified penalties</w:t>
      </w:r>
      <w:bookmarkEnd w:id="60"/>
      <w:bookmarkEnd w:id="61"/>
    </w:p>
    <w:p>
      <w:pPr>
        <w:pStyle w:val="zyShoulderClause"/>
        <w:spacing w:after="120"/>
        <w:ind w:right="284"/>
      </w:pPr>
      <w:r>
        <w:t>[r. 13]</w:t>
      </w:r>
    </w:p>
    <w:p>
      <w:pPr>
        <w:pStyle w:val="yFootnoteheading"/>
        <w:spacing w:after="120"/>
      </w:pPr>
      <w:r>
        <w:tab/>
        <w:t>[Heading inserted in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Next/>
              <w:keepLines/>
              <w:spacing w:before="60"/>
            </w:pPr>
            <w:r>
              <w:t>s. 59F(2)</w:t>
            </w:r>
          </w:p>
        </w:tc>
        <w:tc>
          <w:tcPr>
            <w:tcW w:w="4820" w:type="dxa"/>
          </w:tcPr>
          <w:p>
            <w:pPr>
              <w:pStyle w:val="yTableNAm"/>
              <w:keepNext/>
              <w:keepLines/>
              <w:spacing w:before="60"/>
            </w:pPr>
            <w:r>
              <w:t>Property manager altering, removing or adding lock without consent</w:t>
            </w:r>
          </w:p>
        </w:tc>
        <w:tc>
          <w:tcPr>
            <w:tcW w:w="992" w:type="dxa"/>
          </w:tcPr>
          <w:p>
            <w:pPr>
              <w:pStyle w:val="yTableNAm"/>
              <w:keepNext/>
              <w:keepLines/>
              <w:spacing w:before="60"/>
            </w:pPr>
            <w:r>
              <w:br/>
              <w:t>$2 000</w:t>
            </w:r>
          </w:p>
        </w:tc>
      </w:tr>
      <w:tr>
        <w:trPr>
          <w:cantSplit/>
          <w:trHeight w:val="21"/>
        </w:trPr>
        <w:tc>
          <w:tcPr>
            <w:tcW w:w="1276" w:type="dxa"/>
          </w:tcPr>
          <w:p>
            <w:pPr>
              <w:pStyle w:val="yTableNAm"/>
              <w:keepNext/>
              <w:keepLines/>
              <w:spacing w:before="60"/>
            </w:pPr>
            <w:r>
              <w:t>s. 63(3)</w:t>
            </w:r>
          </w:p>
        </w:tc>
        <w:tc>
          <w:tcPr>
            <w:tcW w:w="4820" w:type="dxa"/>
          </w:tcPr>
          <w:p>
            <w:pPr>
              <w:pStyle w:val="yTableNAm"/>
              <w:keepNext/>
              <w:keepLines/>
              <w:spacing w:before="60"/>
            </w:pPr>
            <w:r>
              <w:t>Giving false or misleading notice of termination</w:t>
            </w:r>
          </w:p>
        </w:tc>
        <w:tc>
          <w:tcPr>
            <w:tcW w:w="992" w:type="dxa"/>
          </w:tcPr>
          <w:p>
            <w:pPr>
              <w:pStyle w:val="yTableNAm"/>
              <w:keepNext/>
              <w:keepLines/>
              <w:spacing w:before="60"/>
            </w:pPr>
            <w: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in Gazette 3 May 2013 p. 1832-5.]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pPr>
      <w:bookmarkStart w:id="62" w:name="_Toc500418622"/>
      <w:bookmarkStart w:id="63" w:name="_Toc501528223"/>
      <w:r>
        <w:t>Notes</w:t>
      </w:r>
      <w:bookmarkEnd w:id="62"/>
      <w:bookmarkEnd w:id="63"/>
    </w:p>
    <w:p>
      <w:pPr>
        <w:pStyle w:val="nSubsection"/>
      </w:pPr>
      <w:r>
        <w:rPr>
          <w:vertAlign w:val="superscript"/>
        </w:rPr>
        <w:t>1</w:t>
      </w:r>
      <w:r>
        <w:tab/>
        <w:t xml:space="preserve">This is a compilation of the </w:t>
      </w:r>
      <w:r>
        <w:rPr>
          <w:i/>
          <w:noProof/>
        </w:rPr>
        <w:t>Residential Tenancies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64" w:name="_Toc501528224"/>
      <w:r>
        <w:rPr>
          <w:snapToGrid w:val="0"/>
        </w:rPr>
        <w:t>Compilation table</w:t>
      </w:r>
      <w:bookmarkEnd w:id="6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rPr>
          <w:cantSplit/>
        </w:trPr>
        <w:tc>
          <w:tcPr>
            <w:tcW w:w="3118" w:type="dxa"/>
          </w:tcPr>
          <w:p>
            <w:pPr>
              <w:pStyle w:val="nTable"/>
              <w:spacing w:after="40"/>
            </w:pPr>
            <w:r>
              <w:rPr>
                <w:i/>
              </w:rPr>
              <w:t>Residential Tenancies Amendment Regulations 1995</w:t>
            </w:r>
          </w:p>
        </w:tc>
        <w:tc>
          <w:tcPr>
            <w:tcW w:w="1276" w:type="dxa"/>
          </w:tcPr>
          <w:p>
            <w:pPr>
              <w:pStyle w:val="nTable"/>
              <w:spacing w:after="40"/>
            </w:pPr>
            <w:r>
              <w:t>16 Jun 1995 p. 2318</w:t>
            </w:r>
          </w:p>
        </w:tc>
        <w:tc>
          <w:tcPr>
            <w:tcW w:w="2693" w:type="dxa"/>
          </w:tcPr>
          <w:p>
            <w:pPr>
              <w:pStyle w:val="nTable"/>
              <w:spacing w:after="40"/>
            </w:pPr>
            <w:r>
              <w:t>16 Jun 1995</w:t>
            </w:r>
          </w:p>
        </w:tc>
      </w:tr>
      <w:tr>
        <w:trPr>
          <w:cantSplit/>
        </w:trPr>
        <w:tc>
          <w:tcPr>
            <w:tcW w:w="7087" w:type="dxa"/>
            <w:gridSpan w:val="3"/>
          </w:tcPr>
          <w:p>
            <w:pPr>
              <w:pStyle w:val="nTable"/>
              <w:spacing w:after="40"/>
            </w:pPr>
            <w:r>
              <w:rPr>
                <w:b/>
              </w:rPr>
              <w:t xml:space="preserve">Reprint of the </w:t>
            </w:r>
            <w:r>
              <w:rPr>
                <w:b/>
                <w:i/>
              </w:rPr>
              <w:t>Residential Tenancies Regulations 1989</w:t>
            </w:r>
            <w:r>
              <w:rPr>
                <w:b/>
              </w:rPr>
              <w:t xml:space="preserve"> as at 9 Apr 1996</w:t>
            </w:r>
            <w:r>
              <w:t xml:space="preserve"> (includes amendments listed above)</w:t>
            </w:r>
          </w:p>
        </w:tc>
      </w:tr>
      <w:tr>
        <w:trPr>
          <w:cantSplit/>
        </w:trPr>
        <w:tc>
          <w:tcPr>
            <w:tcW w:w="3118" w:type="dxa"/>
          </w:tcPr>
          <w:p>
            <w:pPr>
              <w:pStyle w:val="nTable"/>
              <w:spacing w:after="40"/>
            </w:pPr>
            <w:r>
              <w:rPr>
                <w:i/>
              </w:rPr>
              <w:t>Residential Tenancies Amendment Regulations 1996</w:t>
            </w:r>
          </w:p>
        </w:tc>
        <w:tc>
          <w:tcPr>
            <w:tcW w:w="1276" w:type="dxa"/>
          </w:tcPr>
          <w:p>
            <w:pPr>
              <w:pStyle w:val="nTable"/>
              <w:spacing w:after="40"/>
            </w:pPr>
            <w:r>
              <w:t>25 Jun 1996 p. 2904</w:t>
            </w:r>
            <w:r>
              <w:noBreakHyphen/>
              <w:t>17</w:t>
            </w:r>
          </w:p>
        </w:tc>
        <w:tc>
          <w:tcPr>
            <w:tcW w:w="2693"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rPr>
                <w:i/>
              </w:rPr>
            </w:pPr>
            <w:r>
              <w:rPr>
                <w:i/>
              </w:rPr>
              <w:t>Residential Tenancies Amendment Regulations 1999</w:t>
            </w:r>
          </w:p>
        </w:tc>
        <w:tc>
          <w:tcPr>
            <w:tcW w:w="1276" w:type="dxa"/>
          </w:tcPr>
          <w:p>
            <w:pPr>
              <w:pStyle w:val="nTable"/>
              <w:spacing w:after="40"/>
            </w:pPr>
            <w:r>
              <w:t>19 Feb 1999 p. 553</w:t>
            </w:r>
            <w:r>
              <w:noBreakHyphen/>
              <w:t>4</w:t>
            </w:r>
          </w:p>
        </w:tc>
        <w:tc>
          <w:tcPr>
            <w:tcW w:w="2693" w:type="dxa"/>
          </w:tcPr>
          <w:p>
            <w:pPr>
              <w:pStyle w:val="nTable"/>
              <w:spacing w:after="40"/>
            </w:pPr>
            <w:r>
              <w:t>19 Feb 1999</w:t>
            </w:r>
          </w:p>
        </w:tc>
      </w:tr>
      <w:tr>
        <w:trPr>
          <w:cantSplit/>
        </w:trPr>
        <w:tc>
          <w:tcPr>
            <w:tcW w:w="7087" w:type="dxa"/>
            <w:gridSpan w:val="3"/>
          </w:tcPr>
          <w:p>
            <w:pPr>
              <w:pStyle w:val="nTable"/>
              <w:spacing w:after="40"/>
            </w:pPr>
            <w:r>
              <w:rPr>
                <w:b/>
              </w:rPr>
              <w:t xml:space="preserve">Reprint 2: The </w:t>
            </w:r>
            <w:r>
              <w:rPr>
                <w:b/>
                <w:i/>
              </w:rPr>
              <w:t>Residential Tenancies Regulations 1989</w:t>
            </w:r>
            <w:r>
              <w:rPr>
                <w:b/>
              </w:rPr>
              <w:t xml:space="preserve"> as at 19 Sep 2003</w:t>
            </w:r>
            <w:r>
              <w:t xml:space="preserve"> (includes amendments listed above)</w:t>
            </w:r>
          </w:p>
        </w:tc>
      </w:tr>
      <w:tr>
        <w:trPr>
          <w:cantSplit/>
        </w:trPr>
        <w:tc>
          <w:tcPr>
            <w:tcW w:w="3118" w:type="dxa"/>
          </w:tcPr>
          <w:p>
            <w:pPr>
              <w:pStyle w:val="nTable"/>
              <w:spacing w:after="40"/>
              <w:rPr>
                <w:i/>
              </w:rPr>
            </w:pPr>
            <w:r>
              <w:rPr>
                <w:i/>
              </w:rPr>
              <w:t>Residential Tenancies Amendment Regulations 2004</w:t>
            </w:r>
          </w:p>
        </w:tc>
        <w:tc>
          <w:tcPr>
            <w:tcW w:w="1276" w:type="dxa"/>
          </w:tcPr>
          <w:p>
            <w:pPr>
              <w:pStyle w:val="nTable"/>
              <w:spacing w:after="40"/>
            </w:pPr>
            <w:r>
              <w:t>24 Dec 2004 p. 6149</w:t>
            </w:r>
            <w:r>
              <w:noBreakHyphen/>
              <w:t>53</w:t>
            </w:r>
          </w:p>
        </w:tc>
        <w:tc>
          <w:tcPr>
            <w:tcW w:w="2693" w:type="dxa"/>
          </w:tcPr>
          <w:p>
            <w:pPr>
              <w:pStyle w:val="nTable"/>
              <w:spacing w:after="40"/>
            </w:pPr>
            <w:r>
              <w:t>24 Dec 2004</w:t>
            </w:r>
          </w:p>
        </w:tc>
      </w:tr>
      <w:tr>
        <w:trPr>
          <w:cantSplit/>
        </w:trPr>
        <w:tc>
          <w:tcPr>
            <w:tcW w:w="3118" w:type="dxa"/>
          </w:tcPr>
          <w:p>
            <w:pPr>
              <w:pStyle w:val="nTable"/>
              <w:spacing w:after="40"/>
              <w:rPr>
                <w:iCs/>
              </w:rPr>
            </w:pPr>
            <w:r>
              <w:rPr>
                <w:i/>
              </w:rPr>
              <w:t>Courts and Legal Practice (Consequential Amendments) Regulations 2005</w:t>
            </w:r>
            <w:r>
              <w:rPr>
                <w:iCs/>
              </w:rPr>
              <w:t xml:space="preserve"> r. 11</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rPr>
          <w:cantSplit/>
        </w:trPr>
        <w:tc>
          <w:tcPr>
            <w:tcW w:w="3118" w:type="dxa"/>
          </w:tcPr>
          <w:p>
            <w:pPr>
              <w:pStyle w:val="nTable"/>
              <w:spacing w:after="40"/>
              <w:rPr>
                <w:i/>
              </w:rPr>
            </w:pPr>
            <w:r>
              <w:rPr>
                <w:i/>
              </w:rPr>
              <w:t>Residential Tenancies Amendment Regulations 2005</w:t>
            </w:r>
          </w:p>
        </w:tc>
        <w:tc>
          <w:tcPr>
            <w:tcW w:w="1276" w:type="dxa"/>
          </w:tcPr>
          <w:p>
            <w:pPr>
              <w:pStyle w:val="nTable"/>
              <w:spacing w:after="40"/>
            </w:pPr>
            <w:r>
              <w:t>29 Apr 2005</w:t>
            </w:r>
            <w:r>
              <w:br/>
              <w:t>p. 1771</w:t>
            </w:r>
            <w:r>
              <w:noBreakHyphen/>
              <w:t>6</w:t>
            </w:r>
          </w:p>
        </w:tc>
        <w:tc>
          <w:tcPr>
            <w:tcW w:w="2693" w:type="dxa"/>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pPr>
            <w:r>
              <w:rPr>
                <w:i/>
              </w:rPr>
              <w:t>Electricity Corporations (Consequential Amendments) Regulations 2006</w:t>
            </w:r>
            <w:r>
              <w:rPr>
                <w:iCs/>
              </w:rPr>
              <w:t xml:space="preserve"> r. 84</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rPr>
            </w:pPr>
            <w:r>
              <w:rPr>
                <w:i/>
              </w:rPr>
              <w:t>Residential Tenancies Amendment Regulations 2006</w:t>
            </w:r>
          </w:p>
        </w:tc>
        <w:tc>
          <w:tcPr>
            <w:tcW w:w="1276" w:type="dxa"/>
          </w:tcPr>
          <w:p>
            <w:pPr>
              <w:pStyle w:val="nTable"/>
              <w:spacing w:after="40"/>
            </w:pPr>
            <w:r>
              <w:t>22 Sep 2006 p. 4126</w:t>
            </w:r>
            <w:r>
              <w:noBreakHyphen/>
              <w:t>30</w:t>
            </w:r>
          </w:p>
        </w:tc>
        <w:tc>
          <w:tcPr>
            <w:tcW w:w="2693" w:type="dxa"/>
          </w:tcPr>
          <w:p>
            <w:pPr>
              <w:pStyle w:val="nTable"/>
              <w:spacing w:after="40"/>
            </w:pPr>
            <w:r>
              <w:t>22 Sep 2006 (see r. 2(a))</w:t>
            </w:r>
          </w:p>
        </w:tc>
      </w:tr>
      <w:tr>
        <w:trPr>
          <w:cantSplit/>
        </w:trPr>
        <w:tc>
          <w:tcPr>
            <w:tcW w:w="7087" w:type="dxa"/>
            <w:gridSpan w:val="3"/>
          </w:tcPr>
          <w:p>
            <w:pPr>
              <w:pStyle w:val="nTable"/>
              <w:spacing w:after="40"/>
            </w:pPr>
            <w:r>
              <w:rPr>
                <w:b/>
              </w:rPr>
              <w:t xml:space="preserve">Reprint 3: The </w:t>
            </w:r>
            <w:r>
              <w:rPr>
                <w:b/>
                <w:i/>
              </w:rPr>
              <w:t>Residential Tenancies Regulations 1989</w:t>
            </w:r>
            <w:r>
              <w:rPr>
                <w:b/>
              </w:rPr>
              <w:t xml:space="preserve"> as at 26 Jan 2007</w:t>
            </w:r>
            <w:r>
              <w:rPr>
                <w:b/>
              </w:rPr>
              <w:br/>
            </w:r>
            <w:r>
              <w:t>(includes amendments listed above)</w:t>
            </w:r>
          </w:p>
        </w:tc>
      </w:tr>
      <w:tr>
        <w:tc>
          <w:tcPr>
            <w:tcW w:w="3118" w:type="dxa"/>
          </w:tcPr>
          <w:p>
            <w:pPr>
              <w:pStyle w:val="nTable"/>
              <w:spacing w:after="40"/>
              <w:rPr>
                <w:i/>
              </w:rPr>
            </w:pPr>
            <w:r>
              <w:rPr>
                <w:i/>
              </w:rPr>
              <w:t>Residential Tenancies Amendment Regulations 2007</w:t>
            </w:r>
          </w:p>
        </w:tc>
        <w:tc>
          <w:tcPr>
            <w:tcW w:w="1276" w:type="dxa"/>
          </w:tcPr>
          <w:p>
            <w:pPr>
              <w:pStyle w:val="nTable"/>
              <w:spacing w:after="40"/>
            </w:pPr>
            <w:r>
              <w:t>30 Mar 2007 p. 1452</w:t>
            </w:r>
          </w:p>
        </w:tc>
        <w:tc>
          <w:tcPr>
            <w:tcW w:w="2693" w:type="dxa"/>
          </w:tcPr>
          <w:p>
            <w:pPr>
              <w:pStyle w:val="nTable"/>
              <w:spacing w:after="40"/>
            </w:pPr>
            <w:r>
              <w:t>5 Apr 2007 (see r. 2)</w:t>
            </w:r>
          </w:p>
        </w:tc>
      </w:tr>
      <w:tr>
        <w:tc>
          <w:tcPr>
            <w:tcW w:w="3118" w:type="dxa"/>
          </w:tcPr>
          <w:p>
            <w:pPr>
              <w:pStyle w:val="nTable"/>
              <w:spacing w:after="40"/>
              <w:rPr>
                <w:i/>
              </w:rPr>
            </w:pPr>
            <w:r>
              <w:rPr>
                <w:i/>
              </w:rPr>
              <w:t>Residential Tenancies Amendment Regulations (No. 2) 2007</w:t>
            </w:r>
          </w:p>
        </w:tc>
        <w:tc>
          <w:tcPr>
            <w:tcW w:w="1276" w:type="dxa"/>
          </w:tcPr>
          <w:p>
            <w:pPr>
              <w:pStyle w:val="nTable"/>
              <w:spacing w:after="40"/>
            </w:pPr>
            <w:r>
              <w:t>31 Jul 2007 p. 3790</w:t>
            </w:r>
            <w:r>
              <w:noBreakHyphen/>
              <w:t>1</w:t>
            </w:r>
          </w:p>
        </w:tc>
        <w:tc>
          <w:tcPr>
            <w:tcW w:w="2693" w:type="dxa"/>
          </w:tcPr>
          <w:p>
            <w:pPr>
              <w:pStyle w:val="nTable"/>
              <w:spacing w:after="40"/>
            </w:pPr>
            <w:r>
              <w:rPr>
                <w:snapToGrid w:val="0"/>
              </w:rPr>
              <w:t>r. 1 and 2: 31 Jul 2007 (see r. 2(a));</w:t>
            </w:r>
            <w:r>
              <w:rPr>
                <w:snapToGrid w:val="0"/>
              </w:rPr>
              <w:br/>
              <w:t>Regulations other than r. 1 and 2: 1 Aug 2007 (see r. 2(b))</w:t>
            </w:r>
          </w:p>
        </w:tc>
      </w:tr>
      <w:tr>
        <w:tc>
          <w:tcPr>
            <w:tcW w:w="3118" w:type="dxa"/>
          </w:tcPr>
          <w:p>
            <w:pPr>
              <w:pStyle w:val="nTable"/>
              <w:spacing w:after="40"/>
              <w:rPr>
                <w:i/>
              </w:rPr>
            </w:pPr>
            <w:r>
              <w:rPr>
                <w:i/>
              </w:rPr>
              <w:t>Residential Tenancies Amendment Regulations 2011</w:t>
            </w:r>
          </w:p>
        </w:tc>
        <w:tc>
          <w:tcPr>
            <w:tcW w:w="1276" w:type="dxa"/>
          </w:tcPr>
          <w:p>
            <w:pPr>
              <w:pStyle w:val="nTable"/>
              <w:spacing w:after="40"/>
            </w:pPr>
            <w:r>
              <w:t>24 May 2011 p. 1894-5</w:t>
            </w:r>
          </w:p>
        </w:tc>
        <w:tc>
          <w:tcPr>
            <w:tcW w:w="2693" w:type="dxa"/>
          </w:tcPr>
          <w:p>
            <w:pPr>
              <w:pStyle w:val="nTable"/>
              <w:spacing w:after="40"/>
              <w:rPr>
                <w:snapToGrid w:val="0"/>
              </w:rPr>
            </w:pPr>
            <w:r>
              <w:rPr>
                <w:snapToGrid w:val="0"/>
              </w:rPr>
              <w:t>r. 1 and 2: 24 May 2011 (see r. 2(a));</w:t>
            </w:r>
            <w:r>
              <w:rPr>
                <w:snapToGrid w:val="0"/>
              </w:rPr>
              <w:br/>
              <w:t>Regulations other than r. 1 and 2: 1 Jun 2011 (see r. 2(b))</w:t>
            </w:r>
          </w:p>
        </w:tc>
      </w:tr>
      <w:tr>
        <w:tc>
          <w:tcPr>
            <w:tcW w:w="3118" w:type="dxa"/>
            <w:shd w:val="clear" w:color="auto" w:fill="auto"/>
          </w:tcPr>
          <w:p>
            <w:pPr>
              <w:pStyle w:val="nTable"/>
              <w:spacing w:after="40"/>
              <w:rPr>
                <w:i/>
              </w:rPr>
            </w:pPr>
            <w:r>
              <w:rPr>
                <w:i/>
              </w:rPr>
              <w:t>Residential Tenancies Amendment Regulations 2013</w:t>
            </w:r>
          </w:p>
        </w:tc>
        <w:tc>
          <w:tcPr>
            <w:tcW w:w="1276" w:type="dxa"/>
            <w:shd w:val="clear" w:color="auto" w:fill="auto"/>
          </w:tcPr>
          <w:p>
            <w:pPr>
              <w:pStyle w:val="nTable"/>
              <w:spacing w:after="40"/>
            </w:pPr>
            <w:r>
              <w:t>3 May 2013 p. 1737-835</w:t>
            </w:r>
          </w:p>
        </w:tc>
        <w:tc>
          <w:tcPr>
            <w:tcW w:w="2693" w:type="dxa"/>
            <w:shd w:val="clear" w:color="auto" w:fill="auto"/>
          </w:tcPr>
          <w:p>
            <w:pPr>
              <w:pStyle w:val="nTable"/>
              <w:spacing w:after="40"/>
              <w:rPr>
                <w:rFonts w:ascii="Arial" w:hAnsi="Arial"/>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c>
          <w:tcPr>
            <w:tcW w:w="7087" w:type="dxa"/>
            <w:gridSpan w:val="3"/>
            <w:shd w:val="clear" w:color="auto" w:fill="auto"/>
          </w:tcPr>
          <w:p>
            <w:pPr>
              <w:pStyle w:val="nTable"/>
              <w:keepNext/>
              <w:spacing w:after="4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c>
          <w:tcPr>
            <w:tcW w:w="3118" w:type="dxa"/>
            <w:shd w:val="clear" w:color="auto" w:fill="auto"/>
          </w:tcPr>
          <w:p>
            <w:pPr>
              <w:pStyle w:val="nTable"/>
              <w:spacing w:after="40"/>
              <w:rPr>
                <w:i/>
              </w:rPr>
            </w:pPr>
            <w:r>
              <w:rPr>
                <w:i/>
              </w:rPr>
              <w:t>Residential Tenancies Amendment Regulations (No. 2) 2013</w:t>
            </w:r>
          </w:p>
        </w:tc>
        <w:tc>
          <w:tcPr>
            <w:tcW w:w="1276" w:type="dxa"/>
            <w:shd w:val="clear" w:color="auto" w:fill="auto"/>
          </w:tcPr>
          <w:p>
            <w:pPr>
              <w:pStyle w:val="nTable"/>
              <w:spacing w:after="40"/>
            </w:pPr>
            <w:r>
              <w:t>20 Aug 2013 p. 3840</w:t>
            </w:r>
          </w:p>
        </w:tc>
        <w:tc>
          <w:tcPr>
            <w:tcW w:w="2693" w:type="dxa"/>
            <w:shd w:val="clear" w:color="auto" w:fill="auto"/>
          </w:tcPr>
          <w:p>
            <w:pPr>
              <w:pStyle w:val="nTable"/>
              <w:spacing w:after="4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after="40"/>
              <w:rPr>
                <w:i/>
              </w:rPr>
            </w:pPr>
            <w:r>
              <w:rPr>
                <w:i/>
              </w:rPr>
              <w:t>Electricity Corporations (Consequential Amendments) Regulations 2013</w:t>
            </w:r>
            <w:r>
              <w:t xml:space="preserve"> r. 14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rPr>
                <w:snapToGrid w:val="0"/>
              </w:rPr>
            </w:pPr>
            <w:r>
              <w:t xml:space="preserve">1 Jan 2014 (see r. 2(c) and </w:t>
            </w:r>
            <w:r>
              <w:rPr>
                <w:i/>
              </w:rPr>
              <w:t>Gazette</w:t>
            </w:r>
            <w:r>
              <w:t xml:space="preserve"> 27 Dec 2013 p. 6465)</w:t>
            </w:r>
          </w:p>
        </w:tc>
      </w:tr>
      <w:tr>
        <w:tc>
          <w:tcPr>
            <w:tcW w:w="3118" w:type="dxa"/>
            <w:shd w:val="clear" w:color="auto" w:fill="auto"/>
          </w:tcPr>
          <w:p>
            <w:pPr>
              <w:pStyle w:val="nTable"/>
              <w:spacing w:after="40"/>
              <w:rPr>
                <w:i/>
              </w:rPr>
            </w:pPr>
            <w:r>
              <w:rPr>
                <w:i/>
              </w:rPr>
              <w:t>Residential Tenancies Amendment Regulations 2014</w:t>
            </w:r>
          </w:p>
        </w:tc>
        <w:tc>
          <w:tcPr>
            <w:tcW w:w="1276" w:type="dxa"/>
            <w:shd w:val="clear" w:color="auto" w:fill="auto"/>
          </w:tcPr>
          <w:p>
            <w:pPr>
              <w:pStyle w:val="nTable"/>
              <w:spacing w:after="40"/>
            </w:pPr>
            <w:r>
              <w:t>21 Mar 2014 p. 730</w:t>
            </w:r>
            <w:r>
              <w:noBreakHyphen/>
              <w:t>1</w:t>
            </w:r>
          </w:p>
        </w:tc>
        <w:tc>
          <w:tcPr>
            <w:tcW w:w="2693" w:type="dxa"/>
            <w:shd w:val="clear" w:color="auto" w:fill="auto"/>
          </w:tcPr>
          <w:p>
            <w:pPr>
              <w:pStyle w:val="nTable"/>
              <w:spacing w:after="40"/>
            </w:pPr>
            <w:r>
              <w:t>r. 1 and 2: 21 Mar 2014 (see r. 2(a));</w:t>
            </w:r>
            <w:r>
              <w:br/>
              <w:t>Regulations other than r. 1 and 2: 1 Feb 2016 (see r. 2(b))</w:t>
            </w:r>
          </w:p>
        </w:tc>
      </w:tr>
      <w:tr>
        <w:tc>
          <w:tcPr>
            <w:tcW w:w="3118" w:type="dxa"/>
            <w:shd w:val="clear" w:color="auto" w:fill="auto"/>
          </w:tcPr>
          <w:p>
            <w:pPr>
              <w:pStyle w:val="nTable"/>
              <w:spacing w:after="40"/>
              <w:rPr>
                <w:i/>
              </w:rPr>
            </w:pPr>
            <w:r>
              <w:rPr>
                <w:i/>
              </w:rPr>
              <w:t>Residential Tenancies Amendment Regulations (No. 2) 2014</w:t>
            </w:r>
          </w:p>
        </w:tc>
        <w:tc>
          <w:tcPr>
            <w:tcW w:w="1276" w:type="dxa"/>
            <w:shd w:val="clear" w:color="auto" w:fill="auto"/>
          </w:tcPr>
          <w:p>
            <w:pPr>
              <w:pStyle w:val="nTable"/>
              <w:spacing w:after="40"/>
            </w:pPr>
            <w:r>
              <w:t>20 Jan 2015 p. 371</w:t>
            </w:r>
          </w:p>
        </w:tc>
        <w:tc>
          <w:tcPr>
            <w:tcW w:w="2693" w:type="dxa"/>
            <w:shd w:val="clear" w:color="auto" w:fill="auto"/>
          </w:tcPr>
          <w:p>
            <w:pPr>
              <w:pStyle w:val="nTable"/>
              <w:spacing w:after="40"/>
            </w:pPr>
            <w:r>
              <w:rPr>
                <w:snapToGrid w:val="0"/>
              </w:rPr>
              <w:t>r. 1 and 2: 20 Jan 2015 (see r. 2(a));</w:t>
            </w:r>
            <w:r>
              <w:rPr>
                <w:snapToGrid w:val="0"/>
              </w:rPr>
              <w:br/>
              <w:t>Regulations other than r. 1 and 2: 21 Mar 2015 (see r. 2(b))</w:t>
            </w:r>
          </w:p>
        </w:tc>
      </w:tr>
      <w:tr>
        <w:tc>
          <w:tcPr>
            <w:tcW w:w="3118" w:type="dxa"/>
            <w:shd w:val="clear" w:color="auto" w:fill="auto"/>
          </w:tcPr>
          <w:p>
            <w:pPr>
              <w:pStyle w:val="nTable"/>
              <w:spacing w:after="40"/>
            </w:pPr>
            <w:r>
              <w:rPr>
                <w:i/>
              </w:rPr>
              <w:t>Residential Tenancies Amendment Regulations 2015</w:t>
            </w:r>
            <w:r>
              <w:t xml:space="preserve"> </w:t>
            </w:r>
          </w:p>
        </w:tc>
        <w:tc>
          <w:tcPr>
            <w:tcW w:w="1276" w:type="dxa"/>
            <w:shd w:val="clear" w:color="auto" w:fill="auto"/>
          </w:tcPr>
          <w:p>
            <w:pPr>
              <w:pStyle w:val="nTable"/>
              <w:spacing w:after="40"/>
            </w:pPr>
            <w:r>
              <w:t>21 Aug 2015 p. 3311</w:t>
            </w:r>
            <w:r>
              <w:noBreakHyphen/>
              <w:t>16</w:t>
            </w:r>
          </w:p>
        </w:tc>
        <w:tc>
          <w:tcPr>
            <w:tcW w:w="2693" w:type="dxa"/>
            <w:shd w:val="clear" w:color="auto" w:fill="auto"/>
          </w:tcPr>
          <w:p>
            <w:pPr>
              <w:pStyle w:val="nTable"/>
              <w:spacing w:after="4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tc>
          <w:tcPr>
            <w:tcW w:w="3118" w:type="dxa"/>
            <w:shd w:val="clear" w:color="auto" w:fill="auto"/>
          </w:tcPr>
          <w:p>
            <w:pPr>
              <w:pStyle w:val="nTable"/>
              <w:spacing w:after="40"/>
              <w:rPr>
                <w:i/>
              </w:rPr>
            </w:pPr>
            <w:r>
              <w:rPr>
                <w:i/>
              </w:rPr>
              <w:t>Residential Tenancies Amendment Regulations (No. 2) 2015</w:t>
            </w:r>
          </w:p>
        </w:tc>
        <w:tc>
          <w:tcPr>
            <w:tcW w:w="1276" w:type="dxa"/>
            <w:shd w:val="clear" w:color="auto" w:fill="auto"/>
          </w:tcPr>
          <w:p>
            <w:pPr>
              <w:pStyle w:val="nTable"/>
              <w:spacing w:after="40"/>
            </w:pPr>
            <w:r>
              <w:t>29 Dec 2015 p. 5171</w:t>
            </w:r>
          </w:p>
        </w:tc>
        <w:tc>
          <w:tcPr>
            <w:tcW w:w="2693" w:type="dxa"/>
            <w:shd w:val="clear" w:color="auto" w:fill="auto"/>
          </w:tcPr>
          <w:p>
            <w:pPr>
              <w:pStyle w:val="nTable"/>
              <w:spacing w:after="40"/>
              <w:rPr>
                <w:snapToGrid w:val="0"/>
              </w:rPr>
            </w:pPr>
            <w:r>
              <w:rPr>
                <w:snapToGrid w:val="0"/>
              </w:rPr>
              <w:t>r. 1 and 2: 29 Dec 2015 (see r. 2(a));</w:t>
            </w:r>
            <w:r>
              <w:rPr>
                <w:snapToGrid w:val="0"/>
              </w:rPr>
              <w:br/>
              <w:t>Regulations other than r. 1 and 2: 1 Jan 2016 (see r. 2(b))</w:t>
            </w:r>
          </w:p>
        </w:tc>
      </w:tr>
      <w:tr>
        <w:tc>
          <w:tcPr>
            <w:tcW w:w="3118" w:type="dxa"/>
            <w:shd w:val="clear" w:color="auto" w:fill="auto"/>
          </w:tcPr>
          <w:p>
            <w:pPr>
              <w:pStyle w:val="nTable"/>
              <w:spacing w:after="40"/>
              <w:rPr>
                <w:i/>
              </w:rPr>
            </w:pPr>
            <w:r>
              <w:rPr>
                <w:i/>
              </w:rPr>
              <w:t>Residential Tenancies Amendment Regulations 2016</w:t>
            </w:r>
          </w:p>
        </w:tc>
        <w:tc>
          <w:tcPr>
            <w:tcW w:w="1276" w:type="dxa"/>
            <w:shd w:val="clear" w:color="auto" w:fill="auto"/>
          </w:tcPr>
          <w:p>
            <w:pPr>
              <w:pStyle w:val="nTable"/>
              <w:spacing w:after="40"/>
            </w:pPr>
            <w:r>
              <w:t>3 Jun 2016 p. 1714</w:t>
            </w:r>
            <w:r>
              <w:noBreakHyphen/>
              <w:t>16</w:t>
            </w:r>
          </w:p>
        </w:tc>
        <w:tc>
          <w:tcPr>
            <w:tcW w:w="2693" w:type="dxa"/>
            <w:shd w:val="clear" w:color="auto" w:fill="auto"/>
          </w:tcPr>
          <w:p>
            <w:pPr>
              <w:pStyle w:val="nTable"/>
              <w:spacing w:after="40"/>
              <w:rPr>
                <w:snapToGrid w:val="0"/>
              </w:rPr>
            </w:pPr>
            <w:r>
              <w:rPr>
                <w:snapToGrid w:val="0"/>
              </w:rPr>
              <w:t xml:space="preserve">r. 1 and 2: </w:t>
            </w:r>
            <w:r>
              <w:t>3 Jun 2016</w:t>
            </w:r>
            <w:r>
              <w:rPr>
                <w:snapToGrid w:val="0"/>
              </w:rPr>
              <w:t xml:space="preserve"> (see r. 2(a));</w:t>
            </w:r>
            <w:r>
              <w:rPr>
                <w:snapToGrid w:val="0"/>
              </w:rPr>
              <w:br/>
              <w:t xml:space="preserve">Regulations other than r. 1 and 2: </w:t>
            </w:r>
            <w:r>
              <w:t>1 Sep 2016 (see r. 2(b))</w:t>
            </w:r>
          </w:p>
        </w:tc>
      </w:tr>
      <w:tr>
        <w:tc>
          <w:tcPr>
            <w:tcW w:w="3118" w:type="dxa"/>
            <w:shd w:val="clear" w:color="auto" w:fill="auto"/>
          </w:tcPr>
          <w:p>
            <w:pPr>
              <w:pStyle w:val="nTable"/>
              <w:spacing w:after="40"/>
              <w:rPr>
                <w:i/>
              </w:rPr>
            </w:pPr>
            <w:r>
              <w:rPr>
                <w:i/>
              </w:rPr>
              <w:t xml:space="preserve">Commerce Regulations Amendment (Fees and Charges) Regulations 2016 </w:t>
            </w:r>
            <w:r>
              <w:t>Pt. 17</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snapToGrid w:val="0"/>
              </w:rPr>
            </w:pPr>
            <w:r>
              <w:rPr>
                <w:snapToGrid w:val="0"/>
              </w:rPr>
              <w:t>1 Jul 2016 (see r. 2(b))</w:t>
            </w:r>
          </w:p>
        </w:tc>
      </w:tr>
      <w:tr>
        <w:tc>
          <w:tcPr>
            <w:tcW w:w="7087" w:type="dxa"/>
            <w:gridSpan w:val="3"/>
            <w:shd w:val="clear" w:color="auto" w:fill="auto"/>
          </w:tcPr>
          <w:p>
            <w:pPr>
              <w:pStyle w:val="nTable"/>
              <w:spacing w:after="40"/>
              <w:rPr>
                <w:snapToGrid w:val="0"/>
              </w:rPr>
            </w:pPr>
            <w:r>
              <w:rPr>
                <w:b/>
                <w:snapToGrid w:val="0"/>
              </w:rPr>
              <w:t xml:space="preserve">Reprint 5: The </w:t>
            </w:r>
            <w:r>
              <w:rPr>
                <w:b/>
                <w:i/>
                <w:noProof/>
                <w:snapToGrid w:val="0"/>
              </w:rPr>
              <w:t>Residential Tenancies Regulations 1989</w:t>
            </w:r>
            <w:r>
              <w:rPr>
                <w:b/>
                <w:snapToGrid w:val="0"/>
              </w:rPr>
              <w:t xml:space="preserve"> as at 16 Dec 2016</w:t>
            </w:r>
            <w:r>
              <w:rPr>
                <w:snapToGrid w:val="0"/>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19</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Residential Tenancies Amendment Regulations 2017</w:t>
            </w:r>
          </w:p>
        </w:tc>
        <w:tc>
          <w:tcPr>
            <w:tcW w:w="1276" w:type="dxa"/>
          </w:tcPr>
          <w:p>
            <w:pPr>
              <w:pStyle w:val="nTable"/>
              <w:spacing w:after="40"/>
            </w:pPr>
            <w:r>
              <w:t>30 Jun 2017 p. 3554</w:t>
            </w:r>
            <w:r>
              <w:noBreakHyphen/>
              <w:t>9</w:t>
            </w:r>
          </w:p>
        </w:tc>
        <w:tc>
          <w:tcPr>
            <w:tcW w:w="2693" w:type="dxa"/>
          </w:tcPr>
          <w:p>
            <w:pPr>
              <w:pStyle w:val="nTable"/>
              <w:spacing w:after="40"/>
            </w:pPr>
            <w:r>
              <w:rPr>
                <w:snapToGrid w:val="0"/>
              </w:rPr>
              <w:t xml:space="preserve">r. 1 and 2: </w:t>
            </w:r>
            <w:r>
              <w:t>30 Jun 2017</w:t>
            </w:r>
            <w:r>
              <w:rPr>
                <w:snapToGrid w:val="0"/>
              </w:rPr>
              <w:t xml:space="preserve"> (see r. 2(a));</w:t>
            </w:r>
            <w:r>
              <w:rPr>
                <w:snapToGrid w:val="0"/>
              </w:rPr>
              <w:br/>
              <w:t xml:space="preserve">Regulations other than r. 1 and 2: </w:t>
            </w:r>
            <w:r>
              <w:t xml:space="preserve">3 Jul 2017 (see r. 2(b) and </w:t>
            </w:r>
            <w:r>
              <w:rPr>
                <w:i/>
              </w:rPr>
              <w:t>Gazette</w:t>
            </w:r>
            <w:r>
              <w:t xml:space="preserve"> 30 Jun 2017 p. 3551</w:t>
            </w:r>
            <w:r>
              <w:noBreakHyphen/>
              <w:t>2)</w:t>
            </w:r>
          </w:p>
        </w:tc>
      </w:tr>
      <w:tr>
        <w:tc>
          <w:tcPr>
            <w:tcW w:w="3118" w:type="dxa"/>
            <w:tcBorders>
              <w:bottom w:val="single" w:sz="4" w:space="0" w:color="auto"/>
            </w:tcBorders>
          </w:tcPr>
          <w:p>
            <w:pPr>
              <w:pStyle w:val="nTable"/>
              <w:spacing w:after="40"/>
              <w:rPr>
                <w:i/>
              </w:rPr>
            </w:pPr>
            <w:r>
              <w:rPr>
                <w:i/>
              </w:rPr>
              <w:t>Residential Tenancies Amendment Regulations (No. 2) 2017</w:t>
            </w:r>
          </w:p>
        </w:tc>
        <w:tc>
          <w:tcPr>
            <w:tcW w:w="1276" w:type="dxa"/>
            <w:tcBorders>
              <w:bottom w:val="single" w:sz="4" w:space="0" w:color="auto"/>
            </w:tcBorders>
          </w:tcPr>
          <w:p>
            <w:pPr>
              <w:pStyle w:val="nTable"/>
              <w:spacing w:after="40"/>
            </w:pPr>
            <w:r>
              <w:t>8 Dec 2017 p. 5843</w:t>
            </w:r>
          </w:p>
        </w:tc>
        <w:tc>
          <w:tcPr>
            <w:tcW w:w="2693" w:type="dxa"/>
            <w:tcBorders>
              <w:bottom w:val="single" w:sz="4" w:space="0" w:color="auto"/>
            </w:tcBorders>
          </w:tcPr>
          <w:p>
            <w:pPr>
              <w:pStyle w:val="nTable"/>
              <w:spacing w:after="40"/>
              <w:rPr>
                <w:snapToGrid w:val="0"/>
              </w:rPr>
            </w:pPr>
            <w:r>
              <w:t>r. 1 and 2: 8 Dec 2017 (see r. 2(a));</w:t>
            </w:r>
            <w:r>
              <w:br/>
              <w:t>Regulations other than r. 1 and 2: 1 Jan 2018 (see r. 2(b))</w:t>
            </w:r>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spacing w:before="160"/>
      </w:pPr>
      <w:r>
        <w:rPr>
          <w:vertAlign w:val="superscript"/>
        </w:rPr>
        <w:t>3</w:t>
      </w:r>
      <w:r>
        <w:tab/>
        <w:t xml:space="preserve">Repealed by the </w:t>
      </w:r>
      <w:r>
        <w:rPr>
          <w:i/>
          <w:snapToGrid w:val="0"/>
        </w:rPr>
        <w:t>Biosecurity and Agriculture Management (Repeal and Consequential Provisions) Act 2007</w:t>
      </w:r>
      <w:r>
        <w:t>.</w:t>
      </w:r>
    </w:p>
    <w:p>
      <w:pPr>
        <w:pStyle w:val="nSubsection"/>
        <w:spacing w:before="160"/>
      </w:pPr>
      <w:r>
        <w:rPr>
          <w:vertAlign w:val="superscript"/>
        </w:rPr>
        <w:t>4</w:t>
      </w:r>
      <w:r>
        <w:tab/>
        <w:t xml:space="preserve">Repealed by the </w:t>
      </w:r>
      <w:r>
        <w:rPr>
          <w:i/>
          <w:snapToGrid w:val="0"/>
        </w:rPr>
        <w:t>Legal Profession Act 2008</w:t>
      </w:r>
      <w:r>
        <w:t>.</w:t>
      </w:r>
    </w:p>
    <w:p>
      <w:pPr>
        <w:pStyle w:val="nSubsection"/>
        <w:spacing w:before="160"/>
      </w:pPr>
      <w:r>
        <w:rPr>
          <w:vertAlign w:val="superscript"/>
        </w:rPr>
        <w:t>5</w:t>
      </w:r>
      <w:r>
        <w:tab/>
        <w:t xml:space="preserve">The </w:t>
      </w:r>
      <w:r>
        <w:rPr>
          <w:i/>
        </w:rPr>
        <w:t>Residential Tenancies Act 1987</w:t>
      </w:r>
      <w:r>
        <w:t xml:space="preserve"> Sch. 1 cl. 7 was deleted by the </w:t>
      </w:r>
      <w:r>
        <w:rPr>
          <w:i/>
        </w:rPr>
        <w:t>Residential Tenancies Amendment Act 2011</w:t>
      </w:r>
      <w:r>
        <w:t xml:space="preserve"> s. 87(16).</w:t>
      </w:r>
    </w:p>
    <w:p>
      <w:pPr>
        <w:pStyle w:val="nSubsection"/>
        <w:spacing w:before="160"/>
      </w:pPr>
      <w:r>
        <w:rPr>
          <w:vertAlign w:val="superscript"/>
        </w:rPr>
        <w:t>6</w:t>
      </w:r>
      <w:r>
        <w:tab/>
        <w:t>Now called the Consolidated Account.</w:t>
      </w:r>
    </w:p>
    <w:p>
      <w:pPr>
        <w:pStyle w:val="nSubsection"/>
        <w:spacing w:before="160"/>
      </w:pPr>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66" w:name="_Toc500418625"/>
      <w:bookmarkStart w:id="67" w:name="_Toc501528225"/>
      <w:r>
        <w:rPr>
          <w:sz w:val="28"/>
        </w:rPr>
        <w:t>Defined terms</w:t>
      </w:r>
      <w:bookmarkEnd w:id="66"/>
      <w:bookmarkEnd w:id="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 5039</w:t>
      </w:r>
      <w:r>
        <w:noBreakHyphen/>
        <w:t>2008</w:t>
      </w:r>
      <w:r>
        <w:tab/>
        <w:t>12B(1)</w:t>
      </w:r>
    </w:p>
    <w:p>
      <w:pPr>
        <w:pStyle w:val="DefinedTerms"/>
      </w:pPr>
      <w:r>
        <w:t>bond holder</w:t>
      </w:r>
      <w:r>
        <w:tab/>
        <w:t>15(7)</w:t>
      </w:r>
    </w:p>
    <w:p>
      <w:pPr>
        <w:pStyle w:val="DefinedTerms"/>
      </w:pPr>
      <w:r>
        <w:t>commencement day</w:t>
      </w:r>
      <w:r>
        <w:tab/>
        <w:t>5A(1A)</w:t>
      </w:r>
    </w:p>
    <w:p>
      <w:pPr>
        <w:pStyle w:val="DefinedTerms"/>
      </w:pPr>
      <w:r>
        <w:t>deadlock</w:t>
      </w:r>
      <w:r>
        <w:tab/>
        <w:t>12B(1)</w:t>
      </w:r>
    </w:p>
    <w:p>
      <w:pPr>
        <w:pStyle w:val="DefinedTerms"/>
      </w:pPr>
      <w:r>
        <w:t>financially disadvantaged person</w:t>
      </w:r>
      <w:r>
        <w:tab/>
        <w:t>Sch. 3</w:t>
      </w:r>
    </w:p>
    <w:p>
      <w:pPr>
        <w:pStyle w:val="DefinedTerms"/>
      </w:pPr>
      <w:r>
        <w:t>Foyer Oxford</w:t>
      </w:r>
      <w:r>
        <w:tab/>
        <w:t>7D(1)</w:t>
      </w:r>
    </w:p>
    <w:p>
      <w:pPr>
        <w:pStyle w:val="DefinedTerms"/>
      </w:pPr>
      <w:r>
        <w:t>Government employee</w:t>
      </w:r>
      <w:r>
        <w:tab/>
        <w:t>5B(1)</w:t>
      </w:r>
    </w:p>
    <w:p>
      <w:pPr>
        <w:pStyle w:val="DefinedTerms"/>
      </w:pPr>
      <w:r>
        <w:t>Housing Authority</w:t>
      </w:r>
      <w:r>
        <w:tab/>
        <w:t>3A</w:t>
      </w:r>
    </w:p>
    <w:p>
      <w:pPr>
        <w:pStyle w:val="DefinedTerms"/>
      </w:pPr>
      <w:r>
        <w:t>housing management agreement</w:t>
      </w:r>
      <w:r>
        <w:tab/>
        <w:t>3A</w:t>
      </w:r>
    </w:p>
    <w:p>
      <w:pPr>
        <w:pStyle w:val="DefinedTerms"/>
      </w:pPr>
      <w:r>
        <w:t>person of Aboriginal descent</w:t>
      </w:r>
      <w:r>
        <w:tab/>
        <w:t>5AD(1)</w:t>
      </w:r>
    </w:p>
    <w:p>
      <w:pPr>
        <w:pStyle w:val="DefinedTerms"/>
      </w:pPr>
      <w:r>
        <w:t>premises</w:t>
      </w:r>
      <w:r>
        <w:tab/>
        <w:t>5AD(2)</w:t>
      </w:r>
    </w:p>
    <w:p>
      <w:pPr>
        <w:pStyle w:val="DefinedTerms"/>
      </w:pPr>
      <w:r>
        <w:t>Register of Heritage Places</w:t>
      </w:r>
      <w:r>
        <w:tab/>
        <w:t>7A(1)</w:t>
      </w:r>
    </w:p>
    <w:p>
      <w:pPr>
        <w:pStyle w:val="DefinedTerms"/>
      </w:pPr>
      <w:r>
        <w:t>relevant bank accepted bills rate</w:t>
      </w:r>
      <w:r>
        <w:tab/>
        <w:t>14(1)</w:t>
      </w:r>
    </w:p>
    <w:p>
      <w:pPr>
        <w:pStyle w:val="DefinedTerms"/>
      </w:pPr>
      <w:r>
        <w:t>retirement village</w:t>
      </w:r>
      <w:r>
        <w:tab/>
        <w:t>3(2)</w:t>
      </w:r>
    </w:p>
    <w:p>
      <w:pPr>
        <w:pStyle w:val="DefinedTerms"/>
      </w:pPr>
      <w:r>
        <w:t>rural land</w:t>
      </w:r>
      <w:r>
        <w:tab/>
        <w:t>7A(1)</w:t>
      </w:r>
    </w:p>
    <w:p>
      <w:pPr>
        <w:pStyle w:val="DefinedTerms"/>
      </w:pPr>
      <w:r>
        <w:t>security bond</w:t>
      </w:r>
      <w:r>
        <w:tab/>
        <w:t>15(7)</w:t>
      </w:r>
    </w:p>
    <w:p>
      <w:pPr>
        <w:pStyle w:val="DefinedTerms"/>
      </w:pPr>
      <w:r>
        <w:t>specified power</w:t>
      </w:r>
      <w:r>
        <w:tab/>
        <w:t>5(2), 5D(2)</w:t>
      </w:r>
    </w:p>
    <w:p>
      <w:pPr>
        <w:pStyle w:val="DefinedTerms"/>
      </w:pPr>
      <w:r>
        <w:t>St Thomas More College</w:t>
      </w:r>
      <w:r>
        <w:tab/>
        <w:t>5AAA(1)</w:t>
      </w:r>
    </w:p>
    <w:p>
      <w:pPr>
        <w:pStyle w:val="DefinedTerms"/>
      </w:pPr>
      <w:r>
        <w:t>Unclaimed Security Bond Account</w:t>
      </w:r>
      <w:r>
        <w:tab/>
        <w:t>15(7)</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57" w:name="Schedule"/>
    <w:bookmarkEnd w:id="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5" w:name="Compilation"/>
    <w:bookmarkEnd w:id="65"/>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 w:name="DefinedTerms"/>
    <w:bookmarkEnd w:id="68"/>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 w:name="Coversheet"/>
    <w:bookmarkEnd w:id="6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4CC03303"/>
    <w:multiLevelType w:val="singleLevel"/>
    <w:tmpl w:val="0809000F"/>
    <w:lvl w:ilvl="0">
      <w:start w:val="1"/>
      <w:numFmt w:val="decimal"/>
      <w:lvlText w:val="%1."/>
      <w:lvlJc w:val="left"/>
      <w:pPr>
        <w:tabs>
          <w:tab w:val="num" w:pos="360"/>
        </w:tabs>
        <w:ind w:left="360" w:hanging="360"/>
      </w:pPr>
    </w:lvl>
  </w:abstractNum>
  <w:abstractNum w:abstractNumId="29">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2"/>
  </w:num>
  <w:num w:numId="14">
    <w:abstractNumId w:val="25"/>
  </w:num>
  <w:num w:numId="15">
    <w:abstractNumId w:val="27"/>
  </w:num>
  <w:num w:numId="16">
    <w:abstractNumId w:val="16"/>
  </w:num>
  <w:num w:numId="17">
    <w:abstractNumId w:val="11"/>
  </w:num>
  <w:num w:numId="18">
    <w:abstractNumId w:val="28"/>
  </w:num>
  <w:num w:numId="19">
    <w:abstractNumId w:val="18"/>
  </w:num>
  <w:num w:numId="20">
    <w:abstractNumId w:val="13"/>
  </w:num>
  <w:num w:numId="21">
    <w:abstractNumId w:val="30"/>
  </w:num>
  <w:num w:numId="22">
    <w:abstractNumId w:val="29"/>
  </w:num>
  <w:num w:numId="23">
    <w:abstractNumId w:val="23"/>
  </w:num>
  <w:num w:numId="24">
    <w:abstractNumId w:val="15"/>
  </w:num>
  <w:num w:numId="25">
    <w:abstractNumId w:val="10"/>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07105409"/>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 w:name="WAFER_20160630120214" w:val="RemoveTocBookmarks,RemoveUnusedBookmarks,RemoveLanguageTags,UsedStyles,ResetPageSize"/>
    <w:docVar w:name="WAFER_20160630120214_GUID" w:val="80384197-ca59-4ad2-8238-5b0f5a7cafac"/>
    <w:docVar w:name="WAFER_20160826100009" w:val="RemoveTocBookmarks,RemoveUnusedBookmarks,RemoveLanguageTags,UsedStyles,ResetPageSize"/>
    <w:docVar w:name="WAFER_20160826100009_GUID" w:val="d1d1bdd4-426c-4705-ba88-c3384ab93329"/>
    <w:docVar w:name="WAFER_20160929141300" w:val="RemoveTocBookmarks,RemoveUnusedBookmarks,RemoveLanguageTags,UsedStyles,ResetPageSize,RemoveCustomizations"/>
    <w:docVar w:name="WAFER_20160929141300_GUID" w:val="54ab6e71-413f-4933-9a8c-f0b9f87da55f"/>
    <w:docVar w:name="WAFER_20161215074733" w:val="RemoveTocBookmarks,RemoveUnusedBookmarks,RemoveLanguageTags,UsedStyles,RemoveTrackChanges"/>
    <w:docVar w:name="WAFER_20161215074733_GUID" w:val="07603bb8-f47e-402e-9258-6c6c06793ebc"/>
    <w:docVar w:name="WAFER_20161215074741" w:val="RemoveTocBookmarks,RemoveLanguageTags,RemoveTrackChanges,RunningHeaders"/>
    <w:docVar w:name="WAFER_20161215074741_GUID" w:val="30459a7a-e582-42b5-aabf-d64b128c0457"/>
    <w:docVar w:name="WAFER_20171207105409" w:val="RemoveTocBookmarks,RemoveUnusedBookmarks,RemoveLanguageTags,UsedStyles,ResetPageSize"/>
    <w:docVar w:name="WAFER_20171207105409_GUID" w:val="d174dab3-49c2-4ccd-b8ce-968513e2ec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yperlink" Target="http://www.commerce.wa.gov.au/ConsumerProtection" TargetMode="Externa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2.png"/><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8A4DE-1866-475D-857E-29EC1107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28533</Words>
  <Characters>142667</Characters>
  <Application>Microsoft Office Word</Application>
  <DocSecurity>0</DocSecurity>
  <Lines>4323</Lines>
  <Paragraphs>2313</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168887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1989 - 05-e0-00</dc:title>
  <dc:subject/>
  <dc:creator/>
  <cp:keywords/>
  <dc:description/>
  <cp:lastModifiedBy>svcMRProcess</cp:lastModifiedBy>
  <cp:revision>4</cp:revision>
  <cp:lastPrinted>2016-12-22T08:06:00Z</cp:lastPrinted>
  <dcterms:created xsi:type="dcterms:W3CDTF">2017-12-29T06:00:00Z</dcterms:created>
  <dcterms:modified xsi:type="dcterms:W3CDTF">2017-12-29T06:00:00Z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edAsAt">
    <vt:filetime>2016-12-15T16:00:00Z</vt:filetime>
  </property>
  <property fmtid="{D5CDD505-2E9C-101B-9397-08002B2CF9AE}" pid="6" name="ReprintNo">
    <vt:lpwstr>5</vt:lpwstr>
  </property>
  <property fmtid="{D5CDD505-2E9C-101B-9397-08002B2CF9AE}" pid="7" name="AsAtDate">
    <vt:lpwstr>01 Jan 2018</vt:lpwstr>
  </property>
  <property fmtid="{D5CDD505-2E9C-101B-9397-08002B2CF9AE}" pid="8" name="Suffix">
    <vt:lpwstr>05-e0-00</vt:lpwstr>
  </property>
  <property fmtid="{D5CDD505-2E9C-101B-9397-08002B2CF9AE}" pid="9" name="CommencementDate">
    <vt:lpwstr>20180101</vt:lpwstr>
  </property>
</Properties>
</file>