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Energy Operators (Powers)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Energy Operators (Regional Power Corporation) (Charges) By-laws 2006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Energy Operators (Regional Power Corporation) (Charges) By-laws 2006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_Toc502736789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_Toc502736790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_Toc502736791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snapToGrid w:val="0"/>
        </w:rPr>
        <w:t>Electricity charges</w:t>
      </w:r>
      <w:r>
        <w:tab/>
      </w:r>
      <w:r>
        <w:fldChar w:fldCharType="begin"/>
      </w:r>
      <w:r>
        <w:instrText xml:space="preserve"> PAGEREF _Toc502736792 \h </w:instrText>
      </w:r>
      <w:r>
        <w:fldChar w:fldCharType="separate"/>
      </w:r>
      <w:r>
        <w:t>2</w:t>
      </w:r>
      <w:r>
        <w:fldChar w:fldCharType="end"/>
      </w:r>
    </w:p>
    <w:p>
      <w:pPr>
        <w:pStyle w:val="TOC8"/>
        <w:rPr>
          <w:rFonts w:asciiTheme="minorHAnsi" w:eastAsiaTheme="minorEastAsia" w:hAnsiTheme="minorHAnsi" w:cstheme="minorBidi"/>
          <w:szCs w:val="22"/>
        </w:rPr>
      </w:pPr>
      <w:r>
        <w:t>5.</w:t>
      </w:r>
      <w:r>
        <w:tab/>
        <w:t>Application of residential tariffs</w:t>
      </w:r>
      <w:r>
        <w:tab/>
      </w:r>
      <w:r>
        <w:fldChar w:fldCharType="begin"/>
      </w:r>
      <w:r>
        <w:instrText xml:space="preserve"> PAGEREF _Toc502736793 \h </w:instrText>
      </w:r>
      <w:r>
        <w:fldChar w:fldCharType="separate"/>
      </w:r>
      <w:r>
        <w:t>3</w:t>
      </w:r>
      <w:r>
        <w:fldChar w:fldCharType="end"/>
      </w:r>
    </w:p>
    <w:p>
      <w:pPr>
        <w:pStyle w:val="TOC8"/>
        <w:rPr>
          <w:rFonts w:asciiTheme="minorHAnsi" w:eastAsiaTheme="minorEastAsia" w:hAnsiTheme="minorHAnsi" w:cstheme="minorBidi"/>
          <w:szCs w:val="22"/>
        </w:rPr>
      </w:pPr>
      <w:r>
        <w:t>6.</w:t>
      </w:r>
      <w:r>
        <w:tab/>
        <w:t>Meter rental</w:t>
      </w:r>
      <w:r>
        <w:tab/>
      </w:r>
      <w:r>
        <w:fldChar w:fldCharType="begin"/>
      </w:r>
      <w:r>
        <w:instrText xml:space="preserve"> PAGEREF _Toc502736794 \h </w:instrText>
      </w:r>
      <w:r>
        <w:fldChar w:fldCharType="separate"/>
      </w:r>
      <w:r>
        <w:t>3</w:t>
      </w:r>
      <w:r>
        <w:fldChar w:fldCharType="end"/>
      </w:r>
    </w:p>
    <w:p>
      <w:pPr>
        <w:pStyle w:val="TOC8"/>
        <w:rPr>
          <w:rFonts w:asciiTheme="minorHAnsi" w:eastAsiaTheme="minorEastAsia" w:hAnsiTheme="minorHAnsi" w:cstheme="minorBidi"/>
          <w:szCs w:val="22"/>
        </w:rPr>
      </w:pPr>
      <w:r>
        <w:t>7.</w:t>
      </w:r>
      <w:r>
        <w:tab/>
        <w:t>Fees</w:t>
      </w:r>
      <w:r>
        <w:tab/>
      </w:r>
      <w:r>
        <w:fldChar w:fldCharType="begin"/>
      </w:r>
      <w:r>
        <w:instrText xml:space="preserve"> PAGEREF _Toc502736795 \h </w:instrText>
      </w:r>
      <w:r>
        <w:fldChar w:fldCharType="separate"/>
      </w:r>
      <w:r>
        <w:t>3</w:t>
      </w:r>
      <w:r>
        <w:fldChar w:fldCharType="end"/>
      </w:r>
    </w:p>
    <w:p>
      <w:pPr>
        <w:pStyle w:val="TOC8"/>
        <w:rPr>
          <w:rFonts w:asciiTheme="minorHAnsi" w:eastAsiaTheme="minorEastAsia" w:hAnsiTheme="minorHAnsi" w:cstheme="minorBidi"/>
          <w:szCs w:val="22"/>
        </w:rPr>
      </w:pPr>
      <w:r>
        <w:t>8.</w:t>
      </w:r>
      <w:r>
        <w:tab/>
        <w:t>Payment</w:t>
      </w:r>
      <w:r>
        <w:tab/>
      </w:r>
      <w:r>
        <w:fldChar w:fldCharType="begin"/>
      </w:r>
      <w:r>
        <w:instrText xml:space="preserve"> PAGEREF _Toc502736796 \h </w:instrText>
      </w:r>
      <w:r>
        <w:fldChar w:fldCharType="separate"/>
      </w:r>
      <w:r>
        <w:t>3</w:t>
      </w:r>
      <w:r>
        <w:fldChar w:fldCharType="end"/>
      </w:r>
    </w:p>
    <w:p>
      <w:pPr>
        <w:pStyle w:val="TOC8"/>
        <w:rPr>
          <w:rFonts w:asciiTheme="minorHAnsi" w:eastAsiaTheme="minorEastAsia" w:hAnsiTheme="minorHAnsi" w:cstheme="minorBidi"/>
          <w:szCs w:val="22"/>
        </w:rPr>
      </w:pPr>
      <w:r>
        <w:t>10.</w:t>
      </w:r>
      <w:r>
        <w:tab/>
        <w:t>Calculation of charges</w:t>
      </w:r>
      <w:r>
        <w:tab/>
      </w:r>
      <w:r>
        <w:fldChar w:fldCharType="begin"/>
      </w:r>
      <w:r>
        <w:instrText xml:space="preserve"> PAGEREF _Toc502736797 \h </w:instrText>
      </w:r>
      <w:r>
        <w:fldChar w:fldCharType="separate"/>
      </w:r>
      <w:r>
        <w:t>4</w:t>
      </w:r>
      <w:r>
        <w:fldChar w:fldCharType="end"/>
      </w:r>
    </w:p>
    <w:p>
      <w:pPr>
        <w:pStyle w:val="TOC8"/>
        <w:rPr>
          <w:rFonts w:asciiTheme="minorHAnsi" w:eastAsiaTheme="minorEastAsia" w:hAnsiTheme="minorHAnsi" w:cstheme="minorBidi"/>
          <w:szCs w:val="22"/>
        </w:rPr>
      </w:pPr>
      <w:r>
        <w:t>11.</w:t>
      </w:r>
      <w:r>
        <w:tab/>
        <w:t>Changes in rates</w:t>
      </w:r>
      <w:r>
        <w:tab/>
      </w:r>
      <w:r>
        <w:fldChar w:fldCharType="begin"/>
      </w:r>
      <w:r>
        <w:instrText xml:space="preserve"> PAGEREF _Toc502736798 \h </w:instrText>
      </w:r>
      <w:r>
        <w:fldChar w:fldCharType="separate"/>
      </w:r>
      <w:r>
        <w:t>5</w:t>
      </w:r>
      <w:r>
        <w:fldChar w:fldCharType="end"/>
      </w:r>
    </w:p>
    <w:p>
      <w:pPr>
        <w:pStyle w:val="TOC8"/>
        <w:rPr>
          <w:rFonts w:asciiTheme="minorHAnsi" w:eastAsiaTheme="minorEastAsia" w:hAnsiTheme="minorHAnsi" w:cstheme="minorBidi"/>
          <w:szCs w:val="22"/>
        </w:rPr>
      </w:pPr>
      <w:r>
        <w:t>12.</w:t>
      </w:r>
      <w:r>
        <w:tab/>
        <w:t>Prescribed rate of interest for s. 62(16) of Act</w:t>
      </w:r>
      <w:r>
        <w:tab/>
      </w:r>
      <w:r>
        <w:fldChar w:fldCharType="begin"/>
      </w:r>
      <w:r>
        <w:instrText xml:space="preserve"> PAGEREF _Toc502736799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1 — Supply charges</w:t>
      </w:r>
    </w:p>
    <w:p>
      <w:pPr>
        <w:pStyle w:val="TOC4"/>
        <w:tabs>
          <w:tab w:val="right" w:leader="dot" w:pos="7077"/>
        </w:tabs>
        <w:rPr>
          <w:rFonts w:asciiTheme="minorHAnsi" w:eastAsiaTheme="minorEastAsia" w:hAnsiTheme="minorHAnsi" w:cstheme="minorBidi"/>
          <w:b w:val="0"/>
          <w:szCs w:val="22"/>
        </w:rPr>
      </w:pPr>
      <w:r>
        <w:t>Division 1 — Tariffs other than MyPower tariffs</w:t>
      </w:r>
    </w:p>
    <w:p>
      <w:pPr>
        <w:pStyle w:val="TOC8"/>
        <w:rPr>
          <w:rFonts w:asciiTheme="minorHAnsi" w:eastAsiaTheme="minorEastAsia" w:hAnsiTheme="minorHAnsi" w:cstheme="minorBidi"/>
          <w:szCs w:val="22"/>
        </w:rPr>
      </w:pPr>
      <w:r>
        <w:t>1.</w:t>
      </w:r>
      <w:r>
        <w:tab/>
        <w:t>Tariff L2 (general supply — low/medium voltage tariff)</w:t>
      </w:r>
      <w:r>
        <w:tab/>
      </w:r>
      <w:r>
        <w:fldChar w:fldCharType="begin"/>
      </w:r>
      <w:r>
        <w:instrText xml:space="preserve"> PAGEREF _Toc502736802 \h </w:instrText>
      </w:r>
      <w:r>
        <w:fldChar w:fldCharType="separate"/>
      </w:r>
      <w:r>
        <w:t>6</w:t>
      </w:r>
      <w:r>
        <w:fldChar w:fldCharType="end"/>
      </w:r>
    </w:p>
    <w:p>
      <w:pPr>
        <w:pStyle w:val="TOC8"/>
        <w:rPr>
          <w:rFonts w:asciiTheme="minorHAnsi" w:eastAsiaTheme="minorEastAsia" w:hAnsiTheme="minorHAnsi" w:cstheme="minorBidi"/>
          <w:szCs w:val="22"/>
        </w:rPr>
      </w:pPr>
      <w:r>
        <w:t>2.</w:t>
      </w:r>
      <w:r>
        <w:tab/>
        <w:t>Tariff L4 (general supply — low/medium voltage tariff)</w:t>
      </w:r>
      <w:r>
        <w:tab/>
      </w:r>
      <w:r>
        <w:fldChar w:fldCharType="begin"/>
      </w:r>
      <w:r>
        <w:instrText xml:space="preserve"> PAGEREF _Toc502736803 \h </w:instrText>
      </w:r>
      <w:r>
        <w:fldChar w:fldCharType="separate"/>
      </w:r>
      <w:r>
        <w:t>6</w:t>
      </w:r>
      <w:r>
        <w:fldChar w:fldCharType="end"/>
      </w:r>
    </w:p>
    <w:p>
      <w:pPr>
        <w:pStyle w:val="TOC8"/>
        <w:rPr>
          <w:rFonts w:asciiTheme="minorHAnsi" w:eastAsiaTheme="minorEastAsia" w:hAnsiTheme="minorHAnsi" w:cstheme="minorBidi"/>
          <w:szCs w:val="22"/>
        </w:rPr>
      </w:pPr>
      <w:r>
        <w:t>3.</w:t>
      </w:r>
      <w:r>
        <w:tab/>
        <w:t>Tariff A2 (residential tariff)</w:t>
      </w:r>
      <w:r>
        <w:tab/>
      </w:r>
      <w:r>
        <w:fldChar w:fldCharType="begin"/>
      </w:r>
      <w:r>
        <w:instrText xml:space="preserve"> PAGEREF _Toc502736804 \h </w:instrText>
      </w:r>
      <w:r>
        <w:fldChar w:fldCharType="separate"/>
      </w:r>
      <w:r>
        <w:t>7</w:t>
      </w:r>
      <w:r>
        <w:fldChar w:fldCharType="end"/>
      </w:r>
    </w:p>
    <w:p>
      <w:pPr>
        <w:pStyle w:val="TOC8"/>
        <w:rPr>
          <w:rFonts w:asciiTheme="minorHAnsi" w:eastAsiaTheme="minorEastAsia" w:hAnsiTheme="minorHAnsi" w:cstheme="minorBidi"/>
          <w:szCs w:val="22"/>
        </w:rPr>
      </w:pPr>
      <w:r>
        <w:t>4.</w:t>
      </w:r>
      <w:r>
        <w:tab/>
        <w:t>Tariff C2 (special community service tariff)</w:t>
      </w:r>
      <w:r>
        <w:tab/>
      </w:r>
      <w:r>
        <w:fldChar w:fldCharType="begin"/>
      </w:r>
      <w:r>
        <w:instrText xml:space="preserve"> PAGEREF _Toc502736805 \h </w:instrText>
      </w:r>
      <w:r>
        <w:fldChar w:fldCharType="separate"/>
      </w:r>
      <w:r>
        <w:t>7</w:t>
      </w:r>
      <w:r>
        <w:fldChar w:fldCharType="end"/>
      </w:r>
    </w:p>
    <w:p>
      <w:pPr>
        <w:pStyle w:val="TOC8"/>
        <w:rPr>
          <w:rFonts w:asciiTheme="minorHAnsi" w:eastAsiaTheme="minorEastAsia" w:hAnsiTheme="minorHAnsi" w:cstheme="minorBidi"/>
          <w:szCs w:val="22"/>
        </w:rPr>
      </w:pPr>
      <w:r>
        <w:t>5.</w:t>
      </w:r>
      <w:r>
        <w:tab/>
        <w:t>Tariff D2 (special tariff for certain premises)</w:t>
      </w:r>
      <w:r>
        <w:tab/>
      </w:r>
      <w:r>
        <w:fldChar w:fldCharType="begin"/>
      </w:r>
      <w:r>
        <w:instrText xml:space="preserve"> PAGEREF _Toc502736806 \h </w:instrText>
      </w:r>
      <w:r>
        <w:fldChar w:fldCharType="separate"/>
      </w:r>
      <w:r>
        <w:t>8</w:t>
      </w:r>
      <w:r>
        <w:fldChar w:fldCharType="end"/>
      </w:r>
    </w:p>
    <w:p>
      <w:pPr>
        <w:pStyle w:val="TOC8"/>
        <w:rPr>
          <w:rFonts w:asciiTheme="minorHAnsi" w:eastAsiaTheme="minorEastAsia" w:hAnsiTheme="minorHAnsi" w:cstheme="minorBidi"/>
          <w:szCs w:val="22"/>
        </w:rPr>
      </w:pPr>
      <w:r>
        <w:t>6.</w:t>
      </w:r>
      <w:r>
        <w:tab/>
        <w:t>Tariff K2 (general supply with residential tariff)</w:t>
      </w:r>
      <w:r>
        <w:tab/>
      </w:r>
      <w:r>
        <w:fldChar w:fldCharType="begin"/>
      </w:r>
      <w:r>
        <w:instrText xml:space="preserve"> PAGEREF _Toc502736807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MyPower tariffs</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_Toc502736809 \h </w:instrText>
      </w:r>
      <w:r>
        <w:fldChar w:fldCharType="separate"/>
      </w:r>
      <w:r>
        <w:t>9</w:t>
      </w:r>
      <w:r>
        <w:fldChar w:fldCharType="end"/>
      </w:r>
    </w:p>
    <w:p>
      <w:pPr>
        <w:pStyle w:val="TOC8"/>
        <w:rPr>
          <w:rFonts w:asciiTheme="minorHAnsi" w:eastAsiaTheme="minorEastAsia" w:hAnsiTheme="minorHAnsi" w:cstheme="minorBidi"/>
          <w:szCs w:val="22"/>
        </w:rPr>
      </w:pPr>
      <w:r>
        <w:t>8.</w:t>
      </w:r>
      <w:r>
        <w:tab/>
        <w:t>MyPower residential tariffs</w:t>
      </w:r>
      <w:r>
        <w:tab/>
      </w:r>
      <w:r>
        <w:fldChar w:fldCharType="begin"/>
      </w:r>
      <w:r>
        <w:instrText xml:space="preserve"> PAGEREF _Toc502736810 \h </w:instrText>
      </w:r>
      <w:r>
        <w:fldChar w:fldCharType="separate"/>
      </w:r>
      <w:r>
        <w:t>10</w:t>
      </w:r>
      <w:r>
        <w:fldChar w:fldCharType="end"/>
      </w:r>
    </w:p>
    <w:p>
      <w:pPr>
        <w:pStyle w:val="TOC8"/>
        <w:rPr>
          <w:rFonts w:asciiTheme="minorHAnsi" w:eastAsiaTheme="minorEastAsia" w:hAnsiTheme="minorHAnsi" w:cstheme="minorBidi"/>
          <w:szCs w:val="22"/>
        </w:rPr>
      </w:pPr>
      <w:r>
        <w:t>9.</w:t>
      </w:r>
      <w:r>
        <w:tab/>
        <w:t>MyPower non</w:t>
      </w:r>
      <w:r>
        <w:noBreakHyphen/>
        <w:t>residential tariffs</w:t>
      </w:r>
      <w:r>
        <w:tab/>
      </w:r>
      <w:r>
        <w:fldChar w:fldCharType="begin"/>
      </w:r>
      <w:r>
        <w:instrText xml:space="preserve"> PAGEREF _Toc502736811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2 — Unmetered supply</w:t>
      </w:r>
    </w:p>
    <w:p>
      <w:pPr>
        <w:pStyle w:val="TOC4"/>
        <w:tabs>
          <w:tab w:val="right" w:leader="dot" w:pos="7077"/>
        </w:tabs>
        <w:rPr>
          <w:rFonts w:asciiTheme="minorHAnsi" w:eastAsiaTheme="minorEastAsia" w:hAnsiTheme="minorHAnsi" w:cstheme="minorBidi"/>
          <w:b w:val="0"/>
          <w:szCs w:val="22"/>
        </w:rPr>
      </w:pPr>
      <w:r>
        <w:t>Division 1 — Street lighting</w:t>
      </w:r>
    </w:p>
    <w:p>
      <w:pPr>
        <w:pStyle w:val="TOC4"/>
        <w:tabs>
          <w:tab w:val="right" w:leader="dot" w:pos="7077"/>
        </w:tabs>
        <w:rPr>
          <w:rFonts w:asciiTheme="minorHAnsi" w:eastAsiaTheme="minorEastAsia" w:hAnsiTheme="minorHAnsi" w:cstheme="minorBidi"/>
          <w:b w:val="0"/>
          <w:szCs w:val="22"/>
        </w:rPr>
      </w:pPr>
      <w:r>
        <w:t>Division 2 — Miscellaneous</w:t>
      </w:r>
    </w:p>
    <w:p>
      <w:pPr>
        <w:pStyle w:val="TOC8"/>
        <w:rPr>
          <w:rFonts w:asciiTheme="minorHAnsi" w:eastAsiaTheme="minorEastAsia" w:hAnsiTheme="minorHAnsi" w:cstheme="minorBidi"/>
          <w:szCs w:val="22"/>
        </w:rPr>
      </w:pPr>
      <w:r>
        <w:t>1.</w:t>
      </w:r>
      <w:r>
        <w:tab/>
        <w:t>Traffic light installation</w:t>
      </w:r>
      <w:r>
        <w:tab/>
      </w:r>
      <w:r>
        <w:fldChar w:fldCharType="begin"/>
      </w:r>
      <w:r>
        <w:instrText xml:space="preserve"> PAGEREF _Toc502736815 \h </w:instrText>
      </w:r>
      <w:r>
        <w:fldChar w:fldCharType="separate"/>
      </w:r>
      <w:r>
        <w:t>18</w:t>
      </w:r>
      <w:r>
        <w:fldChar w:fldCharType="end"/>
      </w:r>
    </w:p>
    <w:p>
      <w:pPr>
        <w:pStyle w:val="TOC8"/>
        <w:rPr>
          <w:rFonts w:asciiTheme="minorHAnsi" w:eastAsiaTheme="minorEastAsia" w:hAnsiTheme="minorHAnsi" w:cstheme="minorBidi"/>
          <w:szCs w:val="22"/>
        </w:rPr>
      </w:pPr>
      <w:r>
        <w:t>2.</w:t>
      </w:r>
      <w:r>
        <w:tab/>
        <w:t>Public telephone facility</w:t>
      </w:r>
      <w:r>
        <w:tab/>
      </w:r>
      <w:r>
        <w:fldChar w:fldCharType="begin"/>
      </w:r>
      <w:r>
        <w:instrText xml:space="preserve"> PAGEREF _Toc502736816 \h </w:instrText>
      </w:r>
      <w:r>
        <w:fldChar w:fldCharType="separate"/>
      </w:r>
      <w:r>
        <w:t>18</w:t>
      </w:r>
      <w:r>
        <w:fldChar w:fldCharType="end"/>
      </w:r>
    </w:p>
    <w:p>
      <w:pPr>
        <w:pStyle w:val="TOC8"/>
        <w:rPr>
          <w:rFonts w:asciiTheme="minorHAnsi" w:eastAsiaTheme="minorEastAsia" w:hAnsiTheme="minorHAnsi" w:cstheme="minorBidi"/>
          <w:szCs w:val="22"/>
        </w:rPr>
      </w:pPr>
      <w:r>
        <w:t>3.</w:t>
      </w:r>
      <w:r>
        <w:tab/>
        <w:t>Railway crossing</w:t>
      </w:r>
      <w:r>
        <w:tab/>
      </w:r>
      <w:r>
        <w:fldChar w:fldCharType="begin"/>
      </w:r>
      <w:r>
        <w:instrText xml:space="preserve"> PAGEREF _Toc502736817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Schedule 3 — Meter rentals</w:t>
      </w:r>
    </w:p>
    <w:p>
      <w:pPr>
        <w:pStyle w:val="TOC2"/>
        <w:tabs>
          <w:tab w:val="right" w:leader="dot" w:pos="7077"/>
        </w:tabs>
        <w:rPr>
          <w:rFonts w:asciiTheme="minorHAnsi" w:eastAsiaTheme="minorEastAsia" w:hAnsiTheme="minorHAnsi" w:cstheme="minorBidi"/>
          <w:b w:val="0"/>
          <w:sz w:val="22"/>
          <w:szCs w:val="22"/>
        </w:rPr>
      </w:pPr>
      <w:r>
        <w:t>Schedule 4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_Toc502736821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Energy Operators (Powers) Act 1979</w:t>
      </w:r>
    </w:p>
    <w:p>
      <w:pPr>
        <w:pStyle w:val="NameofActReg"/>
      </w:pPr>
      <w:r>
        <w:t>Energy Operators (Regional Power Corporation) (Charges) By</w:t>
      </w:r>
      <w:r>
        <w:noBreakHyphen/>
        <w:t>laws 2006</w:t>
      </w:r>
    </w:p>
    <w:p>
      <w:pPr>
        <w:pStyle w:val="Heading5"/>
      </w:pPr>
      <w:bookmarkStart w:id="3" w:name="_Toc502736789"/>
      <w:r>
        <w:rPr>
          <w:rStyle w:val="CharSectno"/>
        </w:rPr>
        <w:t>1</w:t>
      </w:r>
      <w:r>
        <w:t>.</w:t>
      </w:r>
      <w:r>
        <w:tab/>
        <w:t>Citation</w:t>
      </w:r>
      <w:bookmarkEnd w:id="3"/>
    </w:p>
    <w:p>
      <w:pPr>
        <w:pStyle w:val="Subsection"/>
      </w:pPr>
      <w:r>
        <w:tab/>
      </w:r>
      <w:r>
        <w:tab/>
        <w:t>These by</w:t>
      </w:r>
      <w:r>
        <w:noBreakHyphen/>
        <w:t xml:space="preserve">laws are the </w:t>
      </w:r>
      <w:r>
        <w:rPr>
          <w:i/>
        </w:rPr>
        <w:t>Energy Operators (Regional Power Corporation) (Charges) By</w:t>
      </w:r>
      <w:r>
        <w:rPr>
          <w:i/>
        </w:rPr>
        <w:noBreakHyphen/>
        <w:t>laws 2006</w:t>
      </w:r>
      <w:r>
        <w:rPr>
          <w:vertAlign w:val="superscript"/>
        </w:rPr>
        <w:t> 1</w:t>
      </w:r>
      <w:r>
        <w:t>.</w:t>
      </w:r>
    </w:p>
    <w:p>
      <w:pPr>
        <w:pStyle w:val="Heading5"/>
      </w:pPr>
      <w:bookmarkStart w:id="4" w:name="_Toc502736790"/>
      <w:r>
        <w:rPr>
          <w:rStyle w:val="CharSectno"/>
        </w:rPr>
        <w:t>2</w:t>
      </w:r>
      <w:r>
        <w:t>.</w:t>
      </w:r>
      <w:r>
        <w:tab/>
        <w:t>Commencement</w:t>
      </w:r>
      <w:bookmarkEnd w:id="4"/>
    </w:p>
    <w:p>
      <w:pPr>
        <w:pStyle w:val="Subsection"/>
      </w:pPr>
      <w:r>
        <w:tab/>
      </w:r>
      <w:r>
        <w:tab/>
        <w:t>These by</w:t>
      </w:r>
      <w:r>
        <w:noBreakHyphen/>
        <w:t>laws come into operation on 1 April 2006.</w:t>
      </w:r>
    </w:p>
    <w:p>
      <w:pPr>
        <w:pStyle w:val="Heading5"/>
        <w:rPr>
          <w:snapToGrid w:val="0"/>
        </w:rPr>
      </w:pPr>
      <w:bookmarkStart w:id="5" w:name="_Toc502736791"/>
      <w:r>
        <w:rPr>
          <w:rStyle w:val="CharSectno"/>
        </w:rPr>
        <w:t>3</w:t>
      </w:r>
      <w:r>
        <w:t>.</w:t>
      </w:r>
      <w:r>
        <w:tab/>
      </w:r>
      <w:r>
        <w:rPr>
          <w:snapToGrid w:val="0"/>
        </w:rPr>
        <w:t>Terms used</w:t>
      </w:r>
      <w:bookmarkEnd w:id="5"/>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4(1)(d);</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tab/>
      </w:r>
      <w:r>
        <w:rPr>
          <w:rStyle w:val="CharDefText"/>
        </w:rPr>
        <w:t>RBA cash rate</w:t>
      </w:r>
      <w:r>
        <w:t xml:space="preserve"> means the percentage (or maximum percentage) specified by the Reserve Bank of </w:t>
      </w:r>
      <w:smartTag w:uri="urn:schemas-microsoft-com:office:smarttags" w:element="place">
        <w:smartTag w:uri="urn:schemas-microsoft-com:office:smarttags" w:element="country-region">
          <w:r>
            <w:t>Australia</w:t>
          </w:r>
        </w:smartTag>
      </w:smartTag>
      <w:r>
        <w:t xml:space="preserve"> as the Cash Rate Target;</w:t>
      </w:r>
    </w:p>
    <w:p>
      <w:pPr>
        <w:pStyle w:val="Subsection"/>
        <w:spacing w:before="80"/>
      </w:pPr>
      <w:r>
        <w:tab/>
      </w:r>
      <w:r>
        <w:tab/>
      </w:r>
      <w:r>
        <w:rPr>
          <w:rStyle w:val="CharDefText"/>
        </w:rPr>
        <w:t>residential tariff</w:t>
      </w:r>
      <w:r>
        <w:t xml:space="preserve"> means Tariff A2 or a MyPower residential tariff as defined in Schedule 1 clause 8(1);</w:t>
      </w:r>
    </w:p>
    <w:p>
      <w:pPr>
        <w:pStyle w:val="Defstart"/>
      </w:pPr>
      <w:r>
        <w:rPr>
          <w:b/>
        </w:rPr>
        <w:tab/>
      </w:r>
      <w:r>
        <w:rPr>
          <w:rStyle w:val="CharDefText"/>
        </w:rPr>
        <w:t>Tarif</w:t>
      </w:r>
      <w:r>
        <w:rPr>
          <w:rStyle w:val="CharDefText"/>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in Gazette 30 Mar 2009 p. 1000; 29 Jun 2012 p. 2900; 22 Aug 2014 p. 3017; 22 Dec 2017 p. 5979.]</w:t>
      </w:r>
    </w:p>
    <w:p>
      <w:pPr>
        <w:pStyle w:val="Ednotesection"/>
      </w:pPr>
      <w:r>
        <w:t>[</w:t>
      </w:r>
      <w:r>
        <w:rPr>
          <w:b/>
        </w:rPr>
        <w:t>4A.</w:t>
      </w:r>
      <w:r>
        <w:tab/>
        <w:t>Deleted in Gazette 22 Aug 2014 p. 3017.]</w:t>
      </w:r>
    </w:p>
    <w:p>
      <w:pPr>
        <w:pStyle w:val="Heading5"/>
        <w:rPr>
          <w:snapToGrid w:val="0"/>
        </w:rPr>
      </w:pPr>
      <w:bookmarkStart w:id="6" w:name="_Toc502736792"/>
      <w:r>
        <w:rPr>
          <w:rStyle w:val="CharSectno"/>
        </w:rPr>
        <w:t>4</w:t>
      </w:r>
      <w:r>
        <w:t>.</w:t>
      </w:r>
      <w:r>
        <w:tab/>
      </w:r>
      <w:r>
        <w:rPr>
          <w:snapToGrid w:val="0"/>
        </w:rPr>
        <w:t>Electricity charges</w:t>
      </w:r>
      <w:bookmarkEnd w:id="6"/>
    </w:p>
    <w:p>
      <w:pPr>
        <w:pStyle w:val="Subsection"/>
      </w:pPr>
      <w:r>
        <w:tab/>
        <w:t>(1A)</w:t>
      </w:r>
      <w:r>
        <w:tab/>
        <w:t xml:space="preserve">In this </w:t>
      </w:r>
      <w:r>
        <w:rPr>
          <w:snapToGrid w:val="0"/>
        </w:rPr>
        <w:t>by</w:t>
      </w:r>
      <w:r>
        <w:rPr>
          <w:snapToGrid w:val="0"/>
        </w:rPr>
        <w:noBreakHyphen/>
        <w:t>law</w:t>
      </w:r>
      <w:r>
        <w:t xml:space="preserve"> — </w:t>
      </w:r>
    </w:p>
    <w:p>
      <w:pPr>
        <w:pStyle w:val="yDefstart"/>
      </w:pPr>
      <w:r>
        <w:rPr>
          <w:sz w:val="24"/>
          <w:szCs w:val="24"/>
        </w:rPr>
        <w:tab/>
      </w:r>
      <w:r>
        <w:rPr>
          <w:rStyle w:val="CharDefText"/>
          <w:sz w:val="24"/>
          <w:szCs w:val="24"/>
        </w:rPr>
        <w:t>North West interconnected system</w:t>
      </w:r>
      <w:r>
        <w:rPr>
          <w:sz w:val="24"/>
          <w:szCs w:val="24"/>
        </w:rPr>
        <w:t xml:space="preserve"> has the meaning given in the </w:t>
      </w:r>
      <w:r>
        <w:rPr>
          <w:i/>
          <w:sz w:val="24"/>
          <w:szCs w:val="24"/>
        </w:rPr>
        <w:t>Electricity Transmission and Distribution Systems (Access) Act 1994</w:t>
      </w:r>
      <w:r>
        <w:rPr>
          <w:sz w:val="24"/>
          <w:szCs w:val="24"/>
        </w:rPr>
        <w:t xml:space="preserve"> section 2;</w:t>
      </w:r>
    </w:p>
    <w:p>
      <w:pPr>
        <w:pStyle w:val="yDefstart"/>
      </w:pPr>
      <w:r>
        <w:tab/>
      </w:r>
      <w:r>
        <w:rPr>
          <w:rStyle w:val="CharDefText"/>
          <w:sz w:val="24"/>
          <w:szCs w:val="24"/>
        </w:rPr>
        <w:t>regional non</w:t>
      </w:r>
      <w:r>
        <w:rPr>
          <w:rStyle w:val="CharDefText"/>
          <w:sz w:val="24"/>
          <w:szCs w:val="24"/>
        </w:rPr>
        <w:noBreakHyphen/>
        <w:t>integrated system</w:t>
      </w:r>
      <w:r>
        <w:t xml:space="preserve"> means any electrical system of or conducted by the corporation from which electricity is supplied to consumers, other than the South West interconnected system and the North West interconnected system;</w:t>
      </w:r>
    </w:p>
    <w:p>
      <w:pPr>
        <w:pStyle w:val="yDefstart"/>
      </w:pPr>
      <w:r>
        <w:tab/>
      </w:r>
      <w:r>
        <w:rPr>
          <w:rStyle w:val="CharDefText"/>
          <w:sz w:val="24"/>
          <w:szCs w:val="24"/>
        </w:rPr>
        <w:t>South West interconnected system</w:t>
      </w:r>
      <w:r>
        <w:t xml:space="preserve"> has the meaning given in the </w:t>
      </w:r>
      <w:r>
        <w:rPr>
          <w:i/>
        </w:rPr>
        <w:t>Electricity Industry Act 2004</w:t>
      </w:r>
      <w:r>
        <w:t xml:space="preserve"> section 3.</w:t>
      </w:r>
    </w:p>
    <w:p>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1.</w:t>
      </w:r>
    </w:p>
    <w:p>
      <w:pPr>
        <w:pStyle w:val="Subsection"/>
        <w:rPr>
          <w:snapToGrid w:val="0"/>
        </w:rPr>
      </w:pPr>
      <w:r>
        <w:tab/>
        <w:t>(2A)</w:t>
      </w:r>
      <w:r>
        <w:tab/>
      </w:r>
      <w:r>
        <w:rPr>
          <w:snapToGrid w:val="0"/>
        </w:rPr>
        <w:t>Sub</w:t>
      </w:r>
      <w:r>
        <w:rPr>
          <w:snapToGrid w:val="0"/>
        </w:rPr>
        <w:noBreakHyphen/>
        <w:t>bylaw (</w:t>
      </w:r>
      <w:r>
        <w:t>1) does not apply to electricity supplied from a regional non</w:t>
      </w:r>
      <w:r>
        <w:noBreakHyphen/>
        <w:t xml:space="preserve">integrated system or the </w:t>
      </w:r>
      <w:r>
        <w:rPr>
          <w:rStyle w:val="CharDefText"/>
          <w:szCs w:val="24"/>
        </w:rPr>
        <w:t>North West interconnected system</w:t>
      </w:r>
      <w:r>
        <w:t xml:space="preserve"> to Commonwealth, State or foreign government departments, instrumentalities, agencies or trading concerns (except for local governments, regional local governments or other bodies corporate not prohibited by the </w:t>
      </w:r>
      <w:r>
        <w:rPr>
          <w:i/>
        </w:rPr>
        <w:t>Local Government Act 1995</w:t>
      </w:r>
      <w:r>
        <w:t xml:space="preserve"> section 3.60).</w:t>
      </w:r>
    </w:p>
    <w:p>
      <w:pPr>
        <w:pStyle w:val="Subsection"/>
      </w:pPr>
      <w:r>
        <w:tab/>
        <w:t>(2)</w:t>
      </w:r>
      <w:r>
        <w:tab/>
        <w:t>The charges to be paid by consumers for the unmetered supply of street lighting by the corporation are those specified in Schedule 2 Division 1.</w:t>
      </w:r>
    </w:p>
    <w:p>
      <w:pPr>
        <w:pStyle w:val="Subsection"/>
      </w:pPr>
      <w:r>
        <w:tab/>
        <w:t>(3)</w:t>
      </w:r>
      <w:r>
        <w:tab/>
        <w:t>The charges to be paid by consumers for the unmetered supply of electricity except street lighting by the corporation are those specified in, or calculated in accordance with, Schedule 2 Division 2.</w:t>
      </w:r>
    </w:p>
    <w:p>
      <w:pPr>
        <w:pStyle w:val="Footnotesection"/>
        <w:ind w:left="890" w:hanging="890"/>
      </w:pPr>
      <w:r>
        <w:tab/>
        <w:t>[By</w:t>
      </w:r>
      <w:r>
        <w:noBreakHyphen/>
        <w:t>law 4 amended in Gazette 30 Aug 2013 p. 4093-4; 26 Jun 2015 p. 2247</w:t>
      </w:r>
      <w:r>
        <w:noBreakHyphen/>
        <w:t>8.]</w:t>
      </w:r>
    </w:p>
    <w:p>
      <w:pPr>
        <w:pStyle w:val="Heading5"/>
      </w:pPr>
      <w:bookmarkStart w:id="7" w:name="_Toc502736793"/>
      <w:r>
        <w:rPr>
          <w:rStyle w:val="CharSectno"/>
        </w:rPr>
        <w:t>5</w:t>
      </w:r>
      <w:r>
        <w:t>.</w:t>
      </w:r>
      <w:r>
        <w:tab/>
        <w:t>Application of residential tariffs</w:t>
      </w:r>
      <w:bookmarkEnd w:id="7"/>
    </w:p>
    <w:p>
      <w:pPr>
        <w:pStyle w:val="Subsection"/>
        <w:tabs>
          <w:tab w:val="left" w:pos="5529"/>
        </w:tabs>
        <w:rPr>
          <w:snapToGrid w:val="0"/>
        </w:rPr>
      </w:pPr>
      <w:r>
        <w:rPr>
          <w:snapToGrid w:val="0"/>
        </w:rPr>
        <w:tab/>
        <w:t>(1)</w:t>
      </w:r>
      <w:r>
        <w:rPr>
          <w:snapToGrid w:val="0"/>
        </w:rPr>
        <w:tab/>
        <w:t xml:space="preserve">A consumer is entitled to be supplied on the basis of </w:t>
      </w:r>
      <w:r>
        <w:t>a residential tariff</w:t>
      </w:r>
      <w:r>
        <w:rPr>
          <w:snapToGrid w:val="0"/>
        </w:rPr>
        <w:t xml:space="preserve">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pPr>
      <w:r>
        <w:rPr>
          <w:snapToGrid w:val="0"/>
        </w:rPr>
        <w:tab/>
        <w:t>(2)</w:t>
      </w:r>
      <w:r>
        <w:rPr>
          <w:snapToGrid w:val="0"/>
        </w:rPr>
        <w:tab/>
        <w:t>Notwithstanding that any premises would not otherwise be treated as a dwelling for the purposes of this by</w:t>
      </w:r>
      <w:r>
        <w:rPr>
          <w:snapToGrid w:val="0"/>
        </w:rPr>
        <w:noBreakHyphen/>
        <w:t xml:space="preserve">law, </w:t>
      </w:r>
      <w:r>
        <w:t>a residential tariff</w:t>
      </w:r>
      <w:r>
        <w:rPr>
          <w:snapToGrid w:val="0"/>
        </w:rPr>
        <w:t xml:space="preserve"> may be applied if the premises or any part of the premises is independently supplied and separately metered solely for the purpose of a residential supply.</w:t>
      </w:r>
    </w:p>
    <w:p>
      <w:pPr>
        <w:pStyle w:val="Footnotesection"/>
        <w:ind w:left="890" w:hanging="890"/>
      </w:pPr>
      <w:r>
        <w:tab/>
        <w:t>[By</w:t>
      </w:r>
      <w:r>
        <w:noBreakHyphen/>
        <w:t>law 5 amended in Gazette 22 Dec 2017 p. 5979.]</w:t>
      </w:r>
    </w:p>
    <w:p>
      <w:pPr>
        <w:pStyle w:val="Heading5"/>
      </w:pPr>
      <w:bookmarkStart w:id="8" w:name="_Toc502736794"/>
      <w:r>
        <w:rPr>
          <w:rStyle w:val="CharSectno"/>
        </w:rPr>
        <w:t>6</w:t>
      </w:r>
      <w:r>
        <w:t>.</w:t>
      </w:r>
      <w:r>
        <w:tab/>
        <w:t>Meter rental</w:t>
      </w:r>
      <w:bookmarkEnd w:id="8"/>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the residential tariff.</w:t>
      </w:r>
    </w:p>
    <w:p>
      <w:pPr>
        <w:pStyle w:val="Heading5"/>
      </w:pPr>
      <w:bookmarkStart w:id="9" w:name="_Toc502736795"/>
      <w:r>
        <w:rPr>
          <w:rStyle w:val="CharSectno"/>
        </w:rPr>
        <w:t>7</w:t>
      </w:r>
      <w:r>
        <w:t>.</w:t>
      </w:r>
      <w:r>
        <w:tab/>
        <w:t>Fees</w:t>
      </w:r>
      <w:bookmarkEnd w:id="9"/>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pPr>
      <w:bookmarkStart w:id="10" w:name="_Toc502736796"/>
      <w:r>
        <w:rPr>
          <w:rStyle w:val="CharSectno"/>
        </w:rPr>
        <w:t>8</w:t>
      </w:r>
      <w:r>
        <w:t>.</w:t>
      </w:r>
      <w:r>
        <w:tab/>
        <w:t>Payment</w:t>
      </w:r>
      <w:bookmarkEnd w:id="10"/>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in Gazette 30 Mar 2009 p. 1000.]</w:t>
      </w:r>
    </w:p>
    <w:p>
      <w:pPr>
        <w:pStyle w:val="Ednotesection"/>
      </w:pPr>
      <w:r>
        <w:t>[</w:t>
      </w:r>
      <w:r>
        <w:rPr>
          <w:b/>
        </w:rPr>
        <w:t>9.</w:t>
      </w:r>
      <w:r>
        <w:tab/>
        <w:t>Deleted in Gazette 21 Sep 2012 p. 4423.]</w:t>
      </w:r>
    </w:p>
    <w:p>
      <w:pPr>
        <w:pStyle w:val="Heading5"/>
      </w:pPr>
      <w:bookmarkStart w:id="11" w:name="_Toc502736797"/>
      <w:r>
        <w:rPr>
          <w:rStyle w:val="CharSectno"/>
        </w:rPr>
        <w:t>10</w:t>
      </w:r>
      <w:r>
        <w:t>.</w:t>
      </w:r>
      <w:r>
        <w:tab/>
        <w:t>Calculation of charges</w:t>
      </w:r>
      <w:bookmarkEnd w:id="11"/>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Ednotesubsection"/>
      </w:pPr>
      <w:r>
        <w:tab/>
        <w:t>[(2)</w:t>
      </w:r>
      <w:r>
        <w:tab/>
        <w:t>deleted]</w:t>
      </w:r>
    </w:p>
    <w:p>
      <w:pPr>
        <w:pStyle w:val="Subsection"/>
        <w:rPr>
          <w:snapToGrid w:val="0"/>
        </w:rPr>
      </w:pPr>
      <w:r>
        <w:rPr>
          <w:snapToGrid w:val="0"/>
        </w:rPr>
        <w:tab/>
        <w:t>(3)</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Footnotesection"/>
      </w:pPr>
      <w:r>
        <w:tab/>
        <w:t>[By-law 10 amended in Gazette 27 Jun 2014 p. 2320.]</w:t>
      </w:r>
    </w:p>
    <w:p>
      <w:pPr>
        <w:pStyle w:val="Heading5"/>
      </w:pPr>
      <w:bookmarkStart w:id="12" w:name="_Toc502736798"/>
      <w:r>
        <w:rPr>
          <w:rStyle w:val="CharSectno"/>
        </w:rPr>
        <w:t>11</w:t>
      </w:r>
      <w:r>
        <w:t>.</w:t>
      </w:r>
      <w:r>
        <w:tab/>
        <w:t>Changes in rates</w:t>
      </w:r>
      <w:bookmarkEnd w:id="12"/>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13" w:name="_Toc502736799"/>
      <w:r>
        <w:rPr>
          <w:rStyle w:val="CharSectno"/>
        </w:rPr>
        <w:t>12</w:t>
      </w:r>
      <w:r>
        <w:t>.</w:t>
      </w:r>
      <w:r>
        <w:tab/>
        <w:t>Prescribed rate of interest for s. 62(16) of Act</w:t>
      </w:r>
      <w:bookmarkEnd w:id="13"/>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in Gazette 30 Mar 2009 p. 1000</w:t>
      </w:r>
      <w:r>
        <w:noBreakHyphen/>
        <w:t>1.]</w:t>
      </w:r>
    </w:p>
    <w:p>
      <w:pPr>
        <w:sectPr>
          <w:headerReference w:type="even" r:id="rId22"/>
          <w:headerReference w:type="default" r:id="rId23"/>
          <w:footerReference w:type="even" r:id="rId24"/>
          <w:footerReference w:type="default" r:id="rId25"/>
          <w:headerReference w:type="first" r:id="rId26"/>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4" w:name="_Toc501633152"/>
      <w:bookmarkStart w:id="15" w:name="_Toc501633205"/>
      <w:bookmarkStart w:id="16" w:name="_Toc502736800"/>
      <w:r>
        <w:rPr>
          <w:rStyle w:val="CharSchNo"/>
        </w:rPr>
        <w:t>Schedule 1</w:t>
      </w:r>
      <w:r>
        <w:t> — </w:t>
      </w:r>
      <w:r>
        <w:rPr>
          <w:rStyle w:val="CharSchText"/>
        </w:rPr>
        <w:t>Supply charges</w:t>
      </w:r>
      <w:bookmarkEnd w:id="14"/>
      <w:bookmarkEnd w:id="15"/>
      <w:bookmarkEnd w:id="16"/>
    </w:p>
    <w:p>
      <w:pPr>
        <w:pStyle w:val="yShoulderClause"/>
      </w:pPr>
      <w:r>
        <w:t>[bl. 3, 4(1) and 10(1)]</w:t>
      </w:r>
    </w:p>
    <w:p>
      <w:pPr>
        <w:pStyle w:val="yFootnoteheading"/>
      </w:pPr>
      <w:r>
        <w:tab/>
        <w:t>[Heading inserted in Gazette 27 Jun 2017 p. 3420.]</w:t>
      </w:r>
    </w:p>
    <w:p>
      <w:pPr>
        <w:pStyle w:val="yHeading3"/>
      </w:pPr>
      <w:bookmarkStart w:id="17" w:name="_Toc502736801"/>
      <w:r>
        <w:rPr>
          <w:rStyle w:val="CharSDivNo"/>
        </w:rPr>
        <w:t>Division 1</w:t>
      </w:r>
      <w:r>
        <w:t> — </w:t>
      </w:r>
      <w:r>
        <w:rPr>
          <w:rStyle w:val="CharSDivText"/>
        </w:rPr>
        <w:t>Tariffs other than MyPower tariffs</w:t>
      </w:r>
      <w:bookmarkEnd w:id="17"/>
    </w:p>
    <w:p>
      <w:pPr>
        <w:pStyle w:val="yFootnoteheading"/>
      </w:pPr>
      <w:r>
        <w:tab/>
        <w:t>[Heading inserted in Gazette 22 Dec 2017 p. 5979.]</w:t>
      </w:r>
    </w:p>
    <w:p>
      <w:pPr>
        <w:pStyle w:val="yHeading5"/>
      </w:pPr>
      <w:bookmarkStart w:id="18" w:name="_Toc502736802"/>
      <w:r>
        <w:rPr>
          <w:rStyle w:val="CharSClsNo"/>
        </w:rPr>
        <w:t>1</w:t>
      </w:r>
      <w:r>
        <w:t>.</w:t>
      </w:r>
      <w:r>
        <w:tab/>
        <w:t>Tariff L2 (general supply — low/medium voltage tariff)</w:t>
      </w:r>
      <w:bookmarkEnd w:id="18"/>
    </w:p>
    <w:p>
      <w:pPr>
        <w:pStyle w:val="ySubsection"/>
      </w:pPr>
      <w:r>
        <w:tab/>
        <w:t>(1)</w:t>
      </w:r>
      <w:r>
        <w:tab/>
        <w:t>Tariff L2 is available for low/medium voltage supply.</w:t>
      </w:r>
    </w:p>
    <w:p>
      <w:pPr>
        <w:pStyle w:val="ySubsection"/>
      </w:pPr>
      <w:r>
        <w:tab/>
        <w:t>(2)</w:t>
      </w:r>
      <w:r>
        <w:tab/>
        <w:t xml:space="preserve">Tariff L2 comprises — </w:t>
      </w:r>
    </w:p>
    <w:p>
      <w:pPr>
        <w:pStyle w:val="yIndenta"/>
      </w:pPr>
      <w:r>
        <w:tab/>
        <w:t>(a)</w:t>
      </w:r>
      <w:r>
        <w:tab/>
        <w:t>a fixed charge at the rate of 50.7504 cents per day; and</w:t>
      </w:r>
    </w:p>
    <w:p>
      <w:pPr>
        <w:pStyle w:val="yIndenta"/>
      </w:pPr>
      <w:r>
        <w:tab/>
        <w:t>(b)</w:t>
      </w:r>
      <w:r>
        <w:tab/>
        <w:t xml:space="preserve">a charge for metered consumption at the rate of — </w:t>
      </w:r>
    </w:p>
    <w:p>
      <w:pPr>
        <w:pStyle w:val="yIndenti0"/>
      </w:pPr>
      <w:r>
        <w:tab/>
        <w:t>(i)</w:t>
      </w:r>
      <w:r>
        <w:tab/>
        <w:t>33.3546 cents per unit for the first 1 650 units per day; and</w:t>
      </w:r>
    </w:p>
    <w:p>
      <w:pPr>
        <w:pStyle w:val="yIndenti0"/>
      </w:pPr>
      <w:r>
        <w:tab/>
        <w:t>(ii)</w:t>
      </w:r>
      <w:r>
        <w:tab/>
        <w:t>30.0972 cents per unit for all units exceeding 1 650 units per day.</w:t>
      </w:r>
    </w:p>
    <w:p>
      <w:pPr>
        <w:pStyle w:val="ySubsection"/>
      </w:pPr>
      <w:r>
        <w:tab/>
        <w:t>(3)</w:t>
      </w:r>
      <w:r>
        <w:tab/>
        <w:t>Tariff L2 is available subject to the condition that the consumer satisfies the corporation that the amount of electricity supplied to the consumer’s premises will be less than 50 MW hours per annum.</w:t>
      </w:r>
    </w:p>
    <w:p>
      <w:pPr>
        <w:pStyle w:val="yFootnotesection"/>
      </w:pPr>
      <w:r>
        <w:tab/>
        <w:t>[Clause 1 inserted in Gazette 27 Jun 2017 p. 3420.]</w:t>
      </w:r>
    </w:p>
    <w:p>
      <w:pPr>
        <w:pStyle w:val="yHeading5"/>
      </w:pPr>
      <w:bookmarkStart w:id="19" w:name="_Toc502736803"/>
      <w:r>
        <w:rPr>
          <w:rStyle w:val="CharSClsNo"/>
        </w:rPr>
        <w:t>2</w:t>
      </w:r>
      <w:r>
        <w:t>.</w:t>
      </w:r>
      <w:r>
        <w:tab/>
        <w:t>Tariff L4 (general supply — low/medium voltage tariff)</w:t>
      </w:r>
      <w:bookmarkEnd w:id="19"/>
      <w:r>
        <w:t xml:space="preserve"> </w:t>
      </w:r>
    </w:p>
    <w:p>
      <w:pPr>
        <w:pStyle w:val="ySubsection"/>
      </w:pPr>
      <w:r>
        <w:tab/>
        <w:t>(1)</w:t>
      </w:r>
      <w:r>
        <w:tab/>
        <w:t>Tariff L4 is available for low/medium voltage supply.</w:t>
      </w:r>
    </w:p>
    <w:p>
      <w:pPr>
        <w:pStyle w:val="ySubsection"/>
      </w:pPr>
      <w:r>
        <w:tab/>
        <w:t>(2)</w:t>
      </w:r>
      <w:r>
        <w:tab/>
        <w:t xml:space="preserve">Tariff L4 comprises — </w:t>
      </w:r>
    </w:p>
    <w:p>
      <w:pPr>
        <w:pStyle w:val="yIndenta"/>
      </w:pPr>
      <w:r>
        <w:tab/>
        <w:t>(a)</w:t>
      </w:r>
      <w:r>
        <w:tab/>
        <w:t>a fixed charge at the rate of 53.7522 cents per day; and</w:t>
      </w:r>
    </w:p>
    <w:p>
      <w:pPr>
        <w:pStyle w:val="yIndenta"/>
      </w:pPr>
      <w:r>
        <w:tab/>
        <w:t>(b)</w:t>
      </w:r>
      <w:r>
        <w:tab/>
        <w:t xml:space="preserve">a charge for metered consumption at the rate of — </w:t>
      </w:r>
    </w:p>
    <w:p>
      <w:pPr>
        <w:pStyle w:val="yIndenti0"/>
      </w:pPr>
      <w:r>
        <w:tab/>
        <w:t>(i)</w:t>
      </w:r>
      <w:r>
        <w:tab/>
      </w:r>
      <w:r>
        <w:rPr>
          <w:szCs w:val="22"/>
        </w:rPr>
        <w:t xml:space="preserve">35.3197 </w:t>
      </w:r>
      <w:r>
        <w:t>cents per unit for the first 1 650 units per day; and</w:t>
      </w:r>
    </w:p>
    <w:p>
      <w:pPr>
        <w:pStyle w:val="yIndenti0"/>
      </w:pPr>
      <w:r>
        <w:tab/>
        <w:t>(ii)</w:t>
      </w:r>
      <w:r>
        <w:tab/>
      </w:r>
      <w:r>
        <w:rPr>
          <w:szCs w:val="22"/>
        </w:rPr>
        <w:t xml:space="preserve">31.8798 </w:t>
      </w:r>
      <w:r>
        <w:t>cents per unit for all units exceeding 1 650 units per day.</w:t>
      </w:r>
    </w:p>
    <w:p>
      <w:pPr>
        <w:pStyle w:val="ySubsection"/>
      </w:pPr>
      <w:r>
        <w:tab/>
        <w:t>(3)</w:t>
      </w:r>
      <w:r>
        <w:tab/>
        <w:t>Tariff L4 is available subject to the condition that the consumer satisfies the corporation that the amount of electricity supplied to the consumer’s premises will be 50 MW hours or more per annum.</w:t>
      </w:r>
    </w:p>
    <w:p>
      <w:pPr>
        <w:pStyle w:val="yFootnotesection"/>
      </w:pPr>
      <w:r>
        <w:tab/>
        <w:t>[Clause 2 inserted in Gazette 27 Jun 2017 p. 3420.]</w:t>
      </w:r>
    </w:p>
    <w:p>
      <w:pPr>
        <w:pStyle w:val="yHeading5"/>
      </w:pPr>
      <w:bookmarkStart w:id="20" w:name="_Toc502736804"/>
      <w:r>
        <w:rPr>
          <w:rStyle w:val="CharSClsNo"/>
        </w:rPr>
        <w:t>3</w:t>
      </w:r>
      <w:r>
        <w:t>.</w:t>
      </w:r>
      <w:r>
        <w:tab/>
        <w:t>Tariff A2 (residential tariff)</w:t>
      </w:r>
      <w:bookmarkEnd w:id="20"/>
    </w:p>
    <w:p>
      <w:pPr>
        <w:pStyle w:val="ySubsection"/>
      </w:pPr>
      <w:r>
        <w:tab/>
        <w:t>(1)</w:t>
      </w:r>
      <w:r>
        <w:tab/>
        <w:t>Tariff A2 is available for residential use only.</w:t>
      </w:r>
    </w:p>
    <w:p>
      <w:pPr>
        <w:pStyle w:val="ySubsection"/>
      </w:pPr>
      <w:r>
        <w:tab/>
        <w:t>(2)</w:t>
      </w:r>
      <w:r>
        <w:tab/>
        <w:t xml:space="preserve">Tariff A2 comprises — </w:t>
      </w:r>
    </w:p>
    <w:p>
      <w:pPr>
        <w:pStyle w:val="yIndenta"/>
      </w:pPr>
      <w:r>
        <w:tab/>
        <w:t>(a)</w:t>
      </w:r>
      <w:r>
        <w:tab/>
        <w:t>a fixed charge at the rate of 94.9058 cents per day or, for multiple dwellings supplied through one metered supply point, a fixed charge at the rate of —</w:t>
      </w:r>
    </w:p>
    <w:p>
      <w:pPr>
        <w:pStyle w:val="yIndenti0"/>
      </w:pPr>
      <w:r>
        <w:tab/>
        <w:t>(i)</w:t>
      </w:r>
      <w:r>
        <w:tab/>
        <w:t>94.9058 cents per day for the first dwelling; and</w:t>
      </w:r>
    </w:p>
    <w:p>
      <w:pPr>
        <w:pStyle w:val="yIndenti0"/>
      </w:pPr>
      <w:r>
        <w:tab/>
        <w:t>(ii)</w:t>
      </w:r>
      <w:r>
        <w:tab/>
        <w:t>37.7348 cents per day for each additional dwelling;</w:t>
      </w:r>
    </w:p>
    <w:p>
      <w:pPr>
        <w:pStyle w:val="yIndenta"/>
      </w:pPr>
      <w:r>
        <w:tab/>
      </w:r>
      <w:r>
        <w:tab/>
        <w:t>and</w:t>
      </w:r>
    </w:p>
    <w:p>
      <w:pPr>
        <w:pStyle w:val="yIndenta"/>
      </w:pPr>
      <w:r>
        <w:tab/>
        <w:t>(b)</w:t>
      </w:r>
      <w:r>
        <w:tab/>
        <w:t>a charge for metered consumption at the rate of 26.4740 cents per unit.</w:t>
      </w:r>
    </w:p>
    <w:p>
      <w:pPr>
        <w:pStyle w:val="yFootnotesection"/>
      </w:pPr>
      <w:r>
        <w:tab/>
        <w:t>[Clause 3 inserted in Gazette 27 Jun 2017 p. 3420</w:t>
      </w:r>
      <w:r>
        <w:noBreakHyphen/>
        <w:t>1.]</w:t>
      </w:r>
    </w:p>
    <w:p>
      <w:pPr>
        <w:pStyle w:val="yHeading5"/>
      </w:pPr>
      <w:bookmarkStart w:id="21" w:name="_Toc502736805"/>
      <w:r>
        <w:rPr>
          <w:rStyle w:val="CharSClsNo"/>
        </w:rPr>
        <w:t>4</w:t>
      </w:r>
      <w:r>
        <w:t>.</w:t>
      </w:r>
      <w:r>
        <w:tab/>
        <w:t>Tariff C2 (special community service tariff)</w:t>
      </w:r>
      <w:bookmarkEnd w:id="21"/>
    </w:p>
    <w:p>
      <w:pPr>
        <w:pStyle w:val="ySubsection"/>
      </w:pPr>
      <w:r>
        <w:tab/>
        <w:t>(1)</w:t>
      </w:r>
      <w:r>
        <w:tab/>
        <w:t>Tariff C2 is available for small voluntary and charitable organisations, subject to the conditions listed in subclause (3).</w:t>
      </w:r>
    </w:p>
    <w:p>
      <w:pPr>
        <w:pStyle w:val="ySubsection"/>
      </w:pPr>
      <w:r>
        <w:tab/>
        <w:t>(2)</w:t>
      </w:r>
      <w:r>
        <w:tab/>
        <w:t xml:space="preserve">Tariff C2 comprises — </w:t>
      </w:r>
    </w:p>
    <w:p>
      <w:pPr>
        <w:pStyle w:val="yIndenta"/>
      </w:pPr>
      <w:r>
        <w:tab/>
        <w:t>(a)</w:t>
      </w:r>
      <w:r>
        <w:tab/>
        <w:t>a fixed charge at the rate of 36.6182 cents per day; and</w:t>
      </w:r>
    </w:p>
    <w:p>
      <w:pPr>
        <w:pStyle w:val="yIndenta"/>
      </w:pPr>
      <w:r>
        <w:tab/>
        <w:t>(b)</w:t>
      </w:r>
      <w:r>
        <w:tab/>
        <w:t xml:space="preserve">a charge for metered consumption at the rate of — </w:t>
      </w:r>
    </w:p>
    <w:p>
      <w:pPr>
        <w:pStyle w:val="yIndenti0"/>
      </w:pPr>
      <w:r>
        <w:tab/>
        <w:t>(i)</w:t>
      </w:r>
      <w:r>
        <w:tab/>
        <w:t>19.9600 cents per unit for the first 20 units per day; and</w:t>
      </w:r>
    </w:p>
    <w:p>
      <w:pPr>
        <w:pStyle w:val="yIndenti0"/>
      </w:pPr>
      <w:r>
        <w:tab/>
        <w:t>(ii)</w:t>
      </w:r>
      <w:r>
        <w:tab/>
        <w:t>25.0081 cents per unit for the next 1 630 units per day; and</w:t>
      </w:r>
    </w:p>
    <w:p>
      <w:pPr>
        <w:pStyle w:val="yIndenti0"/>
      </w:pPr>
      <w:r>
        <w:tab/>
        <w:t>(iii)</w:t>
      </w:r>
      <w:r>
        <w:tab/>
        <w:t>22.5658 cents per unit for all units exceeding 1 650 units per day.</w:t>
      </w:r>
    </w:p>
    <w:p>
      <w:pPr>
        <w:pStyle w:val="ySubsection"/>
      </w:pPr>
      <w:r>
        <w:tab/>
        <w:t>(3)</w:t>
      </w:r>
      <w:r>
        <w:tab/>
        <w:t xml:space="preserve">Tariff C2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rPr>
        <w:t xml:space="preserve">Income Tax Assessment Act 1997 </w:t>
      </w:r>
      <w:r>
        <w:t>(Commonwealth)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organisation mentioned in paragraph (e).</w:t>
      </w:r>
    </w:p>
    <w:p>
      <w:pPr>
        <w:pStyle w:val="ySubsection"/>
      </w:pPr>
      <w:r>
        <w:tab/>
        <w:t>(4)</w:t>
      </w:r>
      <w:r>
        <w:tab/>
        <w:t>A consumer seeking supply under Tariff C2 must make an application to the corporation in writing accompanied by evidence which clearly demonstrates that the consumer meets all the conditions listed in subclause (3).</w:t>
      </w:r>
    </w:p>
    <w:p>
      <w:pPr>
        <w:pStyle w:val="yFootnotesection"/>
      </w:pPr>
      <w:r>
        <w:tab/>
        <w:t>[Clause 4 inserted in Gazette 27 Jun 2017 p. 3421.]</w:t>
      </w:r>
    </w:p>
    <w:p>
      <w:pPr>
        <w:pStyle w:val="yHeading5"/>
      </w:pPr>
      <w:bookmarkStart w:id="22" w:name="_Toc502736806"/>
      <w:r>
        <w:rPr>
          <w:rStyle w:val="CharSClsNo"/>
        </w:rPr>
        <w:t>5</w:t>
      </w:r>
      <w:r>
        <w:t>.</w:t>
      </w:r>
      <w:r>
        <w:tab/>
        <w:t>Tariff D2 (special tariff for certain premises)</w:t>
      </w:r>
      <w:bookmarkEnd w:id="22"/>
    </w:p>
    <w:p>
      <w:pPr>
        <w:pStyle w:val="ySubsection"/>
      </w:pPr>
      <w:r>
        <w:tab/>
        <w:t>(1)</w:t>
      </w:r>
      <w:r>
        <w:tab/>
        <w:t>Tariff D2 is available for premises wholly used by a charitable or benevolent organisation for providing residential accommodation other than for commercial gain, being premises for which Tariff A2 is not available.</w:t>
      </w:r>
    </w:p>
    <w:p>
      <w:pPr>
        <w:pStyle w:val="ySubsection"/>
      </w:pPr>
      <w:r>
        <w:tab/>
        <w:t>(2)</w:t>
      </w:r>
      <w:r>
        <w:tab/>
        <w:t xml:space="preserve">Tariff D2 comprises — </w:t>
      </w:r>
    </w:p>
    <w:p>
      <w:pPr>
        <w:pStyle w:val="yIndenta"/>
      </w:pPr>
      <w:r>
        <w:tab/>
        <w:t>(a)</w:t>
      </w:r>
      <w:r>
        <w:tab/>
        <w:t>a fixed charge at the rate of 45.3145 cents per day; and</w:t>
      </w:r>
    </w:p>
    <w:p>
      <w:pPr>
        <w:pStyle w:val="yIndenta"/>
      </w:pPr>
      <w:r>
        <w:tab/>
        <w:t>(b)</w:t>
      </w:r>
      <w:r>
        <w:tab/>
        <w:t>if under subclause (3) there is deemed to be more than one equivalent domestic residence in the premises, a charge of 35.1848 cents per day for each equivalent domestic residence except the first that is deemed to be in the premises; and</w:t>
      </w:r>
    </w:p>
    <w:p>
      <w:pPr>
        <w:pStyle w:val="yIndenta"/>
      </w:pPr>
      <w:r>
        <w:tab/>
        <w:t>(c)</w:t>
      </w:r>
      <w:r>
        <w:tab/>
        <w:t>a charge for metered consumption at the rate of 24.7001 cents per unit.</w:t>
      </w:r>
    </w:p>
    <w:p>
      <w:pPr>
        <w:pStyle w:val="y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 5 inserted in Gazette 27 Jun 2017 p. 3421</w:t>
      </w:r>
      <w:r>
        <w:noBreakHyphen/>
        <w:t>2.]</w:t>
      </w:r>
    </w:p>
    <w:p>
      <w:pPr>
        <w:pStyle w:val="yHeading5"/>
      </w:pPr>
      <w:bookmarkStart w:id="23" w:name="_Toc502736807"/>
      <w:r>
        <w:rPr>
          <w:rStyle w:val="CharSClsNo"/>
        </w:rPr>
        <w:t>6</w:t>
      </w:r>
      <w:r>
        <w:t>.</w:t>
      </w:r>
      <w:r>
        <w:tab/>
        <w:t>Tariff K2 (general supply with residential tariff)</w:t>
      </w:r>
      <w:bookmarkEnd w:id="23"/>
    </w:p>
    <w:p>
      <w:pPr>
        <w:pStyle w:val="ySubsection"/>
      </w:pPr>
      <w:r>
        <w:tab/>
        <w:t>(1)</w:t>
      </w:r>
      <w:r>
        <w:tab/>
        <w:t>Tariff K1 is available for premises where the circuit wiring is not separate and the electricity is used partly for general purposes and partly for residential purposes.</w:t>
      </w:r>
    </w:p>
    <w:p>
      <w:pPr>
        <w:pStyle w:val="ySubsection"/>
      </w:pPr>
      <w:r>
        <w:tab/>
        <w:t>(2)</w:t>
      </w:r>
      <w:r>
        <w:tab/>
        <w:t xml:space="preserve">Tariff K2 comprises — </w:t>
      </w:r>
    </w:p>
    <w:p>
      <w:pPr>
        <w:pStyle w:val="yIndenta"/>
      </w:pPr>
      <w:r>
        <w:tab/>
        <w:t>(a)</w:t>
      </w:r>
      <w:r>
        <w:tab/>
        <w:t>a fixed charge at the rate of 53.8864 cents per day; and</w:t>
      </w:r>
    </w:p>
    <w:p>
      <w:pPr>
        <w:pStyle w:val="yIndenta"/>
      </w:pPr>
      <w:r>
        <w:tab/>
        <w:t>(b)</w:t>
      </w:r>
      <w:r>
        <w:tab/>
        <w:t>a charge for metered consumption at the rate of —</w:t>
      </w:r>
    </w:p>
    <w:p>
      <w:pPr>
        <w:pStyle w:val="yIndenti0"/>
      </w:pPr>
      <w:r>
        <w:tab/>
        <w:t>(i)</w:t>
      </w:r>
      <w:r>
        <w:tab/>
        <w:t>29.3544 cents per unit for the first 20 units per day; and</w:t>
      </w:r>
    </w:p>
    <w:p>
      <w:pPr>
        <w:pStyle w:val="yIndenti0"/>
      </w:pPr>
      <w:r>
        <w:tab/>
        <w:t>(ii)</w:t>
      </w:r>
      <w:r>
        <w:tab/>
        <w:t>33.6081 cents per unit for the next 1 630 units per day; and</w:t>
      </w:r>
    </w:p>
    <w:p>
      <w:pPr>
        <w:pStyle w:val="yIndenti0"/>
      </w:pPr>
      <w:r>
        <w:tab/>
        <w:t>(iii)</w:t>
      </w:r>
      <w:r>
        <w:tab/>
        <w:t>30.3260 cents per unit for all units exceeding 1 650 units per day.</w:t>
      </w:r>
    </w:p>
    <w:p>
      <w:pPr>
        <w:pStyle w:val="yFootnotesection"/>
      </w:pPr>
      <w:r>
        <w:tab/>
        <w:t>[Clause 6 inserted in Gazette 27 Jun 2017 p. 3422.]</w:t>
      </w:r>
    </w:p>
    <w:p>
      <w:pPr>
        <w:pStyle w:val="yHeading3"/>
      </w:pPr>
      <w:bookmarkStart w:id="24" w:name="_Toc502736808"/>
      <w:r>
        <w:rPr>
          <w:rStyle w:val="CharSDivNo"/>
        </w:rPr>
        <w:t>Division 2</w:t>
      </w:r>
      <w:r>
        <w:t> — </w:t>
      </w:r>
      <w:r>
        <w:rPr>
          <w:rStyle w:val="CharSDivText"/>
        </w:rPr>
        <w:t>MyPower tariffs</w:t>
      </w:r>
      <w:bookmarkEnd w:id="24"/>
    </w:p>
    <w:p>
      <w:pPr>
        <w:pStyle w:val="yFootnoteheading"/>
      </w:pPr>
      <w:r>
        <w:tab/>
        <w:t>[Heading inserted in Gazette 22 Dec 2017 p. 5979.]</w:t>
      </w:r>
    </w:p>
    <w:p>
      <w:pPr>
        <w:pStyle w:val="yHeading5"/>
      </w:pPr>
      <w:bookmarkStart w:id="25" w:name="_Toc502736809"/>
      <w:r>
        <w:rPr>
          <w:rStyle w:val="CharSClsNo"/>
        </w:rPr>
        <w:t>7</w:t>
      </w:r>
      <w:r>
        <w:t>.</w:t>
      </w:r>
      <w:r>
        <w:tab/>
        <w:t>Terms used</w:t>
      </w:r>
      <w:bookmarkEnd w:id="25"/>
    </w:p>
    <w:p>
      <w:pPr>
        <w:pStyle w:val="ySubsection"/>
      </w:pPr>
      <w:r>
        <w:tab/>
        <w:t>(1)</w:t>
      </w:r>
      <w:r>
        <w:tab/>
        <w:t xml:space="preserve">In this Division — </w:t>
      </w:r>
    </w:p>
    <w:p>
      <w:pPr>
        <w:pStyle w:val="yDefstart"/>
      </w:pPr>
      <w:r>
        <w:tab/>
      </w:r>
      <w:r>
        <w:rPr>
          <w:rStyle w:val="CharDefText"/>
        </w:rPr>
        <w:t>Esperance network</w:t>
      </w:r>
      <w:r>
        <w:t xml:space="preserve"> means the electricity network operated by the corporation that supplies electricity to the town of Esperance and surrounding areas;</w:t>
      </w:r>
    </w:p>
    <w:p>
      <w:pPr>
        <w:pStyle w:val="yDefstart"/>
      </w:pPr>
      <w:r>
        <w:tab/>
      </w:r>
      <w:r>
        <w:rPr>
          <w:rStyle w:val="CharDefText"/>
        </w:rPr>
        <w:t>peak day</w:t>
      </w:r>
      <w:r>
        <w:t xml:space="preserve"> means — </w:t>
      </w:r>
    </w:p>
    <w:p>
      <w:pPr>
        <w:pStyle w:val="yDefpara"/>
      </w:pPr>
      <w:r>
        <w:tab/>
        <w:t>(a)</w:t>
      </w:r>
      <w:r>
        <w:tab/>
        <w:t>in relation to a tariff determined under clause 8 — a day that is in a peak period and is not a Saturday, a Sunday or a public holiday in the place in which the relevant premises to which electricity is supplied are situated; or</w:t>
      </w:r>
    </w:p>
    <w:p>
      <w:pPr>
        <w:pStyle w:val="yDefpara"/>
      </w:pPr>
      <w:r>
        <w:tab/>
        <w:t>(b)</w:t>
      </w:r>
      <w:r>
        <w:tab/>
        <w:t>in relation to a tariff determined under clause 9 — a day that is in a peak period and is not a public holiday in the place in which the relevant premises to which electricity is supplied are situated;</w:t>
      </w:r>
    </w:p>
    <w:p>
      <w:pPr>
        <w:pStyle w:val="yDefstart"/>
      </w:pPr>
      <w:r>
        <w:tab/>
      </w:r>
      <w:r>
        <w:rPr>
          <w:rStyle w:val="CharDefText"/>
        </w:rPr>
        <w:t>peak period</w:t>
      </w:r>
      <w:r>
        <w:t xml:space="preserve"> means — </w:t>
      </w:r>
    </w:p>
    <w:p>
      <w:pPr>
        <w:pStyle w:val="yDefpara"/>
      </w:pPr>
      <w:r>
        <w:tab/>
        <w:t>(a)</w:t>
      </w:r>
      <w:r>
        <w:tab/>
        <w:t>in relation to electricity supplied otherwise than as described in paragraph (b) — a period beginning on 1 December in a year and ending on 30 April in the following year; or</w:t>
      </w:r>
    </w:p>
    <w:p>
      <w:pPr>
        <w:pStyle w:val="yDefpara"/>
      </w:pPr>
      <w:r>
        <w:tab/>
        <w:t>(b)</w:t>
      </w:r>
      <w:r>
        <w:tab/>
        <w:t>in relation to electricity supplied on the Esperance network — a period beginning on 1 July in a year and ending on 31 March in the following year, but excluding the months of September, October, November and December;</w:t>
      </w:r>
    </w:p>
    <w:p>
      <w:pPr>
        <w:pStyle w:val="yDefstart"/>
      </w:pPr>
      <w:r>
        <w:tab/>
      </w:r>
      <w:r>
        <w:rPr>
          <w:rStyle w:val="CharDefText"/>
        </w:rPr>
        <w:t>peak time</w:t>
      </w:r>
      <w:r>
        <w:t xml:space="preserve"> means a period beginning at 1 pm and ending at 8 pm.</w:t>
      </w:r>
    </w:p>
    <w:p>
      <w:pPr>
        <w:pStyle w:val="ySubsection"/>
      </w:pPr>
      <w:r>
        <w:tab/>
        <w:t>(2)</w:t>
      </w:r>
      <w:r>
        <w:tab/>
        <w:t xml:space="preserve">For the purposes of this Division, a consumer </w:t>
      </w:r>
      <w:r>
        <w:rPr>
          <w:rStyle w:val="CharDefText"/>
        </w:rPr>
        <w:t>exceeds the applicable peak allowance</w:t>
      </w:r>
      <w:r>
        <w:t xml:space="preserve"> in relation to a tariff if, on a peak day, the consumer consumes more electricity during 1 or more hours in a peak time than the applicable peak allowance for the tariff, unless — </w:t>
      </w:r>
    </w:p>
    <w:p>
      <w:pPr>
        <w:pStyle w:val="yIndenta"/>
      </w:pPr>
      <w:r>
        <w:tab/>
        <w:t>(a)</w:t>
      </w:r>
      <w:r>
        <w:tab/>
        <w:t>the contract under which the electricity is supplied has been in force for a period of 14 days or fewer; or</w:t>
      </w:r>
    </w:p>
    <w:p>
      <w:pPr>
        <w:pStyle w:val="yIndenta"/>
      </w:pPr>
      <w:r>
        <w:tab/>
        <w:t>(b)</w:t>
      </w:r>
      <w:r>
        <w:tab/>
        <w:t>the corporation considers that on the relevant day the consumer was affected by an emergency event (for example, a cyclone or bushfire).</w:t>
      </w:r>
    </w:p>
    <w:p>
      <w:pPr>
        <w:pStyle w:val="yFootnotesection"/>
      </w:pPr>
      <w:r>
        <w:tab/>
        <w:t>[Clause 7 inserted in Gazette 22 Dec 2017 p. 5979</w:t>
      </w:r>
      <w:r>
        <w:noBreakHyphen/>
        <w:t>80.]</w:t>
      </w:r>
    </w:p>
    <w:p>
      <w:pPr>
        <w:pStyle w:val="yHeading5"/>
      </w:pPr>
      <w:bookmarkStart w:id="26" w:name="_Toc502736810"/>
      <w:r>
        <w:rPr>
          <w:rStyle w:val="CharSClsNo"/>
        </w:rPr>
        <w:t>8</w:t>
      </w:r>
      <w:r>
        <w:t>.</w:t>
      </w:r>
      <w:r>
        <w:tab/>
        <w:t>MyPower residential tariffs</w:t>
      </w:r>
      <w:bookmarkEnd w:id="26"/>
    </w:p>
    <w:p>
      <w:pPr>
        <w:pStyle w:val="ySubsection"/>
      </w:pPr>
      <w:r>
        <w:tab/>
        <w:t>(1)</w:t>
      </w:r>
      <w:r>
        <w:tab/>
        <w:t xml:space="preserve">Each tariff determined under this clause (a </w:t>
      </w:r>
      <w:r>
        <w:rPr>
          <w:rStyle w:val="CharDefText"/>
        </w:rPr>
        <w:t>MyPower residential tariff</w:t>
      </w:r>
      <w:r>
        <w:t xml:space="preserve">) is available only — </w:t>
      </w:r>
    </w:p>
    <w:p>
      <w:pPr>
        <w:pStyle w:val="yIndenta"/>
      </w:pPr>
      <w:r>
        <w:tab/>
        <w:t>(a)</w:t>
      </w:r>
      <w:r>
        <w:tab/>
        <w:t>for residential use; and</w:t>
      </w:r>
    </w:p>
    <w:p>
      <w:pPr>
        <w:pStyle w:val="yIndenta"/>
      </w:pPr>
      <w:r>
        <w:tab/>
        <w:t>(b)</w:t>
      </w:r>
      <w:r>
        <w:tab/>
        <w:t>if the consumer has entered into a non</w:t>
      </w:r>
      <w:r>
        <w:noBreakHyphen/>
        <w:t xml:space="preserve">standard contract (as defined in the </w:t>
      </w:r>
      <w:r>
        <w:rPr>
          <w:i/>
        </w:rPr>
        <w:t>Electricity Industry Act 2004</w:t>
      </w:r>
      <w:r>
        <w:t xml:space="preserve"> section 47) with the corporation for the supply of electricity at a MyPower residential tariff.</w:t>
      </w:r>
    </w:p>
    <w:p>
      <w:pPr>
        <w:pStyle w:val="ySubsection"/>
      </w:pPr>
      <w:r>
        <w:tab/>
        <w:t>(2)</w:t>
      </w:r>
      <w:r>
        <w:tab/>
        <w:t xml:space="preserve">Each MyPower residential tariff comprises the following charges, adjusted (where relevant) in accordance with subclause (3) — </w:t>
      </w:r>
    </w:p>
    <w:p>
      <w:pPr>
        <w:pStyle w:val="yIndenta"/>
      </w:pPr>
      <w:r>
        <w:tab/>
        <w:t>(a)</w:t>
      </w:r>
      <w:r>
        <w:tab/>
        <w:t>a fixed charge at the applicable rate; and</w:t>
      </w:r>
    </w:p>
    <w:p>
      <w:pPr>
        <w:pStyle w:val="yIndenta"/>
      </w:pPr>
      <w:r>
        <w:tab/>
        <w:t>(b)</w:t>
      </w:r>
      <w:r>
        <w:tab/>
        <w:t>a charge for metered consumption at the applicable rate.</w:t>
      </w:r>
    </w:p>
    <w:p>
      <w:pPr>
        <w:pStyle w:val="ySubsection"/>
      </w:pPr>
      <w:r>
        <w:tab/>
        <w:t>(3)</w:t>
      </w:r>
      <w:r>
        <w:tab/>
        <w:t xml:space="preserve">The charges calculated under subclause (2) for electricity supplied to a consumer during a peak period are to be adjusted as follows — </w:t>
      </w:r>
    </w:p>
    <w:p>
      <w:pPr>
        <w:pStyle w:val="yIndenta"/>
      </w:pPr>
      <w:r>
        <w:tab/>
        <w:t>(a)</w:t>
      </w:r>
      <w:r>
        <w:tab/>
        <w:t>3 rebates of the applicable peak rebate amount are to be applied to the consumer’s account at the end of the peak period; but</w:t>
      </w:r>
    </w:p>
    <w:p>
      <w:pPr>
        <w:pStyle w:val="yIndenta"/>
      </w:pPr>
      <w:r>
        <w:tab/>
        <w:t>(b)</w:t>
      </w:r>
      <w:r>
        <w:tab/>
        <w:t>for each peak day on which the consumer exceeds the applicable peak allowance, 1 of the rebates referred to in paragraph (a) is not to be applied.</w:t>
      </w:r>
    </w:p>
    <w:p>
      <w:pPr>
        <w:pStyle w:val="ySubsection"/>
      </w:pPr>
      <w:r>
        <w:tab/>
        <w:t>(4)</w:t>
      </w:r>
      <w:r>
        <w:tab/>
        <w:t xml:space="preserve">If electricity is supplied to a consumer at a MyPower residential tariff for part only of a peak period (the </w:t>
      </w:r>
      <w:r>
        <w:rPr>
          <w:rStyle w:val="CharDefText"/>
        </w:rPr>
        <w:t>part</w:t>
      </w:r>
      <w:r>
        <w:rPr>
          <w:rStyle w:val="CharDefText"/>
        </w:rPr>
        <w:noBreakHyphen/>
        <w:t>period</w:t>
      </w:r>
      <w:r>
        <w:t xml:space="preserve">) — </w:t>
      </w:r>
    </w:p>
    <w:p>
      <w:pPr>
        <w:pStyle w:val="yIndenta"/>
      </w:pPr>
      <w:r>
        <w:tab/>
        <w:t>(a)</w:t>
      </w:r>
      <w:r>
        <w:tab/>
        <w:t>subclause (3) applies as if a reference to the peak period were a reference to the part</w:t>
      </w:r>
      <w:r>
        <w:noBreakHyphen/>
        <w:t>period; and</w:t>
      </w:r>
    </w:p>
    <w:p>
      <w:pPr>
        <w:pStyle w:val="yIndenta"/>
      </w:pPr>
      <w:r>
        <w:tab/>
        <w:t>(b)</w:t>
      </w:r>
      <w:r>
        <w:tab/>
        <w:t>the applicable peak rebate amount is to be reduced on a pro rata basis.</w:t>
      </w:r>
    </w:p>
    <w:p>
      <w:pPr>
        <w:pStyle w:val="ySubsection"/>
      </w:pPr>
      <w:r>
        <w:tab/>
        <w:t>(5)</w:t>
      </w:r>
      <w:r>
        <w:tab/>
        <w:t>For each MyPower residential tariff, the applicable rates of the fixed charge and metered consumption charge, the applicable peak allowance and the applicable peak rebate amount are to be determined under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1417"/>
        <w:gridCol w:w="1560"/>
        <w:gridCol w:w="1275"/>
        <w:gridCol w:w="1276"/>
      </w:tblGrid>
      <w:tr>
        <w:trPr>
          <w:cantSplit/>
          <w:tblHeader/>
        </w:trPr>
        <w:tc>
          <w:tcPr>
            <w:tcW w:w="1276" w:type="dxa"/>
          </w:tcPr>
          <w:p>
            <w:pPr>
              <w:pStyle w:val="yTableNAm"/>
            </w:pPr>
            <w:r>
              <w:rPr>
                <w:b/>
              </w:rPr>
              <w:t>Tariff name</w:t>
            </w:r>
          </w:p>
        </w:tc>
        <w:tc>
          <w:tcPr>
            <w:tcW w:w="1417" w:type="dxa"/>
          </w:tcPr>
          <w:p>
            <w:pPr>
              <w:pStyle w:val="yTableNAm"/>
            </w:pPr>
            <w:r>
              <w:rPr>
                <w:b/>
              </w:rPr>
              <w:t>Rate of fixed charge</w:t>
            </w:r>
          </w:p>
        </w:tc>
        <w:tc>
          <w:tcPr>
            <w:tcW w:w="1560" w:type="dxa"/>
          </w:tcPr>
          <w:p>
            <w:pPr>
              <w:pStyle w:val="yTableNAm"/>
            </w:pPr>
            <w:r>
              <w:rPr>
                <w:b/>
              </w:rPr>
              <w:t>Rate of metered consumption charge</w:t>
            </w:r>
          </w:p>
        </w:tc>
        <w:tc>
          <w:tcPr>
            <w:tcW w:w="1275" w:type="dxa"/>
          </w:tcPr>
          <w:p>
            <w:pPr>
              <w:pStyle w:val="yTableNAm"/>
            </w:pPr>
            <w:r>
              <w:rPr>
                <w:b/>
              </w:rPr>
              <w:t>Peak allowance</w:t>
            </w:r>
          </w:p>
        </w:tc>
        <w:tc>
          <w:tcPr>
            <w:tcW w:w="1276" w:type="dxa"/>
          </w:tcPr>
          <w:p>
            <w:pPr>
              <w:pStyle w:val="yTableNAm"/>
            </w:pPr>
            <w:r>
              <w:rPr>
                <w:b/>
              </w:rPr>
              <w:t>Peak rebate amount</w:t>
            </w:r>
          </w:p>
        </w:tc>
      </w:tr>
      <w:tr>
        <w:trPr>
          <w:cantSplit/>
        </w:trPr>
        <w:tc>
          <w:tcPr>
            <w:tcW w:w="1276" w:type="dxa"/>
          </w:tcPr>
          <w:p>
            <w:pPr>
              <w:pStyle w:val="yTableNAm"/>
            </w:pPr>
            <w:r>
              <w:t>MyPower residential 1.5 fixed plan price</w:t>
            </w:r>
          </w:p>
        </w:tc>
        <w:tc>
          <w:tcPr>
            <w:tcW w:w="1417" w:type="dxa"/>
          </w:tcPr>
          <w:p>
            <w:pPr>
              <w:pStyle w:val="yTableNAm"/>
            </w:pPr>
            <w:r>
              <w:t>$1.836595 per day</w:t>
            </w:r>
          </w:p>
        </w:tc>
        <w:tc>
          <w:tcPr>
            <w:tcW w:w="1560" w:type="dxa"/>
          </w:tcPr>
          <w:p>
            <w:pPr>
              <w:pStyle w:val="yTableNAm"/>
            </w:pPr>
            <w:r>
              <w:t>$0.099703 per unit</w:t>
            </w:r>
          </w:p>
        </w:tc>
        <w:tc>
          <w:tcPr>
            <w:tcW w:w="1275" w:type="dxa"/>
          </w:tcPr>
          <w:p>
            <w:pPr>
              <w:pStyle w:val="yTableNAm"/>
            </w:pPr>
            <w:r>
              <w:t>1.5 units per hour</w:t>
            </w:r>
          </w:p>
        </w:tc>
        <w:tc>
          <w:tcPr>
            <w:tcW w:w="1276" w:type="dxa"/>
          </w:tcPr>
          <w:p>
            <w:pPr>
              <w:pStyle w:val="yTableNAm"/>
            </w:pPr>
            <w:r>
              <w:t>$100</w:t>
            </w:r>
          </w:p>
        </w:tc>
      </w:tr>
      <w:tr>
        <w:trPr>
          <w:cantSplit/>
        </w:trPr>
        <w:tc>
          <w:tcPr>
            <w:tcW w:w="1276" w:type="dxa"/>
          </w:tcPr>
          <w:p>
            <w:pPr>
              <w:pStyle w:val="yTableNAm"/>
            </w:pPr>
            <w:r>
              <w:t>MyPower residential 3 fixed plan price</w:t>
            </w:r>
          </w:p>
        </w:tc>
        <w:tc>
          <w:tcPr>
            <w:tcW w:w="1417" w:type="dxa"/>
          </w:tcPr>
          <w:p>
            <w:pPr>
              <w:pStyle w:val="yTableNAm"/>
            </w:pPr>
            <w:r>
              <w:t>$3.017641 per day</w:t>
            </w:r>
          </w:p>
        </w:tc>
        <w:tc>
          <w:tcPr>
            <w:tcW w:w="1560" w:type="dxa"/>
          </w:tcPr>
          <w:p>
            <w:pPr>
              <w:pStyle w:val="yTableNAm"/>
            </w:pPr>
            <w:r>
              <w:t>$0.099703 per unit</w:t>
            </w:r>
          </w:p>
        </w:tc>
        <w:tc>
          <w:tcPr>
            <w:tcW w:w="1275" w:type="dxa"/>
          </w:tcPr>
          <w:p>
            <w:pPr>
              <w:pStyle w:val="yTableNAm"/>
            </w:pPr>
            <w:r>
              <w:t xml:space="preserve">3 units </w:t>
            </w:r>
            <w:r>
              <w:br/>
              <w:t>per hour</w:t>
            </w:r>
          </w:p>
        </w:tc>
        <w:tc>
          <w:tcPr>
            <w:tcW w:w="1276" w:type="dxa"/>
          </w:tcPr>
          <w:p>
            <w:pPr>
              <w:pStyle w:val="yTableNAm"/>
            </w:pPr>
            <w:r>
              <w:t>$100</w:t>
            </w:r>
          </w:p>
        </w:tc>
      </w:tr>
      <w:tr>
        <w:trPr>
          <w:cantSplit/>
        </w:trPr>
        <w:tc>
          <w:tcPr>
            <w:tcW w:w="1276" w:type="dxa"/>
          </w:tcPr>
          <w:p>
            <w:pPr>
              <w:pStyle w:val="yTableNAm"/>
            </w:pPr>
            <w:r>
              <w:t>MyPower residential 5 fixed plan price</w:t>
            </w:r>
          </w:p>
        </w:tc>
        <w:tc>
          <w:tcPr>
            <w:tcW w:w="1417" w:type="dxa"/>
          </w:tcPr>
          <w:p>
            <w:pPr>
              <w:pStyle w:val="yTableNAm"/>
            </w:pPr>
            <w:r>
              <w:t>$5.265043 per day</w:t>
            </w:r>
          </w:p>
        </w:tc>
        <w:tc>
          <w:tcPr>
            <w:tcW w:w="1560" w:type="dxa"/>
          </w:tcPr>
          <w:p>
            <w:pPr>
              <w:pStyle w:val="yTableNAm"/>
            </w:pPr>
            <w:r>
              <w:t>$0.099703 per unit</w:t>
            </w:r>
          </w:p>
        </w:tc>
        <w:tc>
          <w:tcPr>
            <w:tcW w:w="1275" w:type="dxa"/>
          </w:tcPr>
          <w:p>
            <w:pPr>
              <w:pStyle w:val="yTableNAm"/>
            </w:pPr>
            <w:r>
              <w:t xml:space="preserve">5 units </w:t>
            </w:r>
            <w:r>
              <w:br/>
              <w:t>per hour</w:t>
            </w:r>
          </w:p>
        </w:tc>
        <w:tc>
          <w:tcPr>
            <w:tcW w:w="1276" w:type="dxa"/>
          </w:tcPr>
          <w:p>
            <w:pPr>
              <w:pStyle w:val="yTableNAm"/>
            </w:pPr>
            <w:r>
              <w:t>$100</w:t>
            </w:r>
          </w:p>
        </w:tc>
      </w:tr>
      <w:tr>
        <w:trPr>
          <w:cantSplit/>
        </w:trPr>
        <w:tc>
          <w:tcPr>
            <w:tcW w:w="1276" w:type="dxa"/>
          </w:tcPr>
          <w:p>
            <w:pPr>
              <w:pStyle w:val="yTableNAm"/>
            </w:pPr>
            <w:r>
              <w:t>MyPower residential 7 fixed plan price</w:t>
            </w:r>
          </w:p>
        </w:tc>
        <w:tc>
          <w:tcPr>
            <w:tcW w:w="1417" w:type="dxa"/>
          </w:tcPr>
          <w:p>
            <w:pPr>
              <w:pStyle w:val="yTableNAm"/>
            </w:pPr>
            <w:r>
              <w:t>$8.139920 per day</w:t>
            </w:r>
          </w:p>
        </w:tc>
        <w:tc>
          <w:tcPr>
            <w:tcW w:w="1560" w:type="dxa"/>
          </w:tcPr>
          <w:p>
            <w:pPr>
              <w:pStyle w:val="yTableNAm"/>
            </w:pPr>
            <w:r>
              <w:t>$0.099703 per unit</w:t>
            </w:r>
          </w:p>
        </w:tc>
        <w:tc>
          <w:tcPr>
            <w:tcW w:w="1275" w:type="dxa"/>
          </w:tcPr>
          <w:p>
            <w:pPr>
              <w:pStyle w:val="yTableNAm"/>
            </w:pPr>
            <w:r>
              <w:t xml:space="preserve">7 units </w:t>
            </w:r>
            <w:r>
              <w:br/>
              <w:t>per hour</w:t>
            </w:r>
          </w:p>
        </w:tc>
        <w:tc>
          <w:tcPr>
            <w:tcW w:w="1276" w:type="dxa"/>
          </w:tcPr>
          <w:p>
            <w:pPr>
              <w:pStyle w:val="yTableNAm"/>
            </w:pPr>
            <w:r>
              <w:t>$100</w:t>
            </w:r>
          </w:p>
        </w:tc>
      </w:tr>
      <w:tr>
        <w:trPr>
          <w:cantSplit/>
        </w:trPr>
        <w:tc>
          <w:tcPr>
            <w:tcW w:w="1276" w:type="dxa"/>
          </w:tcPr>
          <w:p>
            <w:pPr>
              <w:pStyle w:val="yTableNAm"/>
            </w:pPr>
            <w:r>
              <w:t>MyPower residential 10 fixed plan price</w:t>
            </w:r>
          </w:p>
        </w:tc>
        <w:tc>
          <w:tcPr>
            <w:tcW w:w="1417" w:type="dxa"/>
          </w:tcPr>
          <w:p>
            <w:pPr>
              <w:pStyle w:val="yTableNAm"/>
            </w:pPr>
            <w:r>
              <w:t>$11.868759 per day</w:t>
            </w:r>
          </w:p>
        </w:tc>
        <w:tc>
          <w:tcPr>
            <w:tcW w:w="1560" w:type="dxa"/>
          </w:tcPr>
          <w:p>
            <w:pPr>
              <w:pStyle w:val="yTableNAm"/>
            </w:pPr>
            <w:r>
              <w:t>$0.099703 per unit</w:t>
            </w:r>
          </w:p>
        </w:tc>
        <w:tc>
          <w:tcPr>
            <w:tcW w:w="1275" w:type="dxa"/>
          </w:tcPr>
          <w:p>
            <w:pPr>
              <w:pStyle w:val="yTableNAm"/>
            </w:pPr>
            <w:r>
              <w:t>10 units per hour</w:t>
            </w:r>
          </w:p>
        </w:tc>
        <w:tc>
          <w:tcPr>
            <w:tcW w:w="1276" w:type="dxa"/>
          </w:tcPr>
          <w:p>
            <w:pPr>
              <w:pStyle w:val="yTableNAm"/>
            </w:pPr>
            <w:r>
              <w:t>$100</w:t>
            </w:r>
          </w:p>
        </w:tc>
      </w:tr>
      <w:tr>
        <w:trPr>
          <w:cantSplit/>
        </w:trPr>
        <w:tc>
          <w:tcPr>
            <w:tcW w:w="1276" w:type="dxa"/>
          </w:tcPr>
          <w:p>
            <w:pPr>
              <w:pStyle w:val="yTableNAm"/>
            </w:pPr>
            <w:r>
              <w:t>MyPower residential 15 fixed plan price</w:t>
            </w:r>
          </w:p>
        </w:tc>
        <w:tc>
          <w:tcPr>
            <w:tcW w:w="1417" w:type="dxa"/>
          </w:tcPr>
          <w:p>
            <w:pPr>
              <w:pStyle w:val="yTableNAm"/>
            </w:pPr>
            <w:r>
              <w:t>$25.258053 per day</w:t>
            </w:r>
          </w:p>
        </w:tc>
        <w:tc>
          <w:tcPr>
            <w:tcW w:w="1560" w:type="dxa"/>
          </w:tcPr>
          <w:p>
            <w:pPr>
              <w:pStyle w:val="yTableNAm"/>
            </w:pPr>
            <w:r>
              <w:t>$0.099703 per unit</w:t>
            </w:r>
          </w:p>
        </w:tc>
        <w:tc>
          <w:tcPr>
            <w:tcW w:w="1275" w:type="dxa"/>
          </w:tcPr>
          <w:p>
            <w:pPr>
              <w:pStyle w:val="yTableNAm"/>
            </w:pPr>
            <w:r>
              <w:t>15 units per hour</w:t>
            </w:r>
          </w:p>
        </w:tc>
        <w:tc>
          <w:tcPr>
            <w:tcW w:w="1276" w:type="dxa"/>
          </w:tcPr>
          <w:p>
            <w:pPr>
              <w:pStyle w:val="yTableNAm"/>
            </w:pPr>
            <w:r>
              <w:t>$100</w:t>
            </w:r>
          </w:p>
        </w:tc>
      </w:tr>
    </w:tbl>
    <w:p>
      <w:pPr>
        <w:pStyle w:val="ySubsection"/>
      </w:pPr>
      <w:r>
        <w:tab/>
        <w:t>(6)</w:t>
      </w:r>
      <w:r>
        <w:tab/>
        <w:t>Each MyPower residential tariff is available subject to the condition that the consumer does not exceed the applicable peak allowance on 4 or more peak days in a peak period.</w:t>
      </w:r>
    </w:p>
    <w:p>
      <w:pPr>
        <w:pStyle w:val="yFootnotesection"/>
      </w:pPr>
      <w:r>
        <w:tab/>
        <w:t>[Clause 8 inserted in Gazette 22 Dec 2017 p. 5980</w:t>
      </w:r>
      <w:r>
        <w:noBreakHyphen/>
        <w:t>1.]</w:t>
      </w:r>
    </w:p>
    <w:p>
      <w:pPr>
        <w:pStyle w:val="yHeading5"/>
      </w:pPr>
      <w:bookmarkStart w:id="27" w:name="_Toc502736811"/>
      <w:r>
        <w:rPr>
          <w:rStyle w:val="CharSClsNo"/>
        </w:rPr>
        <w:t>9</w:t>
      </w:r>
      <w:r>
        <w:t>.</w:t>
      </w:r>
      <w:r>
        <w:tab/>
        <w:t>MyPower non</w:t>
      </w:r>
      <w:r>
        <w:noBreakHyphen/>
        <w:t>residential tariffs</w:t>
      </w:r>
      <w:bookmarkEnd w:id="27"/>
    </w:p>
    <w:p>
      <w:pPr>
        <w:pStyle w:val="ySubsection"/>
      </w:pPr>
      <w:r>
        <w:tab/>
        <w:t>(1)</w:t>
      </w:r>
      <w:r>
        <w:tab/>
        <w:t xml:space="preserve">Each tariff determined under this clause (a </w:t>
      </w:r>
      <w:r>
        <w:rPr>
          <w:rStyle w:val="CharDefText"/>
        </w:rPr>
        <w:t>MyPower non</w:t>
      </w:r>
      <w:r>
        <w:rPr>
          <w:rStyle w:val="CharDefText"/>
        </w:rPr>
        <w:noBreakHyphen/>
        <w:t>residential tariff</w:t>
      </w:r>
      <w:r>
        <w:t xml:space="preserve">) is available only — </w:t>
      </w:r>
    </w:p>
    <w:p>
      <w:pPr>
        <w:pStyle w:val="yIndenta"/>
      </w:pPr>
      <w:r>
        <w:tab/>
        <w:t>(a)</w:t>
      </w:r>
      <w:r>
        <w:tab/>
        <w:t>for non</w:t>
      </w:r>
      <w:r>
        <w:noBreakHyphen/>
        <w:t>residential use; and</w:t>
      </w:r>
    </w:p>
    <w:p>
      <w:pPr>
        <w:pStyle w:val="yIndenta"/>
      </w:pPr>
      <w:r>
        <w:tab/>
        <w:t>(b)</w:t>
      </w:r>
      <w:r>
        <w:tab/>
        <w:t>if the consumer has entered into a non</w:t>
      </w:r>
      <w:r>
        <w:noBreakHyphen/>
        <w:t xml:space="preserve">standard contract (as defined in the </w:t>
      </w:r>
      <w:r>
        <w:rPr>
          <w:i/>
        </w:rPr>
        <w:t>Electricity Industry Act 2004</w:t>
      </w:r>
      <w:r>
        <w:t xml:space="preserve"> section 47) with the corporation for the supply of electricity at a MyPower non</w:t>
      </w:r>
      <w:r>
        <w:noBreakHyphen/>
        <w:t>residential tariff.</w:t>
      </w:r>
    </w:p>
    <w:p>
      <w:pPr>
        <w:pStyle w:val="ySubsection"/>
      </w:pPr>
      <w:r>
        <w:tab/>
        <w:t>(2)</w:t>
      </w:r>
      <w:r>
        <w:tab/>
        <w:t>Each MyPower non</w:t>
      </w:r>
      <w:r>
        <w:noBreakHyphen/>
        <w:t xml:space="preserve">residential tariff comprises the following charges, adjusted (where relevant) in accordance with subclause (3) — </w:t>
      </w:r>
    </w:p>
    <w:p>
      <w:pPr>
        <w:pStyle w:val="yIndenta"/>
      </w:pPr>
      <w:r>
        <w:tab/>
        <w:t>(a)</w:t>
      </w:r>
      <w:r>
        <w:tab/>
        <w:t>a fixed charge at applicable rate; and</w:t>
      </w:r>
    </w:p>
    <w:p>
      <w:pPr>
        <w:pStyle w:val="yIndenta"/>
      </w:pPr>
      <w:r>
        <w:tab/>
        <w:t>(b)</w:t>
      </w:r>
      <w:r>
        <w:tab/>
        <w:t>a charge for metered consumption at the applicable rate.</w:t>
      </w:r>
    </w:p>
    <w:p>
      <w:pPr>
        <w:pStyle w:val="ySubsection"/>
      </w:pPr>
      <w:r>
        <w:tab/>
        <w:t>(3)</w:t>
      </w:r>
      <w:r>
        <w:tab/>
        <w:t xml:space="preserve">The charges calculated under subclause (2) for electricity supplied to a consumer during a peak period are to be adjusted as follows — </w:t>
      </w:r>
    </w:p>
    <w:p>
      <w:pPr>
        <w:pStyle w:val="yIndenta"/>
      </w:pPr>
      <w:r>
        <w:tab/>
        <w:t>(a)</w:t>
      </w:r>
      <w:r>
        <w:tab/>
        <w:t>3 rebates of the applicable peak rebate amount are to be applied to the consumer’s account at the end of the peak period; but</w:t>
      </w:r>
    </w:p>
    <w:p>
      <w:pPr>
        <w:pStyle w:val="yIndenta"/>
      </w:pPr>
      <w:r>
        <w:tab/>
        <w:t>(b)</w:t>
      </w:r>
      <w:r>
        <w:tab/>
        <w:t>for each peak day on which the consumer exceeds the applicable peak allowance, 1 of the rebates referred to in paragraph (a) is not to be applied.</w:t>
      </w:r>
    </w:p>
    <w:p>
      <w:pPr>
        <w:pStyle w:val="ySubsection"/>
      </w:pPr>
      <w:r>
        <w:tab/>
        <w:t>(4)</w:t>
      </w:r>
      <w:r>
        <w:tab/>
        <w:t>If electricity is supplied to a consumer at a MyPower non</w:t>
      </w:r>
      <w:r>
        <w:noBreakHyphen/>
        <w:t xml:space="preserve">residential tariff for part only of a peak period (the </w:t>
      </w:r>
      <w:r>
        <w:rPr>
          <w:rStyle w:val="CharDefText"/>
        </w:rPr>
        <w:t>part</w:t>
      </w:r>
      <w:r>
        <w:rPr>
          <w:rStyle w:val="CharDefText"/>
        </w:rPr>
        <w:noBreakHyphen/>
        <w:t>period</w:t>
      </w:r>
      <w:r>
        <w:t xml:space="preserve">) — </w:t>
      </w:r>
    </w:p>
    <w:p>
      <w:pPr>
        <w:pStyle w:val="yIndenta"/>
      </w:pPr>
      <w:r>
        <w:tab/>
        <w:t>(a)</w:t>
      </w:r>
      <w:r>
        <w:tab/>
        <w:t>subclause (3) applies as if a reference to the peak period were a reference to the part</w:t>
      </w:r>
      <w:r>
        <w:noBreakHyphen/>
        <w:t>period; and</w:t>
      </w:r>
    </w:p>
    <w:p>
      <w:pPr>
        <w:pStyle w:val="yIndenta"/>
      </w:pPr>
      <w:r>
        <w:tab/>
        <w:t>(b)</w:t>
      </w:r>
      <w:r>
        <w:tab/>
        <w:t>the applicable peak rebate amount is to be reduced on a pro rata basis.</w:t>
      </w:r>
    </w:p>
    <w:p>
      <w:pPr>
        <w:pStyle w:val="ySubsection"/>
      </w:pPr>
      <w:r>
        <w:tab/>
        <w:t>(5)</w:t>
      </w:r>
      <w:r>
        <w:tab/>
        <w:t>For each MyPower non</w:t>
      </w:r>
      <w:r>
        <w:noBreakHyphen/>
        <w:t>residential tariff, the applicable rates of the fixed charge and metered consumption charge, the applicable peak allowance and the applicable peak rebate amount are to be determined under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1417"/>
        <w:gridCol w:w="1560"/>
        <w:gridCol w:w="1275"/>
        <w:gridCol w:w="1276"/>
      </w:tblGrid>
      <w:tr>
        <w:trPr>
          <w:cantSplit/>
          <w:tblHeader/>
        </w:trPr>
        <w:tc>
          <w:tcPr>
            <w:tcW w:w="1276" w:type="dxa"/>
          </w:tcPr>
          <w:p>
            <w:pPr>
              <w:pStyle w:val="yTableNAm"/>
            </w:pPr>
            <w:r>
              <w:rPr>
                <w:b/>
              </w:rPr>
              <w:t>Tariff name</w:t>
            </w:r>
          </w:p>
        </w:tc>
        <w:tc>
          <w:tcPr>
            <w:tcW w:w="1417" w:type="dxa"/>
          </w:tcPr>
          <w:p>
            <w:pPr>
              <w:pStyle w:val="yTableNAm"/>
            </w:pPr>
            <w:r>
              <w:rPr>
                <w:b/>
              </w:rPr>
              <w:t>Rate of fixed charge</w:t>
            </w:r>
          </w:p>
        </w:tc>
        <w:tc>
          <w:tcPr>
            <w:tcW w:w="1560" w:type="dxa"/>
          </w:tcPr>
          <w:p>
            <w:pPr>
              <w:pStyle w:val="yTableNAm"/>
            </w:pPr>
            <w:r>
              <w:rPr>
                <w:b/>
              </w:rPr>
              <w:t>Rate of metered consumption charge</w:t>
            </w:r>
          </w:p>
        </w:tc>
        <w:tc>
          <w:tcPr>
            <w:tcW w:w="1275" w:type="dxa"/>
          </w:tcPr>
          <w:p>
            <w:pPr>
              <w:pStyle w:val="yTableNAm"/>
            </w:pPr>
            <w:r>
              <w:rPr>
                <w:b/>
              </w:rPr>
              <w:t>Peak allowance</w:t>
            </w:r>
          </w:p>
        </w:tc>
        <w:tc>
          <w:tcPr>
            <w:tcW w:w="1276" w:type="dxa"/>
          </w:tcPr>
          <w:p>
            <w:pPr>
              <w:pStyle w:val="yTableNAm"/>
            </w:pPr>
            <w:r>
              <w:rPr>
                <w:b/>
              </w:rPr>
              <w:t>Peak rebate amount</w:t>
            </w:r>
          </w:p>
        </w:tc>
      </w:tr>
      <w:tr>
        <w:trPr>
          <w:cantSplit/>
        </w:trPr>
        <w:tc>
          <w:tcPr>
            <w:tcW w:w="1276" w:type="dxa"/>
          </w:tcPr>
          <w:p>
            <w:pPr>
              <w:pStyle w:val="yTableNAm"/>
            </w:pPr>
            <w:r>
              <w:t>MyPower business 3 fixed plan price</w:t>
            </w:r>
          </w:p>
        </w:tc>
        <w:tc>
          <w:tcPr>
            <w:tcW w:w="1417" w:type="dxa"/>
          </w:tcPr>
          <w:p>
            <w:pPr>
              <w:pStyle w:val="yTableNAm"/>
            </w:pPr>
            <w:r>
              <w:t>$3.330959 per day</w:t>
            </w:r>
          </w:p>
        </w:tc>
        <w:tc>
          <w:tcPr>
            <w:tcW w:w="1560" w:type="dxa"/>
          </w:tcPr>
          <w:p>
            <w:pPr>
              <w:pStyle w:val="yTableNAm"/>
            </w:pPr>
            <w:r>
              <w:t>$0.099703 per unit</w:t>
            </w:r>
          </w:p>
        </w:tc>
        <w:tc>
          <w:tcPr>
            <w:tcW w:w="1275" w:type="dxa"/>
          </w:tcPr>
          <w:p>
            <w:pPr>
              <w:pStyle w:val="yTableNAm"/>
            </w:pPr>
            <w:r>
              <w:t xml:space="preserve">3 units </w:t>
            </w:r>
            <w:r>
              <w:br/>
              <w:t>per hour</w:t>
            </w:r>
          </w:p>
        </w:tc>
        <w:tc>
          <w:tcPr>
            <w:tcW w:w="1276" w:type="dxa"/>
          </w:tcPr>
          <w:p>
            <w:pPr>
              <w:pStyle w:val="yTableNAm"/>
            </w:pPr>
            <w:r>
              <w:t>$100</w:t>
            </w:r>
          </w:p>
        </w:tc>
      </w:tr>
      <w:tr>
        <w:trPr>
          <w:cantSplit/>
        </w:trPr>
        <w:tc>
          <w:tcPr>
            <w:tcW w:w="1276" w:type="dxa"/>
          </w:tcPr>
          <w:p>
            <w:pPr>
              <w:pStyle w:val="yTableNAm"/>
            </w:pPr>
            <w:r>
              <w:t>MyPower business 5 fixed plan price</w:t>
            </w:r>
          </w:p>
        </w:tc>
        <w:tc>
          <w:tcPr>
            <w:tcW w:w="1417" w:type="dxa"/>
          </w:tcPr>
          <w:p>
            <w:pPr>
              <w:pStyle w:val="yTableNAm"/>
            </w:pPr>
            <w:r>
              <w:t>$6.792026 per day</w:t>
            </w:r>
          </w:p>
        </w:tc>
        <w:tc>
          <w:tcPr>
            <w:tcW w:w="1560" w:type="dxa"/>
          </w:tcPr>
          <w:p>
            <w:pPr>
              <w:pStyle w:val="yTableNAm"/>
            </w:pPr>
            <w:r>
              <w:t>$0.099703 per unit</w:t>
            </w:r>
          </w:p>
        </w:tc>
        <w:tc>
          <w:tcPr>
            <w:tcW w:w="1275" w:type="dxa"/>
          </w:tcPr>
          <w:p>
            <w:pPr>
              <w:pStyle w:val="yTableNAm"/>
            </w:pPr>
            <w:r>
              <w:t xml:space="preserve">5 units </w:t>
            </w:r>
            <w:r>
              <w:br/>
              <w:t>per hour</w:t>
            </w:r>
          </w:p>
        </w:tc>
        <w:tc>
          <w:tcPr>
            <w:tcW w:w="1276" w:type="dxa"/>
          </w:tcPr>
          <w:p>
            <w:pPr>
              <w:pStyle w:val="yTableNAm"/>
            </w:pPr>
            <w:r>
              <w:t>$100</w:t>
            </w:r>
          </w:p>
        </w:tc>
      </w:tr>
      <w:tr>
        <w:trPr>
          <w:cantSplit/>
        </w:trPr>
        <w:tc>
          <w:tcPr>
            <w:tcW w:w="1276" w:type="dxa"/>
          </w:tcPr>
          <w:p>
            <w:pPr>
              <w:pStyle w:val="yTableNAm"/>
            </w:pPr>
            <w:r>
              <w:t>MyPower business 7 fixed plan price</w:t>
            </w:r>
          </w:p>
        </w:tc>
        <w:tc>
          <w:tcPr>
            <w:tcW w:w="1417" w:type="dxa"/>
          </w:tcPr>
          <w:p>
            <w:pPr>
              <w:pStyle w:val="yTableNAm"/>
            </w:pPr>
            <w:r>
              <w:t>$11.504898 per day</w:t>
            </w:r>
          </w:p>
        </w:tc>
        <w:tc>
          <w:tcPr>
            <w:tcW w:w="1560" w:type="dxa"/>
          </w:tcPr>
          <w:p>
            <w:pPr>
              <w:pStyle w:val="yTableNAm"/>
            </w:pPr>
            <w:r>
              <w:t>$0.099703 per unit</w:t>
            </w:r>
          </w:p>
        </w:tc>
        <w:tc>
          <w:tcPr>
            <w:tcW w:w="1275" w:type="dxa"/>
          </w:tcPr>
          <w:p>
            <w:pPr>
              <w:pStyle w:val="yTableNAm"/>
            </w:pPr>
            <w:r>
              <w:t xml:space="preserve">7 units </w:t>
            </w:r>
            <w:r>
              <w:br/>
              <w:t>per hour</w:t>
            </w:r>
          </w:p>
        </w:tc>
        <w:tc>
          <w:tcPr>
            <w:tcW w:w="1276" w:type="dxa"/>
          </w:tcPr>
          <w:p>
            <w:pPr>
              <w:pStyle w:val="yTableNAm"/>
            </w:pPr>
            <w:r>
              <w:t>$100</w:t>
            </w:r>
          </w:p>
        </w:tc>
      </w:tr>
      <w:tr>
        <w:trPr>
          <w:cantSplit/>
        </w:trPr>
        <w:tc>
          <w:tcPr>
            <w:tcW w:w="1276" w:type="dxa"/>
          </w:tcPr>
          <w:p>
            <w:pPr>
              <w:pStyle w:val="yTableNAm"/>
            </w:pPr>
            <w:r>
              <w:t>MyPower business 10 fixed plan price</w:t>
            </w:r>
          </w:p>
        </w:tc>
        <w:tc>
          <w:tcPr>
            <w:tcW w:w="1417" w:type="dxa"/>
          </w:tcPr>
          <w:p>
            <w:pPr>
              <w:pStyle w:val="yTableNAm"/>
            </w:pPr>
            <w:r>
              <w:t>$16.739049 per day</w:t>
            </w:r>
          </w:p>
        </w:tc>
        <w:tc>
          <w:tcPr>
            <w:tcW w:w="1560" w:type="dxa"/>
          </w:tcPr>
          <w:p>
            <w:pPr>
              <w:pStyle w:val="yTableNAm"/>
            </w:pPr>
            <w:r>
              <w:t>$0.099703 per unit</w:t>
            </w:r>
          </w:p>
        </w:tc>
        <w:tc>
          <w:tcPr>
            <w:tcW w:w="1275" w:type="dxa"/>
          </w:tcPr>
          <w:p>
            <w:pPr>
              <w:pStyle w:val="yTableNAm"/>
            </w:pPr>
            <w:r>
              <w:t>10 units per hour</w:t>
            </w:r>
          </w:p>
        </w:tc>
        <w:tc>
          <w:tcPr>
            <w:tcW w:w="1276" w:type="dxa"/>
          </w:tcPr>
          <w:p>
            <w:pPr>
              <w:pStyle w:val="yTableNAm"/>
            </w:pPr>
            <w:r>
              <w:t>$100</w:t>
            </w:r>
          </w:p>
        </w:tc>
      </w:tr>
      <w:tr>
        <w:trPr>
          <w:cantSplit/>
        </w:trPr>
        <w:tc>
          <w:tcPr>
            <w:tcW w:w="1276" w:type="dxa"/>
          </w:tcPr>
          <w:p>
            <w:pPr>
              <w:pStyle w:val="yTableNAm"/>
            </w:pPr>
            <w:r>
              <w:t>MyPower business 15 fixed plan price</w:t>
            </w:r>
          </w:p>
        </w:tc>
        <w:tc>
          <w:tcPr>
            <w:tcW w:w="1417" w:type="dxa"/>
          </w:tcPr>
          <w:p>
            <w:pPr>
              <w:pStyle w:val="yTableNAm"/>
            </w:pPr>
            <w:r>
              <w:t>$25.258053 per day</w:t>
            </w:r>
          </w:p>
        </w:tc>
        <w:tc>
          <w:tcPr>
            <w:tcW w:w="1560" w:type="dxa"/>
          </w:tcPr>
          <w:p>
            <w:pPr>
              <w:pStyle w:val="yTableNAm"/>
            </w:pPr>
            <w:r>
              <w:t>$0.099703 per unit</w:t>
            </w:r>
          </w:p>
        </w:tc>
        <w:tc>
          <w:tcPr>
            <w:tcW w:w="1275" w:type="dxa"/>
          </w:tcPr>
          <w:p>
            <w:pPr>
              <w:pStyle w:val="yTableNAm"/>
            </w:pPr>
            <w:r>
              <w:t>15 units per hour</w:t>
            </w:r>
          </w:p>
        </w:tc>
        <w:tc>
          <w:tcPr>
            <w:tcW w:w="1276" w:type="dxa"/>
          </w:tcPr>
          <w:p>
            <w:pPr>
              <w:pStyle w:val="yTableNAm"/>
            </w:pPr>
            <w:r>
              <w:t>$100</w:t>
            </w:r>
          </w:p>
        </w:tc>
      </w:tr>
      <w:tr>
        <w:trPr>
          <w:cantSplit/>
        </w:trPr>
        <w:tc>
          <w:tcPr>
            <w:tcW w:w="1276" w:type="dxa"/>
          </w:tcPr>
          <w:p>
            <w:pPr>
              <w:pStyle w:val="yTableNAm"/>
            </w:pPr>
            <w:r>
              <w:t>MyPower business 20 fixed plan price</w:t>
            </w:r>
          </w:p>
        </w:tc>
        <w:tc>
          <w:tcPr>
            <w:tcW w:w="1417" w:type="dxa"/>
          </w:tcPr>
          <w:p>
            <w:pPr>
              <w:pStyle w:val="yTableNAm"/>
            </w:pPr>
            <w:r>
              <w:t>$43.025630 per day</w:t>
            </w:r>
          </w:p>
        </w:tc>
        <w:tc>
          <w:tcPr>
            <w:tcW w:w="1560" w:type="dxa"/>
          </w:tcPr>
          <w:p>
            <w:pPr>
              <w:pStyle w:val="yTableNAm"/>
            </w:pPr>
            <w:r>
              <w:t>$0.099703 per unit</w:t>
            </w:r>
          </w:p>
        </w:tc>
        <w:tc>
          <w:tcPr>
            <w:tcW w:w="1275" w:type="dxa"/>
          </w:tcPr>
          <w:p>
            <w:pPr>
              <w:pStyle w:val="yTableNAm"/>
            </w:pPr>
            <w:r>
              <w:t>20 units per hour</w:t>
            </w:r>
          </w:p>
        </w:tc>
        <w:tc>
          <w:tcPr>
            <w:tcW w:w="1276" w:type="dxa"/>
          </w:tcPr>
          <w:p>
            <w:pPr>
              <w:pStyle w:val="yTableNAm"/>
            </w:pPr>
            <w:r>
              <w:t>$200</w:t>
            </w:r>
          </w:p>
        </w:tc>
      </w:tr>
      <w:tr>
        <w:trPr>
          <w:cantSplit/>
        </w:trPr>
        <w:tc>
          <w:tcPr>
            <w:tcW w:w="1276" w:type="dxa"/>
          </w:tcPr>
          <w:p>
            <w:pPr>
              <w:pStyle w:val="yTableNAm"/>
            </w:pPr>
            <w:r>
              <w:t>MyPower business 30 fixed plan price</w:t>
            </w:r>
          </w:p>
        </w:tc>
        <w:tc>
          <w:tcPr>
            <w:tcW w:w="1417" w:type="dxa"/>
          </w:tcPr>
          <w:p>
            <w:pPr>
              <w:pStyle w:val="yTableNAm"/>
            </w:pPr>
            <w:r>
              <w:t>$60.033161 per day</w:t>
            </w:r>
          </w:p>
        </w:tc>
        <w:tc>
          <w:tcPr>
            <w:tcW w:w="1560" w:type="dxa"/>
          </w:tcPr>
          <w:p>
            <w:pPr>
              <w:pStyle w:val="yTableNAm"/>
            </w:pPr>
            <w:r>
              <w:t>$0.099703 per unit</w:t>
            </w:r>
          </w:p>
        </w:tc>
        <w:tc>
          <w:tcPr>
            <w:tcW w:w="1275" w:type="dxa"/>
          </w:tcPr>
          <w:p>
            <w:pPr>
              <w:pStyle w:val="yTableNAm"/>
            </w:pPr>
            <w:r>
              <w:t>30 units per hour</w:t>
            </w:r>
          </w:p>
        </w:tc>
        <w:tc>
          <w:tcPr>
            <w:tcW w:w="1276" w:type="dxa"/>
          </w:tcPr>
          <w:p>
            <w:pPr>
              <w:pStyle w:val="yTableNAm"/>
            </w:pPr>
            <w:r>
              <w:t>$200</w:t>
            </w:r>
          </w:p>
        </w:tc>
      </w:tr>
      <w:tr>
        <w:trPr>
          <w:cantSplit/>
        </w:trPr>
        <w:tc>
          <w:tcPr>
            <w:tcW w:w="1276" w:type="dxa"/>
          </w:tcPr>
          <w:p>
            <w:pPr>
              <w:pStyle w:val="yTableNAm"/>
            </w:pPr>
            <w:r>
              <w:t>MyPower business 40 fixed plan price</w:t>
            </w:r>
          </w:p>
        </w:tc>
        <w:tc>
          <w:tcPr>
            <w:tcW w:w="1417" w:type="dxa"/>
          </w:tcPr>
          <w:p>
            <w:pPr>
              <w:pStyle w:val="yTableNAm"/>
            </w:pPr>
            <w:r>
              <w:t>$86.834447 per day</w:t>
            </w:r>
          </w:p>
        </w:tc>
        <w:tc>
          <w:tcPr>
            <w:tcW w:w="1560" w:type="dxa"/>
          </w:tcPr>
          <w:p>
            <w:pPr>
              <w:pStyle w:val="yTableNAm"/>
            </w:pPr>
            <w:r>
              <w:t>$0.099703 per unit</w:t>
            </w:r>
          </w:p>
        </w:tc>
        <w:tc>
          <w:tcPr>
            <w:tcW w:w="1275" w:type="dxa"/>
          </w:tcPr>
          <w:p>
            <w:pPr>
              <w:pStyle w:val="yTableNAm"/>
            </w:pPr>
            <w:r>
              <w:t>40 units per hour</w:t>
            </w:r>
          </w:p>
        </w:tc>
        <w:tc>
          <w:tcPr>
            <w:tcW w:w="1276" w:type="dxa"/>
          </w:tcPr>
          <w:p>
            <w:pPr>
              <w:pStyle w:val="yTableNAm"/>
            </w:pPr>
            <w:r>
              <w:t>$200</w:t>
            </w:r>
          </w:p>
        </w:tc>
      </w:tr>
      <w:tr>
        <w:trPr>
          <w:cantSplit/>
        </w:trPr>
        <w:tc>
          <w:tcPr>
            <w:tcW w:w="1276" w:type="dxa"/>
          </w:tcPr>
          <w:p>
            <w:pPr>
              <w:pStyle w:val="yTableNAm"/>
            </w:pPr>
            <w:r>
              <w:t>MyPower business 50 fixed plan price</w:t>
            </w:r>
          </w:p>
        </w:tc>
        <w:tc>
          <w:tcPr>
            <w:tcW w:w="1417" w:type="dxa"/>
          </w:tcPr>
          <w:p>
            <w:pPr>
              <w:pStyle w:val="yTableNAm"/>
            </w:pPr>
            <w:r>
              <w:t>$119.302041 per day</w:t>
            </w:r>
          </w:p>
        </w:tc>
        <w:tc>
          <w:tcPr>
            <w:tcW w:w="1560" w:type="dxa"/>
          </w:tcPr>
          <w:p>
            <w:pPr>
              <w:pStyle w:val="yTableNAm"/>
            </w:pPr>
            <w:r>
              <w:t>$0.099703 per unit</w:t>
            </w:r>
          </w:p>
        </w:tc>
        <w:tc>
          <w:tcPr>
            <w:tcW w:w="1275" w:type="dxa"/>
          </w:tcPr>
          <w:p>
            <w:pPr>
              <w:pStyle w:val="yTableNAm"/>
            </w:pPr>
            <w:r>
              <w:t>50 units per hour</w:t>
            </w:r>
          </w:p>
        </w:tc>
        <w:tc>
          <w:tcPr>
            <w:tcW w:w="1276" w:type="dxa"/>
          </w:tcPr>
          <w:p>
            <w:pPr>
              <w:pStyle w:val="yTableNAm"/>
            </w:pPr>
            <w:r>
              <w:t>$300</w:t>
            </w:r>
          </w:p>
        </w:tc>
      </w:tr>
    </w:tbl>
    <w:p>
      <w:pPr>
        <w:pStyle w:val="ySubsection"/>
        <w:rPr>
          <w:b/>
        </w:rPr>
      </w:pPr>
      <w:r>
        <w:tab/>
        <w:t>(6)</w:t>
      </w:r>
      <w:r>
        <w:tab/>
        <w:t>Each MyPower non</w:t>
      </w:r>
      <w:r>
        <w:noBreakHyphen/>
        <w:t>residential tariff is available subject to the condition that the consumer does not exceed the applicable peak allowance on 4 or more peak days in a peak period.</w:t>
      </w:r>
    </w:p>
    <w:p>
      <w:pPr>
        <w:pStyle w:val="yFootnotesection"/>
      </w:pPr>
      <w:r>
        <w:tab/>
        <w:t>[Clause 9 inserted in Gazette 22 Dec 2017 p. 5981</w:t>
      </w:r>
      <w:r>
        <w:noBreakHyphen/>
        <w:t>3.]</w:t>
      </w:r>
    </w:p>
    <w:p>
      <w:pPr>
        <w:pStyle w:val="yEdnoteschedule"/>
      </w:pPr>
      <w:r>
        <w:t>[Schedule 2A deleted in Gazette 22 Aug 2014 p. 3021.]</w:t>
      </w:r>
    </w:p>
    <w:p>
      <w:p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29" w:name="_Toc501633159"/>
      <w:bookmarkStart w:id="30" w:name="_Toc501633212"/>
      <w:bookmarkStart w:id="31" w:name="_Toc502736812"/>
      <w:r>
        <w:rPr>
          <w:rStyle w:val="CharSchNo"/>
        </w:rPr>
        <w:t>Schedule 2</w:t>
      </w:r>
      <w:r>
        <w:t> — </w:t>
      </w:r>
      <w:r>
        <w:rPr>
          <w:rStyle w:val="CharSchText"/>
        </w:rPr>
        <w:t>Unmetered supply</w:t>
      </w:r>
      <w:bookmarkEnd w:id="29"/>
      <w:bookmarkEnd w:id="30"/>
      <w:bookmarkEnd w:id="31"/>
    </w:p>
    <w:p>
      <w:pPr>
        <w:pStyle w:val="yShoulderClause"/>
      </w:pPr>
      <w:r>
        <w:t>[bl. 4(2) and (3)]</w:t>
      </w:r>
    </w:p>
    <w:p>
      <w:pPr>
        <w:pStyle w:val="yFootnoteheading"/>
      </w:pPr>
      <w:r>
        <w:tab/>
        <w:t>[Heading inserted in Gazette 27 Jun 2017 p. 3422.]</w:t>
      </w:r>
    </w:p>
    <w:p>
      <w:pPr>
        <w:pStyle w:val="yHeading3"/>
      </w:pPr>
      <w:bookmarkStart w:id="32" w:name="_Toc501633160"/>
      <w:bookmarkStart w:id="33" w:name="_Toc501633213"/>
      <w:bookmarkStart w:id="34" w:name="_Toc502736813"/>
      <w:r>
        <w:rPr>
          <w:rStyle w:val="CharSDivNo"/>
        </w:rPr>
        <w:t>Division 1</w:t>
      </w:r>
      <w:r>
        <w:t> — </w:t>
      </w:r>
      <w:r>
        <w:rPr>
          <w:rStyle w:val="CharSDivText"/>
        </w:rPr>
        <w:t>Street lighting</w:t>
      </w:r>
      <w:bookmarkEnd w:id="32"/>
      <w:bookmarkEnd w:id="33"/>
      <w:bookmarkEnd w:id="34"/>
    </w:p>
    <w:p>
      <w:pPr>
        <w:pStyle w:val="yFootnoteheading"/>
        <w:spacing w:after="60"/>
      </w:pPr>
      <w:r>
        <w:tab/>
        <w:t>[Heading inserted in Gazette 27 Jun 2017 p. 3422.]</w:t>
      </w:r>
    </w:p>
    <w:tbl>
      <w:tblPr>
        <w:tblW w:w="6804" w:type="dxa"/>
        <w:tblInd w:w="212" w:type="dxa"/>
        <w:tblLayout w:type="fixed"/>
        <w:tblCellMar>
          <w:left w:w="70" w:type="dxa"/>
          <w:right w:w="70" w:type="dxa"/>
        </w:tblCellMar>
        <w:tblLook w:val="0000" w:firstRow="0" w:lastRow="0" w:firstColumn="0" w:lastColumn="0" w:noHBand="0" w:noVBand="0"/>
      </w:tblPr>
      <w:tblGrid>
        <w:gridCol w:w="567"/>
        <w:gridCol w:w="851"/>
        <w:gridCol w:w="992"/>
        <w:gridCol w:w="142"/>
        <w:gridCol w:w="1370"/>
        <w:gridCol w:w="1512"/>
        <w:gridCol w:w="1370"/>
      </w:tblGrid>
      <w:tr>
        <w:trPr>
          <w:cantSplit/>
          <w:tblHeader/>
        </w:trPr>
        <w:tc>
          <w:tcPr>
            <w:tcW w:w="567" w:type="dxa"/>
            <w:tcBorders>
              <w:top w:val="single" w:sz="4" w:space="0" w:color="auto"/>
              <w:bottom w:val="single" w:sz="4" w:space="0" w:color="auto"/>
            </w:tcBorders>
          </w:tcPr>
          <w:p>
            <w:pPr>
              <w:pStyle w:val="yTableNAm"/>
            </w:pPr>
            <w:r>
              <w:rPr>
                <w:b/>
                <w:bCs/>
                <w:sz w:val="16"/>
                <w:szCs w:val="16"/>
              </w:rPr>
              <w:t>Item</w:t>
            </w:r>
          </w:p>
        </w:tc>
        <w:tc>
          <w:tcPr>
            <w:tcW w:w="851" w:type="dxa"/>
            <w:tcBorders>
              <w:top w:val="single" w:sz="4" w:space="0" w:color="auto"/>
              <w:bottom w:val="single" w:sz="4" w:space="0" w:color="auto"/>
            </w:tcBorders>
          </w:tcPr>
          <w:p>
            <w:pPr>
              <w:pStyle w:val="yTableNAm"/>
            </w:pPr>
            <w:r>
              <w:rPr>
                <w:b/>
                <w:bCs/>
                <w:sz w:val="16"/>
                <w:szCs w:val="16"/>
              </w:rPr>
              <w:t>Wattage</w:t>
            </w:r>
          </w:p>
        </w:tc>
        <w:tc>
          <w:tcPr>
            <w:tcW w:w="992" w:type="dxa"/>
            <w:tcBorders>
              <w:top w:val="single" w:sz="4" w:space="0" w:color="auto"/>
              <w:bottom w:val="single" w:sz="4" w:space="0" w:color="auto"/>
            </w:tcBorders>
          </w:tcPr>
          <w:p>
            <w:pPr>
              <w:pStyle w:val="yTableNAm"/>
            </w:pPr>
            <w:r>
              <w:rPr>
                <w:b/>
                <w:bCs/>
                <w:sz w:val="16"/>
                <w:szCs w:val="16"/>
              </w:rPr>
              <w:t>Type</w:t>
            </w:r>
          </w:p>
        </w:tc>
        <w:tc>
          <w:tcPr>
            <w:tcW w:w="1512" w:type="dxa"/>
            <w:gridSpan w:val="2"/>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512" w:type="dxa"/>
            <w:tcBorders>
              <w:top w:val="single" w:sz="4" w:space="0" w:color="auto"/>
              <w:bottom w:val="single" w:sz="4" w:space="0" w:color="auto"/>
            </w:tcBorders>
          </w:tcPr>
          <w:p>
            <w:pPr>
              <w:pStyle w:val="yTableNAm"/>
            </w:pPr>
            <w:r>
              <w:rPr>
                <w:b/>
                <w:bCs/>
                <w:spacing w:val="-8"/>
                <w:sz w:val="16"/>
                <w:szCs w:val="16"/>
              </w:rPr>
              <w:t>1.15 a.m. Switch</w:t>
            </w:r>
            <w:r>
              <w:rPr>
                <w:b/>
                <w:bCs/>
                <w:spacing w:val="-8"/>
                <w:sz w:val="16"/>
                <w:szCs w:val="16"/>
              </w:rPr>
              <w:noBreakHyphen/>
              <w:t>off Cents per day</w:t>
            </w:r>
          </w:p>
        </w:tc>
        <w:tc>
          <w:tcPr>
            <w:tcW w:w="1370" w:type="dxa"/>
            <w:tcBorders>
              <w:top w:val="single" w:sz="4" w:space="0" w:color="auto"/>
              <w:bottom w:val="single" w:sz="4" w:space="0" w:color="auto"/>
            </w:tcBorders>
          </w:tcPr>
          <w:p>
            <w:pPr>
              <w:pStyle w:val="yTableNAm"/>
            </w:pPr>
            <w:r>
              <w:rPr>
                <w:b/>
                <w:bCs/>
                <w:spacing w:val="-8"/>
                <w:sz w:val="16"/>
                <w:szCs w:val="16"/>
              </w:rPr>
              <w:t>Dawn Switch</w:t>
            </w:r>
            <w:r>
              <w:rPr>
                <w:b/>
                <w:bCs/>
                <w:spacing w:val="-8"/>
                <w:sz w:val="16"/>
                <w:szCs w:val="16"/>
              </w:rPr>
              <w:noBreakHyphen/>
              <w:t>off Cents per day</w:t>
            </w:r>
          </w:p>
        </w:tc>
      </w:tr>
      <w:tr>
        <w:trPr>
          <w:cantSplit/>
        </w:trPr>
        <w:tc>
          <w:tcPr>
            <w:tcW w:w="6804" w:type="dxa"/>
            <w:gridSpan w:val="7"/>
          </w:tcPr>
          <w:p>
            <w:pPr>
              <w:pStyle w:val="yTableNAm"/>
            </w:pPr>
            <w:r>
              <w:rPr>
                <w:b/>
                <w:i/>
                <w:iCs/>
                <w:sz w:val="16"/>
                <w:szCs w:val="16"/>
              </w:rPr>
              <w:t>Street lighting on current offer and for existing services</w:t>
            </w:r>
          </w:p>
        </w:tc>
      </w:tr>
      <w:tr>
        <w:trPr>
          <w:cantSplit/>
        </w:trPr>
        <w:tc>
          <w:tcPr>
            <w:tcW w:w="567" w:type="dxa"/>
          </w:tcPr>
          <w:p>
            <w:pPr>
              <w:pStyle w:val="yTableNAm"/>
            </w:pPr>
            <w:r>
              <w:rPr>
                <w:sz w:val="16"/>
                <w:szCs w:val="16"/>
              </w:rPr>
              <w:t>Z.01</w:t>
            </w:r>
          </w:p>
        </w:tc>
        <w:tc>
          <w:tcPr>
            <w:tcW w:w="851" w:type="dxa"/>
          </w:tcPr>
          <w:p>
            <w:pPr>
              <w:pStyle w:val="yTableNAm"/>
            </w:pPr>
            <w:r>
              <w:rPr>
                <w:sz w:val="16"/>
                <w:szCs w:val="16"/>
              </w:rPr>
              <w:t>50</w:t>
            </w:r>
          </w:p>
        </w:tc>
        <w:tc>
          <w:tcPr>
            <w:tcW w:w="992" w:type="dxa"/>
          </w:tcPr>
          <w:p>
            <w:pPr>
              <w:pStyle w:val="yTableNAm"/>
            </w:pPr>
            <w:r>
              <w:rPr>
                <w:sz w:val="16"/>
                <w:szCs w:val="16"/>
              </w:rPr>
              <w:t>Mercury Vapour</w:t>
            </w:r>
          </w:p>
        </w:tc>
        <w:tc>
          <w:tcPr>
            <w:tcW w:w="1512" w:type="dxa"/>
            <w:gridSpan w:val="2"/>
          </w:tcPr>
          <w:p>
            <w:pPr>
              <w:pStyle w:val="yTableNAm"/>
            </w:pPr>
            <w:r>
              <w:rPr>
                <w:sz w:val="16"/>
                <w:szCs w:val="16"/>
              </w:rPr>
              <w:t>33.7892</w:t>
            </w:r>
          </w:p>
        </w:tc>
        <w:tc>
          <w:tcPr>
            <w:tcW w:w="1512" w:type="dxa"/>
          </w:tcPr>
          <w:p>
            <w:pPr>
              <w:pStyle w:val="yTableNAm"/>
            </w:pPr>
            <w:r>
              <w:rPr>
                <w:sz w:val="16"/>
                <w:szCs w:val="16"/>
              </w:rPr>
              <w:t>34.5129</w:t>
            </w:r>
          </w:p>
        </w:tc>
        <w:tc>
          <w:tcPr>
            <w:tcW w:w="1370" w:type="dxa"/>
          </w:tcPr>
          <w:p>
            <w:pPr>
              <w:pStyle w:val="yTableNAm"/>
            </w:pPr>
            <w:r>
              <w:rPr>
                <w:sz w:val="16"/>
                <w:szCs w:val="16"/>
              </w:rPr>
              <w:t>37.1271</w:t>
            </w:r>
          </w:p>
        </w:tc>
      </w:tr>
      <w:tr>
        <w:trPr>
          <w:cantSplit/>
        </w:trPr>
        <w:tc>
          <w:tcPr>
            <w:tcW w:w="567" w:type="dxa"/>
          </w:tcPr>
          <w:p>
            <w:pPr>
              <w:pStyle w:val="yTableNAm"/>
            </w:pPr>
            <w:r>
              <w:rPr>
                <w:sz w:val="16"/>
                <w:szCs w:val="16"/>
              </w:rPr>
              <w:t>Z.02</w:t>
            </w:r>
          </w:p>
        </w:tc>
        <w:tc>
          <w:tcPr>
            <w:tcW w:w="851" w:type="dxa"/>
          </w:tcPr>
          <w:p>
            <w:pPr>
              <w:pStyle w:val="yTableNAm"/>
            </w:pPr>
            <w:r>
              <w:rPr>
                <w:sz w:val="16"/>
                <w:szCs w:val="16"/>
              </w:rPr>
              <w:t>80</w:t>
            </w:r>
          </w:p>
        </w:tc>
        <w:tc>
          <w:tcPr>
            <w:tcW w:w="992" w:type="dxa"/>
          </w:tcPr>
          <w:p>
            <w:pPr>
              <w:pStyle w:val="yTableNAm"/>
            </w:pPr>
            <w:r>
              <w:rPr>
                <w:sz w:val="16"/>
                <w:szCs w:val="16"/>
              </w:rPr>
              <w:t>Mercury Vapour</w:t>
            </w:r>
          </w:p>
        </w:tc>
        <w:tc>
          <w:tcPr>
            <w:tcW w:w="1512" w:type="dxa"/>
            <w:gridSpan w:val="2"/>
          </w:tcPr>
          <w:p>
            <w:pPr>
              <w:pStyle w:val="yTableNAm"/>
            </w:pPr>
            <w:r>
              <w:rPr>
                <w:sz w:val="16"/>
                <w:szCs w:val="16"/>
              </w:rPr>
              <w:t>39.7906</w:t>
            </w:r>
          </w:p>
        </w:tc>
        <w:tc>
          <w:tcPr>
            <w:tcW w:w="1512" w:type="dxa"/>
          </w:tcPr>
          <w:p>
            <w:pPr>
              <w:pStyle w:val="yTableNAm"/>
            </w:pPr>
            <w:r>
              <w:rPr>
                <w:sz w:val="16"/>
                <w:szCs w:val="16"/>
              </w:rPr>
              <w:t>40.6786</w:t>
            </w:r>
          </w:p>
        </w:tc>
        <w:tc>
          <w:tcPr>
            <w:tcW w:w="1370" w:type="dxa"/>
          </w:tcPr>
          <w:p>
            <w:pPr>
              <w:pStyle w:val="yTableNAm"/>
            </w:pPr>
            <w:r>
              <w:rPr>
                <w:sz w:val="16"/>
                <w:szCs w:val="16"/>
              </w:rPr>
              <w:t>44.7566</w:t>
            </w:r>
          </w:p>
        </w:tc>
      </w:tr>
      <w:tr>
        <w:trPr>
          <w:cantSplit/>
        </w:trPr>
        <w:tc>
          <w:tcPr>
            <w:tcW w:w="567" w:type="dxa"/>
          </w:tcPr>
          <w:p>
            <w:pPr>
              <w:pStyle w:val="yTableNAm"/>
            </w:pPr>
            <w:r>
              <w:rPr>
                <w:sz w:val="16"/>
                <w:szCs w:val="16"/>
              </w:rPr>
              <w:t>Z.03</w:t>
            </w:r>
          </w:p>
        </w:tc>
        <w:tc>
          <w:tcPr>
            <w:tcW w:w="851" w:type="dxa"/>
          </w:tcPr>
          <w:p>
            <w:pPr>
              <w:pStyle w:val="yTableNAm"/>
            </w:pPr>
            <w:r>
              <w:rPr>
                <w:sz w:val="16"/>
                <w:szCs w:val="16"/>
              </w:rPr>
              <w:t>125</w:t>
            </w:r>
          </w:p>
        </w:tc>
        <w:tc>
          <w:tcPr>
            <w:tcW w:w="992" w:type="dxa"/>
          </w:tcPr>
          <w:p>
            <w:pPr>
              <w:pStyle w:val="yTableNAm"/>
            </w:pPr>
            <w:r>
              <w:rPr>
                <w:sz w:val="16"/>
                <w:szCs w:val="16"/>
              </w:rPr>
              <w:t>Mercury Vapour</w:t>
            </w:r>
          </w:p>
        </w:tc>
        <w:tc>
          <w:tcPr>
            <w:tcW w:w="1512" w:type="dxa"/>
            <w:gridSpan w:val="2"/>
          </w:tcPr>
          <w:p>
            <w:pPr>
              <w:pStyle w:val="yTableNAm"/>
            </w:pPr>
            <w:r>
              <w:rPr>
                <w:sz w:val="16"/>
                <w:szCs w:val="16"/>
              </w:rPr>
              <w:t>49.2123</w:t>
            </w:r>
          </w:p>
        </w:tc>
        <w:tc>
          <w:tcPr>
            <w:tcW w:w="1512" w:type="dxa"/>
          </w:tcPr>
          <w:p>
            <w:pPr>
              <w:pStyle w:val="yTableNAm"/>
            </w:pPr>
            <w:r>
              <w:rPr>
                <w:sz w:val="16"/>
                <w:szCs w:val="16"/>
              </w:rPr>
              <w:t>50.8074</w:t>
            </w:r>
          </w:p>
        </w:tc>
        <w:tc>
          <w:tcPr>
            <w:tcW w:w="1370" w:type="dxa"/>
          </w:tcPr>
          <w:p>
            <w:pPr>
              <w:pStyle w:val="yTableNAm"/>
            </w:pPr>
            <w:r>
              <w:rPr>
                <w:sz w:val="16"/>
                <w:szCs w:val="16"/>
              </w:rPr>
              <w:t>56.5621</w:t>
            </w:r>
          </w:p>
        </w:tc>
      </w:tr>
      <w:tr>
        <w:trPr>
          <w:cantSplit/>
        </w:trPr>
        <w:tc>
          <w:tcPr>
            <w:tcW w:w="567" w:type="dxa"/>
          </w:tcPr>
          <w:p>
            <w:pPr>
              <w:pStyle w:val="yTableNAm"/>
            </w:pPr>
            <w:r>
              <w:rPr>
                <w:sz w:val="16"/>
                <w:szCs w:val="16"/>
              </w:rPr>
              <w:t>Z.04</w:t>
            </w:r>
          </w:p>
        </w:tc>
        <w:tc>
          <w:tcPr>
            <w:tcW w:w="851" w:type="dxa"/>
          </w:tcPr>
          <w:p>
            <w:pPr>
              <w:pStyle w:val="yTableNAm"/>
            </w:pPr>
            <w:r>
              <w:rPr>
                <w:sz w:val="16"/>
                <w:szCs w:val="16"/>
              </w:rPr>
              <w:t>140</w:t>
            </w:r>
          </w:p>
        </w:tc>
        <w:tc>
          <w:tcPr>
            <w:tcW w:w="992" w:type="dxa"/>
          </w:tcPr>
          <w:p>
            <w:pPr>
              <w:pStyle w:val="yTableNAm"/>
            </w:pPr>
            <w:r>
              <w:rPr>
                <w:sz w:val="16"/>
                <w:szCs w:val="16"/>
              </w:rPr>
              <w:t>Low Pressure Sodium</w:t>
            </w:r>
          </w:p>
        </w:tc>
        <w:tc>
          <w:tcPr>
            <w:tcW w:w="1512" w:type="dxa"/>
            <w:gridSpan w:val="2"/>
          </w:tcPr>
          <w:p>
            <w:pPr>
              <w:pStyle w:val="yTableNAm"/>
            </w:pPr>
            <w:r>
              <w:rPr>
                <w:sz w:val="16"/>
                <w:szCs w:val="16"/>
              </w:rPr>
              <w:t>50.3634</w:t>
            </w:r>
          </w:p>
        </w:tc>
        <w:tc>
          <w:tcPr>
            <w:tcW w:w="1512" w:type="dxa"/>
          </w:tcPr>
          <w:p>
            <w:pPr>
              <w:pStyle w:val="yTableNAm"/>
            </w:pPr>
            <w:r>
              <w:rPr>
                <w:sz w:val="16"/>
                <w:szCs w:val="16"/>
              </w:rPr>
              <w:t>52.0077</w:t>
            </w:r>
          </w:p>
        </w:tc>
        <w:tc>
          <w:tcPr>
            <w:tcW w:w="1370" w:type="dxa"/>
          </w:tcPr>
          <w:p>
            <w:pPr>
              <w:pStyle w:val="yTableNAm"/>
            </w:pPr>
            <w:r>
              <w:rPr>
                <w:sz w:val="16"/>
                <w:szCs w:val="16"/>
              </w:rPr>
              <w:t>58.6175</w:t>
            </w:r>
          </w:p>
        </w:tc>
      </w:tr>
      <w:tr>
        <w:trPr>
          <w:cantSplit/>
        </w:trPr>
        <w:tc>
          <w:tcPr>
            <w:tcW w:w="567" w:type="dxa"/>
          </w:tcPr>
          <w:p>
            <w:pPr>
              <w:pStyle w:val="yTableNAm"/>
            </w:pPr>
            <w:r>
              <w:rPr>
                <w:sz w:val="16"/>
                <w:szCs w:val="16"/>
              </w:rPr>
              <w:t>Z.07</w:t>
            </w:r>
          </w:p>
        </w:tc>
        <w:tc>
          <w:tcPr>
            <w:tcW w:w="851" w:type="dxa"/>
          </w:tcPr>
          <w:p>
            <w:pPr>
              <w:pStyle w:val="yTableNAm"/>
            </w:pPr>
            <w:r>
              <w:rPr>
                <w:sz w:val="16"/>
                <w:szCs w:val="16"/>
              </w:rPr>
              <w:t>250</w:t>
            </w:r>
          </w:p>
        </w:tc>
        <w:tc>
          <w:tcPr>
            <w:tcW w:w="992" w:type="dxa"/>
          </w:tcPr>
          <w:p>
            <w:pPr>
              <w:pStyle w:val="yTableNAm"/>
            </w:pPr>
            <w:r>
              <w:rPr>
                <w:sz w:val="16"/>
                <w:szCs w:val="16"/>
              </w:rPr>
              <w:t>Mercury Vapour</w:t>
            </w:r>
          </w:p>
        </w:tc>
        <w:tc>
          <w:tcPr>
            <w:tcW w:w="1512" w:type="dxa"/>
            <w:gridSpan w:val="2"/>
          </w:tcPr>
          <w:p>
            <w:pPr>
              <w:pStyle w:val="yTableNAm"/>
            </w:pPr>
            <w:r>
              <w:rPr>
                <w:sz w:val="16"/>
                <w:szCs w:val="16"/>
              </w:rPr>
              <w:t>61.0674</w:t>
            </w:r>
          </w:p>
        </w:tc>
        <w:tc>
          <w:tcPr>
            <w:tcW w:w="1512" w:type="dxa"/>
          </w:tcPr>
          <w:p>
            <w:pPr>
              <w:pStyle w:val="yTableNAm"/>
            </w:pPr>
            <w:r>
              <w:rPr>
                <w:sz w:val="16"/>
                <w:szCs w:val="16"/>
              </w:rPr>
              <w:t>64.1750</w:t>
            </w:r>
          </w:p>
        </w:tc>
        <w:tc>
          <w:tcPr>
            <w:tcW w:w="1370" w:type="dxa"/>
          </w:tcPr>
          <w:p>
            <w:pPr>
              <w:pStyle w:val="yTableNAm"/>
            </w:pPr>
            <w:r>
              <w:rPr>
                <w:sz w:val="16"/>
                <w:szCs w:val="16"/>
              </w:rPr>
              <w:t>75.7669</w:t>
            </w:r>
          </w:p>
        </w:tc>
      </w:tr>
      <w:tr>
        <w:trPr>
          <w:cantSplit/>
        </w:trPr>
        <w:tc>
          <w:tcPr>
            <w:tcW w:w="567" w:type="dxa"/>
          </w:tcPr>
          <w:p>
            <w:pPr>
              <w:pStyle w:val="yTableNAm"/>
            </w:pPr>
            <w:r>
              <w:rPr>
                <w:sz w:val="16"/>
                <w:szCs w:val="16"/>
              </w:rPr>
              <w:t>Z.10</w:t>
            </w:r>
          </w:p>
        </w:tc>
        <w:tc>
          <w:tcPr>
            <w:tcW w:w="851" w:type="dxa"/>
          </w:tcPr>
          <w:p>
            <w:pPr>
              <w:pStyle w:val="yTableNAm"/>
            </w:pPr>
            <w:r>
              <w:rPr>
                <w:sz w:val="16"/>
                <w:szCs w:val="16"/>
              </w:rPr>
              <w:t>400</w:t>
            </w:r>
          </w:p>
        </w:tc>
        <w:tc>
          <w:tcPr>
            <w:tcW w:w="992" w:type="dxa"/>
          </w:tcPr>
          <w:p>
            <w:pPr>
              <w:pStyle w:val="yTableNAm"/>
            </w:pPr>
            <w:r>
              <w:rPr>
                <w:sz w:val="16"/>
                <w:szCs w:val="16"/>
              </w:rPr>
              <w:t>Mercury Vapour</w:t>
            </w:r>
          </w:p>
        </w:tc>
        <w:tc>
          <w:tcPr>
            <w:tcW w:w="1512" w:type="dxa"/>
            <w:gridSpan w:val="2"/>
          </w:tcPr>
          <w:p>
            <w:pPr>
              <w:pStyle w:val="yTableNAm"/>
            </w:pPr>
            <w:r>
              <w:rPr>
                <w:sz w:val="16"/>
                <w:szCs w:val="16"/>
              </w:rPr>
              <w:t>90.4665</w:t>
            </w:r>
          </w:p>
        </w:tc>
        <w:tc>
          <w:tcPr>
            <w:tcW w:w="1512" w:type="dxa"/>
          </w:tcPr>
          <w:p>
            <w:pPr>
              <w:pStyle w:val="yTableNAm"/>
            </w:pPr>
            <w:r>
              <w:rPr>
                <w:sz w:val="16"/>
                <w:szCs w:val="16"/>
              </w:rPr>
              <w:t>95.2019</w:t>
            </w:r>
          </w:p>
        </w:tc>
        <w:tc>
          <w:tcPr>
            <w:tcW w:w="1370" w:type="dxa"/>
          </w:tcPr>
          <w:p>
            <w:pPr>
              <w:pStyle w:val="yTableNAm"/>
            </w:pPr>
            <w:r>
              <w:rPr>
                <w:sz w:val="16"/>
                <w:szCs w:val="16"/>
              </w:rPr>
              <w:t>113.2886</w:t>
            </w:r>
          </w:p>
        </w:tc>
      </w:tr>
      <w:tr>
        <w:trPr>
          <w:cantSplit/>
        </w:trPr>
        <w:tc>
          <w:tcPr>
            <w:tcW w:w="567" w:type="dxa"/>
          </w:tcPr>
          <w:p>
            <w:pPr>
              <w:pStyle w:val="yTableNAm"/>
            </w:pPr>
            <w:r>
              <w:rPr>
                <w:sz w:val="16"/>
                <w:szCs w:val="16"/>
              </w:rPr>
              <w:t>Z.13</w:t>
            </w:r>
          </w:p>
        </w:tc>
        <w:tc>
          <w:tcPr>
            <w:tcW w:w="851" w:type="dxa"/>
          </w:tcPr>
          <w:p>
            <w:pPr>
              <w:pStyle w:val="yTableNAm"/>
            </w:pPr>
            <w:r>
              <w:rPr>
                <w:sz w:val="16"/>
                <w:szCs w:val="16"/>
              </w:rPr>
              <w:t>150</w:t>
            </w:r>
          </w:p>
        </w:tc>
        <w:tc>
          <w:tcPr>
            <w:tcW w:w="992" w:type="dxa"/>
          </w:tcPr>
          <w:p>
            <w:pPr>
              <w:pStyle w:val="yTableNAm"/>
            </w:pPr>
            <w:r>
              <w:rPr>
                <w:sz w:val="16"/>
                <w:szCs w:val="16"/>
              </w:rPr>
              <w:t>High Pressure Sodium</w:t>
            </w:r>
          </w:p>
        </w:tc>
        <w:tc>
          <w:tcPr>
            <w:tcW w:w="1512" w:type="dxa"/>
            <w:gridSpan w:val="2"/>
          </w:tcPr>
          <w:p>
            <w:pPr>
              <w:pStyle w:val="yTableNAm"/>
            </w:pPr>
            <w:r>
              <w:rPr>
                <w:sz w:val="16"/>
                <w:szCs w:val="16"/>
              </w:rPr>
              <w:t>46.6144</w:t>
            </w:r>
          </w:p>
        </w:tc>
        <w:tc>
          <w:tcPr>
            <w:tcW w:w="1512" w:type="dxa"/>
          </w:tcPr>
          <w:p>
            <w:pPr>
              <w:pStyle w:val="yTableNAm"/>
            </w:pPr>
            <w:r>
              <w:rPr>
                <w:sz w:val="16"/>
                <w:szCs w:val="16"/>
              </w:rPr>
              <w:t>48.3245</w:t>
            </w:r>
          </w:p>
        </w:tc>
        <w:tc>
          <w:tcPr>
            <w:tcW w:w="1370" w:type="dxa"/>
          </w:tcPr>
          <w:p>
            <w:pPr>
              <w:pStyle w:val="yTableNAm"/>
            </w:pPr>
            <w:r>
              <w:rPr>
                <w:sz w:val="16"/>
                <w:szCs w:val="16"/>
              </w:rPr>
              <w:t>57.8938</w:t>
            </w:r>
          </w:p>
        </w:tc>
      </w:tr>
      <w:tr>
        <w:trPr>
          <w:cantSplit/>
        </w:trPr>
        <w:tc>
          <w:tcPr>
            <w:tcW w:w="567" w:type="dxa"/>
          </w:tcPr>
          <w:p>
            <w:pPr>
              <w:pStyle w:val="yTableNAm"/>
            </w:pPr>
            <w:r>
              <w:rPr>
                <w:sz w:val="16"/>
                <w:szCs w:val="16"/>
              </w:rPr>
              <w:t>Z.15</w:t>
            </w:r>
          </w:p>
        </w:tc>
        <w:tc>
          <w:tcPr>
            <w:tcW w:w="851" w:type="dxa"/>
          </w:tcPr>
          <w:p>
            <w:pPr>
              <w:pStyle w:val="yTableNAm"/>
            </w:pPr>
            <w:r>
              <w:rPr>
                <w:sz w:val="16"/>
                <w:szCs w:val="16"/>
              </w:rPr>
              <w:t>250</w:t>
            </w:r>
          </w:p>
        </w:tc>
        <w:tc>
          <w:tcPr>
            <w:tcW w:w="992" w:type="dxa"/>
          </w:tcPr>
          <w:p>
            <w:pPr>
              <w:pStyle w:val="yTableNAm"/>
            </w:pPr>
            <w:r>
              <w:rPr>
                <w:sz w:val="16"/>
                <w:szCs w:val="16"/>
              </w:rPr>
              <w:t>High Pressure Sodium</w:t>
            </w:r>
          </w:p>
        </w:tc>
        <w:tc>
          <w:tcPr>
            <w:tcW w:w="1512" w:type="dxa"/>
            <w:gridSpan w:val="2"/>
          </w:tcPr>
          <w:p>
            <w:pPr>
              <w:pStyle w:val="yTableNAm"/>
            </w:pPr>
            <w:r>
              <w:rPr>
                <w:sz w:val="16"/>
                <w:szCs w:val="16"/>
              </w:rPr>
              <w:t>69.1077</w:t>
            </w:r>
          </w:p>
        </w:tc>
        <w:tc>
          <w:tcPr>
            <w:tcW w:w="1512" w:type="dxa"/>
          </w:tcPr>
          <w:p>
            <w:pPr>
              <w:pStyle w:val="yTableNAm"/>
            </w:pPr>
            <w:r>
              <w:rPr>
                <w:sz w:val="16"/>
                <w:szCs w:val="16"/>
              </w:rPr>
              <w:t>72.7909</w:t>
            </w:r>
          </w:p>
        </w:tc>
        <w:tc>
          <w:tcPr>
            <w:tcW w:w="1370" w:type="dxa"/>
          </w:tcPr>
          <w:p>
            <w:pPr>
              <w:pStyle w:val="yTableNAm"/>
            </w:pPr>
            <w:r>
              <w:rPr>
                <w:sz w:val="16"/>
                <w:szCs w:val="16"/>
              </w:rPr>
              <w:t>86.9971</w:t>
            </w:r>
          </w:p>
        </w:tc>
      </w:tr>
      <w:tr>
        <w:trPr>
          <w:cantSplit/>
        </w:trPr>
        <w:tc>
          <w:tcPr>
            <w:tcW w:w="567" w:type="dxa"/>
          </w:tcPr>
          <w:p>
            <w:pPr>
              <w:pStyle w:val="yTableNAm"/>
            </w:pPr>
            <w:r>
              <w:rPr>
                <w:sz w:val="16"/>
                <w:szCs w:val="16"/>
              </w:rPr>
              <w:t>Z.18</w:t>
            </w:r>
          </w:p>
        </w:tc>
        <w:tc>
          <w:tcPr>
            <w:tcW w:w="851" w:type="dxa"/>
          </w:tcPr>
          <w:p>
            <w:pPr>
              <w:pStyle w:val="yTableNAm"/>
            </w:pPr>
            <w:r>
              <w:rPr>
                <w:sz w:val="16"/>
                <w:szCs w:val="16"/>
              </w:rPr>
              <w:t>per kW</w:t>
            </w:r>
          </w:p>
        </w:tc>
        <w:tc>
          <w:tcPr>
            <w:tcW w:w="992" w:type="dxa"/>
          </w:tcPr>
          <w:p>
            <w:pPr>
              <w:pStyle w:val="yTableNAm"/>
            </w:pPr>
            <w:r>
              <w:rPr>
                <w:sz w:val="16"/>
                <w:szCs w:val="16"/>
              </w:rPr>
              <w:t>Auxiliary Lighting in Public Places</w:t>
            </w:r>
          </w:p>
        </w:tc>
        <w:tc>
          <w:tcPr>
            <w:tcW w:w="1512" w:type="dxa"/>
            <w:gridSpan w:val="2"/>
          </w:tcPr>
          <w:p>
            <w:pPr>
              <w:pStyle w:val="yTableNAm"/>
            </w:pPr>
            <w:r>
              <w:rPr>
                <w:sz w:val="16"/>
                <w:szCs w:val="16"/>
              </w:rPr>
              <w:t>Not applicable</w:t>
            </w:r>
          </w:p>
        </w:tc>
        <w:tc>
          <w:tcPr>
            <w:tcW w:w="1512" w:type="dxa"/>
          </w:tcPr>
          <w:p>
            <w:pPr>
              <w:pStyle w:val="yTableNAm"/>
            </w:pPr>
            <w:r>
              <w:rPr>
                <w:sz w:val="16"/>
                <w:szCs w:val="16"/>
              </w:rPr>
              <w:t>Not applicable</w:t>
            </w:r>
          </w:p>
        </w:tc>
        <w:tc>
          <w:tcPr>
            <w:tcW w:w="1370" w:type="dxa"/>
          </w:tcPr>
          <w:p>
            <w:pPr>
              <w:pStyle w:val="yTableNAm"/>
            </w:pPr>
            <w:r>
              <w:rPr>
                <w:sz w:val="16"/>
                <w:szCs w:val="16"/>
              </w:rPr>
              <w:t>252.2766</w:t>
            </w:r>
          </w:p>
        </w:tc>
      </w:tr>
      <w:tr>
        <w:trPr>
          <w:cantSplit/>
        </w:trPr>
        <w:tc>
          <w:tcPr>
            <w:tcW w:w="567" w:type="dxa"/>
          </w:tcPr>
          <w:p>
            <w:pPr>
              <w:pStyle w:val="yTableNAm"/>
            </w:pPr>
            <w:r>
              <w:rPr>
                <w:sz w:val="16"/>
                <w:szCs w:val="16"/>
              </w:rPr>
              <w:t>Z.59</w:t>
            </w:r>
          </w:p>
        </w:tc>
        <w:tc>
          <w:tcPr>
            <w:tcW w:w="851" w:type="dxa"/>
          </w:tcPr>
          <w:p>
            <w:pPr>
              <w:pStyle w:val="yTableNAm"/>
            </w:pPr>
            <w:r>
              <w:rPr>
                <w:sz w:val="16"/>
                <w:szCs w:val="16"/>
              </w:rPr>
              <w:t>66</w:t>
            </w:r>
          </w:p>
        </w:tc>
        <w:tc>
          <w:tcPr>
            <w:tcW w:w="992" w:type="dxa"/>
          </w:tcPr>
          <w:p>
            <w:pPr>
              <w:pStyle w:val="yTableNAm"/>
            </w:pPr>
            <w:r>
              <w:rPr>
                <w:sz w:val="16"/>
                <w:szCs w:val="16"/>
              </w:rPr>
              <w:t>LED</w:t>
            </w:r>
          </w:p>
        </w:tc>
        <w:tc>
          <w:tcPr>
            <w:tcW w:w="1512" w:type="dxa"/>
            <w:gridSpan w:val="2"/>
          </w:tcPr>
          <w:p>
            <w:pPr>
              <w:pStyle w:val="yTableNAm"/>
            </w:pPr>
            <w:r>
              <w:rPr>
                <w:sz w:val="16"/>
                <w:szCs w:val="16"/>
              </w:rPr>
              <w:t>34.3468</w:t>
            </w:r>
          </w:p>
        </w:tc>
        <w:tc>
          <w:tcPr>
            <w:tcW w:w="1512" w:type="dxa"/>
          </w:tcPr>
          <w:p>
            <w:pPr>
              <w:pStyle w:val="yTableNAm"/>
            </w:pPr>
            <w:r>
              <w:rPr>
                <w:sz w:val="16"/>
                <w:szCs w:val="16"/>
              </w:rPr>
              <w:t>35.3603</w:t>
            </w:r>
          </w:p>
        </w:tc>
        <w:tc>
          <w:tcPr>
            <w:tcW w:w="1370" w:type="dxa"/>
          </w:tcPr>
          <w:p>
            <w:pPr>
              <w:pStyle w:val="yTableNAm"/>
            </w:pPr>
            <w:r>
              <w:rPr>
                <w:sz w:val="16"/>
                <w:szCs w:val="16"/>
              </w:rPr>
              <w:t>38.2559</w:t>
            </w:r>
          </w:p>
        </w:tc>
      </w:tr>
      <w:tr>
        <w:trPr>
          <w:cantSplit/>
        </w:trPr>
        <w:tc>
          <w:tcPr>
            <w:tcW w:w="567" w:type="dxa"/>
          </w:tcPr>
          <w:p>
            <w:pPr>
              <w:pStyle w:val="yTableNAm"/>
            </w:pPr>
            <w:r>
              <w:rPr>
                <w:sz w:val="16"/>
                <w:szCs w:val="16"/>
              </w:rPr>
              <w:t>Z.60</w:t>
            </w:r>
          </w:p>
        </w:tc>
        <w:tc>
          <w:tcPr>
            <w:tcW w:w="851" w:type="dxa"/>
          </w:tcPr>
          <w:p>
            <w:pPr>
              <w:pStyle w:val="yTableNAm"/>
            </w:pPr>
            <w:r>
              <w:rPr>
                <w:sz w:val="16"/>
                <w:szCs w:val="16"/>
              </w:rPr>
              <w:t>132</w:t>
            </w:r>
          </w:p>
        </w:tc>
        <w:tc>
          <w:tcPr>
            <w:tcW w:w="992" w:type="dxa"/>
          </w:tcPr>
          <w:p>
            <w:pPr>
              <w:pStyle w:val="yTableNAm"/>
            </w:pPr>
            <w:r>
              <w:rPr>
                <w:sz w:val="16"/>
                <w:szCs w:val="16"/>
              </w:rPr>
              <w:t>LED</w:t>
            </w:r>
          </w:p>
        </w:tc>
        <w:tc>
          <w:tcPr>
            <w:tcW w:w="1512" w:type="dxa"/>
            <w:gridSpan w:val="2"/>
          </w:tcPr>
          <w:p>
            <w:pPr>
              <w:pStyle w:val="yTableNAm"/>
            </w:pPr>
            <w:r>
              <w:rPr>
                <w:sz w:val="16"/>
                <w:szCs w:val="16"/>
              </w:rPr>
              <w:t>45.8493</w:t>
            </w:r>
          </w:p>
        </w:tc>
        <w:tc>
          <w:tcPr>
            <w:tcW w:w="1512" w:type="dxa"/>
          </w:tcPr>
          <w:p>
            <w:pPr>
              <w:pStyle w:val="yTableNAm"/>
            </w:pPr>
            <w:r>
              <w:rPr>
                <w:sz w:val="16"/>
                <w:szCs w:val="16"/>
              </w:rPr>
              <w:t>48.0285</w:t>
            </w:r>
          </w:p>
        </w:tc>
        <w:tc>
          <w:tcPr>
            <w:tcW w:w="1370" w:type="dxa"/>
          </w:tcPr>
          <w:p>
            <w:pPr>
              <w:pStyle w:val="yTableNAm"/>
            </w:pPr>
            <w:r>
              <w:rPr>
                <w:sz w:val="16"/>
                <w:szCs w:val="16"/>
              </w:rPr>
              <w:t>58.2494</w:t>
            </w:r>
          </w:p>
        </w:tc>
      </w:tr>
      <w:tr>
        <w:trPr>
          <w:cantSplit/>
        </w:trPr>
        <w:tc>
          <w:tcPr>
            <w:tcW w:w="567" w:type="dxa"/>
          </w:tcPr>
          <w:p>
            <w:pPr>
              <w:pStyle w:val="yTableNAm"/>
            </w:pPr>
            <w:r>
              <w:rPr>
                <w:sz w:val="16"/>
                <w:szCs w:val="16"/>
              </w:rPr>
              <w:t>Z.61</w:t>
            </w:r>
          </w:p>
        </w:tc>
        <w:tc>
          <w:tcPr>
            <w:tcW w:w="851" w:type="dxa"/>
          </w:tcPr>
          <w:p>
            <w:pPr>
              <w:pStyle w:val="yTableNAm"/>
            </w:pPr>
            <w:r>
              <w:rPr>
                <w:sz w:val="16"/>
                <w:szCs w:val="16"/>
              </w:rPr>
              <w:t>198</w:t>
            </w:r>
          </w:p>
        </w:tc>
        <w:tc>
          <w:tcPr>
            <w:tcW w:w="992" w:type="dxa"/>
          </w:tcPr>
          <w:p>
            <w:pPr>
              <w:pStyle w:val="yTableNAm"/>
            </w:pPr>
            <w:r>
              <w:rPr>
                <w:sz w:val="16"/>
                <w:szCs w:val="16"/>
              </w:rPr>
              <w:t>LED</w:t>
            </w:r>
          </w:p>
        </w:tc>
        <w:tc>
          <w:tcPr>
            <w:tcW w:w="1512" w:type="dxa"/>
            <w:gridSpan w:val="2"/>
          </w:tcPr>
          <w:p>
            <w:pPr>
              <w:pStyle w:val="yTableNAm"/>
            </w:pPr>
            <w:r>
              <w:rPr>
                <w:sz w:val="16"/>
                <w:szCs w:val="16"/>
              </w:rPr>
              <w:t>49.9658</w:t>
            </w:r>
          </w:p>
        </w:tc>
        <w:tc>
          <w:tcPr>
            <w:tcW w:w="1512" w:type="dxa"/>
          </w:tcPr>
          <w:p>
            <w:pPr>
              <w:pStyle w:val="yTableNAm"/>
            </w:pPr>
            <w:r>
              <w:rPr>
                <w:sz w:val="16"/>
                <w:szCs w:val="16"/>
              </w:rPr>
              <w:t>53.5122</w:t>
            </w:r>
          </w:p>
        </w:tc>
        <w:tc>
          <w:tcPr>
            <w:tcW w:w="1370" w:type="dxa"/>
          </w:tcPr>
          <w:p>
            <w:pPr>
              <w:pStyle w:val="yTableNAm"/>
            </w:pPr>
            <w:r>
              <w:rPr>
                <w:sz w:val="16"/>
                <w:szCs w:val="16"/>
              </w:rPr>
              <w:t>69.5104</w:t>
            </w:r>
          </w:p>
        </w:tc>
      </w:tr>
      <w:tr>
        <w:trPr>
          <w:cantSplit/>
        </w:trPr>
        <w:tc>
          <w:tcPr>
            <w:tcW w:w="567" w:type="dxa"/>
          </w:tcPr>
          <w:p>
            <w:pPr>
              <w:pStyle w:val="yTableNAm"/>
            </w:pPr>
            <w:r>
              <w:rPr>
                <w:sz w:val="16"/>
                <w:szCs w:val="16"/>
              </w:rPr>
              <w:t>Z.62</w:t>
            </w:r>
          </w:p>
        </w:tc>
        <w:tc>
          <w:tcPr>
            <w:tcW w:w="851" w:type="dxa"/>
          </w:tcPr>
          <w:p>
            <w:pPr>
              <w:pStyle w:val="yTableNAm"/>
            </w:pPr>
            <w:r>
              <w:rPr>
                <w:sz w:val="16"/>
                <w:szCs w:val="16"/>
              </w:rPr>
              <w:t>25</w:t>
            </w:r>
          </w:p>
        </w:tc>
        <w:tc>
          <w:tcPr>
            <w:tcW w:w="992" w:type="dxa"/>
          </w:tcPr>
          <w:p>
            <w:pPr>
              <w:pStyle w:val="yTableNAm"/>
            </w:pPr>
            <w:r>
              <w:rPr>
                <w:sz w:val="16"/>
                <w:szCs w:val="16"/>
              </w:rPr>
              <w:t>LED</w:t>
            </w:r>
          </w:p>
        </w:tc>
        <w:tc>
          <w:tcPr>
            <w:tcW w:w="1512" w:type="dxa"/>
            <w:gridSpan w:val="2"/>
          </w:tcPr>
          <w:p>
            <w:pPr>
              <w:pStyle w:val="yTableNAm"/>
            </w:pPr>
            <w:r>
              <w:rPr>
                <w:sz w:val="16"/>
                <w:szCs w:val="16"/>
              </w:rPr>
              <w:t>31.6270</w:t>
            </w:r>
          </w:p>
        </w:tc>
        <w:tc>
          <w:tcPr>
            <w:tcW w:w="1512" w:type="dxa"/>
          </w:tcPr>
          <w:p>
            <w:pPr>
              <w:pStyle w:val="yTableNAm"/>
            </w:pPr>
            <w:r>
              <w:rPr>
                <w:sz w:val="16"/>
                <w:szCs w:val="16"/>
              </w:rPr>
              <w:t>31.9752</w:t>
            </w:r>
          </w:p>
        </w:tc>
        <w:tc>
          <w:tcPr>
            <w:tcW w:w="1370" w:type="dxa"/>
          </w:tcPr>
          <w:p>
            <w:pPr>
              <w:pStyle w:val="yTableNAm"/>
            </w:pPr>
            <w:r>
              <w:rPr>
                <w:sz w:val="16"/>
                <w:szCs w:val="16"/>
              </w:rPr>
              <w:t>32.3461</w:t>
            </w:r>
          </w:p>
        </w:tc>
      </w:tr>
      <w:tr>
        <w:trPr>
          <w:cantSplit/>
        </w:trPr>
        <w:tc>
          <w:tcPr>
            <w:tcW w:w="6804" w:type="dxa"/>
            <w:gridSpan w:val="7"/>
          </w:tcPr>
          <w:p>
            <w:pPr>
              <w:pStyle w:val="yTableNAm"/>
            </w:pPr>
            <w:r>
              <w:rPr>
                <w:b/>
                <w:i/>
                <w:iCs/>
                <w:sz w:val="16"/>
                <w:szCs w:val="16"/>
              </w:rPr>
              <w:t>Street lighting for existing services only</w:t>
            </w:r>
          </w:p>
        </w:tc>
      </w:tr>
      <w:tr>
        <w:trPr>
          <w:cantSplit/>
        </w:trPr>
        <w:tc>
          <w:tcPr>
            <w:tcW w:w="567" w:type="dxa"/>
          </w:tcPr>
          <w:p>
            <w:pPr>
              <w:pStyle w:val="yTableNAm"/>
            </w:pPr>
            <w:r>
              <w:rPr>
                <w:sz w:val="16"/>
                <w:szCs w:val="16"/>
              </w:rPr>
              <w:t>Z.05</w:t>
            </w:r>
          </w:p>
        </w:tc>
        <w:tc>
          <w:tcPr>
            <w:tcW w:w="851" w:type="dxa"/>
          </w:tcPr>
          <w:p>
            <w:pPr>
              <w:pStyle w:val="yTableNAm"/>
            </w:pPr>
            <w:r>
              <w:rPr>
                <w:sz w:val="16"/>
                <w:szCs w:val="16"/>
              </w:rPr>
              <w:t>250</w:t>
            </w:r>
          </w:p>
        </w:tc>
        <w:tc>
          <w:tcPr>
            <w:tcW w:w="1134" w:type="dxa"/>
            <w:gridSpan w:val="2"/>
          </w:tcPr>
          <w:p>
            <w:pPr>
              <w:pStyle w:val="yTableNAm"/>
            </w:pPr>
            <w:r>
              <w:rPr>
                <w:sz w:val="16"/>
                <w:szCs w:val="16"/>
              </w:rPr>
              <w:t>Mercury Vapour</w:t>
            </w:r>
          </w:p>
        </w:tc>
        <w:tc>
          <w:tcPr>
            <w:tcW w:w="1370" w:type="dxa"/>
          </w:tcPr>
          <w:p>
            <w:pPr>
              <w:pStyle w:val="yTableNAm"/>
            </w:pPr>
            <w:r>
              <w:rPr>
                <w:sz w:val="16"/>
                <w:szCs w:val="16"/>
              </w:rPr>
              <w:t>79.1376</w:t>
            </w:r>
          </w:p>
        </w:tc>
        <w:tc>
          <w:tcPr>
            <w:tcW w:w="1512" w:type="dxa"/>
          </w:tcPr>
          <w:p>
            <w:pPr>
              <w:pStyle w:val="yTableNAm"/>
            </w:pPr>
            <w:r>
              <w:rPr>
                <w:sz w:val="16"/>
                <w:szCs w:val="16"/>
              </w:rPr>
              <w:t>82.2288</w:t>
            </w:r>
          </w:p>
        </w:tc>
        <w:tc>
          <w:tcPr>
            <w:tcW w:w="1370" w:type="dxa"/>
          </w:tcPr>
          <w:p>
            <w:pPr>
              <w:pStyle w:val="yTableNAm"/>
            </w:pPr>
            <w:r>
              <w:rPr>
                <w:sz w:val="16"/>
                <w:szCs w:val="16"/>
              </w:rPr>
              <w:t>93.8372</w:t>
            </w:r>
          </w:p>
        </w:tc>
      </w:tr>
      <w:tr>
        <w:trPr>
          <w:cantSplit/>
        </w:trPr>
        <w:tc>
          <w:tcPr>
            <w:tcW w:w="567" w:type="dxa"/>
          </w:tcPr>
          <w:p>
            <w:pPr>
              <w:pStyle w:val="yTableNAm"/>
            </w:pPr>
            <w:r>
              <w:rPr>
                <w:sz w:val="16"/>
                <w:szCs w:val="16"/>
              </w:rPr>
              <w:t>Z.06</w:t>
            </w:r>
          </w:p>
        </w:tc>
        <w:tc>
          <w:tcPr>
            <w:tcW w:w="851" w:type="dxa"/>
          </w:tcPr>
          <w:p>
            <w:pPr>
              <w:pStyle w:val="yTableNAm"/>
            </w:pPr>
            <w:r>
              <w:rPr>
                <w:sz w:val="16"/>
                <w:szCs w:val="16"/>
              </w:rPr>
              <w:t>400</w:t>
            </w:r>
          </w:p>
        </w:tc>
        <w:tc>
          <w:tcPr>
            <w:tcW w:w="1134" w:type="dxa"/>
            <w:gridSpan w:val="2"/>
          </w:tcPr>
          <w:p>
            <w:pPr>
              <w:pStyle w:val="yTableNAm"/>
            </w:pPr>
            <w:r>
              <w:rPr>
                <w:sz w:val="16"/>
                <w:szCs w:val="16"/>
              </w:rPr>
              <w:t>Mercury Vapour</w:t>
            </w:r>
          </w:p>
        </w:tc>
        <w:tc>
          <w:tcPr>
            <w:tcW w:w="1370" w:type="dxa"/>
          </w:tcPr>
          <w:p>
            <w:pPr>
              <w:pStyle w:val="yTableNAm"/>
            </w:pPr>
            <w:r>
              <w:rPr>
                <w:sz w:val="16"/>
                <w:szCs w:val="16"/>
              </w:rPr>
              <w:t>108.5532</w:t>
            </w:r>
          </w:p>
        </w:tc>
        <w:tc>
          <w:tcPr>
            <w:tcW w:w="1512" w:type="dxa"/>
          </w:tcPr>
          <w:p>
            <w:pPr>
              <w:pStyle w:val="yTableNAm"/>
            </w:pPr>
            <w:r>
              <w:rPr>
                <w:sz w:val="16"/>
                <w:szCs w:val="16"/>
              </w:rPr>
              <w:t>113.2886</w:t>
            </w:r>
          </w:p>
        </w:tc>
        <w:tc>
          <w:tcPr>
            <w:tcW w:w="1370" w:type="dxa"/>
          </w:tcPr>
          <w:p>
            <w:pPr>
              <w:pStyle w:val="yTableNAm"/>
            </w:pPr>
            <w:r>
              <w:rPr>
                <w:sz w:val="16"/>
                <w:szCs w:val="16"/>
              </w:rPr>
              <w:t>131.2931</w:t>
            </w:r>
          </w:p>
        </w:tc>
      </w:tr>
      <w:tr>
        <w:trPr>
          <w:cantSplit/>
        </w:trPr>
        <w:tc>
          <w:tcPr>
            <w:tcW w:w="567" w:type="dxa"/>
          </w:tcPr>
          <w:p>
            <w:pPr>
              <w:pStyle w:val="yTableNAm"/>
            </w:pPr>
            <w:r>
              <w:rPr>
                <w:sz w:val="16"/>
                <w:szCs w:val="16"/>
              </w:rPr>
              <w:t>Z.08</w:t>
            </w:r>
          </w:p>
        </w:tc>
        <w:tc>
          <w:tcPr>
            <w:tcW w:w="851" w:type="dxa"/>
          </w:tcPr>
          <w:p>
            <w:pPr>
              <w:pStyle w:val="yTableNAm"/>
            </w:pPr>
            <w:r>
              <w:rPr>
                <w:sz w:val="16"/>
                <w:szCs w:val="16"/>
              </w:rPr>
              <w:t>250</w:t>
            </w:r>
          </w:p>
        </w:tc>
        <w:tc>
          <w:tcPr>
            <w:tcW w:w="1134" w:type="dxa"/>
            <w:gridSpan w:val="2"/>
          </w:tcPr>
          <w:p>
            <w:pPr>
              <w:pStyle w:val="yTableNAm"/>
            </w:pPr>
            <w:r>
              <w:rPr>
                <w:sz w:val="16"/>
                <w:szCs w:val="16"/>
              </w:rPr>
              <w:t xml:space="preserve">Mercury Vapour </w:t>
            </w:r>
            <w:r>
              <w:rPr>
                <w:sz w:val="16"/>
                <w:szCs w:val="16"/>
              </w:rPr>
              <w:br/>
              <w:t>50% E.C. cost</w:t>
            </w:r>
          </w:p>
        </w:tc>
        <w:tc>
          <w:tcPr>
            <w:tcW w:w="1370" w:type="dxa"/>
          </w:tcPr>
          <w:p>
            <w:pPr>
              <w:pStyle w:val="yTableNAm"/>
            </w:pPr>
            <w:r>
              <w:rPr>
                <w:sz w:val="16"/>
                <w:szCs w:val="16"/>
              </w:rPr>
              <w:t>70.0942</w:t>
            </w:r>
          </w:p>
        </w:tc>
        <w:tc>
          <w:tcPr>
            <w:tcW w:w="1512" w:type="dxa"/>
          </w:tcPr>
          <w:p>
            <w:pPr>
              <w:pStyle w:val="yTableNAm"/>
            </w:pPr>
            <w:r>
              <w:rPr>
                <w:sz w:val="16"/>
                <w:szCs w:val="16"/>
              </w:rPr>
              <w:t>73.1527</w:t>
            </w:r>
          </w:p>
        </w:tc>
        <w:tc>
          <w:tcPr>
            <w:tcW w:w="1370" w:type="dxa"/>
          </w:tcPr>
          <w:p>
            <w:pPr>
              <w:pStyle w:val="yTableNAm"/>
            </w:pPr>
            <w:r>
              <w:rPr>
                <w:sz w:val="16"/>
                <w:szCs w:val="16"/>
              </w:rPr>
              <w:t>84.7939</w:t>
            </w:r>
          </w:p>
        </w:tc>
      </w:tr>
      <w:tr>
        <w:trPr>
          <w:cantSplit/>
        </w:trPr>
        <w:tc>
          <w:tcPr>
            <w:tcW w:w="567" w:type="dxa"/>
          </w:tcPr>
          <w:p>
            <w:pPr>
              <w:pStyle w:val="yTableNAm"/>
            </w:pPr>
            <w:r>
              <w:rPr>
                <w:sz w:val="16"/>
                <w:szCs w:val="16"/>
              </w:rPr>
              <w:t>Z.09</w:t>
            </w:r>
          </w:p>
        </w:tc>
        <w:tc>
          <w:tcPr>
            <w:tcW w:w="851" w:type="dxa"/>
          </w:tcPr>
          <w:p>
            <w:pPr>
              <w:pStyle w:val="yTableNAm"/>
            </w:pPr>
            <w:r>
              <w:rPr>
                <w:sz w:val="16"/>
                <w:szCs w:val="16"/>
              </w:rPr>
              <w:t>250</w:t>
            </w:r>
          </w:p>
        </w:tc>
        <w:tc>
          <w:tcPr>
            <w:tcW w:w="1134" w:type="dxa"/>
            <w:gridSpan w:val="2"/>
          </w:tcPr>
          <w:p>
            <w:pPr>
              <w:pStyle w:val="yTableNAm"/>
            </w:pPr>
            <w:r>
              <w:rPr>
                <w:sz w:val="16"/>
                <w:szCs w:val="16"/>
              </w:rPr>
              <w:t>Mercury Vapour</w:t>
            </w:r>
            <w:r>
              <w:rPr>
                <w:sz w:val="16"/>
                <w:szCs w:val="16"/>
              </w:rPr>
              <w:br/>
              <w:t>100% E.C. cost</w:t>
            </w:r>
          </w:p>
        </w:tc>
        <w:tc>
          <w:tcPr>
            <w:tcW w:w="1370" w:type="dxa"/>
          </w:tcPr>
          <w:p>
            <w:pPr>
              <w:pStyle w:val="yTableNAm"/>
            </w:pPr>
            <w:r>
              <w:rPr>
                <w:sz w:val="16"/>
                <w:szCs w:val="16"/>
              </w:rPr>
              <w:t>79.1376</w:t>
            </w:r>
          </w:p>
        </w:tc>
        <w:tc>
          <w:tcPr>
            <w:tcW w:w="1512" w:type="dxa"/>
          </w:tcPr>
          <w:p>
            <w:pPr>
              <w:pStyle w:val="yTableNAm"/>
            </w:pPr>
            <w:r>
              <w:rPr>
                <w:sz w:val="16"/>
                <w:szCs w:val="16"/>
              </w:rPr>
              <w:t>82.2288</w:t>
            </w:r>
          </w:p>
        </w:tc>
        <w:tc>
          <w:tcPr>
            <w:tcW w:w="1370" w:type="dxa"/>
          </w:tcPr>
          <w:p>
            <w:pPr>
              <w:pStyle w:val="yTableNAm"/>
            </w:pPr>
            <w:r>
              <w:rPr>
                <w:sz w:val="16"/>
                <w:szCs w:val="16"/>
              </w:rPr>
              <w:t>93.8372</w:t>
            </w:r>
          </w:p>
        </w:tc>
      </w:tr>
      <w:tr>
        <w:trPr>
          <w:cantSplit/>
        </w:trPr>
        <w:tc>
          <w:tcPr>
            <w:tcW w:w="567" w:type="dxa"/>
          </w:tcPr>
          <w:p>
            <w:pPr>
              <w:pStyle w:val="yTableNAm"/>
            </w:pPr>
            <w:r>
              <w:rPr>
                <w:sz w:val="16"/>
                <w:szCs w:val="16"/>
              </w:rPr>
              <w:t>Z.11</w:t>
            </w:r>
          </w:p>
        </w:tc>
        <w:tc>
          <w:tcPr>
            <w:tcW w:w="851" w:type="dxa"/>
          </w:tcPr>
          <w:p>
            <w:pPr>
              <w:pStyle w:val="yTableNAm"/>
            </w:pPr>
            <w:r>
              <w:rPr>
                <w:sz w:val="16"/>
                <w:szCs w:val="16"/>
              </w:rPr>
              <w:t>400</w:t>
            </w:r>
          </w:p>
        </w:tc>
        <w:tc>
          <w:tcPr>
            <w:tcW w:w="1134" w:type="dxa"/>
            <w:gridSpan w:val="2"/>
          </w:tcPr>
          <w:p>
            <w:pPr>
              <w:pStyle w:val="yTableNAm"/>
            </w:pPr>
            <w:r>
              <w:rPr>
                <w:sz w:val="16"/>
                <w:szCs w:val="16"/>
              </w:rPr>
              <w:t xml:space="preserve">Mercury Vapour </w:t>
            </w:r>
            <w:r>
              <w:rPr>
                <w:sz w:val="16"/>
                <w:szCs w:val="16"/>
              </w:rPr>
              <w:br/>
              <w:t>50% E.C. cost</w:t>
            </w:r>
          </w:p>
        </w:tc>
        <w:tc>
          <w:tcPr>
            <w:tcW w:w="1370" w:type="dxa"/>
          </w:tcPr>
          <w:p>
            <w:pPr>
              <w:pStyle w:val="yTableNAm"/>
            </w:pPr>
            <w:r>
              <w:rPr>
                <w:sz w:val="16"/>
                <w:szCs w:val="16"/>
              </w:rPr>
              <w:t>99.5098</w:t>
            </w:r>
          </w:p>
        </w:tc>
        <w:tc>
          <w:tcPr>
            <w:tcW w:w="1512" w:type="dxa"/>
          </w:tcPr>
          <w:p>
            <w:pPr>
              <w:pStyle w:val="yTableNAm"/>
            </w:pPr>
            <w:r>
              <w:rPr>
                <w:sz w:val="16"/>
                <w:szCs w:val="16"/>
              </w:rPr>
              <w:t>104.2619</w:t>
            </w:r>
          </w:p>
        </w:tc>
        <w:tc>
          <w:tcPr>
            <w:tcW w:w="1370" w:type="dxa"/>
          </w:tcPr>
          <w:p>
            <w:pPr>
              <w:pStyle w:val="yTableNAm"/>
            </w:pPr>
            <w:r>
              <w:rPr>
                <w:sz w:val="16"/>
                <w:szCs w:val="16"/>
              </w:rPr>
              <w:t>122.2827</w:t>
            </w:r>
          </w:p>
        </w:tc>
      </w:tr>
      <w:tr>
        <w:trPr>
          <w:cantSplit/>
        </w:trPr>
        <w:tc>
          <w:tcPr>
            <w:tcW w:w="567" w:type="dxa"/>
          </w:tcPr>
          <w:p>
            <w:pPr>
              <w:pStyle w:val="yTableNAm"/>
            </w:pPr>
            <w:r>
              <w:rPr>
                <w:sz w:val="16"/>
                <w:szCs w:val="16"/>
              </w:rPr>
              <w:t>Z.12</w:t>
            </w:r>
          </w:p>
        </w:tc>
        <w:tc>
          <w:tcPr>
            <w:tcW w:w="851" w:type="dxa"/>
          </w:tcPr>
          <w:p>
            <w:pPr>
              <w:pStyle w:val="yTableNAm"/>
            </w:pPr>
            <w:r>
              <w:rPr>
                <w:sz w:val="16"/>
                <w:szCs w:val="16"/>
              </w:rPr>
              <w:t>400</w:t>
            </w:r>
          </w:p>
        </w:tc>
        <w:tc>
          <w:tcPr>
            <w:tcW w:w="1134" w:type="dxa"/>
            <w:gridSpan w:val="2"/>
          </w:tcPr>
          <w:p>
            <w:pPr>
              <w:pStyle w:val="yTableNAm"/>
            </w:pPr>
            <w:r>
              <w:rPr>
                <w:sz w:val="16"/>
                <w:szCs w:val="16"/>
              </w:rPr>
              <w:t xml:space="preserve">Mercury Vapour </w:t>
            </w:r>
            <w:r>
              <w:rPr>
                <w:sz w:val="16"/>
                <w:szCs w:val="16"/>
              </w:rPr>
              <w:br/>
              <w:t>100% E.C. cost</w:t>
            </w:r>
          </w:p>
        </w:tc>
        <w:tc>
          <w:tcPr>
            <w:tcW w:w="1370" w:type="dxa"/>
          </w:tcPr>
          <w:p>
            <w:pPr>
              <w:pStyle w:val="yTableNAm"/>
            </w:pPr>
            <w:r>
              <w:rPr>
                <w:sz w:val="16"/>
                <w:szCs w:val="16"/>
              </w:rPr>
              <w:t>108.5532</w:t>
            </w:r>
          </w:p>
        </w:tc>
        <w:tc>
          <w:tcPr>
            <w:tcW w:w="1512" w:type="dxa"/>
          </w:tcPr>
          <w:p>
            <w:pPr>
              <w:pStyle w:val="yTableNAm"/>
            </w:pPr>
            <w:r>
              <w:rPr>
                <w:sz w:val="16"/>
                <w:szCs w:val="16"/>
              </w:rPr>
              <w:t>113.2886</w:t>
            </w:r>
          </w:p>
        </w:tc>
        <w:tc>
          <w:tcPr>
            <w:tcW w:w="1370" w:type="dxa"/>
          </w:tcPr>
          <w:p>
            <w:pPr>
              <w:pStyle w:val="yTableNAm"/>
            </w:pPr>
            <w:r>
              <w:rPr>
                <w:sz w:val="16"/>
                <w:szCs w:val="16"/>
              </w:rPr>
              <w:t>131.2931</w:t>
            </w:r>
          </w:p>
        </w:tc>
      </w:tr>
      <w:tr>
        <w:trPr>
          <w:cantSplit/>
        </w:trPr>
        <w:tc>
          <w:tcPr>
            <w:tcW w:w="567" w:type="dxa"/>
          </w:tcPr>
          <w:p>
            <w:pPr>
              <w:pStyle w:val="yTableNAm"/>
            </w:pPr>
            <w:r>
              <w:rPr>
                <w:sz w:val="16"/>
                <w:szCs w:val="16"/>
              </w:rPr>
              <w:t>Z.14</w:t>
            </w:r>
          </w:p>
        </w:tc>
        <w:tc>
          <w:tcPr>
            <w:tcW w:w="851" w:type="dxa"/>
          </w:tcPr>
          <w:p>
            <w:pPr>
              <w:pStyle w:val="yTableNAm"/>
            </w:pPr>
            <w:r>
              <w:rPr>
                <w:sz w:val="16"/>
                <w:szCs w:val="16"/>
              </w:rPr>
              <w:t>150</w:t>
            </w:r>
          </w:p>
        </w:tc>
        <w:tc>
          <w:tcPr>
            <w:tcW w:w="1134" w:type="dxa"/>
            <w:gridSpan w:val="2"/>
          </w:tcPr>
          <w:p>
            <w:pPr>
              <w:pStyle w:val="yTableNAm"/>
            </w:pPr>
            <w:r>
              <w:rPr>
                <w:sz w:val="16"/>
                <w:szCs w:val="16"/>
              </w:rPr>
              <w:t>High Pressure Sodium</w:t>
            </w:r>
          </w:p>
        </w:tc>
        <w:tc>
          <w:tcPr>
            <w:tcW w:w="1370" w:type="dxa"/>
          </w:tcPr>
          <w:p>
            <w:pPr>
              <w:pStyle w:val="yTableNAm"/>
            </w:pPr>
            <w:r>
              <w:rPr>
                <w:sz w:val="16"/>
                <w:szCs w:val="16"/>
              </w:rPr>
              <w:t>71.9193</w:t>
            </w:r>
          </w:p>
        </w:tc>
        <w:tc>
          <w:tcPr>
            <w:tcW w:w="1512" w:type="dxa"/>
          </w:tcPr>
          <w:p>
            <w:pPr>
              <w:pStyle w:val="yTableNAm"/>
            </w:pPr>
            <w:r>
              <w:rPr>
                <w:sz w:val="16"/>
                <w:szCs w:val="16"/>
              </w:rPr>
              <w:t>73.5965</w:t>
            </w:r>
          </w:p>
        </w:tc>
        <w:tc>
          <w:tcPr>
            <w:tcW w:w="1370" w:type="dxa"/>
          </w:tcPr>
          <w:p>
            <w:pPr>
              <w:pStyle w:val="yTableNAm"/>
            </w:pPr>
            <w:r>
              <w:rPr>
                <w:sz w:val="16"/>
                <w:szCs w:val="16"/>
              </w:rPr>
              <w:t>83.1331</w:t>
            </w:r>
          </w:p>
        </w:tc>
      </w:tr>
      <w:tr>
        <w:trPr>
          <w:cantSplit/>
        </w:trPr>
        <w:tc>
          <w:tcPr>
            <w:tcW w:w="567" w:type="dxa"/>
          </w:tcPr>
          <w:p>
            <w:pPr>
              <w:pStyle w:val="yTableNAm"/>
            </w:pPr>
            <w:r>
              <w:rPr>
                <w:sz w:val="16"/>
                <w:szCs w:val="16"/>
              </w:rPr>
              <w:t>Z.16</w:t>
            </w:r>
          </w:p>
        </w:tc>
        <w:tc>
          <w:tcPr>
            <w:tcW w:w="851" w:type="dxa"/>
          </w:tcPr>
          <w:p>
            <w:pPr>
              <w:pStyle w:val="yTableNAm"/>
            </w:pPr>
            <w:r>
              <w:rPr>
                <w:sz w:val="16"/>
                <w:szCs w:val="16"/>
              </w:rPr>
              <w:t>250</w:t>
            </w:r>
          </w:p>
        </w:tc>
        <w:tc>
          <w:tcPr>
            <w:tcW w:w="1134" w:type="dxa"/>
            <w:gridSpan w:val="2"/>
          </w:tcPr>
          <w:p>
            <w:pPr>
              <w:pStyle w:val="yTableNAm"/>
            </w:pPr>
            <w:r>
              <w:rPr>
                <w:sz w:val="16"/>
                <w:szCs w:val="16"/>
              </w:rPr>
              <w:t>High Pressure Sodium</w:t>
            </w:r>
            <w:r>
              <w:rPr>
                <w:sz w:val="16"/>
                <w:szCs w:val="16"/>
              </w:rPr>
              <w:br/>
              <w:t>50% E.C. cost</w:t>
            </w:r>
          </w:p>
        </w:tc>
        <w:tc>
          <w:tcPr>
            <w:tcW w:w="1370" w:type="dxa"/>
          </w:tcPr>
          <w:p>
            <w:pPr>
              <w:pStyle w:val="yTableNAm"/>
            </w:pPr>
            <w:r>
              <w:rPr>
                <w:sz w:val="16"/>
                <w:szCs w:val="16"/>
              </w:rPr>
              <w:t>82.6399</w:t>
            </w:r>
          </w:p>
        </w:tc>
        <w:tc>
          <w:tcPr>
            <w:tcW w:w="1512" w:type="dxa"/>
          </w:tcPr>
          <w:p>
            <w:pPr>
              <w:pStyle w:val="yTableNAm"/>
            </w:pPr>
            <w:r>
              <w:rPr>
                <w:sz w:val="16"/>
                <w:szCs w:val="16"/>
              </w:rPr>
              <w:t>86.3559</w:t>
            </w:r>
          </w:p>
        </w:tc>
        <w:tc>
          <w:tcPr>
            <w:tcW w:w="1370" w:type="dxa"/>
          </w:tcPr>
          <w:p>
            <w:pPr>
              <w:pStyle w:val="yTableNAm"/>
            </w:pPr>
            <w:r>
              <w:rPr>
                <w:sz w:val="16"/>
                <w:szCs w:val="16"/>
              </w:rPr>
              <w:t>100.5293</w:t>
            </w:r>
          </w:p>
        </w:tc>
      </w:tr>
      <w:tr>
        <w:trPr>
          <w:cantSplit/>
        </w:trPr>
        <w:tc>
          <w:tcPr>
            <w:tcW w:w="567" w:type="dxa"/>
          </w:tcPr>
          <w:p>
            <w:pPr>
              <w:pStyle w:val="yTableNAm"/>
            </w:pPr>
            <w:r>
              <w:rPr>
                <w:sz w:val="16"/>
                <w:szCs w:val="16"/>
              </w:rPr>
              <w:t>Z.17</w:t>
            </w:r>
          </w:p>
        </w:tc>
        <w:tc>
          <w:tcPr>
            <w:tcW w:w="851" w:type="dxa"/>
          </w:tcPr>
          <w:p>
            <w:pPr>
              <w:pStyle w:val="yTableNAm"/>
            </w:pPr>
            <w:r>
              <w:rPr>
                <w:sz w:val="16"/>
                <w:szCs w:val="16"/>
              </w:rPr>
              <w:t>250</w:t>
            </w:r>
          </w:p>
        </w:tc>
        <w:tc>
          <w:tcPr>
            <w:tcW w:w="1134" w:type="dxa"/>
            <w:gridSpan w:val="2"/>
          </w:tcPr>
          <w:p>
            <w:pPr>
              <w:pStyle w:val="yTableNAm"/>
            </w:pPr>
            <w:r>
              <w:rPr>
                <w:sz w:val="16"/>
                <w:szCs w:val="16"/>
              </w:rPr>
              <w:t xml:space="preserve">High Pressure Sodium </w:t>
            </w:r>
            <w:r>
              <w:rPr>
                <w:sz w:val="16"/>
                <w:szCs w:val="16"/>
              </w:rPr>
              <w:br/>
              <w:t>100% E.C. cost</w:t>
            </w:r>
          </w:p>
        </w:tc>
        <w:tc>
          <w:tcPr>
            <w:tcW w:w="1370" w:type="dxa"/>
          </w:tcPr>
          <w:p>
            <w:pPr>
              <w:pStyle w:val="yTableNAm"/>
            </w:pPr>
            <w:r>
              <w:rPr>
                <w:sz w:val="16"/>
                <w:szCs w:val="16"/>
              </w:rPr>
              <w:t>96.1390</w:t>
            </w:r>
          </w:p>
        </w:tc>
        <w:tc>
          <w:tcPr>
            <w:tcW w:w="1512" w:type="dxa"/>
          </w:tcPr>
          <w:p>
            <w:pPr>
              <w:pStyle w:val="yTableNAm"/>
            </w:pPr>
            <w:r>
              <w:rPr>
                <w:sz w:val="16"/>
                <w:szCs w:val="16"/>
              </w:rPr>
              <w:t>99.9044</w:t>
            </w:r>
          </w:p>
        </w:tc>
        <w:tc>
          <w:tcPr>
            <w:tcW w:w="1370" w:type="dxa"/>
          </w:tcPr>
          <w:p>
            <w:pPr>
              <w:pStyle w:val="yTableNAm"/>
            </w:pPr>
            <w:r>
              <w:rPr>
                <w:sz w:val="16"/>
                <w:szCs w:val="16"/>
              </w:rPr>
              <w:t>114.0943</w:t>
            </w:r>
          </w:p>
        </w:tc>
      </w:tr>
      <w:tr>
        <w:trPr>
          <w:cantSplit/>
        </w:trPr>
        <w:tc>
          <w:tcPr>
            <w:tcW w:w="567" w:type="dxa"/>
          </w:tcPr>
          <w:p>
            <w:pPr>
              <w:pStyle w:val="yTableNAm"/>
            </w:pPr>
            <w:r>
              <w:rPr>
                <w:sz w:val="16"/>
                <w:szCs w:val="16"/>
              </w:rPr>
              <w:t>Z.51</w:t>
            </w:r>
          </w:p>
        </w:tc>
        <w:tc>
          <w:tcPr>
            <w:tcW w:w="851" w:type="dxa"/>
          </w:tcPr>
          <w:p>
            <w:pPr>
              <w:pStyle w:val="yTableNAm"/>
            </w:pPr>
            <w:r>
              <w:rPr>
                <w:sz w:val="16"/>
                <w:szCs w:val="16"/>
              </w:rPr>
              <w:t>60</w:t>
            </w:r>
          </w:p>
        </w:tc>
        <w:tc>
          <w:tcPr>
            <w:tcW w:w="1134" w:type="dxa"/>
            <w:gridSpan w:val="2"/>
          </w:tcPr>
          <w:p>
            <w:pPr>
              <w:pStyle w:val="yTableNAm"/>
            </w:pPr>
            <w:r>
              <w:rPr>
                <w:sz w:val="16"/>
                <w:szCs w:val="16"/>
              </w:rPr>
              <w:t>Incandescent</w:t>
            </w:r>
          </w:p>
        </w:tc>
        <w:tc>
          <w:tcPr>
            <w:tcW w:w="1370" w:type="dxa"/>
          </w:tcPr>
          <w:p>
            <w:pPr>
              <w:pStyle w:val="yTableNAm"/>
            </w:pPr>
            <w:r>
              <w:rPr>
                <w:sz w:val="16"/>
                <w:szCs w:val="16"/>
              </w:rPr>
              <w:t xml:space="preserve">33.7893 </w:t>
            </w:r>
          </w:p>
        </w:tc>
        <w:tc>
          <w:tcPr>
            <w:tcW w:w="1512" w:type="dxa"/>
          </w:tcPr>
          <w:p>
            <w:pPr>
              <w:pStyle w:val="yTableNAm"/>
            </w:pPr>
            <w:r>
              <w:rPr>
                <w:sz w:val="16"/>
                <w:szCs w:val="16"/>
              </w:rPr>
              <w:t>34.5128</w:t>
            </w:r>
          </w:p>
        </w:tc>
        <w:tc>
          <w:tcPr>
            <w:tcW w:w="1370" w:type="dxa"/>
          </w:tcPr>
          <w:p>
            <w:pPr>
              <w:pStyle w:val="yTableNAm"/>
            </w:pPr>
            <w:r>
              <w:rPr>
                <w:sz w:val="16"/>
                <w:szCs w:val="16"/>
              </w:rPr>
              <w:t>37.1270</w:t>
            </w:r>
          </w:p>
        </w:tc>
      </w:tr>
      <w:tr>
        <w:trPr>
          <w:cantSplit/>
        </w:trPr>
        <w:tc>
          <w:tcPr>
            <w:tcW w:w="567" w:type="dxa"/>
          </w:tcPr>
          <w:p>
            <w:pPr>
              <w:pStyle w:val="yTableNAm"/>
            </w:pPr>
            <w:r>
              <w:rPr>
                <w:sz w:val="16"/>
                <w:szCs w:val="16"/>
              </w:rPr>
              <w:t>Z.52</w:t>
            </w:r>
          </w:p>
        </w:tc>
        <w:tc>
          <w:tcPr>
            <w:tcW w:w="851" w:type="dxa"/>
          </w:tcPr>
          <w:p>
            <w:pPr>
              <w:pStyle w:val="yTableNAm"/>
            </w:pPr>
            <w:r>
              <w:rPr>
                <w:sz w:val="16"/>
                <w:szCs w:val="16"/>
              </w:rPr>
              <w:t>100</w:t>
            </w:r>
          </w:p>
        </w:tc>
        <w:tc>
          <w:tcPr>
            <w:tcW w:w="1134" w:type="dxa"/>
            <w:gridSpan w:val="2"/>
          </w:tcPr>
          <w:p>
            <w:pPr>
              <w:pStyle w:val="yTableNAm"/>
            </w:pPr>
            <w:r>
              <w:rPr>
                <w:sz w:val="16"/>
                <w:szCs w:val="16"/>
              </w:rPr>
              <w:t>Incandescent</w:t>
            </w:r>
          </w:p>
        </w:tc>
        <w:tc>
          <w:tcPr>
            <w:tcW w:w="1370" w:type="dxa"/>
          </w:tcPr>
          <w:p>
            <w:pPr>
              <w:pStyle w:val="yTableNAm"/>
            </w:pPr>
            <w:r>
              <w:rPr>
                <w:sz w:val="16"/>
                <w:szCs w:val="16"/>
              </w:rPr>
              <w:t>33.7892</w:t>
            </w:r>
          </w:p>
        </w:tc>
        <w:tc>
          <w:tcPr>
            <w:tcW w:w="1512" w:type="dxa"/>
          </w:tcPr>
          <w:p>
            <w:pPr>
              <w:pStyle w:val="yTableNAm"/>
            </w:pPr>
            <w:r>
              <w:rPr>
                <w:sz w:val="16"/>
                <w:szCs w:val="16"/>
              </w:rPr>
              <w:t>34.5128</w:t>
            </w:r>
          </w:p>
        </w:tc>
        <w:tc>
          <w:tcPr>
            <w:tcW w:w="1370" w:type="dxa"/>
          </w:tcPr>
          <w:p>
            <w:pPr>
              <w:pStyle w:val="yTableNAm"/>
            </w:pPr>
            <w:r>
              <w:rPr>
                <w:sz w:val="16"/>
                <w:szCs w:val="16"/>
              </w:rPr>
              <w:t>37.1269</w:t>
            </w:r>
          </w:p>
        </w:tc>
      </w:tr>
      <w:tr>
        <w:trPr>
          <w:cantSplit/>
        </w:trPr>
        <w:tc>
          <w:tcPr>
            <w:tcW w:w="567" w:type="dxa"/>
          </w:tcPr>
          <w:p>
            <w:pPr>
              <w:pStyle w:val="yTableNAm"/>
            </w:pPr>
            <w:r>
              <w:rPr>
                <w:sz w:val="16"/>
                <w:szCs w:val="16"/>
              </w:rPr>
              <w:t>Z.53</w:t>
            </w:r>
          </w:p>
        </w:tc>
        <w:tc>
          <w:tcPr>
            <w:tcW w:w="851" w:type="dxa"/>
          </w:tcPr>
          <w:p>
            <w:pPr>
              <w:pStyle w:val="yTableNAm"/>
            </w:pPr>
            <w:r>
              <w:rPr>
                <w:sz w:val="16"/>
                <w:szCs w:val="16"/>
              </w:rPr>
              <w:t>200</w:t>
            </w:r>
          </w:p>
        </w:tc>
        <w:tc>
          <w:tcPr>
            <w:tcW w:w="1134" w:type="dxa"/>
            <w:gridSpan w:val="2"/>
          </w:tcPr>
          <w:p>
            <w:pPr>
              <w:pStyle w:val="yTableNAm"/>
            </w:pPr>
            <w:r>
              <w:rPr>
                <w:sz w:val="16"/>
                <w:szCs w:val="16"/>
              </w:rPr>
              <w:t>Incandescent</w:t>
            </w:r>
          </w:p>
        </w:tc>
        <w:tc>
          <w:tcPr>
            <w:tcW w:w="1370" w:type="dxa"/>
          </w:tcPr>
          <w:p>
            <w:pPr>
              <w:pStyle w:val="yTableNAm"/>
            </w:pPr>
            <w:r>
              <w:rPr>
                <w:sz w:val="16"/>
                <w:szCs w:val="16"/>
              </w:rPr>
              <w:t>39.7908</w:t>
            </w:r>
          </w:p>
        </w:tc>
        <w:tc>
          <w:tcPr>
            <w:tcW w:w="1512" w:type="dxa"/>
          </w:tcPr>
          <w:p>
            <w:pPr>
              <w:pStyle w:val="yTableNAm"/>
            </w:pPr>
            <w:r>
              <w:rPr>
                <w:sz w:val="16"/>
                <w:szCs w:val="16"/>
              </w:rPr>
              <w:t>40.6786</w:t>
            </w:r>
          </w:p>
        </w:tc>
        <w:tc>
          <w:tcPr>
            <w:tcW w:w="1370" w:type="dxa"/>
          </w:tcPr>
          <w:p>
            <w:pPr>
              <w:pStyle w:val="yTableNAm"/>
            </w:pPr>
            <w:r>
              <w:rPr>
                <w:sz w:val="16"/>
                <w:szCs w:val="16"/>
              </w:rPr>
              <w:t>44.7566</w:t>
            </w:r>
          </w:p>
        </w:tc>
      </w:tr>
      <w:tr>
        <w:trPr>
          <w:cantSplit/>
        </w:trPr>
        <w:tc>
          <w:tcPr>
            <w:tcW w:w="567" w:type="dxa"/>
          </w:tcPr>
          <w:p>
            <w:pPr>
              <w:pStyle w:val="yTableNAm"/>
            </w:pPr>
            <w:r>
              <w:rPr>
                <w:sz w:val="16"/>
                <w:szCs w:val="16"/>
              </w:rPr>
              <w:t>Z.54</w:t>
            </w:r>
          </w:p>
        </w:tc>
        <w:tc>
          <w:tcPr>
            <w:tcW w:w="851" w:type="dxa"/>
          </w:tcPr>
          <w:p>
            <w:pPr>
              <w:pStyle w:val="yTableNAm"/>
            </w:pPr>
            <w:r>
              <w:rPr>
                <w:sz w:val="16"/>
                <w:szCs w:val="16"/>
              </w:rPr>
              <w:t>300</w:t>
            </w:r>
          </w:p>
        </w:tc>
        <w:tc>
          <w:tcPr>
            <w:tcW w:w="1134" w:type="dxa"/>
            <w:gridSpan w:val="2"/>
          </w:tcPr>
          <w:p>
            <w:pPr>
              <w:pStyle w:val="yTableNAm"/>
            </w:pPr>
            <w:r>
              <w:rPr>
                <w:sz w:val="16"/>
                <w:szCs w:val="16"/>
              </w:rPr>
              <w:t>Incandescent</w:t>
            </w:r>
          </w:p>
        </w:tc>
        <w:tc>
          <w:tcPr>
            <w:tcW w:w="1370" w:type="dxa"/>
          </w:tcPr>
          <w:p>
            <w:pPr>
              <w:pStyle w:val="yTableNAm"/>
            </w:pPr>
            <w:r>
              <w:rPr>
                <w:sz w:val="16"/>
                <w:szCs w:val="16"/>
              </w:rPr>
              <w:t>49.2123</w:t>
            </w:r>
          </w:p>
        </w:tc>
        <w:tc>
          <w:tcPr>
            <w:tcW w:w="1512" w:type="dxa"/>
          </w:tcPr>
          <w:p>
            <w:pPr>
              <w:pStyle w:val="yTableNAm"/>
            </w:pPr>
            <w:r>
              <w:rPr>
                <w:sz w:val="16"/>
                <w:szCs w:val="16"/>
              </w:rPr>
              <w:t>50.8072</w:t>
            </w:r>
          </w:p>
        </w:tc>
        <w:tc>
          <w:tcPr>
            <w:tcW w:w="1370" w:type="dxa"/>
          </w:tcPr>
          <w:p>
            <w:pPr>
              <w:pStyle w:val="yTableNAm"/>
            </w:pPr>
            <w:r>
              <w:rPr>
                <w:sz w:val="16"/>
                <w:szCs w:val="16"/>
              </w:rPr>
              <w:t>56.5620</w:t>
            </w:r>
          </w:p>
        </w:tc>
      </w:tr>
      <w:tr>
        <w:trPr>
          <w:cantSplit/>
        </w:trPr>
        <w:tc>
          <w:tcPr>
            <w:tcW w:w="567" w:type="dxa"/>
          </w:tcPr>
          <w:p>
            <w:pPr>
              <w:pStyle w:val="yTableNAm"/>
            </w:pPr>
            <w:r>
              <w:rPr>
                <w:sz w:val="16"/>
                <w:szCs w:val="16"/>
              </w:rPr>
              <w:t>Z.55</w:t>
            </w:r>
          </w:p>
        </w:tc>
        <w:tc>
          <w:tcPr>
            <w:tcW w:w="851" w:type="dxa"/>
          </w:tcPr>
          <w:p>
            <w:pPr>
              <w:pStyle w:val="yTableNAm"/>
            </w:pPr>
            <w:r>
              <w:rPr>
                <w:sz w:val="16"/>
                <w:szCs w:val="16"/>
              </w:rPr>
              <w:t>500</w:t>
            </w:r>
          </w:p>
        </w:tc>
        <w:tc>
          <w:tcPr>
            <w:tcW w:w="1134" w:type="dxa"/>
            <w:gridSpan w:val="2"/>
          </w:tcPr>
          <w:p>
            <w:pPr>
              <w:pStyle w:val="yTableNAm"/>
            </w:pPr>
            <w:r>
              <w:rPr>
                <w:sz w:val="16"/>
                <w:szCs w:val="16"/>
              </w:rPr>
              <w:t>Incandescent</w:t>
            </w:r>
          </w:p>
        </w:tc>
        <w:tc>
          <w:tcPr>
            <w:tcW w:w="1370" w:type="dxa"/>
          </w:tcPr>
          <w:p>
            <w:pPr>
              <w:pStyle w:val="yTableNAm"/>
            </w:pPr>
            <w:r>
              <w:rPr>
                <w:sz w:val="16"/>
                <w:szCs w:val="16"/>
              </w:rPr>
              <w:t>79.1375</w:t>
            </w:r>
          </w:p>
        </w:tc>
        <w:tc>
          <w:tcPr>
            <w:tcW w:w="1512" w:type="dxa"/>
          </w:tcPr>
          <w:p>
            <w:pPr>
              <w:pStyle w:val="yTableNAm"/>
            </w:pPr>
            <w:r>
              <w:rPr>
                <w:sz w:val="16"/>
                <w:szCs w:val="16"/>
              </w:rPr>
              <w:t>82.2287</w:t>
            </w:r>
          </w:p>
        </w:tc>
        <w:tc>
          <w:tcPr>
            <w:tcW w:w="1370" w:type="dxa"/>
          </w:tcPr>
          <w:p>
            <w:pPr>
              <w:pStyle w:val="yTableNAm"/>
            </w:pPr>
            <w:r>
              <w:rPr>
                <w:sz w:val="16"/>
                <w:szCs w:val="16"/>
              </w:rPr>
              <w:t>93.8371</w:t>
            </w:r>
          </w:p>
        </w:tc>
      </w:tr>
      <w:tr>
        <w:trPr>
          <w:cantSplit/>
        </w:trPr>
        <w:tc>
          <w:tcPr>
            <w:tcW w:w="567" w:type="dxa"/>
          </w:tcPr>
          <w:p>
            <w:pPr>
              <w:pStyle w:val="yTableNAm"/>
            </w:pPr>
            <w:r>
              <w:rPr>
                <w:sz w:val="16"/>
                <w:szCs w:val="16"/>
              </w:rPr>
              <w:t>Z.56</w:t>
            </w:r>
          </w:p>
        </w:tc>
        <w:tc>
          <w:tcPr>
            <w:tcW w:w="851" w:type="dxa"/>
          </w:tcPr>
          <w:p>
            <w:pPr>
              <w:pStyle w:val="yTableNAm"/>
            </w:pPr>
            <w:r>
              <w:rPr>
                <w:sz w:val="16"/>
                <w:szCs w:val="16"/>
              </w:rPr>
              <w:t>40</w:t>
            </w:r>
          </w:p>
        </w:tc>
        <w:tc>
          <w:tcPr>
            <w:tcW w:w="1134" w:type="dxa"/>
            <w:gridSpan w:val="2"/>
          </w:tcPr>
          <w:p>
            <w:pPr>
              <w:pStyle w:val="yTableNAm"/>
            </w:pPr>
            <w:r>
              <w:rPr>
                <w:sz w:val="16"/>
                <w:szCs w:val="16"/>
              </w:rPr>
              <w:t>Fluorescent</w:t>
            </w:r>
          </w:p>
        </w:tc>
        <w:tc>
          <w:tcPr>
            <w:tcW w:w="1370" w:type="dxa"/>
          </w:tcPr>
          <w:p>
            <w:pPr>
              <w:pStyle w:val="yTableNAm"/>
            </w:pPr>
            <w:r>
              <w:rPr>
                <w:sz w:val="16"/>
                <w:szCs w:val="16"/>
              </w:rPr>
              <w:t>33.7892</w:t>
            </w:r>
          </w:p>
        </w:tc>
        <w:tc>
          <w:tcPr>
            <w:tcW w:w="1512" w:type="dxa"/>
          </w:tcPr>
          <w:p>
            <w:pPr>
              <w:pStyle w:val="yTableNAm"/>
            </w:pPr>
            <w:r>
              <w:rPr>
                <w:sz w:val="16"/>
                <w:szCs w:val="16"/>
              </w:rPr>
              <w:t>34.5128</w:t>
            </w:r>
          </w:p>
        </w:tc>
        <w:tc>
          <w:tcPr>
            <w:tcW w:w="1370" w:type="dxa"/>
          </w:tcPr>
          <w:p>
            <w:pPr>
              <w:pStyle w:val="yTableNAm"/>
            </w:pPr>
            <w:r>
              <w:rPr>
                <w:sz w:val="16"/>
                <w:szCs w:val="16"/>
              </w:rPr>
              <w:t>37.1270</w:t>
            </w:r>
          </w:p>
        </w:tc>
      </w:tr>
      <w:tr>
        <w:trPr>
          <w:cantSplit/>
        </w:trPr>
        <w:tc>
          <w:tcPr>
            <w:tcW w:w="567" w:type="dxa"/>
          </w:tcPr>
          <w:p>
            <w:pPr>
              <w:pStyle w:val="yTableNAm"/>
            </w:pPr>
            <w:r>
              <w:rPr>
                <w:sz w:val="16"/>
                <w:szCs w:val="16"/>
              </w:rPr>
              <w:t>Z.57</w:t>
            </w:r>
          </w:p>
        </w:tc>
        <w:tc>
          <w:tcPr>
            <w:tcW w:w="851" w:type="dxa"/>
          </w:tcPr>
          <w:p>
            <w:pPr>
              <w:pStyle w:val="yTableNAm"/>
            </w:pPr>
            <w:r>
              <w:rPr>
                <w:sz w:val="16"/>
                <w:szCs w:val="16"/>
              </w:rPr>
              <w:t>80</w:t>
            </w:r>
          </w:p>
        </w:tc>
        <w:tc>
          <w:tcPr>
            <w:tcW w:w="1134" w:type="dxa"/>
            <w:gridSpan w:val="2"/>
          </w:tcPr>
          <w:p>
            <w:pPr>
              <w:pStyle w:val="yTableNAm"/>
            </w:pPr>
            <w:r>
              <w:rPr>
                <w:sz w:val="16"/>
                <w:szCs w:val="16"/>
              </w:rPr>
              <w:t>Fluorescent</w:t>
            </w:r>
          </w:p>
        </w:tc>
        <w:tc>
          <w:tcPr>
            <w:tcW w:w="1370" w:type="dxa"/>
          </w:tcPr>
          <w:p>
            <w:pPr>
              <w:pStyle w:val="yTableNAm"/>
            </w:pPr>
            <w:r>
              <w:rPr>
                <w:sz w:val="16"/>
                <w:szCs w:val="16"/>
              </w:rPr>
              <w:t>39.7906</w:t>
            </w:r>
          </w:p>
        </w:tc>
        <w:tc>
          <w:tcPr>
            <w:tcW w:w="1512" w:type="dxa"/>
          </w:tcPr>
          <w:p>
            <w:pPr>
              <w:pStyle w:val="yTableNAm"/>
            </w:pPr>
            <w:r>
              <w:rPr>
                <w:sz w:val="16"/>
                <w:szCs w:val="16"/>
              </w:rPr>
              <w:t>40.6786</w:t>
            </w:r>
          </w:p>
        </w:tc>
        <w:tc>
          <w:tcPr>
            <w:tcW w:w="1370" w:type="dxa"/>
          </w:tcPr>
          <w:p>
            <w:pPr>
              <w:pStyle w:val="yTableNAm"/>
            </w:pPr>
            <w:r>
              <w:rPr>
                <w:sz w:val="16"/>
                <w:szCs w:val="16"/>
              </w:rPr>
              <w:t>44.7566</w:t>
            </w:r>
          </w:p>
        </w:tc>
      </w:tr>
      <w:tr>
        <w:trPr>
          <w:cantSplit/>
        </w:trPr>
        <w:tc>
          <w:tcPr>
            <w:tcW w:w="567" w:type="dxa"/>
            <w:tcBorders>
              <w:bottom w:val="single" w:sz="4" w:space="0" w:color="auto"/>
            </w:tcBorders>
          </w:tcPr>
          <w:p>
            <w:pPr>
              <w:pStyle w:val="yTableNAm"/>
            </w:pPr>
            <w:r>
              <w:rPr>
                <w:sz w:val="16"/>
                <w:szCs w:val="16"/>
              </w:rPr>
              <w:t>Z.58</w:t>
            </w:r>
          </w:p>
        </w:tc>
        <w:tc>
          <w:tcPr>
            <w:tcW w:w="851" w:type="dxa"/>
            <w:tcBorders>
              <w:bottom w:val="single" w:sz="4" w:space="0" w:color="auto"/>
            </w:tcBorders>
          </w:tcPr>
          <w:p>
            <w:pPr>
              <w:pStyle w:val="yTableNAm"/>
            </w:pPr>
            <w:r>
              <w:rPr>
                <w:sz w:val="16"/>
                <w:szCs w:val="16"/>
              </w:rPr>
              <w:t>160</w:t>
            </w:r>
          </w:p>
        </w:tc>
        <w:tc>
          <w:tcPr>
            <w:tcW w:w="1134" w:type="dxa"/>
            <w:gridSpan w:val="2"/>
            <w:tcBorders>
              <w:bottom w:val="single" w:sz="4" w:space="0" w:color="auto"/>
            </w:tcBorders>
          </w:tcPr>
          <w:p>
            <w:pPr>
              <w:pStyle w:val="yTableNAm"/>
            </w:pPr>
            <w:r>
              <w:rPr>
                <w:sz w:val="16"/>
                <w:szCs w:val="16"/>
              </w:rPr>
              <w:t>Fluorescent</w:t>
            </w:r>
          </w:p>
        </w:tc>
        <w:tc>
          <w:tcPr>
            <w:tcW w:w="1370" w:type="dxa"/>
            <w:tcBorders>
              <w:bottom w:val="single" w:sz="4" w:space="0" w:color="auto"/>
            </w:tcBorders>
          </w:tcPr>
          <w:p>
            <w:pPr>
              <w:pStyle w:val="yTableNAm"/>
            </w:pPr>
            <w:r>
              <w:rPr>
                <w:sz w:val="16"/>
                <w:szCs w:val="16"/>
              </w:rPr>
              <w:t>55.6580</w:t>
            </w:r>
          </w:p>
        </w:tc>
        <w:tc>
          <w:tcPr>
            <w:tcW w:w="1512" w:type="dxa"/>
            <w:tcBorders>
              <w:bottom w:val="single" w:sz="4" w:space="0" w:color="auto"/>
            </w:tcBorders>
          </w:tcPr>
          <w:p>
            <w:pPr>
              <w:pStyle w:val="yTableNAm"/>
            </w:pPr>
            <w:r>
              <w:rPr>
                <w:sz w:val="16"/>
                <w:szCs w:val="16"/>
              </w:rPr>
              <w:t>56.4305</w:t>
            </w:r>
          </w:p>
        </w:tc>
        <w:tc>
          <w:tcPr>
            <w:tcW w:w="1370" w:type="dxa"/>
            <w:tcBorders>
              <w:bottom w:val="single" w:sz="4" w:space="0" w:color="auto"/>
            </w:tcBorders>
          </w:tcPr>
          <w:p>
            <w:pPr>
              <w:pStyle w:val="yTableNAm"/>
            </w:pPr>
            <w:r>
              <w:rPr>
                <w:sz w:val="16"/>
                <w:szCs w:val="16"/>
              </w:rPr>
              <w:t>65.4738</w:t>
            </w:r>
          </w:p>
        </w:tc>
      </w:tr>
    </w:tbl>
    <w:p>
      <w:pPr>
        <w:pStyle w:val="yFootnotesection"/>
      </w:pPr>
      <w:r>
        <w:tab/>
        <w:t>[Division 1 inserted in Gazette 27 Jun 2017 p. 3422</w:t>
      </w:r>
      <w:r>
        <w:noBreakHyphen/>
        <w:t>3.]</w:t>
      </w:r>
    </w:p>
    <w:p>
      <w:pPr>
        <w:pStyle w:val="yHeading3"/>
      </w:pPr>
      <w:bookmarkStart w:id="35" w:name="_Toc501633161"/>
      <w:bookmarkStart w:id="36" w:name="_Toc501633214"/>
      <w:bookmarkStart w:id="37" w:name="_Toc502736814"/>
      <w:r>
        <w:rPr>
          <w:rStyle w:val="CharSDivNo"/>
        </w:rPr>
        <w:t>Division 2</w:t>
      </w:r>
      <w:r>
        <w:t> — </w:t>
      </w:r>
      <w:r>
        <w:rPr>
          <w:rStyle w:val="CharSDivText"/>
        </w:rPr>
        <w:t>Miscellaneous</w:t>
      </w:r>
      <w:bookmarkEnd w:id="35"/>
      <w:bookmarkEnd w:id="36"/>
      <w:bookmarkEnd w:id="37"/>
    </w:p>
    <w:p>
      <w:pPr>
        <w:pStyle w:val="yFootnoteheading"/>
        <w:spacing w:after="60"/>
      </w:pPr>
      <w:r>
        <w:tab/>
        <w:t>[Heading inserted in Gazette 27 Jun 2017 p. 3423.]</w:t>
      </w:r>
    </w:p>
    <w:p>
      <w:pPr>
        <w:pStyle w:val="yHeading5"/>
      </w:pPr>
      <w:bookmarkStart w:id="38" w:name="_Toc502736815"/>
      <w:r>
        <w:rPr>
          <w:rStyle w:val="CharSClsNo"/>
        </w:rPr>
        <w:t>1</w:t>
      </w:r>
      <w:r>
        <w:t>.</w:t>
      </w:r>
      <w:r>
        <w:tab/>
        <w:t>Traffic light installation</w:t>
      </w:r>
      <w:bookmarkEnd w:id="38"/>
    </w:p>
    <w:p>
      <w:pPr>
        <w:pStyle w:val="ySubsection"/>
      </w:pPr>
      <w:r>
        <w:tab/>
      </w:r>
      <w:r>
        <w:tab/>
        <w:t xml:space="preserve">Supply of electricity to traffic light installations comprises a charge of </w:t>
      </w:r>
      <w:r>
        <w:rPr>
          <w:szCs w:val="22"/>
        </w:rPr>
        <w:t xml:space="preserve">$6.8593 </w:t>
      </w:r>
      <w:r>
        <w:t>per day per kW of installed wattage.</w:t>
      </w:r>
    </w:p>
    <w:p>
      <w:pPr>
        <w:pStyle w:val="yFootnotesection"/>
      </w:pPr>
      <w:r>
        <w:tab/>
        <w:t>[Clause 1 inserted in Gazette 27 Jun 2017 p. 3423.]</w:t>
      </w:r>
    </w:p>
    <w:p>
      <w:pPr>
        <w:pStyle w:val="yHeading5"/>
      </w:pPr>
      <w:bookmarkStart w:id="39" w:name="_Toc502736816"/>
      <w:r>
        <w:rPr>
          <w:rStyle w:val="CharSClsNo"/>
        </w:rPr>
        <w:t>2</w:t>
      </w:r>
      <w:r>
        <w:t>.</w:t>
      </w:r>
      <w:r>
        <w:tab/>
        <w:t>Public telephone facility</w:t>
      </w:r>
      <w:bookmarkEnd w:id="39"/>
    </w:p>
    <w:p>
      <w:pPr>
        <w:pStyle w:val="ySubsection"/>
      </w:pPr>
      <w:r>
        <w:tab/>
      </w:r>
      <w:r>
        <w:tab/>
        <w:t xml:space="preserve">Supply of electricity to a standard public telephone facility where supply is not independently metered comprises a charge of </w:t>
      </w:r>
      <w:r>
        <w:rPr>
          <w:szCs w:val="22"/>
        </w:rPr>
        <w:t>59.7018</w:t>
      </w:r>
      <w:r>
        <w:t xml:space="preserve"> cents per day.</w:t>
      </w:r>
    </w:p>
    <w:p>
      <w:pPr>
        <w:pStyle w:val="yFootnotesection"/>
      </w:pPr>
      <w:r>
        <w:tab/>
        <w:t>[Clause 2 inserted in Gazette 27 Jun 2017 p. 3424.]</w:t>
      </w:r>
    </w:p>
    <w:p>
      <w:pPr>
        <w:pStyle w:val="yHeading5"/>
      </w:pPr>
      <w:bookmarkStart w:id="40" w:name="_Toc502736817"/>
      <w:r>
        <w:rPr>
          <w:rStyle w:val="CharSClsNo"/>
        </w:rPr>
        <w:t>3</w:t>
      </w:r>
      <w:r>
        <w:t>.</w:t>
      </w:r>
      <w:r>
        <w:tab/>
        <w:t>Railway crossing</w:t>
      </w:r>
      <w:bookmarkEnd w:id="40"/>
    </w:p>
    <w:p>
      <w:pPr>
        <w:pStyle w:val="ySubsection"/>
      </w:pPr>
      <w:r>
        <w:tab/>
      </w:r>
      <w:r>
        <w:tab/>
        <w:t xml:space="preserve">Supply of electricity to standard railway crossing lights comprises a charge of </w:t>
      </w:r>
      <w:r>
        <w:rPr>
          <w:szCs w:val="22"/>
        </w:rPr>
        <w:t xml:space="preserve">76.2950 </w:t>
      </w:r>
      <w:r>
        <w:t>cents per day.</w:t>
      </w:r>
    </w:p>
    <w:p>
      <w:pPr>
        <w:pStyle w:val="yFootnotesection"/>
      </w:pPr>
      <w:r>
        <w:tab/>
        <w:t>[Clause 3 inserted in Gazette 27 Jun 2017 p. 3424.]</w:t>
      </w:r>
    </w:p>
    <w:p>
      <w:pPr>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yScheduleHeading"/>
      </w:pPr>
      <w:bookmarkStart w:id="41" w:name="_Toc501633165"/>
      <w:bookmarkStart w:id="42" w:name="_Toc501633218"/>
      <w:bookmarkStart w:id="43" w:name="_Toc502736818"/>
      <w:r>
        <w:rPr>
          <w:rStyle w:val="CharSchNo"/>
        </w:rPr>
        <w:t>Schedule 3</w:t>
      </w:r>
      <w:r>
        <w:rPr>
          <w:rStyle w:val="CharSDivNo"/>
        </w:rPr>
        <w:t> </w:t>
      </w:r>
      <w:r>
        <w:t>—</w:t>
      </w:r>
      <w:r>
        <w:rPr>
          <w:rStyle w:val="CharSDivText"/>
        </w:rPr>
        <w:t> </w:t>
      </w:r>
      <w:r>
        <w:rPr>
          <w:rStyle w:val="CharSchText"/>
        </w:rPr>
        <w:t>Meter rentals</w:t>
      </w:r>
      <w:bookmarkEnd w:id="41"/>
      <w:bookmarkEnd w:id="42"/>
      <w:bookmarkEnd w:id="43"/>
    </w:p>
    <w:p>
      <w:pPr>
        <w:pStyle w:val="yShoulderClause"/>
        <w:spacing w:after="60"/>
      </w:pPr>
      <w:r>
        <w:t>[bl. 6(1)]</w:t>
      </w:r>
    </w:p>
    <w:p>
      <w:pPr>
        <w:pStyle w:val="yMiscellaneousBody"/>
      </w:pPr>
      <w:r>
        <w:t>The rental payable in respect of a subsidiary meter is 16.25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Footnotesection"/>
      </w:pPr>
      <w:r>
        <w:tab/>
        <w:t>[Schedule 3 amended in Gazette 30 Jun 2017 p. 3562.]</w:t>
      </w:r>
    </w:p>
    <w:p>
      <w:pPr>
        <w:pStyle w:val="yScheduleHeading"/>
      </w:pPr>
      <w:bookmarkStart w:id="44" w:name="_Toc501633166"/>
      <w:bookmarkStart w:id="45" w:name="_Toc501633219"/>
      <w:bookmarkStart w:id="46" w:name="_Toc502736819"/>
      <w:r>
        <w:rPr>
          <w:rStyle w:val="CharSchNo"/>
        </w:rPr>
        <w:t>Schedule 4</w:t>
      </w:r>
      <w:r>
        <w:rPr>
          <w:rStyle w:val="CharSDivNo"/>
        </w:rPr>
        <w:t> </w:t>
      </w:r>
      <w:r>
        <w:t>—</w:t>
      </w:r>
      <w:r>
        <w:rPr>
          <w:rStyle w:val="CharSDivText"/>
        </w:rPr>
        <w:t> </w:t>
      </w:r>
      <w:r>
        <w:rPr>
          <w:rStyle w:val="CharSchText"/>
        </w:rPr>
        <w:t>Fees</w:t>
      </w:r>
      <w:bookmarkEnd w:id="44"/>
      <w:bookmarkEnd w:id="45"/>
      <w:bookmarkEnd w:id="46"/>
    </w:p>
    <w:p>
      <w:pPr>
        <w:pStyle w:val="yShoulderClause"/>
      </w:pPr>
      <w:r>
        <w:t>[bl. 7]</w:t>
      </w:r>
    </w:p>
    <w:p>
      <w:pPr>
        <w:pStyle w:val="yFootnoteheading"/>
        <w:spacing w:after="60"/>
      </w:pPr>
      <w:r>
        <w:tab/>
        <w:t>[Heading inserted in Gazette 30 Jun 2017 p. 3563.]</w:t>
      </w:r>
    </w:p>
    <w:tbl>
      <w:tblPr>
        <w:tblW w:w="0" w:type="auto"/>
        <w:tblInd w:w="85" w:type="dxa"/>
        <w:tblLayout w:type="fixed"/>
        <w:tblCellMar>
          <w:left w:w="85" w:type="dxa"/>
          <w:right w:w="85" w:type="dxa"/>
        </w:tblCellMar>
        <w:tblLook w:val="0000" w:firstRow="0" w:lastRow="0" w:firstColumn="0" w:lastColumn="0" w:noHBand="0" w:noVBand="0"/>
      </w:tblPr>
      <w:tblGrid>
        <w:gridCol w:w="567"/>
        <w:gridCol w:w="5245"/>
        <w:gridCol w:w="1276"/>
      </w:tblGrid>
      <w:tr>
        <w:trPr>
          <w:cantSplit/>
          <w:tblHeader/>
        </w:trPr>
        <w:tc>
          <w:tcPr>
            <w:tcW w:w="567" w:type="dxa"/>
            <w:tcBorders>
              <w:top w:val="single" w:sz="4" w:space="0" w:color="auto"/>
              <w:bottom w:val="single" w:sz="4" w:space="0" w:color="auto"/>
            </w:tcBorders>
          </w:tcPr>
          <w:p>
            <w:pPr>
              <w:pStyle w:val="zyTableNAm"/>
              <w:spacing w:after="80"/>
            </w:pPr>
          </w:p>
        </w:tc>
        <w:tc>
          <w:tcPr>
            <w:tcW w:w="5245" w:type="dxa"/>
            <w:tcBorders>
              <w:top w:val="single" w:sz="4" w:space="0" w:color="auto"/>
              <w:bottom w:val="single" w:sz="4" w:space="0" w:color="auto"/>
            </w:tcBorders>
          </w:tcPr>
          <w:p>
            <w:pPr>
              <w:pStyle w:val="yTableNAm"/>
            </w:pPr>
            <w:r>
              <w:rPr>
                <w:b/>
                <w:iCs/>
              </w:rPr>
              <w:t>Description of fee</w:t>
            </w:r>
          </w:p>
        </w:tc>
        <w:tc>
          <w:tcPr>
            <w:tcW w:w="1276" w:type="dxa"/>
            <w:tcBorders>
              <w:top w:val="single" w:sz="4" w:space="0" w:color="auto"/>
              <w:bottom w:val="single" w:sz="4" w:space="0" w:color="auto"/>
            </w:tcBorders>
          </w:tcPr>
          <w:p>
            <w:pPr>
              <w:pStyle w:val="yTableNAm"/>
            </w:pPr>
            <w:r>
              <w:rPr>
                <w:b/>
                <w:iCs/>
              </w:rPr>
              <w:t>Amount</w:t>
            </w:r>
          </w:p>
        </w:tc>
      </w:tr>
      <w:tr>
        <w:trPr>
          <w:cantSplit/>
        </w:trPr>
        <w:tc>
          <w:tcPr>
            <w:tcW w:w="567" w:type="dxa"/>
            <w:tcBorders>
              <w:top w:val="single" w:sz="4" w:space="0" w:color="auto"/>
            </w:tcBorders>
          </w:tcPr>
          <w:p>
            <w:pPr>
              <w:pStyle w:val="yTableNAm"/>
            </w:pPr>
            <w:r>
              <w:t>1.</w:t>
            </w:r>
          </w:p>
        </w:tc>
        <w:tc>
          <w:tcPr>
            <w:tcW w:w="5245" w:type="dxa"/>
            <w:tcBorders>
              <w:top w:val="single" w:sz="4" w:space="0" w:color="auto"/>
            </w:tcBorders>
          </w:tcPr>
          <w:p>
            <w:pPr>
              <w:pStyle w:val="yTableNAm"/>
              <w:tabs>
                <w:tab w:val="right" w:leader="dot" w:pos="5160"/>
              </w:tabs>
            </w:pPr>
            <w:r>
              <w:t>Non</w:t>
            </w:r>
            <w:r>
              <w:noBreakHyphen/>
              <w:t xml:space="preserve">refundable account establishment fee payable on the establishment or transfer of an account </w:t>
            </w:r>
            <w:r>
              <w:tab/>
            </w:r>
          </w:p>
        </w:tc>
        <w:tc>
          <w:tcPr>
            <w:tcW w:w="1276" w:type="dxa"/>
            <w:tcBorders>
              <w:top w:val="single" w:sz="4" w:space="0" w:color="auto"/>
            </w:tcBorders>
          </w:tcPr>
          <w:p>
            <w:pPr>
              <w:pStyle w:val="yTableNAm"/>
            </w:pPr>
            <w:r>
              <w:rPr>
                <w:bCs/>
                <w:iCs/>
              </w:rPr>
              <w:br/>
              <w:t>$34.75</w:t>
            </w:r>
          </w:p>
        </w:tc>
      </w:tr>
      <w:tr>
        <w:trPr>
          <w:cantSplit/>
        </w:trPr>
        <w:tc>
          <w:tcPr>
            <w:tcW w:w="567" w:type="dxa"/>
          </w:tcPr>
          <w:p>
            <w:pPr>
              <w:pStyle w:val="yTableNAm"/>
            </w:pPr>
            <w:r>
              <w:t>2.</w:t>
            </w:r>
          </w:p>
        </w:tc>
        <w:tc>
          <w:tcPr>
            <w:tcW w:w="5245" w:type="dxa"/>
          </w:tcPr>
          <w:p>
            <w:pPr>
              <w:pStyle w:val="yTableNAm"/>
            </w:pPr>
            <w:r>
              <w:t>Three phase residential installation — </w:t>
            </w:r>
          </w:p>
          <w:p>
            <w:pPr>
              <w:pStyle w:val="yTableNAm"/>
              <w:tabs>
                <w:tab w:val="clear" w:pos="567"/>
                <w:tab w:val="left" w:pos="252"/>
                <w:tab w:val="left" w:pos="766"/>
                <w:tab w:val="right" w:leader="dot" w:pos="5160"/>
              </w:tabs>
              <w:ind w:left="766" w:hanging="766"/>
            </w:pPr>
            <w:r>
              <w:tab/>
              <w:t>(a)</w:t>
            </w:r>
            <w:r>
              <w:tab/>
              <w:t xml:space="preserve">new installation of three phase meter or replacement of single phase meter with three phase meter </w:t>
            </w:r>
            <w:r>
              <w:tab/>
            </w:r>
          </w:p>
          <w:p>
            <w:pPr>
              <w:pStyle w:val="yTableNAm"/>
              <w:tabs>
                <w:tab w:val="clear" w:pos="567"/>
                <w:tab w:val="left" w:pos="252"/>
                <w:tab w:val="left" w:pos="766"/>
                <w:tab w:val="right" w:leader="dot" w:pos="5160"/>
              </w:tabs>
              <w:ind w:left="766" w:hanging="766"/>
              <w:rPr>
                <w:b/>
                <w:iCs/>
              </w:rPr>
            </w:pPr>
            <w:r>
              <w:tab/>
              <w:t>(b)</w:t>
            </w:r>
            <w:r>
              <w:tab/>
              <w:t xml:space="preserve">installation of subsidiary three phase meter (each installation) </w:t>
            </w:r>
            <w:r>
              <w:tab/>
            </w:r>
          </w:p>
        </w:tc>
        <w:tc>
          <w:tcPr>
            <w:tcW w:w="1276" w:type="dxa"/>
          </w:tcPr>
          <w:p>
            <w:pPr>
              <w:pStyle w:val="yTableNAm"/>
            </w:pPr>
          </w:p>
          <w:p>
            <w:pPr>
              <w:pStyle w:val="yTableNAm"/>
            </w:pPr>
            <w:r>
              <w:br/>
            </w:r>
            <w:r>
              <w:br/>
              <w:t>$595.00</w:t>
            </w:r>
          </w:p>
          <w:p>
            <w:pPr>
              <w:pStyle w:val="yTableNAm"/>
            </w:pPr>
            <w:r>
              <w:rPr>
                <w:sz w:val="24"/>
              </w:rPr>
              <w:br/>
            </w:r>
            <w:r>
              <w:t>$149.99</w:t>
            </w:r>
          </w:p>
        </w:tc>
      </w:tr>
      <w:tr>
        <w:trPr>
          <w:cantSplit/>
        </w:trPr>
        <w:tc>
          <w:tcPr>
            <w:tcW w:w="567" w:type="dxa"/>
          </w:tcPr>
          <w:p>
            <w:pPr>
              <w:pStyle w:val="yTableNAm"/>
            </w:pPr>
            <w:r>
              <w:t>3.</w:t>
            </w:r>
          </w:p>
        </w:tc>
        <w:tc>
          <w:tcPr>
            <w:tcW w:w="5245" w:type="dxa"/>
          </w:tcPr>
          <w:p>
            <w:pPr>
              <w:pStyle w:val="yTableNAm"/>
              <w:tabs>
                <w:tab w:val="right" w:leader="dot" w:pos="5160"/>
              </w:tabs>
            </w:pPr>
            <w:r>
              <w:t>Non</w:t>
            </w:r>
            <w:r>
              <w:noBreakHyphen/>
              <w:t>refundable reconnection fee where supply has been terminated for non</w:t>
            </w:r>
            <w:r>
              <w:noBreakHyphen/>
              <w:t xml:space="preserve">payment of charges or for any other lawful reason </w:t>
            </w:r>
            <w:r>
              <w:tab/>
            </w:r>
          </w:p>
        </w:tc>
        <w:tc>
          <w:tcPr>
            <w:tcW w:w="1276" w:type="dxa"/>
          </w:tcPr>
          <w:p>
            <w:pPr>
              <w:pStyle w:val="yTableNAm"/>
            </w:pPr>
            <w:r>
              <w:rPr>
                <w:bCs/>
                <w:iCs/>
              </w:rPr>
              <w:br/>
            </w:r>
            <w:r>
              <w:rPr>
                <w:bCs/>
                <w:iCs/>
              </w:rPr>
              <w:br/>
              <w:t>$31.41</w:t>
            </w:r>
          </w:p>
        </w:tc>
      </w:tr>
      <w:tr>
        <w:trPr>
          <w:cantSplit/>
        </w:trPr>
        <w:tc>
          <w:tcPr>
            <w:tcW w:w="567" w:type="dxa"/>
          </w:tcPr>
          <w:p>
            <w:pPr>
              <w:pStyle w:val="yTableNAm"/>
            </w:pPr>
            <w:r>
              <w:t>4.</w:t>
            </w:r>
          </w:p>
        </w:tc>
        <w:tc>
          <w:tcPr>
            <w:tcW w:w="5245" w:type="dxa"/>
          </w:tcPr>
          <w:p>
            <w:pPr>
              <w:pStyle w:val="yTableNAm"/>
            </w:pPr>
            <w:r>
              <w:t>Temporary supply connection — </w:t>
            </w:r>
          </w:p>
          <w:p>
            <w:pPr>
              <w:pStyle w:val="yTableNAm"/>
              <w:tabs>
                <w:tab w:val="clear" w:pos="567"/>
                <w:tab w:val="left" w:pos="252"/>
                <w:tab w:val="left" w:pos="766"/>
                <w:tab w:val="right" w:leader="dot" w:pos="5160"/>
              </w:tabs>
              <w:ind w:left="766" w:hanging="766"/>
            </w:pPr>
            <w:r>
              <w:tab/>
              <w:t>(a)</w:t>
            </w:r>
            <w:r>
              <w:tab/>
              <w:t xml:space="preserve">single phase (overhead) </w:t>
            </w:r>
            <w:r>
              <w:tab/>
            </w:r>
          </w:p>
          <w:p>
            <w:pPr>
              <w:pStyle w:val="yTableNAm"/>
              <w:tabs>
                <w:tab w:val="clear" w:pos="567"/>
                <w:tab w:val="left" w:pos="252"/>
                <w:tab w:val="left" w:pos="766"/>
                <w:tab w:val="right" w:leader="dot" w:pos="5160"/>
              </w:tabs>
              <w:ind w:left="766" w:hanging="766"/>
              <w:rPr>
                <w:b/>
                <w:iCs/>
              </w:rPr>
            </w:pPr>
            <w:r>
              <w:tab/>
              <w:t>(b)</w:t>
            </w:r>
            <w:r>
              <w:tab/>
              <w:t xml:space="preserve">three phase (overhead) </w:t>
            </w:r>
            <w:r>
              <w:tab/>
            </w:r>
          </w:p>
        </w:tc>
        <w:tc>
          <w:tcPr>
            <w:tcW w:w="1276" w:type="dxa"/>
          </w:tcPr>
          <w:p>
            <w:pPr>
              <w:pStyle w:val="yTableNAm"/>
            </w:pPr>
          </w:p>
          <w:p>
            <w:pPr>
              <w:pStyle w:val="yTableNAm"/>
            </w:pPr>
            <w:r>
              <w:t>$1 084.00</w:t>
            </w:r>
          </w:p>
          <w:p>
            <w:pPr>
              <w:pStyle w:val="yTableNAm"/>
            </w:pPr>
            <w:r>
              <w:t>$1 084.00</w:t>
            </w:r>
          </w:p>
        </w:tc>
      </w:tr>
      <w:tr>
        <w:trPr>
          <w:cantSplit/>
        </w:trPr>
        <w:tc>
          <w:tcPr>
            <w:tcW w:w="567" w:type="dxa"/>
          </w:tcPr>
          <w:p>
            <w:pPr>
              <w:pStyle w:val="yTableNAm"/>
            </w:pPr>
            <w:r>
              <w:t>5.</w:t>
            </w:r>
          </w:p>
        </w:tc>
        <w:tc>
          <w:tcPr>
            <w:tcW w:w="5245" w:type="dxa"/>
          </w:tcPr>
          <w:p>
            <w:pPr>
              <w:pStyle w:val="yTableNAm"/>
            </w:pPr>
            <w:r>
              <w:t>Meter testing — </w:t>
            </w:r>
          </w:p>
          <w:p>
            <w:pPr>
              <w:pStyle w:val="yTableNAm"/>
              <w:tabs>
                <w:tab w:val="clear" w:pos="567"/>
                <w:tab w:val="left" w:pos="252"/>
                <w:tab w:val="left" w:pos="766"/>
                <w:tab w:val="right" w:leader="dot" w:pos="5160"/>
              </w:tabs>
              <w:ind w:left="766" w:hanging="766"/>
            </w:pPr>
            <w:r>
              <w:tab/>
              <w:t>(a)</w:t>
            </w:r>
            <w:r>
              <w:tab/>
              <w:t xml:space="preserve">standard meter testing fee </w:t>
            </w:r>
            <w:r>
              <w:tab/>
            </w:r>
          </w:p>
          <w:p>
            <w:pPr>
              <w:pStyle w:val="yTableNAm"/>
              <w:tabs>
                <w:tab w:val="clear" w:pos="567"/>
                <w:tab w:val="left" w:pos="252"/>
                <w:tab w:val="left" w:pos="766"/>
                <w:tab w:val="right" w:leader="dot" w:pos="5160"/>
              </w:tabs>
              <w:ind w:left="766" w:hanging="766"/>
            </w:pPr>
            <w:r>
              <w:tab/>
              <w:t>(b)</w:t>
            </w:r>
            <w:r>
              <w:tab/>
              <w:t xml:space="preserve">reduced meter testing fee </w:t>
            </w:r>
            <w:r>
              <w:tab/>
            </w:r>
          </w:p>
        </w:tc>
        <w:tc>
          <w:tcPr>
            <w:tcW w:w="1276" w:type="dxa"/>
          </w:tcPr>
          <w:p>
            <w:pPr>
              <w:pStyle w:val="yTableNAm"/>
            </w:pPr>
          </w:p>
          <w:p>
            <w:pPr>
              <w:pStyle w:val="yTableNAm"/>
            </w:pPr>
            <w:r>
              <w:t>$240.00</w:t>
            </w:r>
          </w:p>
          <w:p>
            <w:pPr>
              <w:pStyle w:val="yTableNAm"/>
            </w:pPr>
            <w:r>
              <w:t>$143.00</w:t>
            </w:r>
          </w:p>
        </w:tc>
      </w:tr>
      <w:tr>
        <w:trPr>
          <w:cantSplit/>
        </w:trPr>
        <w:tc>
          <w:tcPr>
            <w:tcW w:w="567" w:type="dxa"/>
          </w:tcPr>
          <w:p>
            <w:pPr>
              <w:pStyle w:val="yTableNAm"/>
            </w:pPr>
            <w:r>
              <w:t>6.</w:t>
            </w:r>
          </w:p>
        </w:tc>
        <w:tc>
          <w:tcPr>
            <w:tcW w:w="5245" w:type="dxa"/>
          </w:tcPr>
          <w:p>
            <w:pPr>
              <w:pStyle w:val="yTableNAm"/>
              <w:tabs>
                <w:tab w:val="right" w:leader="dot" w:pos="5160"/>
              </w:tabs>
            </w:pPr>
            <w:r>
              <w:t xml:space="preserve">Disconnection of overhead service leads following unauthorised reconnection </w:t>
            </w:r>
            <w:r>
              <w:tab/>
            </w:r>
          </w:p>
        </w:tc>
        <w:tc>
          <w:tcPr>
            <w:tcW w:w="1276" w:type="dxa"/>
          </w:tcPr>
          <w:p>
            <w:pPr>
              <w:pStyle w:val="yTableNAm"/>
            </w:pPr>
            <w:r>
              <w:rPr>
                <w:bCs/>
                <w:iCs/>
              </w:rPr>
              <w:br/>
            </w:r>
            <w:r>
              <w:t>$781.00</w:t>
            </w:r>
          </w:p>
        </w:tc>
      </w:tr>
      <w:tr>
        <w:trPr>
          <w:cantSplit/>
        </w:trPr>
        <w:tc>
          <w:tcPr>
            <w:tcW w:w="567" w:type="dxa"/>
          </w:tcPr>
          <w:p>
            <w:pPr>
              <w:pStyle w:val="yTableNAm"/>
            </w:pPr>
            <w:r>
              <w:t>7.</w:t>
            </w:r>
          </w:p>
        </w:tc>
        <w:tc>
          <w:tcPr>
            <w:tcW w:w="5245" w:type="dxa"/>
          </w:tcPr>
          <w:p>
            <w:pPr>
              <w:pStyle w:val="yTableNAm"/>
              <w:tabs>
                <w:tab w:val="right" w:leader="dot" w:pos="5160"/>
              </w:tabs>
            </w:pPr>
            <w:r>
              <w:t xml:space="preserve">Meter reading where reading requested by consumer </w:t>
            </w:r>
            <w:r>
              <w:tab/>
            </w:r>
          </w:p>
        </w:tc>
        <w:tc>
          <w:tcPr>
            <w:tcW w:w="1276" w:type="dxa"/>
          </w:tcPr>
          <w:p>
            <w:pPr>
              <w:pStyle w:val="yTableNAm"/>
            </w:pPr>
            <w:r>
              <w:t>$23.00</w:t>
            </w:r>
          </w:p>
        </w:tc>
      </w:tr>
      <w:tr>
        <w:trPr>
          <w:cantSplit/>
        </w:trPr>
        <w:tc>
          <w:tcPr>
            <w:tcW w:w="567" w:type="dxa"/>
          </w:tcPr>
          <w:p>
            <w:pPr>
              <w:pStyle w:val="yTableNAm"/>
            </w:pPr>
            <w:r>
              <w:t>8.</w:t>
            </w:r>
          </w:p>
        </w:tc>
        <w:tc>
          <w:tcPr>
            <w:tcW w:w="5245" w:type="dxa"/>
          </w:tcPr>
          <w:p>
            <w:pPr>
              <w:pStyle w:val="yTableNAm"/>
              <w:tabs>
                <w:tab w:val="right" w:leader="dot" w:pos="5160"/>
              </w:tabs>
            </w:pPr>
            <w:r>
              <w:t xml:space="preserve">Overdue account notices </w:t>
            </w:r>
            <w:r>
              <w:tab/>
            </w:r>
          </w:p>
        </w:tc>
        <w:tc>
          <w:tcPr>
            <w:tcW w:w="1276" w:type="dxa"/>
          </w:tcPr>
          <w:p>
            <w:pPr>
              <w:pStyle w:val="yTableNAm"/>
            </w:pPr>
            <w:r>
              <w:rPr>
                <w:szCs w:val="22"/>
              </w:rPr>
              <w:t>$5.50</w:t>
            </w:r>
          </w:p>
        </w:tc>
      </w:tr>
      <w:tr>
        <w:trPr>
          <w:cantSplit/>
        </w:trPr>
        <w:tc>
          <w:tcPr>
            <w:tcW w:w="567" w:type="dxa"/>
          </w:tcPr>
          <w:p>
            <w:pPr>
              <w:pStyle w:val="yTableNAm"/>
            </w:pPr>
            <w:r>
              <w:t>9.</w:t>
            </w:r>
          </w:p>
        </w:tc>
        <w:tc>
          <w:tcPr>
            <w:tcW w:w="5245" w:type="dxa"/>
          </w:tcPr>
          <w:p>
            <w:pPr>
              <w:pStyle w:val="yTableNAm"/>
              <w:tabs>
                <w:tab w:val="right" w:leader="dot" w:pos="5160"/>
              </w:tabs>
            </w:pPr>
            <w:r>
              <w:t xml:space="preserve">Rejected account payment (where payment made through Australia Post) </w:t>
            </w:r>
            <w:r>
              <w:tab/>
            </w:r>
          </w:p>
        </w:tc>
        <w:tc>
          <w:tcPr>
            <w:tcW w:w="1276" w:type="dxa"/>
          </w:tcPr>
          <w:p>
            <w:pPr>
              <w:pStyle w:val="yTableNAm"/>
            </w:pPr>
            <w:r>
              <w:rPr>
                <w:bCs/>
                <w:iCs/>
              </w:rPr>
              <w:br/>
            </w:r>
            <w:r>
              <w:t>$24.44</w:t>
            </w:r>
          </w:p>
        </w:tc>
      </w:tr>
      <w:tr>
        <w:trPr>
          <w:cantSplit/>
        </w:trPr>
        <w:tc>
          <w:tcPr>
            <w:tcW w:w="567" w:type="dxa"/>
          </w:tcPr>
          <w:p>
            <w:pPr>
              <w:pStyle w:val="yTableNAm"/>
            </w:pPr>
            <w:r>
              <w:t>10.</w:t>
            </w:r>
          </w:p>
        </w:tc>
        <w:tc>
          <w:tcPr>
            <w:tcW w:w="5245" w:type="dxa"/>
          </w:tcPr>
          <w:p>
            <w:pPr>
              <w:pStyle w:val="yTableNAm"/>
            </w:pPr>
            <w:r>
              <w:t>A transaction fee where a consumer makes a payment to the corporation by means of one of the following — </w:t>
            </w:r>
          </w:p>
        </w:tc>
        <w:tc>
          <w:tcPr>
            <w:tcW w:w="1276" w:type="dxa"/>
          </w:tcPr>
          <w:p>
            <w:pPr>
              <w:pStyle w:val="yTableNAm"/>
            </w:pPr>
          </w:p>
        </w:tc>
      </w:tr>
      <w:tr>
        <w:trPr>
          <w:cantSplit/>
        </w:trPr>
        <w:tc>
          <w:tcPr>
            <w:tcW w:w="567" w:type="dxa"/>
          </w:tcPr>
          <w:p>
            <w:pPr>
              <w:pStyle w:val="zyTableNAm"/>
            </w:pPr>
          </w:p>
        </w:tc>
        <w:tc>
          <w:tcPr>
            <w:tcW w:w="5245" w:type="dxa"/>
          </w:tcPr>
          <w:p>
            <w:pPr>
              <w:pStyle w:val="yTableNAm"/>
              <w:tabs>
                <w:tab w:val="clear" w:pos="567"/>
                <w:tab w:val="left" w:pos="252"/>
                <w:tab w:val="left" w:pos="766"/>
                <w:tab w:val="right" w:leader="dot" w:pos="5160"/>
              </w:tabs>
              <w:ind w:left="766" w:hanging="766"/>
            </w:pPr>
            <w:r>
              <w:tab/>
              <w:t>(a)</w:t>
            </w:r>
            <w:r>
              <w:tab/>
              <w:t xml:space="preserve">a Visa or a MasterCard credit card or debit card </w:t>
            </w:r>
            <w:r>
              <w:tab/>
            </w:r>
          </w:p>
        </w:tc>
        <w:tc>
          <w:tcPr>
            <w:tcW w:w="1276" w:type="dxa"/>
          </w:tcPr>
          <w:p>
            <w:pPr>
              <w:pStyle w:val="yTableNAm"/>
            </w:pPr>
            <w:r>
              <w:t>0.47% of the amount of the charge</w:t>
            </w:r>
          </w:p>
        </w:tc>
      </w:tr>
      <w:tr>
        <w:trPr>
          <w:cantSplit/>
        </w:trPr>
        <w:tc>
          <w:tcPr>
            <w:tcW w:w="567" w:type="dxa"/>
          </w:tcPr>
          <w:p>
            <w:pPr>
              <w:pStyle w:val="zyTableNAm"/>
              <w:spacing w:after="80"/>
            </w:pPr>
          </w:p>
        </w:tc>
        <w:tc>
          <w:tcPr>
            <w:tcW w:w="5245" w:type="dxa"/>
          </w:tcPr>
          <w:p>
            <w:pPr>
              <w:pStyle w:val="yTableNAm"/>
              <w:tabs>
                <w:tab w:val="clear" w:pos="567"/>
                <w:tab w:val="left" w:pos="252"/>
                <w:tab w:val="left" w:pos="766"/>
                <w:tab w:val="right" w:leader="dot" w:pos="5160"/>
              </w:tabs>
              <w:ind w:left="766" w:hanging="766"/>
            </w:pPr>
            <w:r>
              <w:tab/>
              <w:t>(b)</w:t>
            </w:r>
            <w:r>
              <w:tab/>
              <w:t xml:space="preserve">an American Express credit card </w:t>
            </w:r>
            <w:r>
              <w:tab/>
            </w:r>
          </w:p>
        </w:tc>
        <w:tc>
          <w:tcPr>
            <w:tcW w:w="1276" w:type="dxa"/>
          </w:tcPr>
          <w:p>
            <w:pPr>
              <w:pStyle w:val="yTableNAm"/>
            </w:pPr>
            <w:r>
              <w:t>0.84% of the amount of the charge</w:t>
            </w:r>
          </w:p>
        </w:tc>
      </w:tr>
      <w:tr>
        <w:trPr>
          <w:cantSplit/>
        </w:trPr>
        <w:tc>
          <w:tcPr>
            <w:tcW w:w="567" w:type="dxa"/>
          </w:tcPr>
          <w:p>
            <w:pPr>
              <w:pStyle w:val="yTableNAm"/>
            </w:pPr>
            <w:r>
              <w:t>11.</w:t>
            </w:r>
          </w:p>
        </w:tc>
        <w:tc>
          <w:tcPr>
            <w:tcW w:w="5245" w:type="dxa"/>
          </w:tcPr>
          <w:p>
            <w:pPr>
              <w:pStyle w:val="yTableNAm"/>
              <w:tabs>
                <w:tab w:val="right" w:leader="dot" w:pos="5160"/>
              </w:tabs>
            </w:pPr>
            <w:r>
              <w:t xml:space="preserve">Remote configurations </w:t>
            </w:r>
            <w:r>
              <w:tab/>
            </w:r>
          </w:p>
        </w:tc>
        <w:tc>
          <w:tcPr>
            <w:tcW w:w="1276" w:type="dxa"/>
          </w:tcPr>
          <w:p>
            <w:pPr>
              <w:pStyle w:val="yTableNAm"/>
            </w:pPr>
            <w:r>
              <w:t>$25.40</w:t>
            </w:r>
          </w:p>
        </w:tc>
      </w:tr>
      <w:tr>
        <w:trPr>
          <w:cantSplit/>
        </w:trPr>
        <w:tc>
          <w:tcPr>
            <w:tcW w:w="567" w:type="dxa"/>
          </w:tcPr>
          <w:p>
            <w:pPr>
              <w:pStyle w:val="yTableNAm"/>
            </w:pPr>
            <w:r>
              <w:t>12.</w:t>
            </w:r>
          </w:p>
        </w:tc>
        <w:tc>
          <w:tcPr>
            <w:tcW w:w="5245" w:type="dxa"/>
          </w:tcPr>
          <w:p>
            <w:pPr>
              <w:pStyle w:val="yTableNAm"/>
              <w:tabs>
                <w:tab w:val="right" w:leader="dot" w:pos="5160"/>
              </w:tabs>
            </w:pPr>
            <w:r>
              <w:t xml:space="preserve">Meter damage fee </w:t>
            </w:r>
            <w:r>
              <w:tab/>
            </w:r>
          </w:p>
        </w:tc>
        <w:tc>
          <w:tcPr>
            <w:tcW w:w="1276" w:type="dxa"/>
          </w:tcPr>
          <w:p>
            <w:pPr>
              <w:pStyle w:val="yTableNAm"/>
            </w:pPr>
            <w:r>
              <w:t>$984.00</w:t>
            </w:r>
          </w:p>
        </w:tc>
      </w:tr>
      <w:tr>
        <w:trPr>
          <w:cantSplit/>
        </w:trPr>
        <w:tc>
          <w:tcPr>
            <w:tcW w:w="567" w:type="dxa"/>
            <w:tcBorders>
              <w:bottom w:val="single" w:sz="4" w:space="0" w:color="auto"/>
            </w:tcBorders>
          </w:tcPr>
          <w:p>
            <w:pPr>
              <w:pStyle w:val="yTableNAm"/>
            </w:pPr>
            <w:r>
              <w:t>13.</w:t>
            </w:r>
          </w:p>
        </w:tc>
        <w:tc>
          <w:tcPr>
            <w:tcW w:w="5245" w:type="dxa"/>
            <w:tcBorders>
              <w:bottom w:val="single" w:sz="4" w:space="0" w:color="auto"/>
            </w:tcBorders>
          </w:tcPr>
          <w:p>
            <w:pPr>
              <w:pStyle w:val="yTableNAm"/>
              <w:tabs>
                <w:tab w:val="right" w:leader="dot" w:pos="5160"/>
              </w:tabs>
            </w:pPr>
            <w:r>
              <w:t xml:space="preserve">Remote connection or disconnection </w:t>
            </w:r>
            <w:r>
              <w:tab/>
            </w:r>
          </w:p>
        </w:tc>
        <w:tc>
          <w:tcPr>
            <w:tcW w:w="1276" w:type="dxa"/>
            <w:tcBorders>
              <w:bottom w:val="single" w:sz="4" w:space="0" w:color="auto"/>
            </w:tcBorders>
          </w:tcPr>
          <w:p>
            <w:pPr>
              <w:pStyle w:val="yTableNAm"/>
            </w:pPr>
            <w:r>
              <w:t>$6.10</w:t>
            </w:r>
          </w:p>
        </w:tc>
      </w:tr>
    </w:tbl>
    <w:p>
      <w:pPr>
        <w:pStyle w:val="yFootnotesection"/>
      </w:pPr>
      <w:r>
        <w:tab/>
        <w:t>[Schedule 4 inserted in Gazette 30 Jun 2017 p. 3563</w:t>
      </w:r>
      <w:r>
        <w:noBreakHyphen/>
        <w:t>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endnotePr>
            <w:numFmt w:val="decimal"/>
          </w:endnotePr>
          <w:pgSz w:w="11907" w:h="16840" w:code="9"/>
          <w:pgMar w:top="2376" w:right="2405" w:bottom="3542" w:left="2405" w:header="706" w:footer="3380" w:gutter="0"/>
          <w:cols w:space="720"/>
          <w:noEndnote/>
          <w:docGrid w:linePitch="326"/>
        </w:sectPr>
      </w:pPr>
    </w:p>
    <w:p>
      <w:pPr>
        <w:pStyle w:val="nHeading2"/>
      </w:pPr>
      <w:bookmarkStart w:id="47" w:name="_Toc501633167"/>
      <w:bookmarkStart w:id="48" w:name="_Toc501633220"/>
      <w:bookmarkStart w:id="49" w:name="_Toc502736820"/>
      <w:r>
        <w:t>Notes</w:t>
      </w:r>
      <w:bookmarkEnd w:id="47"/>
      <w:bookmarkEnd w:id="48"/>
      <w:bookmarkEnd w:id="49"/>
    </w:p>
    <w:p>
      <w:pPr>
        <w:pStyle w:val="nSubsection"/>
        <w:rPr>
          <w:snapToGrid w:val="0"/>
        </w:rPr>
      </w:pPr>
      <w:r>
        <w:rPr>
          <w:snapToGrid w:val="0"/>
          <w:vertAlign w:val="superscript"/>
        </w:rPr>
        <w:t>1</w:t>
      </w:r>
      <w:r>
        <w:rPr>
          <w:snapToGrid w:val="0"/>
        </w:rPr>
        <w:tab/>
        <w:t xml:space="preserve">This is a compilation of the </w:t>
      </w:r>
      <w:r>
        <w:rPr>
          <w:i/>
          <w:noProof/>
          <w:snapToGrid w:val="0"/>
        </w:rPr>
        <w:t>Energy Operators (Regional Power Corporation) (Charges) By-laws 2006</w:t>
      </w:r>
      <w:r>
        <w:rPr>
          <w:snapToGrid w:val="0"/>
        </w:rPr>
        <w:t xml:space="preserve"> and includes the amendments made by the other written laws referred to in the following table.  The table also contains information about any reprint.</w:t>
      </w:r>
    </w:p>
    <w:p>
      <w:pPr>
        <w:pStyle w:val="nHeading3"/>
      </w:pPr>
      <w:bookmarkStart w:id="50" w:name="_Toc502736821"/>
      <w:r>
        <w:t>Compilation table</w:t>
      </w:r>
      <w:bookmarkEnd w:id="50"/>
    </w:p>
    <w:tbl>
      <w:tblPr>
        <w:tblW w:w="0" w:type="auto"/>
        <w:tblInd w:w="56" w:type="dxa"/>
        <w:tblLayout w:type="fixed"/>
        <w:tblCellMar>
          <w:left w:w="56" w:type="dxa"/>
          <w:right w:w="56" w:type="dxa"/>
        </w:tblCellMar>
        <w:tblLook w:val="0000" w:firstRow="0" w:lastRow="0" w:firstColumn="0" w:lastColumn="0" w:noHBand="0" w:noVBand="0"/>
      </w:tblPr>
      <w:tblGrid>
        <w:gridCol w:w="3119"/>
        <w:gridCol w:w="1276"/>
        <w:gridCol w:w="2694"/>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Pr>
          <w:p>
            <w:pPr>
              <w:pStyle w:val="nTable"/>
              <w:spacing w:after="40"/>
              <w:rPr>
                <w:i/>
              </w:rPr>
            </w:pPr>
            <w:r>
              <w:rPr>
                <w:i/>
                <w:noProof/>
                <w:snapToGrid w:val="0"/>
              </w:rPr>
              <w:t>Energy Operators (Regional Power Corporation) (Charges) By</w:t>
            </w:r>
            <w:r>
              <w:rPr>
                <w:i/>
                <w:noProof/>
                <w:snapToGrid w:val="0"/>
              </w:rPr>
              <w:noBreakHyphen/>
              <w:t>laws 2006</w:t>
            </w:r>
          </w:p>
        </w:tc>
        <w:tc>
          <w:tcPr>
            <w:tcW w:w="1276" w:type="dxa"/>
          </w:tcPr>
          <w:p>
            <w:pPr>
              <w:pStyle w:val="nTable"/>
              <w:spacing w:after="40"/>
            </w:pPr>
            <w:r>
              <w:t>31 Mar 2006 p. 1279</w:t>
            </w:r>
            <w:r>
              <w:noBreakHyphen/>
              <w:t>97</w:t>
            </w:r>
          </w:p>
        </w:tc>
        <w:tc>
          <w:tcPr>
            <w:tcW w:w="2694" w:type="dxa"/>
          </w:tcPr>
          <w:p>
            <w:pPr>
              <w:pStyle w:val="nTable"/>
              <w:spacing w:after="40"/>
            </w:pPr>
            <w:r>
              <w:t>1 Apr 2006 (see bl. 2)</w:t>
            </w:r>
          </w:p>
        </w:tc>
      </w:tr>
      <w:tr>
        <w:tc>
          <w:tcPr>
            <w:tcW w:w="3119" w:type="dxa"/>
          </w:tcPr>
          <w:p>
            <w:pPr>
              <w:pStyle w:val="nTable"/>
              <w:spacing w:after="40"/>
              <w:rPr>
                <w:i/>
                <w:noProof/>
                <w:snapToGrid w:val="0"/>
              </w:rPr>
            </w:pPr>
            <w:r>
              <w:rPr>
                <w:i/>
                <w:noProof/>
                <w:snapToGrid w:val="0"/>
              </w:rPr>
              <w:t>Energy Operators (Regional Power Corporation) (Charges) Amendment By</w:t>
            </w:r>
            <w:r>
              <w:rPr>
                <w:i/>
                <w:noProof/>
                <w:snapToGrid w:val="0"/>
              </w:rPr>
              <w:noBreakHyphen/>
              <w:t>laws 2007</w:t>
            </w:r>
          </w:p>
        </w:tc>
        <w:tc>
          <w:tcPr>
            <w:tcW w:w="1276" w:type="dxa"/>
          </w:tcPr>
          <w:p>
            <w:pPr>
              <w:pStyle w:val="nTable"/>
              <w:spacing w:after="40"/>
            </w:pPr>
            <w:r>
              <w:t>29 Jun 2007 p. 3192</w:t>
            </w:r>
            <w:r>
              <w:noBreakHyphen/>
              <w:t>3</w:t>
            </w:r>
          </w:p>
        </w:tc>
        <w:tc>
          <w:tcPr>
            <w:tcW w:w="2694" w:type="dxa"/>
          </w:tcPr>
          <w:p>
            <w:pPr>
              <w:pStyle w:val="nTable"/>
              <w:spacing w:after="40"/>
            </w:pPr>
            <w:r>
              <w:t>bl. 1 and 2: 29 Jun 2007 (see bl. 2(a));</w:t>
            </w:r>
            <w:r>
              <w:br/>
              <w:t>By</w:t>
            </w:r>
            <w:r>
              <w:noBreakHyphen/>
              <w:t>laws other than bl. 1 and 2: 1 Jul 2007 (see bl. 2(b))</w:t>
            </w:r>
          </w:p>
        </w:tc>
      </w:tr>
      <w:tr>
        <w:tc>
          <w:tcPr>
            <w:tcW w:w="3119" w:type="dxa"/>
          </w:tcPr>
          <w:p>
            <w:pPr>
              <w:pStyle w:val="nTable"/>
              <w:spacing w:after="40"/>
              <w:rPr>
                <w:iCs/>
              </w:rPr>
            </w:pPr>
            <w:r>
              <w:rPr>
                <w:i/>
                <w:noProof/>
                <w:snapToGrid w:val="0"/>
              </w:rPr>
              <w:t>Energy Operators (Regional Power Corporation) (Charges) Amendment By</w:t>
            </w:r>
            <w:r>
              <w:rPr>
                <w:i/>
                <w:noProof/>
                <w:snapToGrid w:val="0"/>
              </w:rPr>
              <w:noBreakHyphen/>
              <w:t>laws 2009</w:t>
            </w:r>
            <w:r>
              <w:rPr>
                <w:iCs/>
                <w:noProof/>
                <w:snapToGrid w:val="0"/>
              </w:rPr>
              <w:t xml:space="preserve"> </w:t>
            </w:r>
          </w:p>
        </w:tc>
        <w:tc>
          <w:tcPr>
            <w:tcW w:w="1276" w:type="dxa"/>
          </w:tcPr>
          <w:p>
            <w:pPr>
              <w:pStyle w:val="nTable"/>
              <w:spacing w:after="40"/>
            </w:pPr>
            <w:r>
              <w:t>30 </w:t>
            </w:r>
            <w:r>
              <w:rPr>
                <w:noProof/>
                <w:snapToGrid w:val="0"/>
              </w:rPr>
              <w:t>Mar</w:t>
            </w:r>
            <w:r>
              <w:t> 2009 p. 997</w:t>
            </w:r>
            <w:r>
              <w:noBreakHyphen/>
              <w:t>1017</w:t>
            </w:r>
          </w:p>
        </w:tc>
        <w:tc>
          <w:tcPr>
            <w:tcW w:w="2694" w:type="dxa"/>
          </w:tcPr>
          <w:p>
            <w:pPr>
              <w:pStyle w:val="nTable"/>
              <w:spacing w:after="40"/>
            </w:pPr>
            <w:r>
              <w:rPr>
                <w:iCs/>
                <w:noProof/>
                <w:snapToGrid w:val="0"/>
              </w:rPr>
              <w:t>bl. </w:t>
            </w:r>
            <w:r>
              <w:t>1 and 2: 30 Mar 2009 (see bl. 2(a));</w:t>
            </w:r>
            <w:r>
              <w:br/>
              <w:t>bl. 3 and Pt. 2: 1 Apr 2009 (see bl. 2(b));</w:t>
            </w:r>
            <w:r>
              <w:br/>
              <w:t>Pt. 3: 1 Jul 2009 (see bl. 2(c))</w:t>
            </w:r>
          </w:p>
        </w:tc>
      </w:tr>
      <w:tr>
        <w:trPr>
          <w:cantSplit/>
        </w:trPr>
        <w:tc>
          <w:tcPr>
            <w:tcW w:w="7089" w:type="dxa"/>
            <w:gridSpan w:val="3"/>
          </w:tcPr>
          <w:p>
            <w:pPr>
              <w:pStyle w:val="nTable"/>
              <w:spacing w:after="40"/>
              <w:rPr>
                <w:iCs/>
                <w:noProof/>
                <w:snapToGrid w:val="0"/>
              </w:rPr>
            </w:pPr>
            <w:r>
              <w:rPr>
                <w:b/>
                <w:bCs/>
                <w:iCs/>
                <w:noProof/>
                <w:snapToGrid w:val="0"/>
              </w:rPr>
              <w:t xml:space="preserve">Reprint 1: The </w:t>
            </w:r>
            <w:r>
              <w:rPr>
                <w:b/>
                <w:bCs/>
                <w:i/>
                <w:noProof/>
                <w:snapToGrid w:val="0"/>
              </w:rPr>
              <w:t>Energy Operators (Regional Power Corporation) (Charges) By</w:t>
            </w:r>
            <w:r>
              <w:rPr>
                <w:b/>
                <w:bCs/>
                <w:i/>
                <w:noProof/>
                <w:snapToGrid w:val="0"/>
              </w:rPr>
              <w:noBreakHyphen/>
              <w:t xml:space="preserve">laws 2006 </w:t>
            </w:r>
            <w:r>
              <w:rPr>
                <w:b/>
                <w:bCs/>
                <w:iCs/>
                <w:noProof/>
                <w:snapToGrid w:val="0"/>
              </w:rPr>
              <w:t>as at 16 Oct 2009</w:t>
            </w:r>
            <w:r>
              <w:rPr>
                <w:iCs/>
                <w:noProof/>
                <w:snapToGrid w:val="0"/>
              </w:rPr>
              <w:t xml:space="preserve"> (includes amendments listed above)</w:t>
            </w:r>
          </w:p>
        </w:tc>
      </w:tr>
      <w:tr>
        <w:tc>
          <w:tcPr>
            <w:tcW w:w="3119" w:type="dxa"/>
          </w:tcPr>
          <w:p>
            <w:pPr>
              <w:pStyle w:val="nTable"/>
              <w:spacing w:after="40"/>
              <w:rPr>
                <w:iCs/>
              </w:rPr>
            </w:pPr>
            <w:r>
              <w:rPr>
                <w:i/>
                <w:noProof/>
                <w:snapToGrid w:val="0"/>
              </w:rPr>
              <w:t>Energy Operators (Regional Power Corporation) (Charges) Amendment By</w:t>
            </w:r>
            <w:r>
              <w:rPr>
                <w:i/>
                <w:noProof/>
                <w:snapToGrid w:val="0"/>
              </w:rPr>
              <w:noBreakHyphen/>
              <w:t>laws 2010</w:t>
            </w:r>
            <w:r>
              <w:rPr>
                <w:iCs/>
                <w:noProof/>
                <w:snapToGrid w:val="0"/>
              </w:rPr>
              <w:t xml:space="preserve"> </w:t>
            </w:r>
          </w:p>
        </w:tc>
        <w:tc>
          <w:tcPr>
            <w:tcW w:w="1276" w:type="dxa"/>
          </w:tcPr>
          <w:p>
            <w:pPr>
              <w:pStyle w:val="nTable"/>
              <w:spacing w:after="40"/>
            </w:pPr>
            <w:r>
              <w:t>26 Mar 2010 p. 1171-89</w:t>
            </w:r>
          </w:p>
        </w:tc>
        <w:tc>
          <w:tcPr>
            <w:tcW w:w="2694" w:type="dxa"/>
          </w:tcPr>
          <w:p>
            <w:pPr>
              <w:pStyle w:val="nTable"/>
              <w:spacing w:after="40"/>
            </w:pPr>
            <w:r>
              <w:t>Pt. 1: 26 Mar 2010 (see bl. 2(a));</w:t>
            </w:r>
            <w:r>
              <w:br/>
              <w:t>Pt. 2: 1 Apr 2010 (see bl. 2(b));</w:t>
            </w:r>
            <w:r>
              <w:br/>
              <w:t>Pt. 3: 1 Jul 2010 (see bl. 2(c))</w:t>
            </w:r>
          </w:p>
        </w:tc>
      </w:tr>
      <w:tr>
        <w:tc>
          <w:tcPr>
            <w:tcW w:w="3119" w:type="dxa"/>
          </w:tcPr>
          <w:p>
            <w:pPr>
              <w:pStyle w:val="nTable"/>
              <w:spacing w:after="40"/>
              <w:rPr>
                <w:i/>
                <w:noProof/>
                <w:snapToGrid w:val="0"/>
              </w:rPr>
            </w:pPr>
            <w:r>
              <w:rPr>
                <w:i/>
                <w:noProof/>
                <w:snapToGrid w:val="0"/>
              </w:rPr>
              <w:t>Energy Operators (Regional Power Corporation) (Charges) Amendment By</w:t>
            </w:r>
            <w:r>
              <w:rPr>
                <w:i/>
                <w:noProof/>
                <w:snapToGrid w:val="0"/>
              </w:rPr>
              <w:noBreakHyphen/>
              <w:t>laws 2011</w:t>
            </w:r>
          </w:p>
        </w:tc>
        <w:tc>
          <w:tcPr>
            <w:tcW w:w="1276" w:type="dxa"/>
          </w:tcPr>
          <w:p>
            <w:pPr>
              <w:pStyle w:val="nTable"/>
              <w:spacing w:after="40"/>
            </w:pPr>
            <w:r>
              <w:t>24 Jun 2011 p. 2495</w:t>
            </w:r>
            <w:r>
              <w:noBreakHyphen/>
              <w:t>8</w:t>
            </w:r>
          </w:p>
        </w:tc>
        <w:tc>
          <w:tcPr>
            <w:tcW w:w="2694" w:type="dxa"/>
          </w:tcPr>
          <w:p>
            <w:pPr>
              <w:pStyle w:val="nTable"/>
              <w:spacing w:after="40"/>
            </w:pPr>
            <w:r>
              <w:t>bl. 1 and 2: 24 Jun 2011 (see bl. 2(a));</w:t>
            </w:r>
            <w:r>
              <w:br/>
              <w:t>By</w:t>
            </w:r>
            <w:r>
              <w:noBreakHyphen/>
              <w:t>laws other than bl. 1 and 2: 1 Jul 2011 (see bl. 2(b))</w:t>
            </w:r>
          </w:p>
        </w:tc>
      </w:tr>
      <w:tr>
        <w:tc>
          <w:tcPr>
            <w:tcW w:w="3119" w:type="dxa"/>
          </w:tcPr>
          <w:p>
            <w:pPr>
              <w:pStyle w:val="nTable"/>
              <w:spacing w:after="40"/>
              <w:rPr>
                <w:i/>
                <w:noProof/>
                <w:snapToGrid w:val="0"/>
              </w:rPr>
            </w:pPr>
            <w:r>
              <w:rPr>
                <w:i/>
                <w:noProof/>
                <w:snapToGrid w:val="0"/>
              </w:rPr>
              <w:t>Energy Operators (Regional Power Corporation) (Charges) Amendment By laws 2012</w:t>
            </w:r>
          </w:p>
        </w:tc>
        <w:tc>
          <w:tcPr>
            <w:tcW w:w="1276" w:type="dxa"/>
          </w:tcPr>
          <w:p>
            <w:pPr>
              <w:pStyle w:val="nTable"/>
              <w:spacing w:after="40"/>
            </w:pPr>
            <w:r>
              <w:t>29 Jun 2012 p. 2899-911</w:t>
            </w:r>
          </w:p>
        </w:tc>
        <w:tc>
          <w:tcPr>
            <w:tcW w:w="2694" w:type="dxa"/>
          </w:tcPr>
          <w:p>
            <w:pPr>
              <w:pStyle w:val="nTable"/>
              <w:spacing w:after="40"/>
            </w:pPr>
            <w:r>
              <w:t>bl. 1 and 2: 29 Jun 2012 (see bl. 2(a));</w:t>
            </w:r>
            <w:r>
              <w:br/>
              <w:t>By</w:t>
            </w:r>
            <w:r>
              <w:noBreakHyphen/>
              <w:t>laws other than bl. 1 and 2: 1 Jul 2012 (see bl. 2(b))</w:t>
            </w:r>
          </w:p>
        </w:tc>
      </w:tr>
      <w:tr>
        <w:tc>
          <w:tcPr>
            <w:tcW w:w="3119" w:type="dxa"/>
          </w:tcPr>
          <w:p>
            <w:pPr>
              <w:pStyle w:val="nTable"/>
              <w:spacing w:after="40"/>
              <w:rPr>
                <w:i/>
                <w:noProof/>
                <w:snapToGrid w:val="0"/>
              </w:rPr>
            </w:pPr>
            <w:r>
              <w:rPr>
                <w:i/>
                <w:noProof/>
                <w:snapToGrid w:val="0"/>
              </w:rPr>
              <w:t>Energy Operators (Regional Power Corporation) (Charges) Amendment By laws (No. 2) 2012</w:t>
            </w:r>
          </w:p>
        </w:tc>
        <w:tc>
          <w:tcPr>
            <w:tcW w:w="1276" w:type="dxa"/>
          </w:tcPr>
          <w:p>
            <w:pPr>
              <w:pStyle w:val="nTable"/>
              <w:spacing w:after="40"/>
            </w:pPr>
            <w:r>
              <w:t>21 Sep 2012 p. 4423</w:t>
            </w:r>
          </w:p>
        </w:tc>
        <w:tc>
          <w:tcPr>
            <w:tcW w:w="2694" w:type="dxa"/>
          </w:tcPr>
          <w:p>
            <w:pPr>
              <w:pStyle w:val="nTable"/>
              <w:spacing w:after="40"/>
            </w:pPr>
            <w:r>
              <w:t>bl. 1 and 2: 21 Sep 2012 (see bl. 2(a));</w:t>
            </w:r>
            <w:r>
              <w:br/>
              <w:t>By</w:t>
            </w:r>
            <w:r>
              <w:noBreakHyphen/>
              <w:t>laws other than bl. 1 and 2: 1 Oct 2012 (see bl. 2(b))</w:t>
            </w:r>
          </w:p>
        </w:tc>
      </w:tr>
      <w:tr>
        <w:tc>
          <w:tcPr>
            <w:tcW w:w="3119" w:type="dxa"/>
          </w:tcPr>
          <w:p>
            <w:pPr>
              <w:pStyle w:val="nTable"/>
              <w:spacing w:after="40"/>
              <w:rPr>
                <w:i/>
                <w:noProof/>
                <w:snapToGrid w:val="0"/>
              </w:rPr>
            </w:pPr>
            <w:r>
              <w:rPr>
                <w:i/>
                <w:noProof/>
                <w:snapToGrid w:val="0"/>
              </w:rPr>
              <w:t>Energy Operators (Regional Power Corporation) (Charges) Amendment By-laws 2013</w:t>
            </w:r>
          </w:p>
        </w:tc>
        <w:tc>
          <w:tcPr>
            <w:tcW w:w="1276" w:type="dxa"/>
          </w:tcPr>
          <w:p>
            <w:pPr>
              <w:pStyle w:val="nTable"/>
              <w:spacing w:after="40"/>
            </w:pPr>
            <w:r>
              <w:t>14 Jun 2013 p. 2223-7</w:t>
            </w:r>
          </w:p>
        </w:tc>
        <w:tc>
          <w:tcPr>
            <w:tcW w:w="2694" w:type="dxa"/>
          </w:tcPr>
          <w:p>
            <w:pPr>
              <w:pStyle w:val="nTable"/>
              <w:spacing w:after="40"/>
            </w:pPr>
            <w:r>
              <w:t>bl. 1 and 2: 14 Jun 2013 (see bl. 2(a));</w:t>
            </w:r>
            <w:r>
              <w:br/>
              <w:t>By</w:t>
            </w:r>
            <w:r>
              <w:noBreakHyphen/>
              <w:t>laws other than bl. 1 and 2: 1 Jul 2013 (see bl. 2(b))</w:t>
            </w:r>
          </w:p>
        </w:tc>
      </w:tr>
      <w:tr>
        <w:tc>
          <w:tcPr>
            <w:tcW w:w="3119" w:type="dxa"/>
            <w:shd w:val="clear" w:color="auto" w:fill="auto"/>
          </w:tcPr>
          <w:p>
            <w:pPr>
              <w:pStyle w:val="nTable"/>
              <w:keepNext/>
              <w:keepLines/>
              <w:spacing w:after="40"/>
              <w:rPr>
                <w:i/>
                <w:noProof/>
                <w:snapToGrid w:val="0"/>
              </w:rPr>
            </w:pPr>
            <w:r>
              <w:rPr>
                <w:i/>
                <w:noProof/>
                <w:snapToGrid w:val="0"/>
              </w:rPr>
              <w:t>Energy Operators (Regional Power Corporation) (Charges) Amendment By</w:t>
            </w:r>
            <w:r>
              <w:rPr>
                <w:i/>
                <w:noProof/>
                <w:snapToGrid w:val="0"/>
              </w:rPr>
              <w:noBreakHyphen/>
              <w:t>laws (No. 2) 2013</w:t>
            </w:r>
          </w:p>
        </w:tc>
        <w:tc>
          <w:tcPr>
            <w:tcW w:w="1276" w:type="dxa"/>
            <w:shd w:val="clear" w:color="auto" w:fill="auto"/>
          </w:tcPr>
          <w:p>
            <w:pPr>
              <w:pStyle w:val="nTable"/>
              <w:keepNext/>
              <w:keepLines/>
              <w:spacing w:after="40"/>
            </w:pPr>
            <w:r>
              <w:t>30 Aug 2013 p. 4093-6</w:t>
            </w:r>
          </w:p>
        </w:tc>
        <w:tc>
          <w:tcPr>
            <w:tcW w:w="2694" w:type="dxa"/>
            <w:shd w:val="clear" w:color="auto" w:fill="auto"/>
          </w:tcPr>
          <w:p>
            <w:pPr>
              <w:pStyle w:val="nTable"/>
              <w:keepNext/>
              <w:keepLines/>
              <w:spacing w:after="40"/>
            </w:pPr>
            <w:r>
              <w:t>bl. 1 and 2: 30 Aug 2013 (see bl. 2(a));</w:t>
            </w:r>
            <w:r>
              <w:br/>
              <w:t>By</w:t>
            </w:r>
            <w:r>
              <w:noBreakHyphen/>
              <w:t>laws other than bl. 1 and 2: 1 Sep 2013 (see bl. 2(b))</w:t>
            </w:r>
          </w:p>
        </w:tc>
      </w:tr>
      <w:tr>
        <w:tc>
          <w:tcPr>
            <w:tcW w:w="3119" w:type="dxa"/>
            <w:shd w:val="clear" w:color="auto" w:fill="auto"/>
          </w:tcPr>
          <w:p>
            <w:pPr>
              <w:pStyle w:val="nTable"/>
              <w:keepNext/>
              <w:keepLines/>
              <w:spacing w:after="40"/>
              <w:rPr>
                <w:i/>
                <w:noProof/>
                <w:snapToGrid w:val="0"/>
              </w:rPr>
            </w:pPr>
            <w:r>
              <w:rPr>
                <w:i/>
                <w:noProof/>
                <w:snapToGrid w:val="0"/>
              </w:rPr>
              <w:t>Energy Operators (Regional Power Corporation) (Charges) Amendment By</w:t>
            </w:r>
            <w:r>
              <w:rPr>
                <w:i/>
                <w:noProof/>
                <w:snapToGrid w:val="0"/>
              </w:rPr>
              <w:noBreakHyphen/>
              <w:t>laws 2014</w:t>
            </w:r>
          </w:p>
        </w:tc>
        <w:tc>
          <w:tcPr>
            <w:tcW w:w="1276" w:type="dxa"/>
            <w:shd w:val="clear" w:color="auto" w:fill="auto"/>
          </w:tcPr>
          <w:p>
            <w:pPr>
              <w:pStyle w:val="nTable"/>
              <w:keepNext/>
              <w:keepLines/>
              <w:spacing w:after="40"/>
            </w:pPr>
            <w:r>
              <w:t>27 Jun 2014 p. 2319-26</w:t>
            </w:r>
          </w:p>
        </w:tc>
        <w:tc>
          <w:tcPr>
            <w:tcW w:w="2694" w:type="dxa"/>
            <w:shd w:val="clear" w:color="auto" w:fill="auto"/>
          </w:tcPr>
          <w:p>
            <w:pPr>
              <w:pStyle w:val="nTable"/>
              <w:keepNext/>
              <w:keepLines/>
              <w:spacing w:after="40"/>
            </w:pPr>
            <w:r>
              <w:t>bl. 1 and 2: 27 Jun 2014 (see bl. 2(a));</w:t>
            </w:r>
            <w:r>
              <w:br/>
              <w:t>By</w:t>
            </w:r>
            <w:r>
              <w:noBreakHyphen/>
              <w:t>laws other than bl. 1 and 2: 1 Jul 2014 (see bl. 2(b))</w:t>
            </w:r>
          </w:p>
        </w:tc>
      </w:tr>
      <w:tr>
        <w:tc>
          <w:tcPr>
            <w:tcW w:w="3119" w:type="dxa"/>
            <w:shd w:val="clear" w:color="auto" w:fill="auto"/>
          </w:tcPr>
          <w:p>
            <w:pPr>
              <w:pStyle w:val="nTable"/>
              <w:keepNext/>
              <w:keepLines/>
              <w:spacing w:after="40"/>
              <w:rPr>
                <w:i/>
                <w:noProof/>
                <w:snapToGrid w:val="0"/>
              </w:rPr>
            </w:pPr>
            <w:r>
              <w:rPr>
                <w:i/>
                <w:noProof/>
                <w:snapToGrid w:val="0"/>
              </w:rPr>
              <w:t>Energy Operators (Regional Power Corporation) (Charges) Amendment By</w:t>
            </w:r>
            <w:r>
              <w:rPr>
                <w:i/>
                <w:noProof/>
                <w:snapToGrid w:val="0"/>
              </w:rPr>
              <w:noBreakHyphen/>
              <w:t>laws (No. 2) 2014</w:t>
            </w:r>
          </w:p>
        </w:tc>
        <w:tc>
          <w:tcPr>
            <w:tcW w:w="1276" w:type="dxa"/>
            <w:shd w:val="clear" w:color="auto" w:fill="auto"/>
          </w:tcPr>
          <w:p>
            <w:pPr>
              <w:pStyle w:val="nTable"/>
              <w:keepNext/>
              <w:keepLines/>
              <w:spacing w:after="40"/>
            </w:pPr>
            <w:r>
              <w:t>22 Aug 2014 p. 3017</w:t>
            </w:r>
            <w:r>
              <w:noBreakHyphen/>
              <w:t>23</w:t>
            </w:r>
          </w:p>
        </w:tc>
        <w:tc>
          <w:tcPr>
            <w:tcW w:w="2694" w:type="dxa"/>
            <w:shd w:val="clear" w:color="auto" w:fill="auto"/>
          </w:tcPr>
          <w:p>
            <w:pPr>
              <w:pStyle w:val="nTable"/>
              <w:keepNext/>
              <w:keepLines/>
              <w:spacing w:after="40"/>
            </w:pPr>
            <w:r>
              <w:t>bl. 1 and 2: 22 Aug 2014 (see bl. 2(a));</w:t>
            </w:r>
            <w:r>
              <w:br/>
              <w:t>By</w:t>
            </w:r>
            <w:r>
              <w:noBreakHyphen/>
              <w:t>laws other than bl. 1 and 2: 1 Sep 2014 (see bl. 2(b))</w:t>
            </w:r>
          </w:p>
        </w:tc>
      </w:tr>
      <w:tr>
        <w:tc>
          <w:tcPr>
            <w:tcW w:w="7089" w:type="dxa"/>
            <w:gridSpan w:val="3"/>
            <w:shd w:val="clear" w:color="auto" w:fill="auto"/>
          </w:tcPr>
          <w:p>
            <w:pPr>
              <w:pStyle w:val="nTable"/>
              <w:keepNext/>
              <w:keepLines/>
              <w:spacing w:after="40"/>
            </w:pPr>
            <w:r>
              <w:rPr>
                <w:b/>
                <w:bCs/>
                <w:iCs/>
                <w:noProof/>
                <w:snapToGrid w:val="0"/>
              </w:rPr>
              <w:t xml:space="preserve">Reprint 2: The </w:t>
            </w:r>
            <w:r>
              <w:rPr>
                <w:b/>
                <w:bCs/>
                <w:i/>
                <w:noProof/>
                <w:snapToGrid w:val="0"/>
              </w:rPr>
              <w:t>Energy Operators (Regional Power Corporation) (Charges) By</w:t>
            </w:r>
            <w:r>
              <w:rPr>
                <w:b/>
                <w:bCs/>
                <w:i/>
                <w:noProof/>
                <w:snapToGrid w:val="0"/>
              </w:rPr>
              <w:noBreakHyphen/>
              <w:t xml:space="preserve">laws 2006 </w:t>
            </w:r>
            <w:r>
              <w:rPr>
                <w:b/>
                <w:bCs/>
                <w:iCs/>
                <w:noProof/>
                <w:snapToGrid w:val="0"/>
              </w:rPr>
              <w:t>as at 3 Oct 2014</w:t>
            </w:r>
            <w:r>
              <w:rPr>
                <w:iCs/>
                <w:noProof/>
                <w:snapToGrid w:val="0"/>
              </w:rPr>
              <w:t xml:space="preserve"> (includes amendments listed above)</w:t>
            </w:r>
          </w:p>
        </w:tc>
      </w:tr>
      <w:tr>
        <w:tc>
          <w:tcPr>
            <w:tcW w:w="3119" w:type="dxa"/>
            <w:shd w:val="clear" w:color="auto" w:fill="auto"/>
          </w:tcPr>
          <w:p>
            <w:pPr>
              <w:pStyle w:val="nTable"/>
              <w:keepNext/>
              <w:keepLines/>
              <w:spacing w:after="40"/>
              <w:rPr>
                <w:b/>
                <w:bCs/>
                <w:iCs/>
                <w:noProof/>
                <w:snapToGrid w:val="0"/>
              </w:rPr>
            </w:pPr>
            <w:r>
              <w:rPr>
                <w:i/>
                <w:noProof/>
                <w:snapToGrid w:val="0"/>
              </w:rPr>
              <w:t>Energy Operators (Regional Power Corporation) (Charges) Amendment By</w:t>
            </w:r>
            <w:r>
              <w:rPr>
                <w:i/>
                <w:noProof/>
                <w:snapToGrid w:val="0"/>
              </w:rPr>
              <w:noBreakHyphen/>
              <w:t>laws 2015</w:t>
            </w:r>
          </w:p>
        </w:tc>
        <w:tc>
          <w:tcPr>
            <w:tcW w:w="1276" w:type="dxa"/>
            <w:shd w:val="clear" w:color="auto" w:fill="auto"/>
          </w:tcPr>
          <w:p>
            <w:pPr>
              <w:pStyle w:val="nTable"/>
              <w:keepNext/>
              <w:keepLines/>
              <w:spacing w:after="40"/>
              <w:rPr>
                <w:b/>
                <w:bCs/>
                <w:iCs/>
                <w:noProof/>
                <w:snapToGrid w:val="0"/>
              </w:rPr>
            </w:pPr>
            <w:r>
              <w:t>26 Jun 2015 p. 2247</w:t>
            </w:r>
            <w:r>
              <w:noBreakHyphen/>
              <w:t>52</w:t>
            </w:r>
          </w:p>
        </w:tc>
        <w:tc>
          <w:tcPr>
            <w:tcW w:w="2694" w:type="dxa"/>
            <w:shd w:val="clear" w:color="auto" w:fill="auto"/>
          </w:tcPr>
          <w:p>
            <w:pPr>
              <w:pStyle w:val="nTable"/>
              <w:keepNext/>
              <w:keepLines/>
              <w:spacing w:after="40"/>
              <w:rPr>
                <w:b/>
                <w:bCs/>
                <w:iCs/>
                <w:noProof/>
                <w:snapToGrid w:val="0"/>
              </w:rPr>
            </w:pPr>
            <w:r>
              <w:t>bl. 1 and 2: 26 Jun 2015 (see bl. 2(a));</w:t>
            </w:r>
            <w:r>
              <w:br/>
              <w:t>By</w:t>
            </w:r>
            <w:r>
              <w:noBreakHyphen/>
              <w:t>laws other than bl. 1 and 2: 1 Jul 2015 (see bl. 2(b))</w:t>
            </w:r>
          </w:p>
        </w:tc>
      </w:tr>
      <w:tr>
        <w:tc>
          <w:tcPr>
            <w:tcW w:w="3119" w:type="dxa"/>
            <w:shd w:val="clear" w:color="auto" w:fill="auto"/>
          </w:tcPr>
          <w:p>
            <w:pPr>
              <w:pStyle w:val="nTable"/>
              <w:keepNext/>
              <w:keepLines/>
              <w:spacing w:after="40"/>
              <w:rPr>
                <w:i/>
                <w:noProof/>
                <w:snapToGrid w:val="0"/>
              </w:rPr>
            </w:pPr>
            <w:r>
              <w:rPr>
                <w:i/>
                <w:noProof/>
                <w:snapToGrid w:val="0"/>
              </w:rPr>
              <w:t>Energy Operators (Regional Power Corporation) (Charges) Amendment By</w:t>
            </w:r>
            <w:r>
              <w:rPr>
                <w:i/>
                <w:noProof/>
                <w:snapToGrid w:val="0"/>
              </w:rPr>
              <w:noBreakHyphen/>
              <w:t>laws 2016</w:t>
            </w:r>
          </w:p>
        </w:tc>
        <w:tc>
          <w:tcPr>
            <w:tcW w:w="1276" w:type="dxa"/>
            <w:shd w:val="clear" w:color="auto" w:fill="auto"/>
          </w:tcPr>
          <w:p>
            <w:pPr>
              <w:pStyle w:val="nTable"/>
              <w:keepNext/>
              <w:keepLines/>
              <w:spacing w:after="40"/>
            </w:pPr>
            <w:r>
              <w:t>28 Jun 2016 p. 2626</w:t>
            </w:r>
            <w:r>
              <w:noBreakHyphen/>
              <w:t>8</w:t>
            </w:r>
          </w:p>
        </w:tc>
        <w:tc>
          <w:tcPr>
            <w:tcW w:w="2694" w:type="dxa"/>
            <w:shd w:val="clear" w:color="auto" w:fill="auto"/>
          </w:tcPr>
          <w:p>
            <w:pPr>
              <w:pStyle w:val="nTable"/>
              <w:keepNext/>
              <w:keepLines/>
              <w:spacing w:after="40"/>
            </w:pPr>
            <w:r>
              <w:t>bl. 1 and 2: 28 Jun 2016 (see bl. 2(a));</w:t>
            </w:r>
            <w:r>
              <w:br/>
              <w:t>By</w:t>
            </w:r>
            <w:r>
              <w:noBreakHyphen/>
              <w:t>laws other than bl. 1 and 2: 1 Jul 2016 (see bl. 2(b))</w:t>
            </w:r>
          </w:p>
        </w:tc>
      </w:tr>
      <w:tr>
        <w:tc>
          <w:tcPr>
            <w:tcW w:w="3119" w:type="dxa"/>
            <w:shd w:val="clear" w:color="auto" w:fill="auto"/>
          </w:tcPr>
          <w:p>
            <w:pPr>
              <w:pStyle w:val="nTable"/>
              <w:keepNext/>
              <w:keepLines/>
              <w:spacing w:after="40"/>
              <w:rPr>
                <w:i/>
                <w:noProof/>
                <w:snapToGrid w:val="0"/>
              </w:rPr>
            </w:pPr>
            <w:r>
              <w:rPr>
                <w:i/>
              </w:rPr>
              <w:t>Energy Operators (Regional Power Corporation) (Charges) Amendment By</w:t>
            </w:r>
            <w:r>
              <w:rPr>
                <w:i/>
              </w:rPr>
              <w:noBreakHyphen/>
              <w:t>laws (No. 2) 2016</w:t>
            </w:r>
          </w:p>
        </w:tc>
        <w:tc>
          <w:tcPr>
            <w:tcW w:w="1276" w:type="dxa"/>
            <w:shd w:val="clear" w:color="auto" w:fill="auto"/>
          </w:tcPr>
          <w:p>
            <w:pPr>
              <w:pStyle w:val="nTable"/>
              <w:keepNext/>
              <w:keepLines/>
              <w:spacing w:after="40"/>
            </w:pPr>
            <w:r>
              <w:t>31 Aug 2016 p. 3707</w:t>
            </w:r>
            <w:r>
              <w:noBreakHyphen/>
              <w:t>10</w:t>
            </w:r>
          </w:p>
        </w:tc>
        <w:tc>
          <w:tcPr>
            <w:tcW w:w="2694" w:type="dxa"/>
            <w:shd w:val="clear" w:color="auto" w:fill="auto"/>
          </w:tcPr>
          <w:p>
            <w:pPr>
              <w:pStyle w:val="nTable"/>
              <w:keepNext/>
              <w:keepLines/>
              <w:spacing w:after="40"/>
            </w:pPr>
            <w:r>
              <w:t>bl. 1 and 2: 31 Aug 2016 (see bl. 2(a));</w:t>
            </w:r>
            <w:r>
              <w:br/>
              <w:t>By</w:t>
            </w:r>
            <w:r>
              <w:noBreakHyphen/>
              <w:t>laws other than bl. 1 and 2: 1 Sep 2016 (see bl. 2(b))</w:t>
            </w:r>
          </w:p>
        </w:tc>
      </w:tr>
      <w:tr>
        <w:tc>
          <w:tcPr>
            <w:tcW w:w="3119" w:type="dxa"/>
            <w:shd w:val="clear" w:color="auto" w:fill="auto"/>
          </w:tcPr>
          <w:p>
            <w:pPr>
              <w:pStyle w:val="nTable"/>
              <w:keepNext/>
              <w:keepLines/>
              <w:spacing w:after="40"/>
              <w:rPr>
                <w:i/>
              </w:rPr>
            </w:pPr>
            <w:r>
              <w:rPr>
                <w:i/>
              </w:rPr>
              <w:t>Energy Operators (Regional Power Corporation) (Charges) Amendment By</w:t>
            </w:r>
            <w:r>
              <w:rPr>
                <w:i/>
              </w:rPr>
              <w:noBreakHyphen/>
              <w:t>laws 2017</w:t>
            </w:r>
          </w:p>
        </w:tc>
        <w:tc>
          <w:tcPr>
            <w:tcW w:w="1276" w:type="dxa"/>
            <w:shd w:val="clear" w:color="auto" w:fill="auto"/>
          </w:tcPr>
          <w:p>
            <w:pPr>
              <w:pStyle w:val="nTable"/>
              <w:keepNext/>
              <w:keepLines/>
              <w:spacing w:after="40"/>
            </w:pPr>
            <w:r>
              <w:t>27 Jun 2017 p. 3419</w:t>
            </w:r>
            <w:r>
              <w:noBreakHyphen/>
              <w:t>24</w:t>
            </w:r>
          </w:p>
        </w:tc>
        <w:tc>
          <w:tcPr>
            <w:tcW w:w="2694" w:type="dxa"/>
            <w:shd w:val="clear" w:color="auto" w:fill="auto"/>
          </w:tcPr>
          <w:p>
            <w:pPr>
              <w:pStyle w:val="nTable"/>
              <w:keepNext/>
              <w:keepLines/>
              <w:spacing w:after="40"/>
            </w:pPr>
            <w:r>
              <w:t>bl. 1 and 2: 27 Jun 2017 (see bl. 2(a));</w:t>
            </w:r>
            <w:r>
              <w:br/>
              <w:t>By-laws other than bl. 1 and 2: 1 Jul 2017 (see bl. 2(b))</w:t>
            </w:r>
          </w:p>
        </w:tc>
      </w:tr>
      <w:tr>
        <w:tc>
          <w:tcPr>
            <w:tcW w:w="3119" w:type="dxa"/>
            <w:shd w:val="clear" w:color="auto" w:fill="auto"/>
          </w:tcPr>
          <w:p>
            <w:pPr>
              <w:pStyle w:val="nTable"/>
              <w:keepNext/>
              <w:keepLines/>
              <w:spacing w:after="40"/>
              <w:rPr>
                <w:i/>
              </w:rPr>
            </w:pPr>
            <w:r>
              <w:rPr>
                <w:i/>
              </w:rPr>
              <w:t>Energy Operators (Regional Power Corporation) (Charges) Amendment By</w:t>
            </w:r>
            <w:r>
              <w:rPr>
                <w:i/>
              </w:rPr>
              <w:noBreakHyphen/>
              <w:t>laws (No. 2) 2017</w:t>
            </w:r>
          </w:p>
        </w:tc>
        <w:tc>
          <w:tcPr>
            <w:tcW w:w="1276" w:type="dxa"/>
            <w:shd w:val="clear" w:color="auto" w:fill="auto"/>
          </w:tcPr>
          <w:p>
            <w:pPr>
              <w:pStyle w:val="nTable"/>
              <w:keepNext/>
              <w:keepLines/>
              <w:spacing w:after="40"/>
            </w:pPr>
            <w:r>
              <w:t>30 Jun 2017 p. 3562</w:t>
            </w:r>
            <w:r>
              <w:noBreakHyphen/>
              <w:t>4</w:t>
            </w:r>
          </w:p>
        </w:tc>
        <w:tc>
          <w:tcPr>
            <w:tcW w:w="2694" w:type="dxa"/>
            <w:shd w:val="clear" w:color="auto" w:fill="auto"/>
          </w:tcPr>
          <w:p>
            <w:pPr>
              <w:pStyle w:val="nTable"/>
              <w:keepNext/>
              <w:keepLines/>
              <w:spacing w:after="40"/>
            </w:pPr>
            <w:r>
              <w:t>bl. 1 and 2: 30 Jun 2017 (see bl. 2(a));</w:t>
            </w:r>
            <w:r>
              <w:br/>
              <w:t>By-laws other than bl. 1 and 2: 1 Jul 2017 (see bl. 2(b)(i))</w:t>
            </w:r>
          </w:p>
        </w:tc>
      </w:tr>
      <w:tr>
        <w:tc>
          <w:tcPr>
            <w:tcW w:w="3119" w:type="dxa"/>
            <w:tcBorders>
              <w:bottom w:val="single" w:sz="8" w:space="0" w:color="auto"/>
            </w:tcBorders>
            <w:shd w:val="clear" w:color="auto" w:fill="auto"/>
          </w:tcPr>
          <w:p>
            <w:pPr>
              <w:pStyle w:val="nTable"/>
              <w:keepNext/>
              <w:keepLines/>
              <w:spacing w:after="40"/>
              <w:rPr>
                <w:i/>
              </w:rPr>
            </w:pPr>
            <w:r>
              <w:rPr>
                <w:i/>
              </w:rPr>
              <w:t>Energy Operators (Regional Power Corporation) (Charges) Amendment By</w:t>
            </w:r>
            <w:r>
              <w:rPr>
                <w:i/>
              </w:rPr>
              <w:noBreakHyphen/>
              <w:t>laws (No. 3) 2017</w:t>
            </w:r>
          </w:p>
        </w:tc>
        <w:tc>
          <w:tcPr>
            <w:tcW w:w="1276" w:type="dxa"/>
            <w:tcBorders>
              <w:bottom w:val="single" w:sz="8" w:space="0" w:color="auto"/>
            </w:tcBorders>
            <w:shd w:val="clear" w:color="auto" w:fill="auto"/>
          </w:tcPr>
          <w:p>
            <w:pPr>
              <w:pStyle w:val="nTable"/>
              <w:keepNext/>
              <w:keepLines/>
              <w:spacing w:after="40"/>
            </w:pPr>
            <w:r>
              <w:t>22 Dec 2017 p. 5978</w:t>
            </w:r>
            <w:r>
              <w:noBreakHyphen/>
              <w:t>83</w:t>
            </w:r>
          </w:p>
        </w:tc>
        <w:tc>
          <w:tcPr>
            <w:tcW w:w="2694" w:type="dxa"/>
            <w:tcBorders>
              <w:bottom w:val="single" w:sz="8" w:space="0" w:color="auto"/>
            </w:tcBorders>
            <w:shd w:val="clear" w:color="auto" w:fill="auto"/>
          </w:tcPr>
          <w:p>
            <w:pPr>
              <w:pStyle w:val="nTable"/>
              <w:keepNext/>
              <w:keepLines/>
              <w:spacing w:after="40"/>
            </w:pPr>
            <w:r>
              <w:t>bl. 1 and 2: 22 Dec 2017 (see bl. 2(a));</w:t>
            </w:r>
            <w:r>
              <w:br/>
              <w:t>By-laws other than bl. 1 and 2: 1 Jan 2018 (see bl. 2(b))</w:t>
            </w:r>
          </w:p>
        </w:tc>
      </w:tr>
    </w:tbl>
    <w:p/>
    <w:p/>
    <w:p>
      <w:pPr>
        <w:sectPr>
          <w:headerReference w:type="even" r:id="rId34"/>
          <w:headerReference w:type="default" r:id="rId35"/>
          <w:headerReference w:type="first" r:id="rId36"/>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corporation</w:t>
      </w:r>
      <w:r>
        <w:tab/>
        <w:t>3</w:t>
      </w:r>
    </w:p>
    <w:p>
      <w:pPr>
        <w:pStyle w:val="DefinedTerms"/>
      </w:pPr>
      <w:r>
        <w:t>dwelling</w:t>
      </w:r>
      <w:r>
        <w:tab/>
        <w:t>3</w:t>
      </w:r>
    </w:p>
    <w:p>
      <w:pPr>
        <w:pStyle w:val="DefinedTerms"/>
      </w:pPr>
      <w:r>
        <w:t>Esperance network</w:t>
      </w:r>
      <w:r>
        <w:tab/>
        <w:t>Sch. 1 cl. 7(1)</w:t>
      </w:r>
    </w:p>
    <w:p>
      <w:pPr>
        <w:pStyle w:val="DefinedTerms"/>
      </w:pPr>
      <w:r>
        <w:t>exceeds the applicable peak allowance</w:t>
      </w:r>
      <w:r>
        <w:tab/>
        <w:t>Sch. 1 cl. 7(2)</w:t>
      </w:r>
    </w:p>
    <w:p>
      <w:pPr>
        <w:pStyle w:val="DefinedTerms"/>
      </w:pPr>
      <w:r>
        <w:t>interest period</w:t>
      </w:r>
      <w:r>
        <w:tab/>
        <w:t>12(1)</w:t>
      </w:r>
    </w:p>
    <w:p>
      <w:pPr>
        <w:pStyle w:val="DefinedTerms"/>
      </w:pPr>
      <w:r>
        <w:t>MyPower non</w:t>
      </w:r>
      <w:r>
        <w:noBreakHyphen/>
        <w:t>residential tariff</w:t>
      </w:r>
      <w:r>
        <w:tab/>
        <w:t>Sch. 1 cl. 9(1)</w:t>
      </w:r>
    </w:p>
    <w:p>
      <w:pPr>
        <w:pStyle w:val="DefinedTerms"/>
      </w:pPr>
      <w:r>
        <w:t>MyPower residential tariff</w:t>
      </w:r>
      <w:r>
        <w:tab/>
        <w:t>Sch. 1 cl. 8(1)</w:t>
      </w:r>
    </w:p>
    <w:p>
      <w:pPr>
        <w:pStyle w:val="DefinedTerms"/>
      </w:pPr>
      <w:r>
        <w:t>North West interconnected system</w:t>
      </w:r>
      <w:r>
        <w:tab/>
        <w:t>4(1A), 4(2A)</w:t>
      </w:r>
    </w:p>
    <w:p>
      <w:pPr>
        <w:pStyle w:val="DefinedTerms"/>
      </w:pPr>
      <w:r>
        <w:t>part</w:t>
      </w:r>
      <w:r>
        <w:noBreakHyphen/>
        <w:t>period</w:t>
      </w:r>
      <w:r>
        <w:tab/>
        <w:t>Sch. 1 cl. 8(4), Sch. 1 cl. 9(4)</w:t>
      </w:r>
    </w:p>
    <w:p>
      <w:pPr>
        <w:pStyle w:val="DefinedTerms"/>
      </w:pPr>
      <w:r>
        <w:t>peak day</w:t>
      </w:r>
      <w:r>
        <w:tab/>
        <w:t>Sch. 1 cl. 7(1)</w:t>
      </w:r>
    </w:p>
    <w:p>
      <w:pPr>
        <w:pStyle w:val="DefinedTerms"/>
      </w:pPr>
      <w:r>
        <w:t>peak period</w:t>
      </w:r>
      <w:r>
        <w:tab/>
        <w:t>Sch. 1 cl. 7(1)</w:t>
      </w:r>
    </w:p>
    <w:p>
      <w:pPr>
        <w:pStyle w:val="DefinedTerms"/>
      </w:pPr>
      <w:r>
        <w:t>peak time</w:t>
      </w:r>
      <w:r>
        <w:tab/>
        <w:t>Sch. 1 cl. 7(1)</w:t>
      </w:r>
    </w:p>
    <w:p>
      <w:pPr>
        <w:pStyle w:val="DefinedTerms"/>
      </w:pPr>
      <w:r>
        <w:t>RBA cash rate</w:t>
      </w:r>
      <w:r>
        <w:tab/>
        <w:t>3</w:t>
      </w:r>
    </w:p>
    <w:p>
      <w:pPr>
        <w:pStyle w:val="DefinedTerms"/>
      </w:pPr>
      <w:r>
        <w:t>regional non</w:t>
      </w:r>
      <w:r>
        <w:noBreakHyphen/>
        <w:t>integrated system</w:t>
      </w:r>
      <w:r>
        <w:tab/>
        <w:t>4(1A)</w:t>
      </w:r>
    </w:p>
    <w:p>
      <w:pPr>
        <w:pStyle w:val="DefinedTerms"/>
      </w:pPr>
      <w:r>
        <w:t>relevant period</w:t>
      </w:r>
      <w:r>
        <w:tab/>
        <w:t>8(1)</w:t>
      </w:r>
    </w:p>
    <w:p>
      <w:pPr>
        <w:pStyle w:val="DefinedTerms"/>
      </w:pPr>
      <w:r>
        <w:t>residential tariff</w:t>
      </w:r>
      <w:r>
        <w:tab/>
        <w:t>3</w:t>
      </w:r>
    </w:p>
    <w:p>
      <w:pPr>
        <w:pStyle w:val="DefinedTerms"/>
      </w:pPr>
      <w:r>
        <w:t>South West interconnected system</w:t>
      </w:r>
      <w:r>
        <w:tab/>
        <w:t>4(1A)</w:t>
      </w:r>
    </w:p>
    <w:p>
      <w:pPr>
        <w:pStyle w:val="DefinedTerms"/>
      </w:pPr>
      <w:r>
        <w:t>Tariff</w:t>
      </w:r>
      <w:r>
        <w:tab/>
        <w:t>3</w:t>
      </w:r>
    </w:p>
    <w:p>
      <w:pPr>
        <w:pStyle w:val="DefinedTerms"/>
      </w:pPr>
      <w:r>
        <w:t>unit</w:t>
      </w:r>
      <w:r>
        <w:tab/>
        <w:t>3</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28" w:name="Schedule"/>
    <w:bookmarkEnd w:id="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Supply charges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styleref CharSDivText</w:instrText>
          </w:r>
          <w:r>
            <w:fldChar w:fldCharType="separate"/>
          </w:r>
          <w:r>
            <w:t>MyPower tariffs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Supply charges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MyPower tariffs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Unmetered supply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Miscellaneous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Unmetered supply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1" w:name="Compilation"/>
    <w:bookmarkEnd w:id="5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2" w:name="DefinedTerms"/>
    <w:bookmarkEnd w:id="52"/>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 w:name="Coversheet"/>
    <w:bookmarkEnd w:id="5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90DB8A"/>
    <w:lvl w:ilvl="0">
      <w:start w:val="1"/>
      <w:numFmt w:val="decimal"/>
      <w:lvlText w:val="%1."/>
      <w:lvlJc w:val="left"/>
      <w:pPr>
        <w:tabs>
          <w:tab w:val="num" w:pos="1492"/>
        </w:tabs>
        <w:ind w:left="1492" w:hanging="360"/>
      </w:pPr>
    </w:lvl>
  </w:abstractNum>
  <w:abstractNum w:abstractNumId="1">
    <w:nsid w:val="FFFFFF7D"/>
    <w:multiLevelType w:val="singleLevel"/>
    <w:tmpl w:val="5596F45C"/>
    <w:lvl w:ilvl="0">
      <w:start w:val="1"/>
      <w:numFmt w:val="decimal"/>
      <w:lvlText w:val="%1."/>
      <w:lvlJc w:val="left"/>
      <w:pPr>
        <w:tabs>
          <w:tab w:val="num" w:pos="1209"/>
        </w:tabs>
        <w:ind w:left="1209" w:hanging="360"/>
      </w:pPr>
    </w:lvl>
  </w:abstractNum>
  <w:abstractNum w:abstractNumId="2">
    <w:nsid w:val="FFFFFF7E"/>
    <w:multiLevelType w:val="singleLevel"/>
    <w:tmpl w:val="3BE2AE3A"/>
    <w:lvl w:ilvl="0">
      <w:start w:val="1"/>
      <w:numFmt w:val="decimal"/>
      <w:lvlText w:val="%1."/>
      <w:lvlJc w:val="left"/>
      <w:pPr>
        <w:tabs>
          <w:tab w:val="num" w:pos="926"/>
        </w:tabs>
        <w:ind w:left="926" w:hanging="360"/>
      </w:pPr>
    </w:lvl>
  </w:abstractNum>
  <w:abstractNum w:abstractNumId="3">
    <w:nsid w:val="FFFFFF7F"/>
    <w:multiLevelType w:val="singleLevel"/>
    <w:tmpl w:val="0E6ED0DC"/>
    <w:lvl w:ilvl="0">
      <w:start w:val="1"/>
      <w:numFmt w:val="decimal"/>
      <w:lvlText w:val="%1."/>
      <w:lvlJc w:val="left"/>
      <w:pPr>
        <w:tabs>
          <w:tab w:val="num" w:pos="643"/>
        </w:tabs>
        <w:ind w:left="643" w:hanging="360"/>
      </w:pPr>
    </w:lvl>
  </w:abstractNum>
  <w:abstractNum w:abstractNumId="4">
    <w:nsid w:val="FFFFFF80"/>
    <w:multiLevelType w:val="singleLevel"/>
    <w:tmpl w:val="1F22A1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D56DE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7E4D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2085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64FE2"/>
    <w:lvl w:ilvl="0">
      <w:start w:val="1"/>
      <w:numFmt w:val="decimal"/>
      <w:lvlText w:val="%1."/>
      <w:lvlJc w:val="left"/>
      <w:pPr>
        <w:tabs>
          <w:tab w:val="num" w:pos="360"/>
        </w:tabs>
        <w:ind w:left="360" w:hanging="360"/>
      </w:pPr>
    </w:lvl>
  </w:abstractNum>
  <w:abstractNum w:abstractNumId="9">
    <w:nsid w:val="FFFFFF89"/>
    <w:multiLevelType w:val="singleLevel"/>
    <w:tmpl w:val="12D034B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7987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221105436"/>
    <w:docVar w:name="WAFER_20140109160013" w:val="RemoveTocBookmarks,RemoveUnusedBookmarks,RemoveLanguageTags,UsedStyles,ResetPageSize,UpdateArrangement"/>
    <w:docVar w:name="WAFER_20140109160013_GUID" w:val="597ce826-c891-4391-929e-52345abcbb4e"/>
    <w:docVar w:name="WAFER_20140109160850" w:val="RemoveTocBookmarks,RunningHeaders"/>
    <w:docVar w:name="WAFER_20140109160850_GUID" w:val="8e2363bd-147c-4c8f-965d-8f2e313c4978"/>
    <w:docVar w:name="WAFER_20140124152351" w:val="RemoveTocBookmarks,RemoveUnusedBookmarks,RemoveLanguageTags,UsedStyles,ResetPageSize,UpdateArrangement"/>
    <w:docVar w:name="WAFER_20140124152351_GUID" w:val="1d542b1f-4767-48a8-9d30-e1915dccd2fb"/>
    <w:docVar w:name="WAFER_20140519103650" w:val="RemoveTocBookmarks,RemoveUnusedBookmarks,RemoveLanguageTags,UsedStyles,RemoveTrackChanges"/>
    <w:docVar w:name="WAFER_20140519103650_GUID" w:val="d73844cc-20bd-42a3-8bb5-74b7a8440811"/>
    <w:docVar w:name="WAFER_20140519103703" w:val="RemoveTocBookmarks,RemoveLanguageTags,RemoveTrackChanges,RunningHeaders"/>
    <w:docVar w:name="WAFER_20140519103703_GUID" w:val="07ecff26-6531-40c2-9a09-8af23538b091"/>
    <w:docVar w:name="WAFER_20140922082909" w:val="RemoveTocBookmarks,RemoveLanguageTags,RemoveTrackChanges,RunningHeaders"/>
    <w:docVar w:name="WAFER_20140922082909_GUID" w:val="da7fba0f-d427-448f-961d-4f4d96158ea2"/>
    <w:docVar w:name="WAFER_20140922082921" w:val="RemoveTocBookmarks,RemoveLanguageTags,RemoveTrackChanges,RunningHeaders"/>
    <w:docVar w:name="WAFER_20140922082921_GUID" w:val="b3a5b271-ea8d-41bc-9e41-b27063a8c7a7"/>
    <w:docVar w:name="WAFER_20150414151054" w:val="ResetPageSize,UpdateArrangement,UpdateNTable"/>
    <w:docVar w:name="WAFER_20150414151054_GUID" w:val="46851967-8f5a-42ab-96a4-172d3cc2ad5a"/>
    <w:docVar w:name="WAFER_20151105123815" w:val="UpdateStyles,UsedStyles"/>
    <w:docVar w:name="WAFER_20151105123815_GUID" w:val="ade06537-8239-4bda-9e24-3495d3fa0532"/>
    <w:docVar w:name="WAFER_20171221105436" w:val="RemoveTocBookmarks,RemoveUnusedBookmarks,RemoveLanguageTags,UsedStyles,ResetPageSize"/>
    <w:docVar w:name="WAFER_20171221105436_GUID" w:val="dfeb6ce3-1b3b-4ccc-ae20-71f39e0f13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2.png"/><Relationship Id="rId44"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2CD7D-3D61-49C3-906C-1ABCF407A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5149</Words>
  <Characters>25179</Characters>
  <Application>Microsoft Office Word</Application>
  <DocSecurity>0</DocSecurity>
  <Lines>1199</Lines>
  <Paragraphs>819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(Regional Power Corporation) (Charges) By-laws 2006 - 02-g0-00</dc:title>
  <dc:subject/>
  <dc:creator/>
  <cp:keywords/>
  <dc:description/>
  <cp:lastModifiedBy>svcMRProcess</cp:lastModifiedBy>
  <cp:revision>4</cp:revision>
  <cp:lastPrinted>2014-10-21T01:03:00Z</cp:lastPrinted>
  <dcterms:created xsi:type="dcterms:W3CDTF">2020-02-24T16:52:00Z</dcterms:created>
  <dcterms:modified xsi:type="dcterms:W3CDTF">2020-02-24T16:52:00Z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1279-97</vt:lpwstr>
  </property>
  <property fmtid="{D5CDD505-2E9C-101B-9397-08002B2CF9AE}" pid="3" name="OwlsUID">
    <vt:i4>38408</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2014-10-02T16:00:00Z</vt:filetime>
  </property>
  <property fmtid="{D5CDD505-2E9C-101B-9397-08002B2CF9AE}" pid="7" name="AsAtDate">
    <vt:lpwstr>01 Jan 2018</vt:lpwstr>
  </property>
  <property fmtid="{D5CDD505-2E9C-101B-9397-08002B2CF9AE}" pid="8" name="Suffix">
    <vt:lpwstr>02-g0-00</vt:lpwstr>
  </property>
  <property fmtid="{D5CDD505-2E9C-101B-9397-08002B2CF9AE}" pid="9" name="CommencementDate">
    <vt:lpwstr>20180101</vt:lpwstr>
  </property>
</Properties>
</file>