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Poisons Act 1964</w:t>
      </w:r>
    </w:p>
    <w:p>
      <w:pPr>
        <w:pStyle w:val="NameofActReg"/>
        <w:spacing w:before="1960" w:after="4200"/>
      </w:pPr>
      <w:r>
        <w:rPr>
          <w:noProof/>
        </w:rPr>
        <w:t>Poisons Regulations 1965</w:t>
      </w:r>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May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rPr>
          <w:i/>
          <w:sz w:val="24"/>
        </w:rPr>
        <w:fldChar w:fldCharType="begin"/>
      </w:r>
      <w:r>
        <w:rPr>
          <w:i/>
          <w:sz w:val="24"/>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Pr>
          <w:i/>
          <w:sz w:val="24"/>
        </w:rPr>
        <w:noBreakHyphen/>
        <w:instrText xml:space="preserve">7" \w \* MERGEFORMAT </w:instrText>
      </w:r>
      <w:r>
        <w:rPr>
          <w:i/>
          <w:sz w:val="24"/>
        </w:rP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_Toc389746224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_Toc389746225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_Toc389746226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_Toc389746227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_Toc389746230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_Toc389746231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_Toc389746232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_Toc389746233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_Toc389746234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_Toc389746235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_Toc389746236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_Toc389746237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_Toc389746238 \h </w:instrText>
      </w:r>
      <w:r>
        <w:fldChar w:fldCharType="separate"/>
      </w:r>
      <w:r>
        <w:t>14</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_Toc389746239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Commissioner of Health may designate remote area nursing posts</w:t>
      </w:r>
      <w:r>
        <w:tab/>
      </w:r>
      <w:r>
        <w:fldChar w:fldCharType="begin"/>
      </w:r>
      <w:r>
        <w:instrText xml:space="preserve"> PAGEREF _Toc389746240 \h </w:instrText>
      </w:r>
      <w:r>
        <w:fldChar w:fldCharType="separate"/>
      </w:r>
      <w:r>
        <w:t>14</w:t>
      </w:r>
      <w:r>
        <w:fldChar w:fldCharType="end"/>
      </w:r>
    </w:p>
    <w:p>
      <w:pPr>
        <w:pStyle w:val="TOC8"/>
        <w:rPr>
          <w:rFonts w:asciiTheme="minorHAnsi" w:eastAsiaTheme="minorEastAsia" w:hAnsiTheme="minorHAnsi" w:cstheme="minorBidi"/>
          <w:szCs w:val="22"/>
        </w:rPr>
      </w:pPr>
      <w:r>
        <w:t>11A.</w:t>
      </w:r>
      <w:r>
        <w:tab/>
        <w:t>Commissioner of Health may designate areas for the purposes of section 23 of the Act</w:t>
      </w:r>
      <w:r>
        <w:tab/>
      </w:r>
      <w:r>
        <w:fldChar w:fldCharType="begin"/>
      </w:r>
      <w:r>
        <w:instrText xml:space="preserve"> PAGEREF _Toc389746241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_Toc389746242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_Toc389746244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_Toc389746245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_Toc389746246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_Toc389746247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_Toc389746248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_Toc389746249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_Toc389746251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_Toc389746252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_Toc389746253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_Toc389746254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_Toc389746257 \h </w:instrText>
      </w:r>
      <w:r>
        <w:fldChar w:fldCharType="separate"/>
      </w:r>
      <w:r>
        <w:t>21</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_Toc389746258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_Toc389746259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_Toc389746261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_Toc389746262 \h </w:instrText>
      </w:r>
      <w:r>
        <w:fldChar w:fldCharType="separate"/>
      </w:r>
      <w:r>
        <w:t>25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_Toc389746263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Commissioner of Health may approve container or label</w:t>
      </w:r>
      <w:r>
        <w:tab/>
      </w:r>
      <w:r>
        <w:fldChar w:fldCharType="begin"/>
      </w:r>
      <w:r>
        <w:instrText xml:space="preserve"> PAGEREF _Toc389746265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Commissioner of Health may suspend use of container or label</w:t>
      </w:r>
      <w:r>
        <w:tab/>
      </w:r>
      <w:r>
        <w:fldChar w:fldCharType="begin"/>
      </w:r>
      <w:r>
        <w:instrText xml:space="preserve"> PAGEREF _Toc389746266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_Toc389746268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_Toc389746269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_Toc389746270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_Toc389746273 \h </w:instrText>
      </w:r>
      <w:r>
        <w:fldChar w:fldCharType="separate"/>
      </w:r>
      <w:r>
        <w:t>29</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_Toc389746274 \h </w:instrText>
      </w:r>
      <w:r>
        <w:fldChar w:fldCharType="separate"/>
      </w:r>
      <w:r>
        <w:t>29</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_Toc389746275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_Toc389746276 \h </w:instrText>
      </w:r>
      <w:r>
        <w:fldChar w:fldCharType="separate"/>
      </w:r>
      <w:r>
        <w:t>30</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_Toc389746277 \h </w:instrText>
      </w:r>
      <w:r>
        <w:fldChar w:fldCharType="separate"/>
      </w:r>
      <w:r>
        <w:t>30</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_Toc389746278 \h </w:instrText>
      </w:r>
      <w:r>
        <w:fldChar w:fldCharType="separate"/>
      </w:r>
      <w:r>
        <w:t>32</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_Toc389746279 \h </w:instrText>
      </w:r>
      <w:r>
        <w:fldChar w:fldCharType="separate"/>
      </w:r>
      <w:r>
        <w:t>32</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_Toc389746280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_Toc389746282 \h </w:instrText>
      </w:r>
      <w:r>
        <w:fldChar w:fldCharType="separate"/>
      </w:r>
      <w:r>
        <w:t>33</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_Toc389746283 \h </w:instrText>
      </w:r>
      <w:r>
        <w:fldChar w:fldCharType="separate"/>
      </w:r>
      <w:r>
        <w:t>37</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_Toc389746284 \h </w:instrText>
      </w:r>
      <w:r>
        <w:fldChar w:fldCharType="separate"/>
      </w:r>
      <w:r>
        <w:t>41</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_Toc389746285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_Toc389746286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_Toc389746287 \h </w:instrText>
      </w:r>
      <w:r>
        <w:fldChar w:fldCharType="separate"/>
      </w:r>
      <w:r>
        <w:t>45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_Toc389746288 \h </w:instrText>
      </w:r>
      <w:r>
        <w:fldChar w:fldCharType="separate"/>
      </w:r>
      <w:r>
        <w:t>45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_Toc389746289 \h </w:instrText>
      </w:r>
      <w:r>
        <w:fldChar w:fldCharType="separate"/>
      </w:r>
      <w:r>
        <w:t>46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_Toc389746290 \h </w:instrText>
      </w:r>
      <w:r>
        <w:fldChar w:fldCharType="separate"/>
      </w:r>
      <w:r>
        <w:t>46</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_Toc389746291 \h </w:instrText>
      </w:r>
      <w:r>
        <w:fldChar w:fldCharType="separate"/>
      </w:r>
      <w:r>
        <w:t>47</w:t>
      </w:r>
      <w:r>
        <w:fldChar w:fldCharType="end"/>
      </w:r>
    </w:p>
    <w:p>
      <w:pPr>
        <w:pStyle w:val="TOC8"/>
        <w:rPr>
          <w:rFonts w:asciiTheme="minorHAnsi" w:eastAsiaTheme="minorEastAsia" w:hAnsiTheme="minorHAnsi" w:cstheme="minorBidi"/>
          <w:szCs w:val="22"/>
        </w:rPr>
      </w:pPr>
      <w:r>
        <w:rPr>
          <w:bCs/>
          <w:iCs/>
        </w:rPr>
        <w:t>38F</w:t>
      </w:r>
      <w:r>
        <w:t>.</w:t>
      </w:r>
      <w:r>
        <w:tab/>
        <w:t>Isotr</w:t>
      </w:r>
      <w:r>
        <w:rPr>
          <w:snapToGrid w:val="0"/>
        </w:rPr>
        <w:t>e</w:t>
      </w:r>
      <w:r>
        <w:t>tinoin</w:t>
      </w:r>
      <w:r>
        <w:tab/>
      </w:r>
      <w:r>
        <w:fldChar w:fldCharType="begin"/>
      </w:r>
      <w:r>
        <w:instrText xml:space="preserve"> PAGEREF _Toc389746292 \h </w:instrText>
      </w:r>
      <w:r>
        <w:fldChar w:fldCharType="separate"/>
      </w:r>
      <w:r>
        <w:t>48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_Toc389746293 \h </w:instrText>
      </w:r>
      <w:r>
        <w:fldChar w:fldCharType="separate"/>
      </w:r>
      <w:r>
        <w:t>48</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_Toc389746294 \h </w:instrText>
      </w:r>
      <w:r>
        <w:fldChar w:fldCharType="separate"/>
      </w:r>
      <w:r>
        <w:t>49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_Toc389746295 \h </w:instrText>
      </w:r>
      <w:r>
        <w:fldChar w:fldCharType="separate"/>
      </w:r>
      <w:r>
        <w:t>49</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_Toc389746296 \h </w:instrText>
      </w:r>
      <w:r>
        <w:fldChar w:fldCharType="separate"/>
      </w:r>
      <w:r>
        <w:t>50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_Toc389746297 \h </w:instrText>
      </w:r>
      <w:r>
        <w:fldChar w:fldCharType="separate"/>
      </w:r>
      <w:r>
        <w:t>50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_Toc389746298 \h </w:instrText>
      </w:r>
      <w:r>
        <w:fldChar w:fldCharType="separate"/>
      </w:r>
      <w:r>
        <w:t>50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_Toc389746299 \h </w:instrText>
      </w:r>
      <w:r>
        <w:fldChar w:fldCharType="separate"/>
      </w:r>
      <w:r>
        <w:t>50</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_Toc389746300 \h </w:instrText>
      </w:r>
      <w:r>
        <w:fldChar w:fldCharType="separate"/>
      </w:r>
      <w:r>
        <w:t>51</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_Toc389746301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_Toc389746302 \h </w:instrText>
      </w:r>
      <w:r>
        <w:fldChar w:fldCharType="separate"/>
      </w:r>
      <w:r>
        <w:t>52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_Toc389746303 \h </w:instrText>
      </w:r>
      <w:r>
        <w:fldChar w:fldCharType="separate"/>
      </w:r>
      <w:r>
        <w:t>53</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_Toc389746304 \h </w:instrText>
      </w:r>
      <w:r>
        <w:fldChar w:fldCharType="separate"/>
      </w:r>
      <w:r>
        <w:t>54</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_Toc389746305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_Toc389746306 \h </w:instrText>
      </w:r>
      <w:r>
        <w:fldChar w:fldCharType="separate"/>
      </w:r>
      <w:r>
        <w:t>56</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_Toc389746307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_Toc389746309 \h </w:instrText>
      </w:r>
      <w:r>
        <w:fldChar w:fldCharType="separate"/>
      </w:r>
      <w:r>
        <w:t>58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_Toc389746310 \h </w:instrText>
      </w:r>
      <w:r>
        <w:fldChar w:fldCharType="separate"/>
      </w:r>
      <w:r>
        <w:t>59</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_Toc389746311 \h </w:instrText>
      </w:r>
      <w:r>
        <w:fldChar w:fldCharType="separate"/>
      </w:r>
      <w:r>
        <w:t>60</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_Toc389746312 \h </w:instrText>
      </w:r>
      <w:r>
        <w:fldChar w:fldCharType="separate"/>
      </w:r>
      <w:r>
        <w:t>60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_Toc389746313 \h </w:instrText>
      </w:r>
      <w:r>
        <w:fldChar w:fldCharType="separate"/>
      </w:r>
      <w:r>
        <w:t>60</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_Toc389746314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_Toc389746317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_Toc389746318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_Toc389746319 \h </w:instrText>
      </w:r>
      <w:r>
        <w:fldChar w:fldCharType="separate"/>
      </w:r>
      <w:r>
        <w:t>64</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_Toc389746320 \h </w:instrText>
      </w:r>
      <w:r>
        <w:fldChar w:fldCharType="separate"/>
      </w:r>
      <w:r>
        <w:t>64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_Toc389746321 \h </w:instrText>
      </w:r>
      <w:r>
        <w:fldChar w:fldCharType="separate"/>
      </w:r>
      <w:r>
        <w:t>65</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_Toc389746322 \h </w:instrText>
      </w:r>
      <w:r>
        <w:fldChar w:fldCharType="separate"/>
      </w:r>
      <w:r>
        <w:t>65</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_Toc389746323 \h </w:instrText>
      </w:r>
      <w:r>
        <w:fldChar w:fldCharType="separate"/>
      </w:r>
      <w:r>
        <w:t>65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_Toc389746324 \h </w:instrText>
      </w:r>
      <w:r>
        <w:fldChar w:fldCharType="separate"/>
      </w:r>
      <w:r>
        <w:t>67</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_Toc389746325 \h </w:instrText>
      </w:r>
      <w:r>
        <w:fldChar w:fldCharType="separate"/>
      </w:r>
      <w:r>
        <w:t>69</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_Toc389746326 \h </w:instrText>
      </w:r>
      <w:r>
        <w:fldChar w:fldCharType="separate"/>
      </w:r>
      <w:r>
        <w:t>70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_Toc389746327 \h </w:instrText>
      </w:r>
      <w:r>
        <w:fldChar w:fldCharType="separate"/>
      </w:r>
      <w:r>
        <w:t>71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_Toc389746328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_Toc389746329 \h </w:instrText>
      </w:r>
      <w:r>
        <w:fldChar w:fldCharType="separate"/>
      </w:r>
      <w:r>
        <w:t>73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_Toc389746330 \h </w:instrText>
      </w:r>
      <w:r>
        <w:fldChar w:fldCharType="separate"/>
      </w:r>
      <w:r>
        <w:t>74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_Toc389746331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_Toc389746334 \h </w:instrText>
      </w:r>
      <w:r>
        <w:fldChar w:fldCharType="separate"/>
      </w:r>
      <w:r>
        <w:t>76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rPr>
          <w:snapToGrid w:val="0"/>
        </w:rPr>
        <w:t>.</w:t>
      </w:r>
      <w:r>
        <w:rPr>
          <w:snapToGrid w:val="0"/>
        </w:rPr>
        <w:tab/>
        <w:t>Definition of “drug addict”</w:t>
      </w:r>
      <w:r>
        <w:tab/>
      </w:r>
      <w:r>
        <w:fldChar w:fldCharType="begin"/>
      </w:r>
      <w:r>
        <w:instrText xml:space="preserve"> PAGEREF _Toc389746336 \h </w:instrText>
      </w:r>
      <w:r>
        <w:fldChar w:fldCharType="separate"/>
      </w:r>
      <w:r>
        <w:t>78</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_Toc389746337 \h </w:instrText>
      </w:r>
      <w:r>
        <w:fldChar w:fldCharType="separate"/>
      </w:r>
      <w:r>
        <w:t>79</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Drug addicts: medical practitioner or dentist not to prescribe or supply drugs of addiction without written authorisation</w:t>
      </w:r>
      <w:r>
        <w:tab/>
      </w:r>
      <w:r>
        <w:fldChar w:fldCharType="begin"/>
      </w:r>
      <w:r>
        <w:instrText xml:space="preserve"> PAGEREF _Toc389746338 \h </w:instrText>
      </w:r>
      <w:r>
        <w:fldChar w:fldCharType="separate"/>
      </w:r>
      <w:r>
        <w:t>79</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 xml:space="preserve">Authorisation of Commissioner of Health required for medical practitioner to prescribe methadone </w:t>
      </w:r>
      <w:r>
        <w:t>or buprenorphine</w:t>
      </w:r>
      <w:r>
        <w:rPr>
          <w:snapToGrid w:val="0"/>
        </w:rPr>
        <w:t xml:space="preserve"> for drug addict</w:t>
      </w:r>
      <w:r>
        <w:tab/>
      </w:r>
      <w:r>
        <w:fldChar w:fldCharType="begin"/>
      </w:r>
      <w:r>
        <w:instrText xml:space="preserve"> PAGEREF _Toc389746339 \h </w:instrText>
      </w:r>
      <w:r>
        <w:fldChar w:fldCharType="separate"/>
      </w:r>
      <w:r>
        <w:t>80</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Assessment of drug addict for treatment purposes</w:t>
      </w:r>
      <w:r>
        <w:tab/>
      </w:r>
      <w:r>
        <w:fldChar w:fldCharType="begin"/>
      </w:r>
      <w:r>
        <w:instrText xml:space="preserve"> PAGEREF _Toc389746340 \h </w:instrText>
      </w:r>
      <w:r>
        <w:fldChar w:fldCharType="separate"/>
      </w:r>
      <w:r>
        <w:t>80</w:t>
      </w:r>
      <w:r>
        <w:fldChar w:fldCharType="end"/>
      </w:r>
    </w:p>
    <w:p>
      <w:pPr>
        <w:pStyle w:val="TOC8"/>
        <w:rPr>
          <w:rFonts w:asciiTheme="minorHAnsi" w:eastAsiaTheme="minorEastAsia" w:hAnsiTheme="minorHAnsi" w:cstheme="minorBidi"/>
          <w:szCs w:val="22"/>
        </w:rPr>
      </w:pPr>
      <w:r>
        <w:t>51E</w:t>
      </w:r>
      <w:r>
        <w:rPr>
          <w:snapToGrid w:val="0"/>
        </w:rPr>
        <w:t>.</w:t>
      </w:r>
      <w:r>
        <w:rPr>
          <w:snapToGrid w:val="0"/>
        </w:rPr>
        <w:tab/>
        <w:t>Conditions on treatment of drug addict</w:t>
      </w:r>
      <w:r>
        <w:tab/>
      </w:r>
      <w:r>
        <w:fldChar w:fldCharType="begin"/>
      </w:r>
      <w:r>
        <w:instrText xml:space="preserve"> PAGEREF _Toc389746341 \h </w:instrText>
      </w:r>
      <w:r>
        <w:fldChar w:fldCharType="separate"/>
      </w:r>
      <w:r>
        <w:t>81</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Treatment not to exceed 60 days unless authorised by Commissioner of Health</w:t>
      </w:r>
      <w:r>
        <w:tab/>
      </w:r>
      <w:r>
        <w:fldChar w:fldCharType="begin"/>
      </w:r>
      <w:r>
        <w:instrText xml:space="preserve"> PAGEREF _Toc389746342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_Toc389746344 \h </w:instrText>
      </w:r>
      <w:r>
        <w:fldChar w:fldCharType="separate"/>
      </w:r>
      <w:r>
        <w:t>85</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_Toc389746345 \h </w:instrText>
      </w:r>
      <w:r>
        <w:fldChar w:fldCharType="separate"/>
      </w:r>
      <w:r>
        <w:t>86</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_Toc389746346 \h </w:instrText>
      </w:r>
      <w:r>
        <w:fldChar w:fldCharType="separate"/>
      </w:r>
      <w:r>
        <w:t>86</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_Toc389746347 \h </w:instrText>
      </w:r>
      <w:r>
        <w:fldChar w:fldCharType="separate"/>
      </w:r>
      <w:r>
        <w:t>87</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_Toc389746348 \h </w:instrText>
      </w:r>
      <w:r>
        <w:fldChar w:fldCharType="separate"/>
      </w:r>
      <w:r>
        <w:t>87</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_Toc389746349 \h </w:instrText>
      </w:r>
      <w:r>
        <w:fldChar w:fldCharType="separate"/>
      </w:r>
      <w:r>
        <w:t>88</w:t>
      </w:r>
      <w:r>
        <w:fldChar w:fldCharType="end"/>
      </w:r>
    </w:p>
    <w:p>
      <w:pPr>
        <w:pStyle w:val="TOC8"/>
        <w:rPr>
          <w:rFonts w:asciiTheme="minorHAnsi" w:eastAsiaTheme="minorEastAsia" w:hAnsiTheme="minorHAnsi" w:cstheme="minorBidi"/>
          <w:szCs w:val="22"/>
        </w:rPr>
      </w:pPr>
      <w:r>
        <w:t>51GAF.</w:t>
      </w:r>
      <w:r>
        <w:tab/>
        <w:t>Notification to Commissioner of Health of supply or prescription of a stimulant</w:t>
      </w:r>
      <w:r>
        <w:tab/>
      </w:r>
      <w:r>
        <w:fldChar w:fldCharType="begin"/>
      </w:r>
      <w:r>
        <w:instrText xml:space="preserve"> PAGEREF _Toc389746350 \h </w:instrText>
      </w:r>
      <w:r>
        <w:fldChar w:fldCharType="separate"/>
      </w:r>
      <w:r>
        <w:t>89</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_Toc389746351 \h </w:instrText>
      </w:r>
      <w:r>
        <w:fldChar w:fldCharType="separate"/>
      </w:r>
      <w:r>
        <w:t>90</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_Toc389746352 \h </w:instrText>
      </w:r>
      <w:r>
        <w:fldChar w:fldCharType="separate"/>
      </w:r>
      <w:r>
        <w:t>90</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_Toc389746353 \h </w:instrText>
      </w:r>
      <w:r>
        <w:fldChar w:fldCharType="separate"/>
      </w:r>
      <w:r>
        <w:t>91</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_Toc389746354 \h </w:instrText>
      </w:r>
      <w:r>
        <w:fldChar w:fldCharType="separate"/>
      </w:r>
      <w:r>
        <w:t>91</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_Toc389746355 \h </w:instrText>
      </w:r>
      <w:r>
        <w:fldChar w:fldCharType="separate"/>
      </w:r>
      <w:r>
        <w:t>91</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_Toc389746356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_Toc389746358 \h </w:instrText>
      </w:r>
      <w:r>
        <w:fldChar w:fldCharType="separate"/>
      </w:r>
      <w:r>
        <w:t>94</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_Toc389746359 \h </w:instrText>
      </w:r>
      <w:r>
        <w:fldChar w:fldCharType="separate"/>
      </w:r>
      <w:r>
        <w:t>99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_Toc389746360 \h </w:instrText>
      </w:r>
      <w:r>
        <w:fldChar w:fldCharType="separate"/>
      </w:r>
      <w:r>
        <w:t>99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_Toc389746361 \h </w:instrText>
      </w:r>
      <w:r>
        <w:fldChar w:fldCharType="separate"/>
      </w:r>
      <w:r>
        <w:t>100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_Toc389746362 \h </w:instrText>
      </w:r>
      <w:r>
        <w:fldChar w:fldCharType="separate"/>
      </w:r>
      <w:r>
        <w:t>100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_Toc389746363 \h </w:instrText>
      </w:r>
      <w:r>
        <w:fldChar w:fldCharType="separate"/>
      </w:r>
      <w:r>
        <w:t>101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_Toc389746364 \h </w:instrText>
      </w:r>
      <w:r>
        <w:fldChar w:fldCharType="separate"/>
      </w:r>
      <w:r>
        <w:t>102</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_Toc389746365 \h </w:instrText>
      </w:r>
      <w:r>
        <w:fldChar w:fldCharType="separate"/>
      </w:r>
      <w:r>
        <w:t>103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_Toc389746366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_Toc389746368 \h </w:instrText>
      </w:r>
      <w:r>
        <w:fldChar w:fldCharType="separate"/>
      </w:r>
      <w:r>
        <w:t>104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_Toc389746369 \h </w:instrText>
      </w:r>
      <w:r>
        <w:fldChar w:fldCharType="separate"/>
      </w:r>
      <w:r>
        <w:t>106</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_Toc389746370 \h </w:instrText>
      </w:r>
      <w:r>
        <w:fldChar w:fldCharType="separate"/>
      </w:r>
      <w:r>
        <w:t>106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_Toc389746371 \h </w:instrText>
      </w:r>
      <w:r>
        <w:fldChar w:fldCharType="separate"/>
      </w:r>
      <w:r>
        <w:t>107</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_Toc389746372 \h </w:instrText>
      </w:r>
      <w:r>
        <w:fldChar w:fldCharType="separate"/>
      </w:r>
      <w:r>
        <w:t>107</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_Toc389746373 \h </w:instrText>
      </w:r>
      <w:r>
        <w:fldChar w:fldCharType="separate"/>
      </w:r>
      <w:r>
        <w:t>107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_Toc389746374 \h </w:instrText>
      </w:r>
      <w:r>
        <w:fldChar w:fldCharType="separate"/>
      </w:r>
      <w:r>
        <w:t>108</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_Toc389746375 \h </w:instrText>
      </w:r>
      <w:r>
        <w:fldChar w:fldCharType="separate"/>
      </w:r>
      <w:r>
        <w:t>108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_Toc389746376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_Toc389746378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_Toc389746379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_Toc389746381 \h </w:instrText>
      </w:r>
      <w:r>
        <w:fldChar w:fldCharType="separate"/>
      </w:r>
      <w:r>
        <w:t>111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_Toc389746382 \h </w:instrText>
      </w:r>
      <w:r>
        <w:fldChar w:fldCharType="separate"/>
      </w:r>
      <w:r>
        <w:t>111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_Toc389746383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_Toc389746394 \h </w:instrText>
      </w:r>
      <w:r>
        <w:fldChar w:fldCharType="separate"/>
      </w:r>
      <w:r>
        <w:t>133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_Toc389746395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_Toc389746397 \h </w:instrText>
      </w:r>
      <w:r>
        <w:fldChar w:fldCharType="separate"/>
      </w:r>
      <w:r>
        <w:t>135</w:t>
      </w:r>
      <w:r>
        <w:fldChar w:fldCharType="end"/>
      </w:r>
    </w:p>
    <w:p>
      <w:pPr>
        <w:pStyle w:val="TOC6"/>
        <w:rPr>
          <w:i/>
        </w:rPr>
      </w:pPr>
      <w:r>
        <w:rPr>
          <w:i/>
          <w:sz w:val="24"/>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May 2006</w:t>
            </w:r>
          </w:p>
        </w:tc>
      </w:tr>
    </w:tbl>
    <w:p>
      <w:pPr>
        <w:pStyle w:val="WA"/>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223"/>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224"/>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225"/>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Commissioner of Health;</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Commissioner of Health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Commissioner of Health;</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Commissioner of Health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amended by Act No. 9 of 2003 s. 41.] </w:t>
      </w:r>
    </w:p>
    <w:p>
      <w:pPr>
        <w:pStyle w:val="Heading5"/>
        <w:rPr>
          <w:snapToGrid w:val="0"/>
        </w:rPr>
      </w:pPr>
      <w:bookmarkStart w:id="4" w:name="_Toc389746226"/>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227"/>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228"/>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229"/>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230"/>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Commissioner of Health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i w:val="0"/>
          <w:iCs/>
          <w:vertAlign w:val="superscript"/>
        </w:rPr>
        <w:t>3</w:t>
      </w:r>
      <w:r>
        <w:t xml:space="preserve"> p. 5073</w:t>
      </w:r>
      <w:r>
        <w:noBreakHyphen/>
        <w:t>4.]</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9" w:name="_Toc389746231"/>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0" w:name="_Toc389746232"/>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233"/>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234"/>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within 7 days of ceasing to represent the manufacturer or wholesale supplier, the detailer shall advise the Commissioner of Health in writing of the fact and deliver up therewith his permit to the Commissioner of Health and the Commissioner of Health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 Commissioner of Health,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Upon receiving a written request from the Commissioner of Health a detailer shall submit all records of samples received and delivered and shall make an account of those samples to the Commissioner of Health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w:t>
      </w:r>
    </w:p>
    <w:p>
      <w:pPr>
        <w:pStyle w:val="Ednotedivision"/>
      </w:pPr>
      <w:r>
        <w:t>[Heading deleted in Gazette 12 Aug 2003 p. 3663.]</w:t>
      </w:r>
    </w:p>
    <w:p>
      <w:pPr>
        <w:pStyle w:val="Heading5"/>
        <w:rPr>
          <w:snapToGrid w:val="0"/>
        </w:rPr>
      </w:pPr>
      <w:bookmarkStart w:id="13" w:name="_Toc389746235"/>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236"/>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237"/>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238"/>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239"/>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240"/>
      <w:r>
        <w:rPr>
          <w:rStyle w:val="CharSectno"/>
        </w:rPr>
        <w:t>11</w:t>
      </w:r>
      <w:r>
        <w:rPr>
          <w:snapToGrid w:val="0"/>
        </w:rPr>
        <w:t>.</w:t>
      </w:r>
      <w:r>
        <w:rPr>
          <w:snapToGrid w:val="0"/>
        </w:rPr>
        <w:tab/>
        <w:t>Commissioner of Health may designate remote area nursing posts</w:t>
      </w:r>
      <w:bookmarkEnd w:id="18"/>
      <w:r>
        <w:rPr>
          <w:snapToGrid w:val="0"/>
        </w:rPr>
        <w:t xml:space="preserve"> </w:t>
      </w:r>
    </w:p>
    <w:p>
      <w:pPr>
        <w:pStyle w:val="Subsection"/>
        <w:rPr>
          <w:snapToGrid w:val="0"/>
        </w:rPr>
      </w:pPr>
      <w:r>
        <w:rPr>
          <w:snapToGrid w:val="0"/>
        </w:rPr>
        <w:tab/>
        <w:t>(1)</w:t>
      </w:r>
      <w:r>
        <w:rPr>
          <w:snapToGrid w:val="0"/>
        </w:rPr>
        <w:tab/>
        <w:t>The Commissioner of Health may, in writing, designate a remote area site to be a remote area nursing post for the purposes of these regulations.</w:t>
      </w:r>
    </w:p>
    <w:p>
      <w:pPr>
        <w:pStyle w:val="Subsection"/>
        <w:rPr>
          <w:snapToGrid w:val="0"/>
        </w:rPr>
      </w:pPr>
      <w:r>
        <w:rPr>
          <w:snapToGrid w:val="0"/>
        </w:rPr>
        <w:tab/>
        <w:t>(2)</w:t>
      </w:r>
      <w:r>
        <w:rPr>
          <w:snapToGrid w:val="0"/>
        </w:rPr>
        <w:tab/>
        <w:t>The Commissioner of Health may amend or withdraw a designation under subregulation (1), in writing, at any time.</w:t>
      </w:r>
    </w:p>
    <w:p>
      <w:pPr>
        <w:pStyle w:val="Footnotesection"/>
      </w:pPr>
      <w:r>
        <w:tab/>
        <w:t>[Regulation 11 inserted in Gazette 24 Jun 1994 p. 2865.]</w:t>
      </w:r>
    </w:p>
    <w:p>
      <w:pPr>
        <w:pStyle w:val="Heading5"/>
      </w:pPr>
      <w:bookmarkStart w:id="19" w:name="_Toc389746241"/>
      <w:r>
        <w:rPr>
          <w:rStyle w:val="CharSectno"/>
        </w:rPr>
        <w:t>11A</w:t>
      </w:r>
      <w:r>
        <w:t>.</w:t>
      </w:r>
      <w:r>
        <w:tab/>
        <w:t>Commissioner of Health may designate areas for the purposes of section 23 of the Act</w:t>
      </w:r>
      <w:bookmarkEnd w:id="19"/>
    </w:p>
    <w:p>
      <w:pPr>
        <w:pStyle w:val="Subsection"/>
      </w:pPr>
      <w:r>
        <w:tab/>
        <w:t>(1)</w:t>
      </w:r>
      <w:r>
        <w:tab/>
        <w:t>The Commissioner of Health may, in writing, designate an area for the purposes of section 23(2)(e) of the Act.</w:t>
      </w:r>
    </w:p>
    <w:p>
      <w:pPr>
        <w:pStyle w:val="Subsection"/>
      </w:pPr>
      <w:r>
        <w:tab/>
        <w:t>(2)</w:t>
      </w:r>
      <w:r>
        <w:tab/>
        <w:t>The Commissioner of Health may amend or withdraw a designation under subregulation (1), in writing, at any time, subject to subregulation (4).</w:t>
      </w:r>
    </w:p>
    <w:p>
      <w:pPr>
        <w:pStyle w:val="Subsection"/>
        <w:rPr>
          <w:snapToGrid w:val="0"/>
        </w:rPr>
      </w:pPr>
      <w:r>
        <w:tab/>
        <w:t>(3)</w:t>
      </w:r>
      <w:r>
        <w:tab/>
      </w:r>
      <w:r>
        <w:rPr>
          <w:snapToGrid w:val="0"/>
        </w:rPr>
        <w:t>The Commissioner of Health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The Commissioner of Health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w:t>
      </w:r>
    </w:p>
    <w:p>
      <w:pPr>
        <w:pStyle w:val="Ednotedivision"/>
      </w:pPr>
      <w:r>
        <w:t>[Heading deleted in Gazette 12 Aug 2003 p. 3663.]</w:t>
      </w:r>
    </w:p>
    <w:p>
      <w:pPr>
        <w:pStyle w:val="Heading5"/>
        <w:rPr>
          <w:snapToGrid w:val="0"/>
        </w:rPr>
      </w:pPr>
      <w:bookmarkStart w:id="20" w:name="_Toc389746242"/>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A person who wishes to apply for a licence under section 24 of the Act or a permit under section 25 of the Act shall lodge with the Commissioner of Health an application in such form as may be approved by the Commissioner of Health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The Commissioner of Health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w:t>
      </w:r>
    </w:p>
    <w:p>
      <w:pPr>
        <w:pStyle w:val="Heading3"/>
      </w:pPr>
      <w:bookmarkStart w:id="21" w:name="_Toc389746243"/>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244"/>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A person may apply to the Commissioner of Health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The Commissioner of Health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 Commissioner of Health;</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The Commissioner of Health is not to approve a needle and syringe programme unless the Commissioner of Health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w:t>
      </w:r>
    </w:p>
    <w:p>
      <w:pPr>
        <w:pStyle w:val="Heading5"/>
        <w:rPr>
          <w:snapToGrid w:val="0"/>
        </w:rPr>
      </w:pPr>
      <w:bookmarkStart w:id="23" w:name="_Toc389746245"/>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Where the Commissioner of Health approves a needle and syringe programme, the Commissioner of Health is to provide a copy of the instrument of approval to the coordinator of the programme.</w:t>
      </w:r>
    </w:p>
    <w:p>
      <w:pPr>
        <w:pStyle w:val="Footnotesection"/>
      </w:pPr>
      <w:r>
        <w:tab/>
        <w:t>[Regulation 12B inserted in Gazette 26 May 1994 p. 2198.]</w:t>
      </w:r>
    </w:p>
    <w:p>
      <w:pPr>
        <w:pStyle w:val="Heading5"/>
        <w:spacing w:before="180"/>
        <w:rPr>
          <w:snapToGrid w:val="0"/>
        </w:rPr>
      </w:pPr>
      <w:bookmarkStart w:id="24" w:name="_Toc389746246"/>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submit to the Commissioner of Health before 30 June in each year an annual report on the needle and syringe programme; and</w:t>
      </w:r>
    </w:p>
    <w:p>
      <w:pPr>
        <w:pStyle w:val="Indenta"/>
        <w:rPr>
          <w:snapToGrid w:val="0"/>
        </w:rPr>
      </w:pPr>
      <w:r>
        <w:rPr>
          <w:snapToGrid w:val="0"/>
        </w:rPr>
        <w:tab/>
        <w:t>(d)</w:t>
      </w:r>
      <w:r>
        <w:rPr>
          <w:snapToGrid w:val="0"/>
        </w:rPr>
        <w:tab/>
        <w:t>report to the Commissioner of Health any irregularities that occur in the conduct of the programme.</w:t>
      </w:r>
    </w:p>
    <w:p>
      <w:pPr>
        <w:pStyle w:val="Footnotesection"/>
      </w:pPr>
      <w:r>
        <w:tab/>
        <w:t xml:space="preserve">[Regulation 12C inserted in Gazette 26 May 1994 p. 2198.] </w:t>
      </w:r>
    </w:p>
    <w:p>
      <w:pPr>
        <w:pStyle w:val="Heading5"/>
        <w:spacing w:before="180"/>
        <w:rPr>
          <w:snapToGrid w:val="0"/>
        </w:rPr>
      </w:pPr>
      <w:bookmarkStart w:id="25" w:name="_Toc389746247"/>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the Commissioner of Health approves a needle and syringe programme, the Commissioner of Health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w:t>
      </w:r>
    </w:p>
    <w:p>
      <w:pPr>
        <w:pStyle w:val="Heading5"/>
        <w:rPr>
          <w:snapToGrid w:val="0"/>
        </w:rPr>
      </w:pPr>
      <w:bookmarkStart w:id="26" w:name="_Toc389746248"/>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Where the Commissioner of Health is of the opinion that a person is not a suitable person to participate in the conduct of an approved needle and syringe programme, the Commissioner of Health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w:t>
      </w:r>
    </w:p>
    <w:p>
      <w:pPr>
        <w:pStyle w:val="Heading5"/>
        <w:rPr>
          <w:snapToGrid w:val="0"/>
        </w:rPr>
      </w:pPr>
      <w:bookmarkStart w:id="27" w:name="_Toc389746249"/>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A person who, in the course of the conduct of an approved needle and syringe programme, receives any used hypodermic needle or used hypodermic syringe shall immediately place the needle and syringe in a receptacle of a type approved by the Commissioner of Health and the Commissioner of Police.</w:t>
      </w:r>
    </w:p>
    <w:p>
      <w:pPr>
        <w:pStyle w:val="Footnotesection"/>
      </w:pPr>
      <w:r>
        <w:tab/>
        <w:t>[Regulation 12F inserted in Gazette 26 May 1994 p. 2199.]</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28" w:name="_Toc389746250"/>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251"/>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 Commissioner of Health.</w:t>
      </w:r>
    </w:p>
    <w:p>
      <w:pPr>
        <w:pStyle w:val="Footnotesection"/>
        <w:keepNext/>
      </w:pPr>
      <w:r>
        <w:tab/>
        <w:t>[Regulation 15 amended in Gazette 29 Jun 1984 p. 1784; 25 Jun 1993 p. 3085; 26 May 1994 p. 2201.]</w:t>
      </w:r>
    </w:p>
    <w:p>
      <w:pPr>
        <w:pStyle w:val="Heading5"/>
        <w:rPr>
          <w:snapToGrid w:val="0"/>
        </w:rPr>
      </w:pPr>
      <w:bookmarkStart w:id="30" w:name="_Toc389746252"/>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253"/>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 Commissioner of Health,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 Commissioner of Health.</w:t>
      </w:r>
    </w:p>
    <w:p>
      <w:pPr>
        <w:pStyle w:val="Footnotesection"/>
        <w:keepLines w:val="0"/>
      </w:pPr>
      <w:r>
        <w:tab/>
        <w:t xml:space="preserve">[Regulation 17 amended in Gazette 29 Jun 1984 p. 1784; 25 Jun 1993 p. 3085; 26 May 1994 p. 2201.] </w:t>
      </w:r>
    </w:p>
    <w:p>
      <w:pPr>
        <w:pStyle w:val="Heading5"/>
        <w:rPr>
          <w:snapToGrid w:val="0"/>
        </w:rPr>
      </w:pPr>
      <w:bookmarkStart w:id="32" w:name="_Toc389746254"/>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255"/>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256"/>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257"/>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258"/>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 Commissioner of Health.</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 Commissioner of Health.</w:t>
      </w:r>
    </w:p>
    <w:p>
      <w:pPr>
        <w:pStyle w:val="Footnotesection"/>
        <w:spacing w:before="100"/>
        <w:ind w:left="890" w:hanging="890"/>
      </w:pPr>
      <w:r>
        <w:tab/>
        <w:t>[Regulation 19AA inserted in Gazette 23 Nov 1990 p. 5791; amended in Gazette 26 May 1994 p. 2201; 19 Mar 1996 p. 1219</w:t>
      </w:r>
      <w:r>
        <w:noBreakHyphen/>
        <w:t>20.]</w:t>
      </w:r>
    </w:p>
    <w:p>
      <w:pPr>
        <w:pStyle w:val="Heading5"/>
        <w:spacing w:before="180"/>
        <w:rPr>
          <w:snapToGrid w:val="0"/>
        </w:rPr>
      </w:pPr>
      <w:bookmarkStart w:id="37" w:name="_Toc389746259"/>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38" w:name="_Toc389746260"/>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261"/>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262"/>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1" w:name="_Toc389746263"/>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 Commissioner of Health.</w:t>
      </w:r>
    </w:p>
    <w:p>
      <w:pPr>
        <w:pStyle w:val="Footnotesection"/>
        <w:rPr>
          <w:spacing w:val="-4"/>
        </w:rPr>
      </w:pPr>
      <w:r>
        <w:tab/>
      </w:r>
      <w:r>
        <w:rPr>
          <w:spacing w:val="-4"/>
        </w:rPr>
        <w:t>[Regulation 24A inserted in Gazette 17 Aug 1990 p. 4081; amended in Gazette 26 May 1994 p. 2201; 19 Mar 1996 p. 1220.]</w:t>
      </w:r>
    </w:p>
    <w:p>
      <w:pPr>
        <w:pStyle w:val="Ednotedivision"/>
      </w:pPr>
      <w:r>
        <w:t>[Heading deleted in Gazette 12 Aug 2003 p. 3663.]</w:t>
      </w:r>
    </w:p>
    <w:p>
      <w:pPr>
        <w:pStyle w:val="Heading3"/>
      </w:pPr>
      <w:bookmarkStart w:id="42" w:name="_Toc389746264"/>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265"/>
      <w:r>
        <w:rPr>
          <w:rStyle w:val="CharSectno"/>
        </w:rPr>
        <w:t>25</w:t>
      </w:r>
      <w:r>
        <w:rPr>
          <w:snapToGrid w:val="0"/>
        </w:rPr>
        <w:t>.</w:t>
      </w:r>
      <w:r>
        <w:rPr>
          <w:snapToGrid w:val="0"/>
        </w:rPr>
        <w:tab/>
        <w:t>Commissioner of Health may approve container or label</w:t>
      </w:r>
      <w:bookmarkEnd w:id="43"/>
      <w:r>
        <w:rPr>
          <w:snapToGrid w:val="0"/>
        </w:rPr>
        <w:t xml:space="preserve"> </w:t>
      </w:r>
    </w:p>
    <w:p>
      <w:pPr>
        <w:pStyle w:val="Subsection"/>
        <w:rPr>
          <w:snapToGrid w:val="0"/>
        </w:rPr>
      </w:pPr>
      <w:r>
        <w:rPr>
          <w:snapToGrid w:val="0"/>
        </w:rPr>
        <w:tab/>
      </w:r>
      <w:r>
        <w:rPr>
          <w:snapToGrid w:val="0"/>
        </w:rPr>
        <w:tab/>
        <w:t>The Commissioner of Health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w:t>
      </w:r>
    </w:p>
    <w:p>
      <w:pPr>
        <w:pStyle w:val="Heading5"/>
        <w:rPr>
          <w:snapToGrid w:val="0"/>
        </w:rPr>
      </w:pPr>
      <w:bookmarkStart w:id="44" w:name="_Toc389746266"/>
      <w:r>
        <w:rPr>
          <w:rStyle w:val="CharSectno"/>
        </w:rPr>
        <w:t>26</w:t>
      </w:r>
      <w:r>
        <w:rPr>
          <w:snapToGrid w:val="0"/>
        </w:rPr>
        <w:t>.</w:t>
      </w:r>
      <w:r>
        <w:rPr>
          <w:snapToGrid w:val="0"/>
        </w:rPr>
        <w:tab/>
      </w:r>
      <w:r>
        <w:rPr>
          <w:snapToGrid w:val="0"/>
          <w:spacing w:val="-4"/>
        </w:rPr>
        <w:t>Commissioner of Health may suspend use of container or label</w:t>
      </w:r>
      <w:bookmarkEnd w:id="44"/>
      <w:r>
        <w:rPr>
          <w:snapToGrid w:val="0"/>
        </w:rPr>
        <w:t xml:space="preserve"> </w:t>
      </w:r>
    </w:p>
    <w:p>
      <w:pPr>
        <w:pStyle w:val="Subsection"/>
        <w:rPr>
          <w:snapToGrid w:val="0"/>
        </w:rPr>
      </w:pPr>
      <w:r>
        <w:rPr>
          <w:snapToGrid w:val="0"/>
        </w:rPr>
        <w:tab/>
      </w:r>
      <w:r>
        <w:rPr>
          <w:snapToGrid w:val="0"/>
        </w:rPr>
        <w:tab/>
        <w:t>The Commissioner of Health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45" w:name="_Toc389746267"/>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268"/>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269"/>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270"/>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271"/>
      <w:r>
        <w:rPr>
          <w:rStyle w:val="CharPartNo"/>
        </w:rPr>
        <w:t>Part 5</w:t>
      </w:r>
      <w:r>
        <w:t xml:space="preserve"> — </w:t>
      </w:r>
      <w:r>
        <w:rPr>
          <w:rStyle w:val="CharPartText"/>
        </w:rPr>
        <w:t>Sale, supply and use of poisons</w:t>
      </w:r>
      <w:bookmarkEnd w:id="49"/>
    </w:p>
    <w:p>
      <w:pPr>
        <w:pStyle w:val="Footnoteheading"/>
      </w:pPr>
      <w:r>
        <w:tab/>
        <w:t>[Heading inserted in Gazette 12 Aug 2003 p. 3664.]</w:t>
      </w:r>
    </w:p>
    <w:p>
      <w:pPr>
        <w:pStyle w:val="Heading3"/>
      </w:pPr>
      <w:bookmarkStart w:id="50" w:name="_Toc389746272"/>
      <w:r>
        <w:rPr>
          <w:rStyle w:val="CharDivNo"/>
        </w:rPr>
        <w:t>Division 1 </w:t>
      </w:r>
      <w:r>
        <w:t>—</w:t>
      </w:r>
      <w:r>
        <w:rPr>
          <w:rStyle w:val="CharDivNo"/>
        </w:rPr>
        <w:t xml:space="preserve"> </w:t>
      </w:r>
      <w:r>
        <w:rPr>
          <w:rStyle w:val="CharDivText"/>
        </w:rPr>
        <w:t>Restrictions</w:t>
      </w:r>
      <w:bookmarkEnd w:id="50"/>
    </w:p>
    <w:p>
      <w:pPr>
        <w:pStyle w:val="Footnoteheading"/>
      </w:pPr>
      <w:r>
        <w:tab/>
        <w:t>[Heading inserted in Gazette 12 Aug 2003 p. 3664.]</w:t>
      </w:r>
    </w:p>
    <w:p>
      <w:pPr>
        <w:pStyle w:val="Heading5"/>
        <w:rPr>
          <w:snapToGrid w:val="0"/>
        </w:rPr>
      </w:pPr>
      <w:bookmarkStart w:id="51" w:name="_Toc389746273"/>
      <w:r>
        <w:rPr>
          <w:rStyle w:val="CharSectno"/>
        </w:rPr>
        <w:t>33</w:t>
      </w:r>
      <w:r>
        <w:rPr>
          <w:snapToGrid w:val="0"/>
        </w:rPr>
        <w:t>.</w:t>
      </w:r>
      <w:r>
        <w:rPr>
          <w:snapToGrid w:val="0"/>
        </w:rPr>
        <w:tab/>
        <w:t>Poison not to be sold to persons under 16 years</w:t>
      </w:r>
      <w:bookmarkEnd w:id="5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2" w:name="_Toc389746274"/>
      <w:r>
        <w:rPr>
          <w:rStyle w:val="CharSectno"/>
        </w:rPr>
        <w:t>33A</w:t>
      </w:r>
      <w:r>
        <w:rPr>
          <w:snapToGrid w:val="0"/>
        </w:rPr>
        <w:t>.</w:t>
      </w:r>
      <w:r>
        <w:rPr>
          <w:snapToGrid w:val="0"/>
        </w:rPr>
        <w:tab/>
        <w:t>Restrictions applying to veterinary preparations</w:t>
      </w:r>
      <w:bookmarkEnd w:id="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3" w:name="_Toc389746275"/>
      <w:r>
        <w:rPr>
          <w:rStyle w:val="CharSectno"/>
        </w:rPr>
        <w:t>33B</w:t>
      </w:r>
      <w:r>
        <w:rPr>
          <w:snapToGrid w:val="0"/>
        </w:rPr>
        <w:t>.</w:t>
      </w:r>
      <w:r>
        <w:rPr>
          <w:snapToGrid w:val="0"/>
        </w:rPr>
        <w:tab/>
        <w:t>Adoption of SUSDP for certain paints</w:t>
      </w:r>
      <w:bookmarkEnd w:id="53"/>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54" w:name="_Toc389746276"/>
      <w:r>
        <w:rPr>
          <w:rStyle w:val="CharSectno"/>
        </w:rPr>
        <w:t>35</w:t>
      </w:r>
      <w:r>
        <w:rPr>
          <w:snapToGrid w:val="0"/>
        </w:rPr>
        <w:t>.</w:t>
      </w:r>
      <w:r>
        <w:rPr>
          <w:snapToGrid w:val="0"/>
        </w:rPr>
        <w:tab/>
        <w:t>Restrictions on retail sale of substances included in Schedule 2</w:t>
      </w:r>
      <w:bookmarkEnd w:id="5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55" w:name="_Toc389746277"/>
      <w:r>
        <w:rPr>
          <w:rStyle w:val="CharSectno"/>
        </w:rPr>
        <w:t>35A</w:t>
      </w:r>
      <w:r>
        <w:rPr>
          <w:snapToGrid w:val="0"/>
        </w:rPr>
        <w:t>.</w:t>
      </w:r>
      <w:r>
        <w:rPr>
          <w:snapToGrid w:val="0"/>
        </w:rPr>
        <w:tab/>
        <w:t>Restrictions on retail sale of substances included in Schedule 3</w:t>
      </w:r>
      <w:bookmarkEnd w:id="55"/>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56" w:name="_Toc389746278"/>
      <w:r>
        <w:rPr>
          <w:rStyle w:val="CharSectno"/>
        </w:rPr>
        <w:t>35B</w:t>
      </w:r>
      <w:r>
        <w:rPr>
          <w:snapToGrid w:val="0"/>
        </w:rPr>
        <w:t>.</w:t>
      </w:r>
      <w:r>
        <w:rPr>
          <w:snapToGrid w:val="0"/>
        </w:rPr>
        <w:tab/>
        <w:t>Storage of substances included in Schedule 3</w:t>
      </w:r>
      <w:bookmarkEnd w:id="5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57" w:name="_Toc389746279"/>
      <w:r>
        <w:rPr>
          <w:rStyle w:val="CharSectno"/>
        </w:rPr>
        <w:t>35C</w:t>
      </w:r>
      <w:r>
        <w:rPr>
          <w:snapToGrid w:val="0"/>
        </w:rPr>
        <w:t>.</w:t>
      </w:r>
      <w:r>
        <w:rPr>
          <w:snapToGrid w:val="0"/>
        </w:rPr>
        <w:tab/>
        <w:t>Advertising of substances included in Schedule 3</w:t>
      </w:r>
      <w:bookmarkEnd w:id="5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58" w:name="_Toc389746280"/>
      <w:r>
        <w:rPr>
          <w:rStyle w:val="CharSectno"/>
        </w:rPr>
        <w:t>35D</w:t>
      </w:r>
      <w:r>
        <w:t>.</w:t>
      </w:r>
      <w:r>
        <w:tab/>
        <w:t>Advertising of substances included in Schedule 4</w:t>
      </w:r>
      <w:bookmarkEnd w:id="5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59" w:name="_Toc389746281"/>
      <w:r>
        <w:rPr>
          <w:rStyle w:val="CharDivNo"/>
        </w:rPr>
        <w:t>Division 2</w:t>
      </w:r>
      <w:r>
        <w:t xml:space="preserve"> — </w:t>
      </w:r>
      <w:r>
        <w:rPr>
          <w:rStyle w:val="CharDivText"/>
        </w:rPr>
        <w:t>Schedule 4 poisons</w:t>
      </w:r>
      <w:bookmarkEnd w:id="59"/>
    </w:p>
    <w:p>
      <w:pPr>
        <w:pStyle w:val="Footnoteheading"/>
      </w:pPr>
      <w:r>
        <w:tab/>
        <w:t>[Heading inserted in Gazette 12 Aug 2003 p. 3664; amended in Gazette 4 Jan 2005 p. 3.]</w:t>
      </w:r>
    </w:p>
    <w:p>
      <w:pPr>
        <w:pStyle w:val="Heading5"/>
        <w:rPr>
          <w:snapToGrid w:val="0"/>
        </w:rPr>
      </w:pPr>
      <w:bookmarkStart w:id="60" w:name="_Toc389746282"/>
      <w:r>
        <w:rPr>
          <w:rStyle w:val="CharSectno"/>
        </w:rPr>
        <w:t>36</w:t>
      </w:r>
      <w:r>
        <w:rPr>
          <w:snapToGrid w:val="0"/>
        </w:rPr>
        <w:t>.</w:t>
      </w:r>
      <w:r>
        <w:rPr>
          <w:snapToGrid w:val="0"/>
        </w:rPr>
        <w:tab/>
        <w:t>Supply of poisons included in Schedule 4</w:t>
      </w:r>
      <w:bookmarkEnd w:id="6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 Commissioner of Health;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alternative recording methods which have been specifically and individually approved in writing by the Commissioner of Health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a pharmaceutical chemist to whom a prescription referred to in paragraph (e) is presented shall retain the prescription and forthwith inform the Commissioner of Health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amended by Act No. 9 of 2003 s. 44.] </w:t>
      </w:r>
    </w:p>
    <w:p>
      <w:pPr>
        <w:pStyle w:val="Heading5"/>
        <w:spacing w:before="260"/>
      </w:pPr>
      <w:bookmarkStart w:id="61" w:name="_Toc389746283"/>
      <w:r>
        <w:rPr>
          <w:rStyle w:val="CharSectno"/>
        </w:rPr>
        <w:t>36AA</w:t>
      </w:r>
      <w:r>
        <w:t>.</w:t>
      </w:r>
      <w:r>
        <w:tab/>
        <w:t>Provision of “approved starter packs” by registered nurses</w:t>
      </w:r>
      <w:bookmarkEnd w:id="61"/>
    </w:p>
    <w:p>
      <w:pPr>
        <w:pStyle w:val="Subsection"/>
        <w:spacing w:before="200"/>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Commissioner of Health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Commissioner of Health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keepNex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Commissioner of Health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w:t>
      </w:r>
    </w:p>
    <w:p>
      <w:pPr>
        <w:pStyle w:val="Heading5"/>
      </w:pPr>
      <w:bookmarkStart w:id="62" w:name="_Toc389746284"/>
      <w:r>
        <w:rPr>
          <w:rStyle w:val="CharSectno"/>
        </w:rPr>
        <w:t>36A</w:t>
      </w:r>
      <w:r>
        <w:t>.</w:t>
      </w:r>
      <w:r>
        <w:tab/>
        <w:t>Storage of substances included in Schedule 4</w:t>
      </w:r>
      <w:bookmarkEnd w:id="62"/>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63" w:name="_Toc389746285"/>
      <w:r>
        <w:rPr>
          <w:rStyle w:val="CharSectno"/>
        </w:rPr>
        <w:t>36B</w:t>
      </w:r>
      <w:r>
        <w:t>.</w:t>
      </w:r>
      <w:r>
        <w:tab/>
        <w:t>Record of supply or administration of substances included in Schedule 4</w:t>
      </w:r>
      <w:bookmarkEnd w:id="63"/>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64" w:name="_Toc389746286"/>
      <w:r>
        <w:rPr>
          <w:rStyle w:val="CharSectno"/>
        </w:rPr>
        <w:t>37</w:t>
      </w:r>
      <w:r>
        <w:rPr>
          <w:snapToGrid w:val="0"/>
        </w:rPr>
        <w:t>.</w:t>
      </w:r>
      <w:r>
        <w:rPr>
          <w:snapToGrid w:val="0"/>
        </w:rPr>
        <w:tab/>
        <w:t>Conditions for prescription of a poison included in Schedule 4</w:t>
      </w:r>
      <w:bookmarkEnd w:id="6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With the written approval of the Commissioner of Health a medical practitioner,</w:t>
      </w:r>
      <w:r>
        <w:t xml:space="preserve"> nurse practitioner,</w:t>
      </w:r>
      <w:r>
        <w:rPr>
          <w:snapToGrid w:val="0"/>
        </w:rPr>
        <w:t xml:space="preserve"> dentist or veterinary surgeon may issue a typewritten prescription where the Commissioner of Health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amended by Act No. 9 of 2003 s. 45.]</w:t>
      </w:r>
    </w:p>
    <w:p>
      <w:pPr>
        <w:pStyle w:val="Ednotedivision"/>
      </w:pPr>
      <w:r>
        <w:t>[Heading deleted in Gazette 12 Aug 2003 p. 3663.]</w:t>
      </w:r>
    </w:p>
    <w:p>
      <w:pPr>
        <w:pStyle w:val="Heading5"/>
        <w:rPr>
          <w:snapToGrid w:val="0"/>
        </w:rPr>
      </w:pPr>
      <w:bookmarkStart w:id="65" w:name="_Toc389746287"/>
      <w:r>
        <w:rPr>
          <w:rStyle w:val="CharSectno"/>
        </w:rPr>
        <w:t>38</w:t>
      </w:r>
      <w:r>
        <w:rPr>
          <w:snapToGrid w:val="0"/>
        </w:rPr>
        <w:t>.</w:t>
      </w:r>
      <w:r>
        <w:rPr>
          <w:snapToGrid w:val="0"/>
        </w:rPr>
        <w:tab/>
      </w:r>
      <w:r>
        <w:rPr>
          <w:snapToGrid w:val="0"/>
          <w:spacing w:val="-4"/>
        </w:rPr>
        <w:t>Dispensing poisons included in Schedule 4 in emergency cases</w:t>
      </w:r>
      <w:bookmarkEnd w:id="65"/>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66" w:name="_Toc389746288"/>
      <w:r>
        <w:rPr>
          <w:rStyle w:val="CharSectno"/>
        </w:rPr>
        <w:t>38AA</w:t>
      </w:r>
      <w:r>
        <w:rPr>
          <w:snapToGrid w:val="0"/>
        </w:rPr>
        <w:t>.</w:t>
      </w:r>
      <w:r>
        <w:rPr>
          <w:snapToGrid w:val="0"/>
        </w:rPr>
        <w:tab/>
        <w:t>Administration of poisons included in Schedule 4 in hospital</w:t>
      </w:r>
      <w:bookmarkEnd w:id="66"/>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67" w:name="_Toc389746289"/>
      <w:r>
        <w:rPr>
          <w:rStyle w:val="CharSectno"/>
        </w:rPr>
        <w:t>38C</w:t>
      </w:r>
      <w:r>
        <w:rPr>
          <w:snapToGrid w:val="0"/>
        </w:rPr>
        <w:t>.</w:t>
      </w:r>
      <w:r>
        <w:rPr>
          <w:snapToGrid w:val="0"/>
        </w:rPr>
        <w:tab/>
        <w:t>Clomiphene and cyclofenil</w:t>
      </w:r>
      <w:bookmarkEnd w:id="67"/>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w:t>
      </w:r>
    </w:p>
    <w:p>
      <w:pPr>
        <w:pStyle w:val="Ednotedivision"/>
      </w:pPr>
      <w:r>
        <w:t>[Heading deleted in Gazette 12 Aug 2003 p. 3663.]</w:t>
      </w:r>
    </w:p>
    <w:p>
      <w:pPr>
        <w:pStyle w:val="Heading5"/>
        <w:rPr>
          <w:snapToGrid w:val="0"/>
        </w:rPr>
      </w:pPr>
      <w:bookmarkStart w:id="68" w:name="_Toc389746290"/>
      <w:r>
        <w:rPr>
          <w:rStyle w:val="CharSectno"/>
        </w:rPr>
        <w:t>38D</w:t>
      </w:r>
      <w:r>
        <w:rPr>
          <w:snapToGrid w:val="0"/>
        </w:rPr>
        <w:t>.</w:t>
      </w:r>
      <w:r>
        <w:rPr>
          <w:snapToGrid w:val="0"/>
        </w:rPr>
        <w:tab/>
        <w:t>Etretinate or acitretin</w:t>
      </w:r>
      <w:bookmarkEnd w:id="6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69" w:name="_Toc389746291"/>
      <w:r>
        <w:rPr>
          <w:rStyle w:val="CharSectno"/>
        </w:rPr>
        <w:t>38E</w:t>
      </w:r>
      <w:r>
        <w:rPr>
          <w:snapToGrid w:val="0"/>
        </w:rPr>
        <w:t>.</w:t>
      </w:r>
      <w:r>
        <w:rPr>
          <w:snapToGrid w:val="0"/>
        </w:rPr>
        <w:tab/>
        <w:t>Prostaglandins</w:t>
      </w:r>
      <w:bookmarkEnd w:id="69"/>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 Commissioner of Health.</w:t>
      </w:r>
    </w:p>
    <w:p>
      <w:pPr>
        <w:pStyle w:val="Footnotesection"/>
      </w:pPr>
      <w:r>
        <w:tab/>
        <w:t xml:space="preserve">[Regulation 38E inserted in Gazette 2 Jun 1989 p. 1604; amended in Gazette 16 Apr 1992 p. 1635; 25 Jun 1993 p. 3085; 26 May 1994 p. 2201; 11 Apr 1997 p. 1830.] </w:t>
      </w:r>
    </w:p>
    <w:p>
      <w:pPr>
        <w:pStyle w:val="Ednotedivision"/>
        <w:spacing w:before="260"/>
      </w:pPr>
      <w:r>
        <w:t>[Heading deleted in Gazette 12 Aug 2003 p. 3663.]</w:t>
      </w:r>
    </w:p>
    <w:p>
      <w:pPr>
        <w:pStyle w:val="Heading5"/>
        <w:spacing w:before="260"/>
      </w:pPr>
      <w:bookmarkStart w:id="70" w:name="_Toc389746292"/>
      <w:r>
        <w:rPr>
          <w:rStyle w:val="CharSectno"/>
          <w:bCs/>
          <w:iCs/>
        </w:rPr>
        <w:t>38F</w:t>
      </w:r>
      <w:r>
        <w:t>.</w:t>
      </w:r>
      <w:r>
        <w:tab/>
        <w:t>Isotr</w:t>
      </w:r>
      <w:r>
        <w:rPr>
          <w:b w:val="0"/>
          <w:snapToGrid w:val="0"/>
        </w:rPr>
        <w:t>e</w:t>
      </w:r>
      <w:r>
        <w:t>tinoin</w:t>
      </w:r>
      <w:bookmarkEnd w:id="70"/>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1" w:name="_Toc389746293"/>
      <w:r>
        <w:rPr>
          <w:rStyle w:val="CharSectno"/>
        </w:rPr>
        <w:t>38G</w:t>
      </w:r>
      <w:r>
        <w:rPr>
          <w:snapToGrid w:val="0"/>
        </w:rPr>
        <w:t>.</w:t>
      </w:r>
      <w:r>
        <w:rPr>
          <w:snapToGrid w:val="0"/>
        </w:rPr>
        <w:tab/>
        <w:t>Thalidomide for human use</w:t>
      </w:r>
      <w:bookmarkEnd w:id="71"/>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2" w:name="_Toc389746294"/>
      <w:r>
        <w:rPr>
          <w:rStyle w:val="CharSectno"/>
        </w:rPr>
        <w:t>38H</w:t>
      </w:r>
      <w:r>
        <w:rPr>
          <w:snapToGrid w:val="0"/>
        </w:rPr>
        <w:t>.</w:t>
      </w:r>
      <w:r>
        <w:rPr>
          <w:snapToGrid w:val="0"/>
        </w:rPr>
        <w:tab/>
        <w:t>Chloramphenicol</w:t>
      </w:r>
      <w:bookmarkEnd w:id="72"/>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73" w:name="_Toc389746295"/>
      <w:r>
        <w:rPr>
          <w:rStyle w:val="CharSectno"/>
        </w:rPr>
        <w:t>38I</w:t>
      </w:r>
      <w:r>
        <w:rPr>
          <w:snapToGrid w:val="0"/>
        </w:rPr>
        <w:t>.</w:t>
      </w:r>
      <w:r>
        <w:rPr>
          <w:snapToGrid w:val="0"/>
        </w:rPr>
        <w:tab/>
        <w:t>Follicular stimulating hormone and luteinising hormone</w:t>
      </w:r>
      <w:bookmarkEnd w:id="73"/>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38I inserted in Gazette 2 Jun 1989 p. 1604; amended in Gazette 11 Apr 1997 p. 1831.]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74" w:name="_Toc389746296"/>
      <w:r>
        <w:rPr>
          <w:rStyle w:val="CharSectno"/>
        </w:rPr>
        <w:t>38K</w:t>
      </w:r>
      <w:r>
        <w:rPr>
          <w:snapToGrid w:val="0"/>
        </w:rPr>
        <w:t>.</w:t>
      </w:r>
      <w:r>
        <w:rPr>
          <w:snapToGrid w:val="0"/>
        </w:rPr>
        <w:tab/>
        <w:t>Carnidazole</w:t>
      </w:r>
      <w:bookmarkEnd w:id="7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75" w:name="_Toc389746297"/>
      <w:r>
        <w:rPr>
          <w:rStyle w:val="CharSectno"/>
        </w:rPr>
        <w:t>38L</w:t>
      </w:r>
      <w:r>
        <w:rPr>
          <w:snapToGrid w:val="0"/>
        </w:rPr>
        <w:t>.</w:t>
      </w:r>
      <w:r>
        <w:rPr>
          <w:snapToGrid w:val="0"/>
        </w:rPr>
        <w:tab/>
        <w:t>Oxolinic acid</w:t>
      </w:r>
      <w:bookmarkEnd w:id="75"/>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76" w:name="_Toc389746298"/>
      <w:r>
        <w:rPr>
          <w:rStyle w:val="CharSectno"/>
        </w:rPr>
        <w:t>38M</w:t>
      </w:r>
      <w:r>
        <w:rPr>
          <w:snapToGrid w:val="0"/>
        </w:rPr>
        <w:t>.</w:t>
      </w:r>
      <w:r>
        <w:rPr>
          <w:snapToGrid w:val="0"/>
        </w:rPr>
        <w:tab/>
        <w:t>Clozapine</w:t>
      </w:r>
      <w:bookmarkEnd w:id="76"/>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 Commissioner of Health.</w:t>
      </w:r>
    </w:p>
    <w:p>
      <w:pPr>
        <w:pStyle w:val="Footnotesection"/>
      </w:pPr>
      <w:r>
        <w:tab/>
        <w:t xml:space="preserve">[Regulation 38M inserted in Gazette 24 Jun 1994 p. 2868; amended in Gazette 19 Mar 1996 p. 1223; 11 Apr 1997 p. 1831; 27 Nov 1998 p. 6344.] </w:t>
      </w:r>
    </w:p>
    <w:p>
      <w:pPr>
        <w:pStyle w:val="Heading5"/>
        <w:spacing w:before="260"/>
        <w:rPr>
          <w:snapToGrid w:val="0"/>
        </w:rPr>
      </w:pPr>
      <w:bookmarkStart w:id="77" w:name="_Toc389746299"/>
      <w:r>
        <w:rPr>
          <w:rStyle w:val="CharSectno"/>
        </w:rPr>
        <w:t>38N</w:t>
      </w:r>
      <w:r>
        <w:rPr>
          <w:snapToGrid w:val="0"/>
        </w:rPr>
        <w:t>.</w:t>
      </w:r>
      <w:r>
        <w:rPr>
          <w:snapToGrid w:val="0"/>
        </w:rPr>
        <w:tab/>
        <w:t>Nitrofuran derivatives</w:t>
      </w:r>
      <w:bookmarkEnd w:id="77"/>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bCs/>
          <w:snapToGrid w:val="0"/>
        </w:rPr>
      </w:pPr>
      <w:r>
        <w:rPr>
          <w:b/>
          <w:bCs/>
          <w:snapToGrid w:val="0"/>
        </w:rPr>
        <w:t>Table</w:t>
      </w:r>
      <w:r>
        <w:rPr>
          <w:b/>
          <w:bCs/>
          <w:snapToGrid w:val="0"/>
        </w:rPr>
        <w:br/>
        <w:t>Nitrofuran derivatives</w:t>
      </w:r>
    </w:p>
    <w:tbl>
      <w:tblPr>
        <w:tblW w:w="0" w:type="auto"/>
        <w:tblInd w:w="1560" w:type="dxa"/>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78" w:name="_Toc389746300"/>
      <w:r>
        <w:rPr>
          <w:rStyle w:val="CharSectno"/>
        </w:rPr>
        <w:t>38O</w:t>
      </w:r>
      <w:r>
        <w:t>.</w:t>
      </w:r>
      <w:r>
        <w:tab/>
        <w:t>Bosentan for human use</w:t>
      </w:r>
      <w:bookmarkEnd w:id="78"/>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Commissioner of Health.</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w:t>
      </w:r>
    </w:p>
    <w:p>
      <w:pPr>
        <w:pStyle w:val="Heading5"/>
      </w:pPr>
      <w:bookmarkStart w:id="79" w:name="_Toc389746301"/>
      <w:r>
        <w:rPr>
          <w:rStyle w:val="CharSectno"/>
        </w:rPr>
        <w:t>38P</w:t>
      </w:r>
      <w:r>
        <w:t>.</w:t>
      </w:r>
      <w:r>
        <w:tab/>
        <w:t>Teriparatide for human use</w:t>
      </w:r>
      <w:bookmarkEnd w:id="79"/>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Commissioner of Health.</w:t>
      </w:r>
    </w:p>
    <w:p>
      <w:pPr>
        <w:pStyle w:val="Footnotesection"/>
      </w:pPr>
      <w:r>
        <w:tab/>
        <w:t>[Regulation 38P inserted in Gazette 5 Oct 2004 p. 4310.]</w:t>
      </w:r>
    </w:p>
    <w:p>
      <w:pPr>
        <w:pStyle w:val="Ednotedivision"/>
      </w:pPr>
      <w:r>
        <w:t>[Heading deleted in Gazette 12 Aug 2003 p. 3663.]</w:t>
      </w:r>
    </w:p>
    <w:p>
      <w:pPr>
        <w:pStyle w:val="Heading5"/>
        <w:rPr>
          <w:snapToGrid w:val="0"/>
        </w:rPr>
      </w:pPr>
      <w:bookmarkStart w:id="80" w:name="_Toc389746302"/>
      <w:r>
        <w:rPr>
          <w:rStyle w:val="CharSectno"/>
        </w:rPr>
        <w:t>39</w:t>
      </w:r>
      <w:r>
        <w:rPr>
          <w:snapToGrid w:val="0"/>
        </w:rPr>
        <w:t>.</w:t>
      </w:r>
      <w:r>
        <w:rPr>
          <w:snapToGrid w:val="0"/>
        </w:rPr>
        <w:tab/>
        <w:t>Veterinary use of poisons included in Schedule 4</w:t>
      </w:r>
      <w:bookmarkEnd w:id="80"/>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1" w:name="_Toc389746303"/>
      <w:r>
        <w:rPr>
          <w:rStyle w:val="CharSectno"/>
        </w:rPr>
        <w:t>39A</w:t>
      </w:r>
      <w:r>
        <w:rPr>
          <w:snapToGrid w:val="0"/>
        </w:rPr>
        <w:t>.</w:t>
      </w:r>
      <w:r>
        <w:rPr>
          <w:snapToGrid w:val="0"/>
        </w:rPr>
        <w:tab/>
        <w:t>Stockfeed manufacturers may sell poisons included in Schedule 4</w:t>
      </w:r>
      <w:bookmarkEnd w:id="81"/>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A stockfeed manufacturer who wishes to sell by retail mixtures pursuant to subregulation (1) may apply to the Commissioner of Health for, and at the discretion of the Commissioner of Health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w:t>
      </w:r>
    </w:p>
    <w:p>
      <w:pPr>
        <w:pStyle w:val="Heading5"/>
        <w:rPr>
          <w:snapToGrid w:val="0"/>
        </w:rPr>
      </w:pPr>
      <w:bookmarkStart w:id="82" w:name="_Toc389746304"/>
      <w:r>
        <w:rPr>
          <w:rStyle w:val="CharSectno"/>
        </w:rPr>
        <w:t>39B</w:t>
      </w:r>
      <w:r>
        <w:rPr>
          <w:snapToGrid w:val="0"/>
        </w:rPr>
        <w:t>.</w:t>
      </w:r>
      <w:r>
        <w:rPr>
          <w:snapToGrid w:val="0"/>
        </w:rPr>
        <w:tab/>
        <w:t>Use of poisons included in Schedule 4 on ships and aircraft</w:t>
      </w:r>
      <w:bookmarkEnd w:id="82"/>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83" w:name="_Toc389746305"/>
      <w:r>
        <w:rPr>
          <w:rStyle w:val="CharSectno"/>
        </w:rPr>
        <w:t>39C</w:t>
      </w:r>
      <w:r>
        <w:t>.</w:t>
      </w:r>
      <w:r>
        <w:tab/>
        <w:t>Use of poisons included in Schedule 4 on ships carrying livestock</w:t>
      </w:r>
      <w:bookmarkEnd w:id="8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iCs/>
        </w:rPr>
        <w:t xml:space="preserve">Australian Livestock Export Standards — March 2001 </w:t>
      </w:r>
      <w:r>
        <w:t xml:space="preserve">(as amended from time to time); or </w:t>
      </w:r>
    </w:p>
    <w:p>
      <w:pPr>
        <w:pStyle w:val="Indenta"/>
      </w:pPr>
      <w:r>
        <w:tab/>
        <w:t>(b)</w:t>
      </w:r>
      <w:r>
        <w:tab/>
        <w:t xml:space="preserve">by the master with order 18 of the </w:t>
      </w:r>
      <w:r>
        <w:rPr>
          <w:i/>
          <w:iCs/>
        </w:rPr>
        <w:t xml:space="preserve">Marine Orders Part 43: Cargo and Cargo Handling — Livestock </w:t>
      </w:r>
      <w:r>
        <w:t xml:space="preserve">(as amended from time to time) made under the </w:t>
      </w:r>
      <w:r>
        <w:rPr>
          <w:i/>
          <w:iCs/>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iCs/>
        </w:rPr>
        <w:t>Export Control (Animals) Orders as amended</w:t>
      </w:r>
      <w:r>
        <w:t xml:space="preserve">, made under the </w:t>
      </w:r>
      <w:r>
        <w:rPr>
          <w:i/>
          <w:iCs/>
        </w:rPr>
        <w:t>Export Control (Orders) Regulations 1982</w:t>
      </w:r>
      <w:r>
        <w:t xml:space="preserve"> in force under the </w:t>
      </w:r>
      <w:r>
        <w:rPr>
          <w:i/>
          <w:iCs/>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iCs/>
        </w:rPr>
        <w:t>Australian Meat and Live</w:t>
      </w:r>
      <w:r>
        <w:rPr>
          <w:i/>
          <w:iCs/>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84" w:name="_Toc389746306"/>
      <w:r>
        <w:rPr>
          <w:rStyle w:val="CharSectno"/>
        </w:rPr>
        <w:t>40</w:t>
      </w:r>
      <w:r>
        <w:rPr>
          <w:snapToGrid w:val="0"/>
        </w:rPr>
        <w:t>.</w:t>
      </w:r>
      <w:r>
        <w:rPr>
          <w:snapToGrid w:val="0"/>
        </w:rPr>
        <w:tab/>
        <w:t>Special authority to purchase poisons included in Schedule 4</w:t>
      </w:r>
      <w:bookmarkEnd w:id="8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 Commissioner of Health,</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 Commissioner of Health.</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bCs/>
        </w:rPr>
      </w:pPr>
      <w:r>
        <w:rPr>
          <w:b/>
          <w:bCs/>
        </w:rPr>
        <w:t>Table</w:t>
      </w:r>
    </w:p>
    <w:tbl>
      <w:tblPr>
        <w:tblW w:w="0" w:type="auto"/>
        <w:tblInd w:w="851" w:type="dxa"/>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amended by Act No. 9 of 2003 s. 48.]</w:t>
      </w:r>
    </w:p>
    <w:p>
      <w:pPr>
        <w:pStyle w:val="Ednotedivision"/>
      </w:pPr>
      <w:r>
        <w:t>[Heading deleted in Gazette 12 Aug 2003 p. 3663.]</w:t>
      </w:r>
    </w:p>
    <w:p>
      <w:pPr>
        <w:pStyle w:val="Heading5"/>
        <w:rPr>
          <w:snapToGrid w:val="0"/>
        </w:rPr>
      </w:pPr>
      <w:bookmarkStart w:id="85" w:name="_Toc389746307"/>
      <w:r>
        <w:rPr>
          <w:rStyle w:val="CharSectno"/>
        </w:rPr>
        <w:t>40A</w:t>
      </w:r>
      <w:r>
        <w:rPr>
          <w:snapToGrid w:val="0"/>
        </w:rPr>
        <w:t>.</w:t>
      </w:r>
      <w:r>
        <w:rPr>
          <w:snapToGrid w:val="0"/>
        </w:rPr>
        <w:tab/>
        <w:t>Delivery of a poison included in Schedule 4 on order</w:t>
      </w:r>
      <w:bookmarkEnd w:id="8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86" w:name="_Toc389746308"/>
      <w:r>
        <w:rPr>
          <w:rStyle w:val="CharDivNo"/>
        </w:rPr>
        <w:t>Division 3 </w:t>
      </w:r>
      <w:r>
        <w:t xml:space="preserve">— </w:t>
      </w:r>
      <w:r>
        <w:rPr>
          <w:rStyle w:val="CharDivText"/>
        </w:rPr>
        <w:t>General</w:t>
      </w:r>
      <w:bookmarkEnd w:id="86"/>
    </w:p>
    <w:p>
      <w:pPr>
        <w:pStyle w:val="Footnoteheading"/>
        <w:rPr>
          <w:rStyle w:val="CharSectno"/>
        </w:rPr>
      </w:pPr>
      <w:r>
        <w:tab/>
        <w:t>[Heading inserted in Gazette 12 Aug 2003 p. 3664.]</w:t>
      </w:r>
    </w:p>
    <w:p>
      <w:pPr>
        <w:pStyle w:val="Heading5"/>
        <w:spacing w:before="260"/>
        <w:rPr>
          <w:snapToGrid w:val="0"/>
        </w:rPr>
      </w:pPr>
      <w:bookmarkStart w:id="87" w:name="_Toc389746309"/>
      <w:r>
        <w:rPr>
          <w:rStyle w:val="CharSectno"/>
        </w:rPr>
        <w:t>41</w:t>
      </w:r>
      <w:r>
        <w:rPr>
          <w:snapToGrid w:val="0"/>
        </w:rPr>
        <w:t>.</w:t>
      </w:r>
      <w:r>
        <w:rPr>
          <w:snapToGrid w:val="0"/>
        </w:rPr>
        <w:tab/>
        <w:t>Revocation notice in relation to poisons included in Schedule 6</w:t>
      </w:r>
      <w:bookmarkEnd w:id="87"/>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w:t>
      </w:r>
    </w:p>
    <w:p>
      <w:pPr>
        <w:pStyle w:val="Ednotedivision"/>
        <w:spacing w:before="260"/>
      </w:pPr>
      <w:r>
        <w:t>[Heading deleted in Gazette 12 Aug 2003 p. 3663.]</w:t>
      </w:r>
    </w:p>
    <w:p>
      <w:pPr>
        <w:pStyle w:val="Heading5"/>
        <w:rPr>
          <w:snapToGrid w:val="0"/>
        </w:rPr>
      </w:pPr>
      <w:bookmarkStart w:id="88" w:name="_Toc389746310"/>
      <w:r>
        <w:rPr>
          <w:rStyle w:val="CharSectno"/>
        </w:rPr>
        <w:t>41A</w:t>
      </w:r>
      <w:r>
        <w:rPr>
          <w:snapToGrid w:val="0"/>
        </w:rPr>
        <w:t>.</w:t>
      </w:r>
      <w:r>
        <w:rPr>
          <w:snapToGrid w:val="0"/>
        </w:rPr>
        <w:tab/>
        <w:t>Sale of poisons included in Schedule 7</w:t>
      </w:r>
      <w:bookmarkEnd w:id="8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Commissioner of Health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w:t>
      </w:r>
    </w:p>
    <w:p>
      <w:pPr>
        <w:pStyle w:val="Heading5"/>
        <w:rPr>
          <w:snapToGrid w:val="0"/>
        </w:rPr>
      </w:pPr>
      <w:bookmarkStart w:id="89" w:name="_Toc389746311"/>
      <w:r>
        <w:rPr>
          <w:rStyle w:val="CharSectno"/>
        </w:rPr>
        <w:t>41AA</w:t>
      </w:r>
      <w:r>
        <w:rPr>
          <w:snapToGrid w:val="0"/>
        </w:rPr>
        <w:t>.</w:t>
      </w:r>
      <w:r>
        <w:rPr>
          <w:snapToGrid w:val="0"/>
        </w:rPr>
        <w:tab/>
        <w:t>Standard for intramammary antibiotic preparations</w:t>
      </w:r>
      <w:bookmarkEnd w:id="8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0" w:name="_Toc389746312"/>
      <w:r>
        <w:rPr>
          <w:rStyle w:val="CharSectno"/>
        </w:rPr>
        <w:t>41AB</w:t>
      </w:r>
      <w:r>
        <w:rPr>
          <w:snapToGrid w:val="0"/>
        </w:rPr>
        <w:t>.</w:t>
      </w:r>
      <w:r>
        <w:rPr>
          <w:snapToGrid w:val="0"/>
        </w:rPr>
        <w:tab/>
        <w:t>Camphor and naphthalene</w:t>
      </w:r>
      <w:bookmarkEnd w:id="9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91" w:name="_Toc389746313"/>
      <w:r>
        <w:rPr>
          <w:rStyle w:val="CharSectno"/>
        </w:rPr>
        <w:t>41B</w:t>
      </w:r>
      <w:r>
        <w:rPr>
          <w:snapToGrid w:val="0"/>
        </w:rPr>
        <w:t>.</w:t>
      </w:r>
      <w:r>
        <w:rPr>
          <w:snapToGrid w:val="0"/>
        </w:rPr>
        <w:tab/>
        <w:t>Record of poisons included in Schedule 3, 4 or 7</w:t>
      </w:r>
      <w:bookmarkEnd w:id="91"/>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A person referred to in subregulation (1) shall send to the Commissioner of Health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w:t>
      </w:r>
    </w:p>
    <w:p>
      <w:pPr>
        <w:pStyle w:val="Heading5"/>
        <w:spacing w:before="180"/>
        <w:rPr>
          <w:snapToGrid w:val="0"/>
        </w:rPr>
      </w:pPr>
      <w:bookmarkStart w:id="92" w:name="_Toc389746314"/>
      <w:r>
        <w:rPr>
          <w:rStyle w:val="CharSectno"/>
        </w:rPr>
        <w:t>41C</w:t>
      </w:r>
      <w:r>
        <w:rPr>
          <w:snapToGrid w:val="0"/>
        </w:rPr>
        <w:t>.</w:t>
      </w:r>
      <w:r>
        <w:rPr>
          <w:snapToGrid w:val="0"/>
        </w:rPr>
        <w:tab/>
        <w:t>Access to poisons included in Schedule 7</w:t>
      </w:r>
      <w:bookmarkEnd w:id="92"/>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93" w:name="_Toc389746315"/>
      <w:r>
        <w:rPr>
          <w:rStyle w:val="CharPartNo"/>
        </w:rPr>
        <w:t>Part 6</w:t>
      </w:r>
      <w:r>
        <w:t xml:space="preserve"> — </w:t>
      </w:r>
      <w:r>
        <w:rPr>
          <w:rStyle w:val="CharPartText"/>
        </w:rPr>
        <w:t>Drugs of addiction</w:t>
      </w:r>
      <w:bookmarkEnd w:id="93"/>
    </w:p>
    <w:p>
      <w:pPr>
        <w:pStyle w:val="Footnoteheading"/>
      </w:pPr>
      <w:r>
        <w:tab/>
        <w:t>[Heading inserted in Gazette 12 Aug 2003 p. 3664.]</w:t>
      </w:r>
    </w:p>
    <w:p>
      <w:pPr>
        <w:pStyle w:val="Heading3"/>
      </w:pPr>
      <w:bookmarkStart w:id="94" w:name="_Toc389746316"/>
      <w:r>
        <w:rPr>
          <w:rStyle w:val="CharDivNo"/>
        </w:rPr>
        <w:t>Division 1</w:t>
      </w:r>
      <w:r>
        <w:t xml:space="preserve"> — </w:t>
      </w:r>
      <w:r>
        <w:rPr>
          <w:rStyle w:val="CharDivText"/>
        </w:rPr>
        <w:t>General</w:t>
      </w:r>
      <w:bookmarkEnd w:id="94"/>
    </w:p>
    <w:p>
      <w:pPr>
        <w:pStyle w:val="Footnoteheading"/>
        <w:rPr>
          <w:i w:val="0"/>
        </w:rPr>
      </w:pPr>
      <w:r>
        <w:tab/>
        <w:t>[Heading inserted in Gazette 12 Aug 2003 p. 3664.]</w:t>
      </w:r>
    </w:p>
    <w:p>
      <w:pPr>
        <w:pStyle w:val="Heading5"/>
      </w:pPr>
      <w:bookmarkStart w:id="95" w:name="_Toc389746317"/>
      <w:r>
        <w:rPr>
          <w:rStyle w:val="CharSectno"/>
        </w:rPr>
        <w:t>42A</w:t>
      </w:r>
      <w:r>
        <w:t>.</w:t>
      </w:r>
      <w:r>
        <w:tab/>
        <w:t>Interpretation</w:t>
      </w:r>
      <w:bookmarkEnd w:id="9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96" w:name="_Toc389746318"/>
      <w:r>
        <w:rPr>
          <w:rStyle w:val="CharSectno"/>
        </w:rPr>
        <w:t>42</w:t>
      </w:r>
      <w:r>
        <w:rPr>
          <w:snapToGrid w:val="0"/>
        </w:rPr>
        <w:t>.</w:t>
      </w:r>
      <w:r>
        <w:rPr>
          <w:snapToGrid w:val="0"/>
        </w:rPr>
        <w:tab/>
        <w:t>Authority for prescribed persons to procure and have poisons included in Schedule 8</w:t>
      </w:r>
      <w:bookmarkEnd w:id="96"/>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a person in possession of a permit granted by the Commissioner of Health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 Commissioner of Health.</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w:t>
      </w:r>
    </w:p>
    <w:p>
      <w:pPr>
        <w:pStyle w:val="Ednotedivision"/>
      </w:pPr>
      <w:r>
        <w:t>[Heading deleted in Gazette 12 Aug 2003 p. 3663.]</w:t>
      </w:r>
    </w:p>
    <w:p>
      <w:pPr>
        <w:pStyle w:val="Heading5"/>
        <w:rPr>
          <w:snapToGrid w:val="0"/>
        </w:rPr>
      </w:pPr>
      <w:bookmarkStart w:id="97" w:name="_Toc389746319"/>
      <w:r>
        <w:rPr>
          <w:rStyle w:val="CharSectno"/>
        </w:rPr>
        <w:t>43</w:t>
      </w:r>
      <w:r>
        <w:rPr>
          <w:snapToGrid w:val="0"/>
        </w:rPr>
        <w:t>.</w:t>
      </w:r>
      <w:r>
        <w:rPr>
          <w:snapToGrid w:val="0"/>
        </w:rPr>
        <w:tab/>
        <w:t>Authority for pharmacists to retail, compound and dispense poisons included in Schedule 8</w:t>
      </w:r>
      <w:bookmarkEnd w:id="97"/>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 Commissioner of Health,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 Commissioner of Health.</w:t>
      </w:r>
    </w:p>
    <w:p>
      <w:pPr>
        <w:pStyle w:val="Footnotesection"/>
        <w:ind w:left="890" w:hanging="890"/>
      </w:pPr>
      <w:r>
        <w:tab/>
        <w:t>[Regulation 43 amended in Gazette 29 Jun 1984 p. 1784; 25 Jun 1993 p. 3085; 26 May 1994 p. 2201; 19 Mar 1996 p. 1227.]</w:t>
      </w:r>
    </w:p>
    <w:p>
      <w:pPr>
        <w:pStyle w:val="Ednotedivision"/>
      </w:pPr>
      <w:r>
        <w:t>[Heading deleted in Gazette 12 Aug 2003 p. 3663.]</w:t>
      </w:r>
    </w:p>
    <w:p>
      <w:pPr>
        <w:pStyle w:val="Heading5"/>
        <w:keepLines w:val="0"/>
        <w:rPr>
          <w:snapToGrid w:val="0"/>
        </w:rPr>
      </w:pPr>
      <w:bookmarkStart w:id="98" w:name="_Toc389746320"/>
      <w:r>
        <w:rPr>
          <w:rStyle w:val="CharSectno"/>
        </w:rPr>
        <w:t>43A</w:t>
      </w:r>
      <w:r>
        <w:rPr>
          <w:snapToGrid w:val="0"/>
        </w:rPr>
        <w:t>.</w:t>
      </w:r>
      <w:r>
        <w:rPr>
          <w:snapToGrid w:val="0"/>
        </w:rPr>
        <w:tab/>
        <w:t>Revocation notice in relation to poisons included in Schedule 8 and specified drugs</w:t>
      </w:r>
      <w:bookmarkEnd w:id="98"/>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w:t>
      </w:r>
    </w:p>
    <w:p>
      <w:pPr>
        <w:pStyle w:val="Heading5"/>
        <w:rPr>
          <w:snapToGrid w:val="0"/>
        </w:rPr>
      </w:pPr>
      <w:bookmarkStart w:id="99" w:name="_Toc389746321"/>
      <w:r>
        <w:rPr>
          <w:rStyle w:val="CharSectno"/>
        </w:rPr>
        <w:t>43B</w:t>
      </w:r>
      <w:r>
        <w:rPr>
          <w:snapToGrid w:val="0"/>
        </w:rPr>
        <w:t>.</w:t>
      </w:r>
      <w:r>
        <w:rPr>
          <w:snapToGrid w:val="0"/>
        </w:rPr>
        <w:tab/>
        <w:t>Prescribed purposes (section 41(1))</w:t>
      </w:r>
      <w:bookmarkEnd w:id="9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0" w:name="_Toc389746322"/>
      <w:r>
        <w:rPr>
          <w:rStyle w:val="CharSectno"/>
        </w:rPr>
        <w:t>43C</w:t>
      </w:r>
      <w:r>
        <w:rPr>
          <w:snapToGrid w:val="0"/>
        </w:rPr>
        <w:t>.</w:t>
      </w:r>
      <w:r>
        <w:rPr>
          <w:snapToGrid w:val="0"/>
        </w:rPr>
        <w:tab/>
        <w:t>Advertising of substances included in Schedule 8</w:t>
      </w:r>
      <w:bookmarkEnd w:id="10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01" w:name="_Toc389746323"/>
      <w:r>
        <w:rPr>
          <w:rStyle w:val="CharSectno"/>
        </w:rPr>
        <w:t>44</w:t>
      </w:r>
      <w:r>
        <w:t>.</w:t>
      </w:r>
      <w:r>
        <w:tab/>
        <w:t>Register of drugs of addiction</w:t>
      </w:r>
      <w:bookmarkEnd w:id="101"/>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102" w:name="_Toc389746324"/>
      <w:r>
        <w:rPr>
          <w:rStyle w:val="CharSectno"/>
        </w:rPr>
        <w:t>44A</w:t>
      </w:r>
      <w:r>
        <w:rPr>
          <w:snapToGrid w:val="0"/>
        </w:rPr>
        <w:t>.</w:t>
      </w:r>
      <w:r>
        <w:rPr>
          <w:snapToGrid w:val="0"/>
        </w:rPr>
        <w:tab/>
        <w:t>Destruction of drugs of addiction and poisons included in Schedule 8</w:t>
      </w:r>
      <w:bookmarkEnd w:id="102"/>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103" w:name="_Toc389746325"/>
      <w:r>
        <w:rPr>
          <w:rStyle w:val="CharSectno"/>
        </w:rPr>
        <w:t>44B</w:t>
      </w:r>
      <w:r>
        <w:t>.</w:t>
      </w:r>
      <w:r>
        <w:tab/>
        <w:t>Form of registers</w:t>
      </w:r>
      <w:bookmarkEnd w:id="10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Commissioner of Health.</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w:t>
      </w:r>
    </w:p>
    <w:p>
      <w:pPr>
        <w:pStyle w:val="Heading5"/>
      </w:pPr>
      <w:bookmarkStart w:id="104" w:name="_Toc389746326"/>
      <w:r>
        <w:rPr>
          <w:rStyle w:val="CharSectno"/>
        </w:rPr>
        <w:t>44C</w:t>
      </w:r>
      <w:r>
        <w:t>.</w:t>
      </w:r>
      <w:r>
        <w:tab/>
        <w:t>Control of access to electronic registers</w:t>
      </w:r>
      <w:bookmarkEnd w:id="104"/>
    </w:p>
    <w:p>
      <w:pPr>
        <w:pStyle w:val="Subsection"/>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105" w:name="_Toc389746327"/>
      <w:r>
        <w:rPr>
          <w:rStyle w:val="CharSectno"/>
        </w:rPr>
        <w:t>45</w:t>
      </w:r>
      <w:r>
        <w:rPr>
          <w:snapToGrid w:val="0"/>
        </w:rPr>
        <w:t>.</w:t>
      </w:r>
      <w:r>
        <w:rPr>
          <w:snapToGrid w:val="0"/>
        </w:rPr>
        <w:tab/>
        <w:t>Inventory of drugs of addiction</w:t>
      </w:r>
      <w:bookmarkEnd w:id="105"/>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If such inventory of drugs of addiction in stock does not agree with the balance recorded in the Register, the person required to keep the Register shall immediately notify the Commissioner of Health in writing of the discrepancy.</w:t>
      </w:r>
    </w:p>
    <w:p>
      <w:pPr>
        <w:pStyle w:val="Footnotesection"/>
      </w:pPr>
      <w:r>
        <w:tab/>
        <w:t>[Regulation 45 amended in Gazette 29 Jun 1984 p. 1784; 25 Jun 1993 p. 3085; 26 May 1994 p. 2201; 14 Sep 2001 p. 5076.]</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106" w:name="_Toc389746328"/>
      <w:r>
        <w:rPr>
          <w:rStyle w:val="CharSectno"/>
        </w:rPr>
        <w:t>47</w:t>
      </w:r>
      <w:r>
        <w:rPr>
          <w:snapToGrid w:val="0"/>
        </w:rPr>
        <w:t>.</w:t>
      </w:r>
      <w:r>
        <w:rPr>
          <w:snapToGrid w:val="0"/>
        </w:rPr>
        <w:tab/>
        <w:t>Records to be retained for 7 years and available on demand</w:t>
      </w:r>
      <w:bookmarkEnd w:id="106"/>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In the event of a register being lost or destroyed the person to whom such register belongs shall upon becoming aware of the loss or destruction make and forward to the Commissioner of Health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 Commissioner of Health, surrender any records, registers, prescription books, invoices or other documents and stocks of drugs of addiction that are in his possession to the Commissioner of Health.</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The duplicate copy of the form or printout of the computerised recording system approved by the Commissioner of Health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w:t>
      </w:r>
    </w:p>
    <w:p>
      <w:pPr>
        <w:pStyle w:val="Ednotedivision"/>
        <w:spacing w:before="260"/>
      </w:pPr>
      <w:r>
        <w:t>[Heading deleted in Gazette 12 Aug 2003 p. 3663.]</w:t>
      </w:r>
    </w:p>
    <w:p>
      <w:pPr>
        <w:pStyle w:val="Heading5"/>
        <w:spacing w:before="260"/>
        <w:rPr>
          <w:snapToGrid w:val="0"/>
        </w:rPr>
      </w:pPr>
      <w:bookmarkStart w:id="107" w:name="_Toc389746329"/>
      <w:r>
        <w:rPr>
          <w:rStyle w:val="CharSectno"/>
        </w:rPr>
        <w:t>48</w:t>
      </w:r>
      <w:r>
        <w:rPr>
          <w:snapToGrid w:val="0"/>
        </w:rPr>
        <w:t>.</w:t>
      </w:r>
      <w:r>
        <w:rPr>
          <w:snapToGrid w:val="0"/>
        </w:rPr>
        <w:tab/>
        <w:t>Returns from manufacturers and wholesalers</w:t>
      </w:r>
      <w:bookmarkEnd w:id="107"/>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 Commissioner of Health, every 7 days a form approved by the Commissioner of Health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The form referred to in subregulation (1) may be required by the Commissioner of Health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w:t>
      </w:r>
    </w:p>
    <w:p>
      <w:pPr>
        <w:pStyle w:val="Ednotedivision"/>
        <w:spacing w:before="260"/>
      </w:pPr>
      <w:r>
        <w:t>[Heading deleted in Gazette 12 Aug 2003 p. 3663.]</w:t>
      </w:r>
    </w:p>
    <w:p>
      <w:pPr>
        <w:pStyle w:val="Heading5"/>
        <w:spacing w:before="180"/>
        <w:rPr>
          <w:snapToGrid w:val="0"/>
        </w:rPr>
      </w:pPr>
      <w:bookmarkStart w:id="108" w:name="_Toc389746330"/>
      <w:r>
        <w:rPr>
          <w:rStyle w:val="CharSectno"/>
        </w:rPr>
        <w:t>49</w:t>
      </w:r>
      <w:r>
        <w:rPr>
          <w:snapToGrid w:val="0"/>
        </w:rPr>
        <w:t>.</w:t>
      </w:r>
      <w:r>
        <w:rPr>
          <w:snapToGrid w:val="0"/>
        </w:rPr>
        <w:tab/>
        <w:t>Use of poisons included in Schedule 8 on ships and aircraft</w:t>
      </w:r>
      <w:bookmarkEnd w:id="108"/>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 xml:space="preserve">the </w:t>
      </w:r>
      <w:r>
        <w:rPr>
          <w:iCs/>
          <w:snapToGrid w:val="0"/>
        </w:rPr>
        <w:t>“</w:t>
      </w:r>
      <w:r>
        <w:rPr>
          <w:i/>
          <w:snapToGrid w:val="0"/>
        </w:rPr>
        <w:t>International Medical Guide for Ships</w:t>
      </w:r>
      <w:r>
        <w:rPr>
          <w:iCs/>
          <w:snapToGrid w:val="0"/>
        </w:rPr>
        <w:t xml:space="preserve">” </w:t>
      </w:r>
      <w:r>
        <w:rPr>
          <w:snapToGrid w:val="0"/>
        </w:rPr>
        <w:t>(2nd.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Any person who supplies a poison included in Schedule 8 under this regulation shall, within 24 hours of so doing, report the details to the Commissioner of Health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w:t>
      </w:r>
    </w:p>
    <w:p>
      <w:pPr>
        <w:pStyle w:val="Ednotedivision"/>
        <w:spacing w:before="260"/>
      </w:pPr>
      <w:r>
        <w:t>[Heading deleted in Gazette 12 Aug 2003 p. 3663.]</w:t>
      </w:r>
    </w:p>
    <w:p>
      <w:pPr>
        <w:pStyle w:val="Heading5"/>
        <w:keepLines w:val="0"/>
        <w:spacing w:before="260"/>
        <w:rPr>
          <w:snapToGrid w:val="0"/>
        </w:rPr>
      </w:pPr>
      <w:bookmarkStart w:id="109" w:name="_Toc389746331"/>
      <w:r>
        <w:rPr>
          <w:rStyle w:val="CharSectno"/>
        </w:rPr>
        <w:t>50</w:t>
      </w:r>
      <w:r>
        <w:rPr>
          <w:snapToGrid w:val="0"/>
        </w:rPr>
        <w:t>.</w:t>
      </w:r>
      <w:r>
        <w:rPr>
          <w:snapToGrid w:val="0"/>
        </w:rPr>
        <w:tab/>
        <w:t>Used poisons included in Schedule 8 at hospitals</w:t>
      </w:r>
      <w:bookmarkEnd w:id="109"/>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Where a Pharmaceutical Chemist is not employed — The director of nursing of a hospital or other person authorised by the Commissioner of Health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w:t>
      </w:r>
    </w:p>
    <w:p>
      <w:pPr>
        <w:pStyle w:val="Ednotedivision"/>
      </w:pPr>
      <w:r>
        <w:t>[Heading deleted in Gazette 12 Aug 2003 p. 3663.]</w:t>
      </w:r>
    </w:p>
    <w:p>
      <w:pPr>
        <w:pStyle w:val="Heading3"/>
      </w:pPr>
      <w:bookmarkStart w:id="110" w:name="_Toc389746332"/>
      <w:r>
        <w:rPr>
          <w:rStyle w:val="CharDivNo"/>
        </w:rPr>
        <w:t>Division 2</w:t>
      </w:r>
      <w:r>
        <w:t xml:space="preserve"> — </w:t>
      </w:r>
      <w:r>
        <w:rPr>
          <w:rStyle w:val="CharDivText"/>
        </w:rPr>
        <w:t>Supply and prescription</w:t>
      </w:r>
      <w:bookmarkEnd w:id="110"/>
    </w:p>
    <w:p>
      <w:pPr>
        <w:pStyle w:val="Footnoteheading"/>
        <w:keepNext/>
      </w:pPr>
      <w:r>
        <w:tab/>
        <w:t>[Heading inserted in Gazette 12 Aug 2003 p. 3664.]</w:t>
      </w:r>
    </w:p>
    <w:p>
      <w:pPr>
        <w:pStyle w:val="Heading4"/>
      </w:pPr>
      <w:bookmarkStart w:id="111" w:name="_Toc389746333"/>
      <w:r>
        <w:t>Subdivision 1 — Prescriptions generally</w:t>
      </w:r>
      <w:bookmarkEnd w:id="111"/>
    </w:p>
    <w:p>
      <w:pPr>
        <w:pStyle w:val="Footnoteheading"/>
        <w:keepNext/>
        <w:spacing w:before="220"/>
      </w:pPr>
      <w:r>
        <w:tab/>
        <w:t>[Heading inserted in Gazette 12 Aug 2003 p. 3664.]</w:t>
      </w:r>
    </w:p>
    <w:p>
      <w:pPr>
        <w:pStyle w:val="Heading5"/>
        <w:rPr>
          <w:snapToGrid w:val="0"/>
        </w:rPr>
      </w:pPr>
      <w:bookmarkStart w:id="112" w:name="_Toc389746334"/>
      <w:r>
        <w:rPr>
          <w:rStyle w:val="CharSectno"/>
        </w:rPr>
        <w:t>51</w:t>
      </w:r>
      <w:r>
        <w:rPr>
          <w:snapToGrid w:val="0"/>
        </w:rPr>
        <w:t>.</w:t>
      </w:r>
      <w:r>
        <w:rPr>
          <w:snapToGrid w:val="0"/>
        </w:rPr>
        <w:tab/>
        <w:t>Prescriptions</w:t>
      </w:r>
      <w:bookmarkEnd w:id="112"/>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With the written approval of the Commissioner of Health a person authorised to prescribe drugs of addiction may issue a typewritten prescription where the Commissioner of Health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w:t>
      </w:r>
    </w:p>
    <w:p>
      <w:pPr>
        <w:pStyle w:val="Heading4"/>
        <w:keepNext w:val="0"/>
      </w:pPr>
      <w:bookmarkStart w:id="113" w:name="_Toc389746335"/>
      <w:r>
        <w:t>Subdivision 2 — Supply and prescription to drug addicts</w:t>
      </w:r>
      <w:bookmarkEnd w:id="113"/>
    </w:p>
    <w:p>
      <w:pPr>
        <w:pStyle w:val="Footnoteheading"/>
        <w:keepNext/>
      </w:pPr>
      <w:r>
        <w:tab/>
        <w:t>[Heading inserted in Gazette 12 Aug 2003 p. 3664.]</w:t>
      </w:r>
    </w:p>
    <w:p>
      <w:pPr>
        <w:pStyle w:val="Heading5"/>
        <w:keepNext w:val="0"/>
        <w:keepLines w:val="0"/>
        <w:spacing w:before="260"/>
        <w:rPr>
          <w:snapToGrid w:val="0"/>
        </w:rPr>
      </w:pPr>
      <w:bookmarkStart w:id="114" w:name="_Toc389746336"/>
      <w:r>
        <w:rPr>
          <w:rStyle w:val="CharSectno"/>
        </w:rPr>
        <w:t>51A</w:t>
      </w:r>
      <w:r>
        <w:rPr>
          <w:snapToGrid w:val="0"/>
        </w:rPr>
        <w:t>.</w:t>
      </w:r>
      <w:r>
        <w:rPr>
          <w:snapToGrid w:val="0"/>
        </w:rPr>
        <w:tab/>
        <w:t>Definition of “drug addict”</w:t>
      </w:r>
      <w:bookmarkEnd w:id="114"/>
      <w:r>
        <w:rPr>
          <w:snapToGrid w:val="0"/>
        </w:rPr>
        <w:t xml:space="preserve"> </w:t>
      </w:r>
    </w:p>
    <w:p>
      <w:pPr>
        <w:pStyle w:val="Subsection"/>
        <w:spacing w:before="200"/>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115" w:name="_Toc389746337"/>
      <w:r>
        <w:rPr>
          <w:rStyle w:val="CharSectno"/>
        </w:rPr>
        <w:t>51AA</w:t>
      </w:r>
      <w:r>
        <w:t>.</w:t>
      </w:r>
      <w:r>
        <w:tab/>
        <w:t>Disclosure by drug addict to medical practitioner</w:t>
      </w:r>
      <w:bookmarkEnd w:id="115"/>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116" w:name="_Toc389746338"/>
      <w:r>
        <w:rPr>
          <w:rStyle w:val="CharSectno"/>
        </w:rPr>
        <w:t>51B</w:t>
      </w:r>
      <w:r>
        <w:rPr>
          <w:snapToGrid w:val="0"/>
        </w:rPr>
        <w:t>.</w:t>
      </w:r>
      <w:r>
        <w:rPr>
          <w:snapToGrid w:val="0"/>
        </w:rPr>
        <w:tab/>
        <w:t>Drug addicts: medical practitioner or dentist not to prescribe or supply drugs of addiction without written authorisation</w:t>
      </w:r>
      <w:bookmarkEnd w:id="116"/>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who has been named as a drug addict by the Commissioner of Health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 Commissioner of Health.</w:t>
      </w:r>
    </w:p>
    <w:p>
      <w:pPr>
        <w:pStyle w:val="Subsection"/>
        <w:keepNext/>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ind w:left="890" w:hanging="890"/>
      </w:pPr>
      <w:r>
        <w:tab/>
        <w:t xml:space="preserve">[Regulation 51B inserted in Gazette 11 Apr 1997 p. 1832.] </w:t>
      </w:r>
    </w:p>
    <w:p>
      <w:pPr>
        <w:pStyle w:val="Heading5"/>
        <w:spacing w:before="260"/>
        <w:rPr>
          <w:snapToGrid w:val="0"/>
        </w:rPr>
      </w:pPr>
      <w:bookmarkStart w:id="117" w:name="_Toc389746339"/>
      <w:r>
        <w:rPr>
          <w:rStyle w:val="CharSectno"/>
        </w:rPr>
        <w:t>51C</w:t>
      </w:r>
      <w:r>
        <w:rPr>
          <w:snapToGrid w:val="0"/>
        </w:rPr>
        <w:t>.</w:t>
      </w:r>
      <w:r>
        <w:rPr>
          <w:snapToGrid w:val="0"/>
        </w:rPr>
        <w:tab/>
        <w:t xml:space="preserve">Authorisation of Commissioner of Health required for medical practitioner to prescribe methadone </w:t>
      </w:r>
      <w:r>
        <w:t>or buprenorphine</w:t>
      </w:r>
      <w:r>
        <w:rPr>
          <w:snapToGrid w:val="0"/>
        </w:rPr>
        <w:t xml:space="preserve"> for drug addict</w:t>
      </w:r>
      <w:bookmarkEnd w:id="117"/>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a person who has been named as a drug addict by the Commissioner of Health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Commissioner of Health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 Commissioner of Health.</w:t>
      </w:r>
    </w:p>
    <w:p>
      <w:pPr>
        <w:pStyle w:val="Footnotesection"/>
      </w:pPr>
      <w:r>
        <w:tab/>
        <w:t xml:space="preserve">[Regulation 51C inserted in Gazette 29 Aug 1980 p. 3029; amended in Gazette 29 Jun 1984 p. 1784; 25 Jun 1993 p. 3085; 26 May 1994 p. 2201; 11 Apr 1997 p. 1832; 14 Aug 2001 p. 4253.] </w:t>
      </w:r>
    </w:p>
    <w:p>
      <w:pPr>
        <w:pStyle w:val="Heading5"/>
        <w:spacing w:before="260"/>
        <w:rPr>
          <w:snapToGrid w:val="0"/>
        </w:rPr>
      </w:pPr>
      <w:bookmarkStart w:id="118" w:name="_Toc389746340"/>
      <w:r>
        <w:rPr>
          <w:rStyle w:val="CharSectno"/>
        </w:rPr>
        <w:t>51D</w:t>
      </w:r>
      <w:r>
        <w:rPr>
          <w:snapToGrid w:val="0"/>
        </w:rPr>
        <w:t>.</w:t>
      </w:r>
      <w:r>
        <w:rPr>
          <w:snapToGrid w:val="0"/>
        </w:rPr>
        <w:tab/>
        <w:t>Assessment of drug addict for treatment purposes</w:t>
      </w:r>
      <w:bookmarkEnd w:id="118"/>
      <w:r>
        <w:rPr>
          <w:snapToGrid w:val="0"/>
        </w:rPr>
        <w:t xml:space="preserve"> </w:t>
      </w:r>
    </w:p>
    <w:p>
      <w:pPr>
        <w:pStyle w:val="Subsection"/>
        <w:rPr>
          <w:snapToGrid w:val="0"/>
        </w:rPr>
      </w:pPr>
      <w:r>
        <w:rPr>
          <w:snapToGrid w:val="0"/>
        </w:rPr>
        <w:tab/>
        <w:t>(1)</w:t>
      </w:r>
      <w:r>
        <w:rPr>
          <w:snapToGrid w:val="0"/>
        </w:rPr>
        <w:tab/>
        <w:t>Before an authorisation is issued by the Commissioner of Health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Commissioner of Health;</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 Commissioner of Health.</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w:t>
      </w:r>
    </w:p>
    <w:p>
      <w:pPr>
        <w:pStyle w:val="Heading5"/>
        <w:rPr>
          <w:snapToGrid w:val="0"/>
        </w:rPr>
      </w:pPr>
      <w:bookmarkStart w:id="119" w:name="_Toc389746341"/>
      <w:r>
        <w:rPr>
          <w:rStyle w:val="CharSectno"/>
        </w:rPr>
        <w:t>51E</w:t>
      </w:r>
      <w:r>
        <w:rPr>
          <w:snapToGrid w:val="0"/>
        </w:rPr>
        <w:t>.</w:t>
      </w:r>
      <w:r>
        <w:rPr>
          <w:snapToGrid w:val="0"/>
        </w:rPr>
        <w:tab/>
        <w:t>Conditions on treatment of drug addict</w:t>
      </w:r>
      <w:bookmarkEnd w:id="119"/>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The Commissioner of Health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An authorisation issued under these regulations prior to 1 October 1980 is valid until it is revoked by the Commissioner of Health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w:t>
      </w:r>
    </w:p>
    <w:p>
      <w:pPr>
        <w:pStyle w:val="Heading5"/>
        <w:rPr>
          <w:snapToGrid w:val="0"/>
        </w:rPr>
      </w:pPr>
      <w:bookmarkStart w:id="120" w:name="_Toc389746342"/>
      <w:r>
        <w:rPr>
          <w:rStyle w:val="CharSectno"/>
        </w:rPr>
        <w:t>51F</w:t>
      </w:r>
      <w:r>
        <w:rPr>
          <w:snapToGrid w:val="0"/>
        </w:rPr>
        <w:t>.</w:t>
      </w:r>
      <w:r>
        <w:rPr>
          <w:snapToGrid w:val="0"/>
        </w:rPr>
        <w:tab/>
        <w:t>Treatment not to exceed 60 days unless authorised by Commissioner of Health</w:t>
      </w:r>
      <w:bookmarkEnd w:id="120"/>
      <w:r>
        <w:rPr>
          <w:snapToGrid w:val="0"/>
        </w:rPr>
        <w:t xml:space="preserve"> </w:t>
      </w:r>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 Commissioner of Health.</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 Commissioner of Health; or</w:t>
      </w:r>
    </w:p>
    <w:p>
      <w:pPr>
        <w:pStyle w:val="Indenta"/>
        <w:rPr>
          <w:snapToGrid w:val="0"/>
        </w:rPr>
      </w:pPr>
      <w:r>
        <w:rPr>
          <w:snapToGrid w:val="0"/>
        </w:rPr>
        <w:tab/>
        <w:t>(b)</w:t>
      </w:r>
      <w:r>
        <w:rPr>
          <w:snapToGrid w:val="0"/>
        </w:rPr>
        <w:tab/>
        <w:t>the Commissioner of Health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In any authorisation issued for the purposes of subregulation (1) or (2) given with respect to a particular person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An authorisation issued for the purposes of subregulation (1) or (2) is valid for such period as is specified unless revoked by the Commissioner of Health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An authorisation issued prior to 1 October 1980 is valid until revoked by the Commissioner of Health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w:t>
      </w:r>
    </w:p>
    <w:p>
      <w:pPr>
        <w:pStyle w:val="Heading4"/>
      </w:pPr>
      <w:bookmarkStart w:id="121" w:name="_Toc389746343"/>
      <w:r>
        <w:t>Subdivision 3 — Supply and prescription of certain substances</w:t>
      </w:r>
      <w:bookmarkEnd w:id="121"/>
    </w:p>
    <w:p>
      <w:pPr>
        <w:pStyle w:val="Footnoteheading"/>
      </w:pPr>
      <w:r>
        <w:tab/>
        <w:t>[Heading inserted in Gazette 12 Aug 2003 p. 3664.]</w:t>
      </w:r>
    </w:p>
    <w:p>
      <w:pPr>
        <w:pStyle w:val="Heading5"/>
        <w:spacing w:before="260"/>
      </w:pPr>
      <w:bookmarkStart w:id="122" w:name="_Toc389746344"/>
      <w:r>
        <w:rPr>
          <w:rStyle w:val="CharSectno"/>
        </w:rPr>
        <w:t>51G</w:t>
      </w:r>
      <w:r>
        <w:t>.</w:t>
      </w:r>
      <w:r>
        <w:tab/>
        <w:t>Interpretation</w:t>
      </w:r>
      <w:bookmarkEnd w:id="122"/>
    </w:p>
    <w:p>
      <w:pPr>
        <w:pStyle w:val="Subsection"/>
        <w:spacing w:before="200"/>
      </w:pPr>
      <w:r>
        <w:tab/>
      </w:r>
      <w:r>
        <w:tab/>
        <w:t xml:space="preserve">In this Subdivision — </w:t>
      </w:r>
    </w:p>
    <w:p>
      <w:pPr>
        <w:pStyle w:val="Defstart"/>
      </w:pPr>
      <w:r>
        <w:tab/>
      </w:r>
      <w:r>
        <w:rPr>
          <w:b/>
          <w:bCs/>
        </w:rPr>
        <w:t>“</w:t>
      </w:r>
      <w:r>
        <w:rPr>
          <w:rStyle w:val="CharDefText"/>
        </w:rPr>
        <w:t>authorised practitioner</w:t>
      </w:r>
      <w:r>
        <w:rPr>
          <w:b/>
          <w:bCs/>
        </w:rPr>
        <w:t>”</w:t>
      </w:r>
      <w:r>
        <w:t xml:space="preserve"> means a medical practitioner who holds an authorisation under regulation 51GAB;</w:t>
      </w:r>
    </w:p>
    <w:p>
      <w:pPr>
        <w:pStyle w:val="Defstart"/>
        <w:keepLines/>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23" w:name="_Toc389746345"/>
      <w:r>
        <w:rPr>
          <w:rStyle w:val="CharSectno"/>
        </w:rPr>
        <w:t>51GAA</w:t>
      </w:r>
      <w:r>
        <w:t>.</w:t>
      </w:r>
      <w:r>
        <w:tab/>
        <w:t>When a medical practitioner may supply or prescribe a stimulant</w:t>
      </w:r>
      <w:bookmarkEnd w:id="123"/>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124" w:name="_Toc389746346"/>
      <w:r>
        <w:rPr>
          <w:rStyle w:val="CharSectno"/>
        </w:rPr>
        <w:t>51GAB</w:t>
      </w:r>
      <w:r>
        <w:t>.</w:t>
      </w:r>
      <w:r>
        <w:tab/>
        <w:t>Authorisation to supply or prescribe a stimulant</w:t>
      </w:r>
      <w:bookmarkEnd w:id="124"/>
    </w:p>
    <w:p>
      <w:pPr>
        <w:pStyle w:val="Subsection"/>
      </w:pPr>
      <w:r>
        <w:tab/>
        <w:t>(1)</w:t>
      </w:r>
      <w:r>
        <w:tab/>
        <w:t>A medical practitioner may apply to the Commissioner of Health for authorisation to supply a stimulant or to provide a prescription for a stimulant.</w:t>
      </w:r>
    </w:p>
    <w:p>
      <w:pPr>
        <w:pStyle w:val="Subsection"/>
      </w:pPr>
      <w:r>
        <w:tab/>
        <w:t>(2)</w:t>
      </w:r>
      <w:r>
        <w:tab/>
        <w:t>The application must be in a form approved by the Commissioner of Health.</w:t>
      </w:r>
    </w:p>
    <w:p>
      <w:pPr>
        <w:pStyle w:val="Subsection"/>
      </w:pPr>
      <w:r>
        <w:tab/>
        <w:t>(3)</w:t>
      </w:r>
      <w:r>
        <w:tab/>
        <w:t>On receiving an application under subregulation (1) the Commissioner of Health may grant the authorisation.</w:t>
      </w:r>
    </w:p>
    <w:p>
      <w:pPr>
        <w:pStyle w:val="Subsection"/>
      </w:pPr>
      <w:r>
        <w:tab/>
        <w:t>(4)</w:t>
      </w:r>
      <w:r>
        <w:tab/>
        <w:t>An authorisation remains in force until the applicant ceases to be a registered medical practitioner or the Commissioner of Health revokes the authorisation.</w:t>
      </w:r>
    </w:p>
    <w:p>
      <w:pPr>
        <w:pStyle w:val="Subsection"/>
        <w:keepNext/>
      </w:pPr>
      <w:r>
        <w:tab/>
        <w:t>(5)</w:t>
      </w:r>
      <w:r>
        <w:tab/>
        <w:t>The Commissioner of Health may by notice in writing cancel or vary the terms of an authorisation at any time.</w:t>
      </w:r>
    </w:p>
    <w:p>
      <w:pPr>
        <w:pStyle w:val="Footnotesection"/>
      </w:pPr>
      <w:r>
        <w:tab/>
        <w:t>[Regulation 51GAB inserted in Gazette 12 Aug 2003 p. 3659</w:t>
      </w:r>
      <w:r>
        <w:noBreakHyphen/>
        <w:t>60.]</w:t>
      </w:r>
    </w:p>
    <w:p>
      <w:pPr>
        <w:pStyle w:val="Heading5"/>
      </w:pPr>
      <w:bookmarkStart w:id="125" w:name="_Toc389746347"/>
      <w:r>
        <w:rPr>
          <w:rStyle w:val="CharSectno"/>
        </w:rPr>
        <w:t>51GAC</w:t>
      </w:r>
      <w:r>
        <w:t>.</w:t>
      </w:r>
      <w:r>
        <w:tab/>
        <w:t>When an authorised practitioner may supply or prescribe a stimulant</w:t>
      </w:r>
      <w:bookmarkEnd w:id="125"/>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26" w:name="_Toc389746348"/>
      <w:r>
        <w:rPr>
          <w:rStyle w:val="CharSectno"/>
        </w:rPr>
        <w:t>51GAD</w:t>
      </w:r>
      <w:r>
        <w:t>.</w:t>
      </w:r>
      <w:r>
        <w:tab/>
        <w:t>Treatment of attention deficit hyperactivity disorder with a stimulant</w:t>
      </w:r>
      <w:bookmarkEnd w:id="126"/>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Commissioner of Health,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Commissioner of Health,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w:t>
      </w:r>
    </w:p>
    <w:p>
      <w:pPr>
        <w:pStyle w:val="Heading5"/>
      </w:pPr>
      <w:bookmarkStart w:id="127" w:name="_Toc389746349"/>
      <w:r>
        <w:rPr>
          <w:rStyle w:val="CharSectno"/>
        </w:rPr>
        <w:t>51GAE</w:t>
      </w:r>
      <w:r>
        <w:t>.</w:t>
      </w:r>
      <w:r>
        <w:tab/>
        <w:t>Dose for supply or prescription of a stimulant</w:t>
      </w:r>
      <w:bookmarkEnd w:id="127"/>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Commissioner of Health,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Commissioner of Health, prescribe a total daily dosage exceeding 12 tablets/day for those stimulants.</w:t>
      </w:r>
    </w:p>
    <w:p>
      <w:pPr>
        <w:pStyle w:val="Footnotesection"/>
      </w:pPr>
      <w:r>
        <w:tab/>
        <w:t>[Regulation 51GAE inserted in Gazette 12 Aug 2003 p. 3661.]</w:t>
      </w:r>
    </w:p>
    <w:p>
      <w:pPr>
        <w:pStyle w:val="Heading5"/>
      </w:pPr>
      <w:bookmarkStart w:id="128" w:name="_Toc389746350"/>
      <w:r>
        <w:rPr>
          <w:rStyle w:val="CharSectno"/>
        </w:rPr>
        <w:t>51GAF</w:t>
      </w:r>
      <w:r>
        <w:t>.</w:t>
      </w:r>
      <w:r>
        <w:tab/>
        <w:t>Notification to Commissioner of Health of supply or prescription of a stimulant</w:t>
      </w:r>
      <w:bookmarkEnd w:id="128"/>
    </w:p>
    <w:p>
      <w:pPr>
        <w:pStyle w:val="Subsection"/>
      </w:pPr>
      <w:r>
        <w:tab/>
        <w:t>(1)</w:t>
      </w:r>
      <w:r>
        <w:tab/>
        <w:t xml:space="preserve">An authorised practitioner must notify the Commissioner of Health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Commissioner of Health.</w:t>
      </w:r>
    </w:p>
    <w:p>
      <w:pPr>
        <w:pStyle w:val="Subsection"/>
      </w:pPr>
      <w:r>
        <w:tab/>
        <w:t>(3)</w:t>
      </w:r>
      <w:r>
        <w:tab/>
        <w:t>Upon receiving notification under subregulation (1)(a) or (b), the Commissioner of Health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w:t>
      </w:r>
    </w:p>
    <w:p>
      <w:pPr>
        <w:pStyle w:val="Heading5"/>
      </w:pPr>
      <w:bookmarkStart w:id="129" w:name="_Toc389746351"/>
      <w:r>
        <w:rPr>
          <w:rStyle w:val="CharSectno"/>
        </w:rPr>
        <w:t>51GAG</w:t>
      </w:r>
      <w:r>
        <w:t>.</w:t>
      </w:r>
      <w:r>
        <w:tab/>
        <w:t>Co</w:t>
      </w:r>
      <w:r>
        <w:noBreakHyphen/>
        <w:t>prescriber for supply or prescription of a stimulant</w:t>
      </w:r>
      <w:bookmarkEnd w:id="129"/>
    </w:p>
    <w:p>
      <w:pPr>
        <w:pStyle w:val="Subsection"/>
      </w:pPr>
      <w:r>
        <w:tab/>
        <w:t>(1)</w:t>
      </w:r>
      <w:r>
        <w:tab/>
        <w:t>An authorised practitioner may nominate another medical practitioner to be a co</w:t>
      </w:r>
      <w:r>
        <w:noBreakHyphen/>
        <w:t>prescriber of a stimulant in a notification to the Commissioner of Health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w:t>
      </w:r>
    </w:p>
    <w:p>
      <w:pPr>
        <w:pStyle w:val="Heading5"/>
      </w:pPr>
      <w:bookmarkStart w:id="130" w:name="_Toc389746352"/>
      <w:r>
        <w:rPr>
          <w:rStyle w:val="CharSectno"/>
        </w:rPr>
        <w:t>51GAH</w:t>
      </w:r>
      <w:r>
        <w:t>.</w:t>
      </w:r>
      <w:r>
        <w:tab/>
        <w:t>Special authorisation to supply or prescription of a stimulant</w:t>
      </w:r>
      <w:bookmarkEnd w:id="130"/>
    </w:p>
    <w:p>
      <w:pPr>
        <w:pStyle w:val="Subsection"/>
      </w:pPr>
      <w:r>
        <w:tab/>
        <w:t>(1)</w:t>
      </w:r>
      <w:r>
        <w:tab/>
        <w:t>A medical practitioner may apply to the Commissioner of Health for a special authorisation to supply or prescribe a stimulant to a particular patient in circumstances not set out in regulation 51GAC.</w:t>
      </w:r>
    </w:p>
    <w:p>
      <w:pPr>
        <w:pStyle w:val="Subsection"/>
      </w:pPr>
      <w:r>
        <w:tab/>
        <w:t>(2)</w:t>
      </w:r>
      <w:r>
        <w:tab/>
        <w:t>The application must be in a form approved by the Commissioner of Health.</w:t>
      </w:r>
    </w:p>
    <w:p>
      <w:pPr>
        <w:pStyle w:val="Subsection"/>
      </w:pPr>
      <w:r>
        <w:tab/>
        <w:t>(3)</w:t>
      </w:r>
      <w:r>
        <w:tab/>
        <w:t>On an application under subregulation (1), the Commissioner of Health may grant the special authorisation if the Commissioner considers that there are sound medical grounds for doing so.</w:t>
      </w:r>
    </w:p>
    <w:p>
      <w:pPr>
        <w:pStyle w:val="Subsection"/>
      </w:pPr>
      <w:r>
        <w:tab/>
        <w:t>(4)</w:t>
      </w:r>
      <w:r>
        <w:tab/>
        <w:t>The Commissioner of Health may by notice in writing cancel or vary the terms of a special authorisation at any time.</w:t>
      </w:r>
    </w:p>
    <w:p>
      <w:pPr>
        <w:pStyle w:val="Footnotesection"/>
      </w:pPr>
      <w:r>
        <w:tab/>
        <w:t>[Regulation 51GAH inserted in Gazette 12 Aug 2003 p. 3662.]</w:t>
      </w:r>
    </w:p>
    <w:p>
      <w:pPr>
        <w:pStyle w:val="Heading5"/>
      </w:pPr>
      <w:bookmarkStart w:id="131" w:name="_Toc389746353"/>
      <w:r>
        <w:rPr>
          <w:rStyle w:val="CharSectno"/>
        </w:rPr>
        <w:t>51GAI</w:t>
      </w:r>
      <w:r>
        <w:t>.</w:t>
      </w:r>
      <w:r>
        <w:tab/>
        <w:t>Supply or prescription of a stimulant in a public hospital or prison</w:t>
      </w:r>
      <w:bookmarkEnd w:id="131"/>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32" w:name="_Toc389746354"/>
      <w:r>
        <w:rPr>
          <w:rStyle w:val="CharSectno"/>
        </w:rPr>
        <w:t>51GA</w:t>
      </w:r>
      <w:r>
        <w:rPr>
          <w:snapToGrid w:val="0"/>
        </w:rPr>
        <w:t>.</w:t>
      </w:r>
      <w:r>
        <w:rPr>
          <w:snapToGrid w:val="0"/>
        </w:rPr>
        <w:tab/>
        <w:t>Supply of dronabinol</w:t>
      </w:r>
      <w:bookmarkEnd w:id="132"/>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33" w:name="_Toc389746355"/>
      <w:r>
        <w:rPr>
          <w:rStyle w:val="CharSectno"/>
        </w:rPr>
        <w:t>51GB</w:t>
      </w:r>
      <w:r>
        <w:rPr>
          <w:snapToGrid w:val="0"/>
        </w:rPr>
        <w:t>.</w:t>
      </w:r>
      <w:r>
        <w:rPr>
          <w:snapToGrid w:val="0"/>
        </w:rPr>
        <w:tab/>
        <w:t>Supply of flunitrazepam</w:t>
      </w:r>
      <w:bookmarkEnd w:id="133"/>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 Commissioner of Health.</w:t>
      </w:r>
    </w:p>
    <w:p>
      <w:pPr>
        <w:pStyle w:val="Subsection"/>
        <w:rPr>
          <w:snapToGrid w:val="0"/>
        </w:rPr>
      </w:pPr>
      <w:r>
        <w:rPr>
          <w:snapToGrid w:val="0"/>
        </w:rPr>
        <w:tab/>
        <w:t>(2)</w:t>
      </w:r>
      <w:r>
        <w:rPr>
          <w:snapToGrid w:val="0"/>
        </w:rPr>
        <w:tab/>
        <w:t xml:space="preserve">The Commissioner of Health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In an authorisation given under subregulation (1),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An authorisation issued for the purpose of subregulation (1) is valid for such period as is specified by the Commissioner of Health unless revoked by the Commissioner, by notice in writing served on the practitioner, before the expiration of that period.</w:t>
      </w:r>
    </w:p>
    <w:p>
      <w:pPr>
        <w:pStyle w:val="Subsection"/>
        <w:rPr>
          <w:snapToGrid w:val="0"/>
        </w:rPr>
      </w:pPr>
      <w:r>
        <w:rPr>
          <w:snapToGrid w:val="0"/>
        </w:rPr>
        <w:tab/>
        <w:t>(5)</w:t>
      </w:r>
      <w:r>
        <w:rPr>
          <w:snapToGrid w:val="0"/>
        </w:rPr>
        <w:tab/>
        <w:t>The Commissioner of Health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w:t>
      </w:r>
    </w:p>
    <w:p>
      <w:pPr>
        <w:pStyle w:val="Heading5"/>
        <w:rPr>
          <w:snapToGrid w:val="0"/>
        </w:rPr>
      </w:pPr>
      <w:bookmarkStart w:id="134" w:name="_Toc389746356"/>
      <w:r>
        <w:rPr>
          <w:rStyle w:val="CharSectno"/>
        </w:rPr>
        <w:t>51H</w:t>
      </w:r>
      <w:r>
        <w:rPr>
          <w:snapToGrid w:val="0"/>
        </w:rPr>
        <w:t>.</w:t>
      </w:r>
      <w:r>
        <w:rPr>
          <w:snapToGrid w:val="0"/>
        </w:rPr>
        <w:tab/>
        <w:t>Dentists not to prescribe or supply certain drugs of addiction</w:t>
      </w:r>
      <w:bookmarkEnd w:id="134"/>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 Commissioner of Health.</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135" w:name="_Toc389746357"/>
      <w:r>
        <w:rPr>
          <w:rStyle w:val="CharDivNo"/>
        </w:rPr>
        <w:t>Division 3</w:t>
      </w:r>
      <w:r>
        <w:t xml:space="preserve"> — </w:t>
      </w:r>
      <w:r>
        <w:rPr>
          <w:rStyle w:val="CharDivText"/>
        </w:rPr>
        <w:t>Dispensing and delivery</w:t>
      </w:r>
      <w:bookmarkEnd w:id="135"/>
    </w:p>
    <w:p>
      <w:pPr>
        <w:pStyle w:val="Footnoteheading"/>
      </w:pPr>
      <w:r>
        <w:tab/>
        <w:t>[Heading inserted in Gazette 12 Aug 2003 p. 3664.]</w:t>
      </w:r>
    </w:p>
    <w:p>
      <w:pPr>
        <w:pStyle w:val="Heading5"/>
        <w:rPr>
          <w:snapToGrid w:val="0"/>
        </w:rPr>
      </w:pPr>
      <w:bookmarkStart w:id="136" w:name="_Toc389746358"/>
      <w:r>
        <w:rPr>
          <w:rStyle w:val="CharSectno"/>
        </w:rPr>
        <w:t>52</w:t>
      </w:r>
      <w:r>
        <w:rPr>
          <w:snapToGrid w:val="0"/>
        </w:rPr>
        <w:t>.</w:t>
      </w:r>
      <w:r>
        <w:rPr>
          <w:snapToGrid w:val="0"/>
        </w:rPr>
        <w:tab/>
        <w:t>Dispensing drugs of addiction</w:t>
      </w:r>
      <w:bookmarkEnd w:id="13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Commissioner of Health and inform the Commissioner of Health of the relevant circumstances and the reasons for his refusal to dispense </w:t>
      </w:r>
      <w:r>
        <w:t>the drug of addiction under</w:t>
      </w:r>
      <w:r>
        <w:rPr>
          <w:snapToGrid w:val="0"/>
        </w:rPr>
        <w:t xml:space="preserve"> the prescription.</w:t>
      </w:r>
    </w:p>
    <w:p>
      <w:pPr>
        <w:pStyle w:val="Subsection"/>
        <w:spacing w:before="120"/>
      </w:pPr>
      <w:r>
        <w:tab/>
        <w:t>(7)</w:t>
      </w:r>
      <w:r>
        <w:tab/>
        <w:t>The dispenser of a drug of addiction may transfer a prescription into the safe custody of another person if the transfer is approved by the Commissioner of Health under subregulation (7a).</w:t>
      </w:r>
    </w:p>
    <w:p>
      <w:pPr>
        <w:pStyle w:val="Subsection"/>
        <w:spacing w:before="120"/>
      </w:pPr>
      <w:r>
        <w:tab/>
        <w:t>(7a)</w:t>
      </w:r>
      <w:r>
        <w:tab/>
        <w:t>The Commissioner of Health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w:t>
      </w:r>
    </w:p>
    <w:p>
      <w:pPr>
        <w:pStyle w:val="Heading5"/>
        <w:rPr>
          <w:snapToGrid w:val="0"/>
        </w:rPr>
      </w:pPr>
      <w:bookmarkStart w:id="137" w:name="_Toc389746359"/>
      <w:r>
        <w:rPr>
          <w:rStyle w:val="CharSectno"/>
        </w:rPr>
        <w:t>52A</w:t>
      </w:r>
      <w:r>
        <w:rPr>
          <w:snapToGrid w:val="0"/>
        </w:rPr>
        <w:t>.</w:t>
      </w:r>
      <w:r>
        <w:rPr>
          <w:snapToGrid w:val="0"/>
        </w:rPr>
        <w:tab/>
        <w:t>Movement of drugs of addiction in other circumstances</w:t>
      </w:r>
      <w:bookmarkEnd w:id="13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38" w:name="_Toc389746360"/>
      <w:r>
        <w:rPr>
          <w:rStyle w:val="CharSectno"/>
        </w:rPr>
        <w:t>52B</w:t>
      </w:r>
      <w:r>
        <w:rPr>
          <w:snapToGrid w:val="0"/>
        </w:rPr>
        <w:t>.</w:t>
      </w:r>
      <w:r>
        <w:rPr>
          <w:snapToGrid w:val="0"/>
        </w:rPr>
        <w:tab/>
        <w:t>Manner of recording details</w:t>
      </w:r>
      <w:bookmarkEnd w:id="138"/>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 Commissioner of Health; or</w:t>
      </w:r>
    </w:p>
    <w:p>
      <w:pPr>
        <w:pStyle w:val="Indenta"/>
        <w:rPr>
          <w:snapToGrid w:val="0"/>
        </w:rPr>
      </w:pPr>
      <w:r>
        <w:rPr>
          <w:snapToGrid w:val="0"/>
        </w:rPr>
        <w:tab/>
        <w:t>(b)</w:t>
      </w:r>
      <w:r>
        <w:rPr>
          <w:snapToGrid w:val="0"/>
        </w:rPr>
        <w:tab/>
        <w:t>entered in a computerised recording system approved by the Commissioner of Health.</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w:t>
      </w:r>
    </w:p>
    <w:p>
      <w:pPr>
        <w:pStyle w:val="Ednotedivision"/>
      </w:pPr>
      <w:r>
        <w:t>[Heading deleted in Gazette 12 Aug 2003 p. 3663.]</w:t>
      </w:r>
    </w:p>
    <w:p>
      <w:pPr>
        <w:pStyle w:val="Heading5"/>
        <w:rPr>
          <w:snapToGrid w:val="0"/>
        </w:rPr>
      </w:pPr>
      <w:bookmarkStart w:id="139" w:name="_Toc389746361"/>
      <w:r>
        <w:rPr>
          <w:rStyle w:val="CharSectno"/>
        </w:rPr>
        <w:t>52C</w:t>
      </w:r>
      <w:r>
        <w:rPr>
          <w:snapToGrid w:val="0"/>
        </w:rPr>
        <w:t>.</w:t>
      </w:r>
      <w:r>
        <w:rPr>
          <w:snapToGrid w:val="0"/>
        </w:rPr>
        <w:tab/>
        <w:t>Returns to department</w:t>
      </w:r>
      <w:bookmarkEnd w:id="13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40" w:name="_Toc389746362"/>
      <w:r>
        <w:rPr>
          <w:rStyle w:val="CharSectno"/>
        </w:rPr>
        <w:t>53</w:t>
      </w:r>
      <w:r>
        <w:rPr>
          <w:snapToGrid w:val="0"/>
        </w:rPr>
        <w:t>.</w:t>
      </w:r>
      <w:r>
        <w:rPr>
          <w:snapToGrid w:val="0"/>
        </w:rPr>
        <w:tab/>
        <w:t>Dispensing poisons included in Schedule 8 in case of emergency</w:t>
      </w:r>
      <w:bookmarkEnd w:id="140"/>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 Commissioner of Health.</w:t>
      </w:r>
    </w:p>
    <w:p>
      <w:pPr>
        <w:pStyle w:val="Footnotesection"/>
      </w:pPr>
      <w:r>
        <w:tab/>
        <w:t>[Regulation 53 amended in Gazette 23 Sep 1983 p. 3806; 27 May 1988 p. 1771; 25 Jun 1993 p. 3085; 26 May 1994 p. 2201; 19 Mar 1996 p. 1232.]</w:t>
      </w:r>
    </w:p>
    <w:p>
      <w:pPr>
        <w:pStyle w:val="Ednotedivision"/>
        <w:spacing w:before="120"/>
      </w:pPr>
      <w:r>
        <w:t>[Heading deleted in Gazette 12 Aug 2003 p. 3663.]</w:t>
      </w:r>
    </w:p>
    <w:p>
      <w:pPr>
        <w:pStyle w:val="Heading5"/>
        <w:spacing w:before="180"/>
        <w:rPr>
          <w:snapToGrid w:val="0"/>
        </w:rPr>
      </w:pPr>
      <w:bookmarkStart w:id="141" w:name="_Toc389746363"/>
      <w:r>
        <w:rPr>
          <w:rStyle w:val="CharSectno"/>
        </w:rPr>
        <w:t>53A</w:t>
      </w:r>
      <w:r>
        <w:rPr>
          <w:snapToGrid w:val="0"/>
        </w:rPr>
        <w:t>.</w:t>
      </w:r>
      <w:r>
        <w:rPr>
          <w:snapToGrid w:val="0"/>
        </w:rPr>
        <w:tab/>
        <w:t>Dispensing certain poisons included in Schedule 8</w:t>
      </w:r>
      <w:bookmarkEnd w:id="141"/>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142" w:name="_Toc389746364"/>
      <w:r>
        <w:rPr>
          <w:rStyle w:val="CharSectno"/>
        </w:rPr>
        <w:t>54</w:t>
      </w:r>
      <w:r>
        <w:rPr>
          <w:snapToGrid w:val="0"/>
        </w:rPr>
        <w:t>.</w:t>
      </w:r>
      <w:r>
        <w:rPr>
          <w:snapToGrid w:val="0"/>
        </w:rPr>
        <w:tab/>
        <w:t>Delivery of poisons included in Schedule 8 on order</w:t>
      </w:r>
      <w:bookmarkEnd w:id="14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Commissioner of Health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w:t>
      </w:r>
    </w:p>
    <w:p>
      <w:pPr>
        <w:pStyle w:val="Heading5"/>
        <w:spacing w:before="260"/>
        <w:rPr>
          <w:snapToGrid w:val="0"/>
        </w:rPr>
      </w:pPr>
      <w:bookmarkStart w:id="143" w:name="_Toc389746365"/>
      <w:r>
        <w:rPr>
          <w:rStyle w:val="CharSectno"/>
        </w:rPr>
        <w:t>54A</w:t>
      </w:r>
      <w:r>
        <w:rPr>
          <w:snapToGrid w:val="0"/>
        </w:rPr>
        <w:t>.</w:t>
      </w:r>
      <w:r>
        <w:rPr>
          <w:snapToGrid w:val="0"/>
        </w:rPr>
        <w:tab/>
        <w:t>Packaging of drugs of addiction</w:t>
      </w:r>
      <w:bookmarkEnd w:id="143"/>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44" w:name="_Toc389746366"/>
      <w:r>
        <w:rPr>
          <w:rStyle w:val="CharSectno"/>
        </w:rPr>
        <w:t>55</w:t>
      </w:r>
      <w:r>
        <w:rPr>
          <w:snapToGrid w:val="0"/>
        </w:rPr>
        <w:t>.</w:t>
      </w:r>
      <w:r>
        <w:rPr>
          <w:snapToGrid w:val="0"/>
        </w:rPr>
        <w:tab/>
        <w:t>Common carrier protected</w:t>
      </w:r>
      <w:bookmarkEnd w:id="144"/>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145" w:name="_Toc389746367"/>
      <w:r>
        <w:rPr>
          <w:rStyle w:val="CharDivNo"/>
        </w:rPr>
        <w:t>Division 4</w:t>
      </w:r>
      <w:r>
        <w:t xml:space="preserve"> — </w:t>
      </w:r>
      <w:r>
        <w:rPr>
          <w:rStyle w:val="CharDivText"/>
        </w:rPr>
        <w:t>Safe custody</w:t>
      </w:r>
      <w:bookmarkEnd w:id="145"/>
    </w:p>
    <w:p>
      <w:pPr>
        <w:pStyle w:val="Footnoteheading"/>
        <w:keepNext/>
        <w:keepLines/>
        <w:rPr>
          <w:i w:val="0"/>
        </w:rPr>
      </w:pPr>
      <w:r>
        <w:tab/>
        <w:t>[Heading inserted in Gazette 12 Aug 2003 p. 3665.]</w:t>
      </w:r>
    </w:p>
    <w:p>
      <w:pPr>
        <w:pStyle w:val="Heading5"/>
        <w:rPr>
          <w:snapToGrid w:val="0"/>
        </w:rPr>
      </w:pPr>
      <w:bookmarkStart w:id="146" w:name="_Toc389746368"/>
      <w:r>
        <w:rPr>
          <w:rStyle w:val="CharSectno"/>
        </w:rPr>
        <w:t>56</w:t>
      </w:r>
      <w:r>
        <w:rPr>
          <w:snapToGrid w:val="0"/>
        </w:rPr>
        <w:t>.</w:t>
      </w:r>
      <w:r>
        <w:rPr>
          <w:snapToGrid w:val="0"/>
        </w:rPr>
        <w:tab/>
        <w:t>Storing and securing drugs of addiction</w:t>
      </w:r>
      <w:bookmarkEnd w:id="14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to a person who has the written permission of the Commissioner of Health to store a drug of addiction in a manner and with such security arrangements as are specified by the Commissioner of Health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w:t>
      </w:r>
    </w:p>
    <w:p>
      <w:pPr>
        <w:pStyle w:val="Heading5"/>
        <w:spacing w:before="260"/>
        <w:rPr>
          <w:snapToGrid w:val="0"/>
        </w:rPr>
      </w:pPr>
      <w:bookmarkStart w:id="147" w:name="_Toc389746369"/>
      <w:r>
        <w:rPr>
          <w:rStyle w:val="CharSectno"/>
        </w:rPr>
        <w:t>56A</w:t>
      </w:r>
      <w:r>
        <w:rPr>
          <w:snapToGrid w:val="0"/>
        </w:rPr>
        <w:t>.</w:t>
      </w:r>
      <w:r>
        <w:rPr>
          <w:snapToGrid w:val="0"/>
        </w:rPr>
        <w:tab/>
        <w:t>Prescribed amount of poisons included in Schedule 8</w:t>
      </w:r>
      <w:bookmarkEnd w:id="147"/>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148" w:name="_Toc389746370"/>
      <w:r>
        <w:rPr>
          <w:rStyle w:val="CharSectno"/>
        </w:rPr>
        <w:t>56B</w:t>
      </w:r>
      <w:r>
        <w:rPr>
          <w:snapToGrid w:val="0"/>
        </w:rPr>
        <w:t>.</w:t>
      </w:r>
      <w:r>
        <w:rPr>
          <w:snapToGrid w:val="0"/>
        </w:rPr>
        <w:tab/>
        <w:t>Location of safe in premises</w:t>
      </w:r>
      <w:bookmarkEnd w:id="14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49" w:name="_Toc389746371"/>
      <w:r>
        <w:rPr>
          <w:rStyle w:val="CharSectno"/>
        </w:rPr>
        <w:t>56C</w:t>
      </w:r>
      <w:r>
        <w:rPr>
          <w:snapToGrid w:val="0"/>
        </w:rPr>
        <w:t>.</w:t>
      </w:r>
      <w:r>
        <w:rPr>
          <w:snapToGrid w:val="0"/>
        </w:rPr>
        <w:tab/>
        <w:t>Authorised persons to keep keys to safes</w:t>
      </w:r>
      <w:bookmarkEnd w:id="14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ensure that the key to the safe is in the immediate and personal possession of a person who has been authorised by the Commissioner of Health to have possession of the key.</w:t>
      </w:r>
    </w:p>
    <w:p>
      <w:pPr>
        <w:pStyle w:val="Footnotesection"/>
      </w:pPr>
      <w:r>
        <w:tab/>
        <w:t xml:space="preserve">[Regulation 56C inserted in Gazette 25 Jun 1993 p. 3082; amended in Gazette 26 May 1994 p. 2201.] </w:t>
      </w:r>
    </w:p>
    <w:p>
      <w:pPr>
        <w:pStyle w:val="Heading5"/>
        <w:rPr>
          <w:snapToGrid w:val="0"/>
        </w:rPr>
      </w:pPr>
      <w:bookmarkStart w:id="150" w:name="_Toc389746372"/>
      <w:r>
        <w:rPr>
          <w:rStyle w:val="CharSectno"/>
        </w:rPr>
        <w:t>56D</w:t>
      </w:r>
      <w:r>
        <w:rPr>
          <w:snapToGrid w:val="0"/>
        </w:rPr>
        <w:t>.</w:t>
      </w:r>
      <w:r>
        <w:rPr>
          <w:snapToGrid w:val="0"/>
        </w:rPr>
        <w:tab/>
        <w:t>Safes to be kept locked</w:t>
      </w:r>
      <w:bookmarkEnd w:id="150"/>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51" w:name="_Toc389746373"/>
      <w:r>
        <w:rPr>
          <w:rStyle w:val="CharSectno"/>
        </w:rPr>
        <w:t>56E</w:t>
      </w:r>
      <w:r>
        <w:rPr>
          <w:snapToGrid w:val="0"/>
        </w:rPr>
        <w:t>.</w:t>
      </w:r>
      <w:r>
        <w:rPr>
          <w:snapToGrid w:val="0"/>
        </w:rPr>
        <w:tab/>
        <w:t>Pharmacist present on premises</w:t>
      </w:r>
      <w:bookmarkEnd w:id="151"/>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52" w:name="_Toc389746374"/>
      <w:r>
        <w:rPr>
          <w:rStyle w:val="CharSectno"/>
        </w:rPr>
        <w:t>56F</w:t>
      </w:r>
      <w:r>
        <w:rPr>
          <w:snapToGrid w:val="0"/>
        </w:rPr>
        <w:t>.</w:t>
      </w:r>
      <w:r>
        <w:rPr>
          <w:snapToGrid w:val="0"/>
        </w:rPr>
        <w:tab/>
        <w:t>Keys to, and locking of, poisons cupboards and lockable drawers</w:t>
      </w:r>
      <w:bookmarkEnd w:id="152"/>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53" w:name="_Toc389746375"/>
      <w:r>
        <w:rPr>
          <w:rStyle w:val="CharSectno"/>
        </w:rPr>
        <w:t>56G</w:t>
      </w:r>
      <w:r>
        <w:rPr>
          <w:snapToGrid w:val="0"/>
        </w:rPr>
        <w:t>.</w:t>
      </w:r>
      <w:r>
        <w:rPr>
          <w:snapToGrid w:val="0"/>
        </w:rPr>
        <w:tab/>
        <w:t>Poisons included in Schedule 8 in hospital ward</w:t>
      </w:r>
      <w:bookmarkEnd w:id="153"/>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54" w:name="_Toc389746376"/>
      <w:r>
        <w:rPr>
          <w:rStyle w:val="CharSectno"/>
        </w:rPr>
        <w:t>56H</w:t>
      </w:r>
      <w:r>
        <w:rPr>
          <w:snapToGrid w:val="0"/>
        </w:rPr>
        <w:t>.</w:t>
      </w:r>
      <w:r>
        <w:rPr>
          <w:snapToGrid w:val="0"/>
        </w:rPr>
        <w:tab/>
        <w:t>Keys to, and locking of, cupboards in hospital wards</w:t>
      </w:r>
      <w:bookmarkEnd w:id="154"/>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55" w:name="_Toc389746377"/>
      <w:r>
        <w:rPr>
          <w:rStyle w:val="CharDivNo"/>
        </w:rPr>
        <w:t>Division 5</w:t>
      </w:r>
      <w:r>
        <w:t xml:space="preserve"> — </w:t>
      </w:r>
      <w:r>
        <w:rPr>
          <w:rStyle w:val="CharDivText"/>
        </w:rPr>
        <w:t>Restrictions on supply</w:t>
      </w:r>
      <w:bookmarkEnd w:id="155"/>
    </w:p>
    <w:p>
      <w:pPr>
        <w:pStyle w:val="Footnoteheading"/>
        <w:rPr>
          <w:i w:val="0"/>
        </w:rPr>
      </w:pPr>
      <w:r>
        <w:tab/>
        <w:t>[Heading inserted in Gazette 12 Aug 2003 p. 3665.]</w:t>
      </w:r>
    </w:p>
    <w:p>
      <w:pPr>
        <w:pStyle w:val="Heading5"/>
        <w:rPr>
          <w:snapToGrid w:val="0"/>
        </w:rPr>
      </w:pPr>
      <w:bookmarkStart w:id="156" w:name="_Toc389746378"/>
      <w:r>
        <w:rPr>
          <w:rStyle w:val="CharSectno"/>
        </w:rPr>
        <w:t>57</w:t>
      </w:r>
      <w:r>
        <w:rPr>
          <w:snapToGrid w:val="0"/>
        </w:rPr>
        <w:t>.</w:t>
      </w:r>
      <w:r>
        <w:rPr>
          <w:snapToGrid w:val="0"/>
        </w:rPr>
        <w:tab/>
        <w:t>Labelling</w:t>
      </w:r>
      <w:bookmarkEnd w:id="15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57" w:name="_Toc389746379"/>
      <w:r>
        <w:rPr>
          <w:rStyle w:val="CharSectno"/>
        </w:rPr>
        <w:t>58</w:t>
      </w:r>
      <w:r>
        <w:rPr>
          <w:snapToGrid w:val="0"/>
        </w:rPr>
        <w:t>.</w:t>
      </w:r>
      <w:r>
        <w:rPr>
          <w:snapToGrid w:val="0"/>
        </w:rPr>
        <w:tab/>
        <w:t>Improper prescribing or use of drugs of addiction</w:t>
      </w:r>
      <w:bookmarkEnd w:id="15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58" w:name="_Toc389746380"/>
      <w:r>
        <w:rPr>
          <w:rStyle w:val="CharPartNo"/>
        </w:rPr>
        <w:t>Part 7</w:t>
      </w:r>
      <w:r>
        <w:rPr>
          <w:rStyle w:val="CharDivNo"/>
        </w:rPr>
        <w:t> </w:t>
      </w:r>
      <w:r>
        <w:t>—</w:t>
      </w:r>
      <w:r>
        <w:rPr>
          <w:rStyle w:val="CharDivText"/>
        </w:rPr>
        <w:t> </w:t>
      </w:r>
      <w:r>
        <w:rPr>
          <w:rStyle w:val="CharPartText"/>
        </w:rPr>
        <w:t>Miscellaneous provisions</w:t>
      </w:r>
      <w:bookmarkEnd w:id="158"/>
    </w:p>
    <w:p>
      <w:pPr>
        <w:pStyle w:val="Footnoteheading"/>
      </w:pPr>
      <w:r>
        <w:tab/>
        <w:t>[Heading inserted in Gazette 12 Aug 2003 p. 3665.]</w:t>
      </w:r>
    </w:p>
    <w:p>
      <w:pPr>
        <w:pStyle w:val="Heading5"/>
        <w:rPr>
          <w:snapToGrid w:val="0"/>
        </w:rPr>
      </w:pPr>
      <w:bookmarkStart w:id="159" w:name="_Toc389746381"/>
      <w:r>
        <w:rPr>
          <w:rStyle w:val="CharSectno"/>
        </w:rPr>
        <w:t>59</w:t>
      </w:r>
      <w:r>
        <w:rPr>
          <w:snapToGrid w:val="0"/>
        </w:rPr>
        <w:t>.</w:t>
      </w:r>
      <w:r>
        <w:rPr>
          <w:snapToGrid w:val="0"/>
        </w:rPr>
        <w:tab/>
        <w:t>Names of persons from whom licence or authority withdrawn to be published</w:t>
      </w:r>
      <w:bookmarkEnd w:id="159"/>
      <w:r>
        <w:rPr>
          <w:snapToGrid w:val="0"/>
        </w:rPr>
        <w:t xml:space="preserve"> </w:t>
      </w:r>
    </w:p>
    <w:p>
      <w:pPr>
        <w:pStyle w:val="Subsection"/>
        <w:rPr>
          <w:snapToGrid w:val="0"/>
        </w:rPr>
      </w:pPr>
      <w:r>
        <w:rPr>
          <w:snapToGrid w:val="0"/>
        </w:rPr>
        <w:tab/>
      </w:r>
      <w:r>
        <w:rPr>
          <w:snapToGrid w:val="0"/>
        </w:rPr>
        <w:tab/>
        <w:t xml:space="preserve">A decision of the Commissioner of Health cancelling, suspending or revoking an authorisation, licence or permit conferred or issued under the Act or these regulations or any other decision of the Commissioner of Health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w:t>
      </w:r>
    </w:p>
    <w:p>
      <w:pPr>
        <w:pStyle w:val="Ednotedivision"/>
      </w:pPr>
      <w:r>
        <w:t>[Heading deleted in Gazette 12 Aug 2003 p. 3663.]</w:t>
      </w:r>
    </w:p>
    <w:p>
      <w:pPr>
        <w:pStyle w:val="Ednotesection"/>
      </w:pPr>
      <w:r>
        <w:t>[</w:t>
      </w:r>
      <w:r>
        <w:rPr>
          <w:b/>
          <w:bCs/>
        </w:rPr>
        <w:t>60</w:t>
      </w:r>
      <w:r>
        <w:rPr>
          <w:b/>
          <w:bCs/>
        </w:rPr>
        <w:noBreakHyphen/>
        <w:t>63.</w:t>
      </w:r>
      <w:r>
        <w:tab/>
        <w:t>Repealed in Gazette 30 Dec 2004 p. 6943.]</w:t>
      </w:r>
    </w:p>
    <w:p>
      <w:pPr>
        <w:pStyle w:val="Heading5"/>
        <w:rPr>
          <w:snapToGrid w:val="0"/>
        </w:rPr>
      </w:pPr>
      <w:bookmarkStart w:id="160" w:name="_Toc389746382"/>
      <w:r>
        <w:rPr>
          <w:rStyle w:val="CharSectno"/>
        </w:rPr>
        <w:t>64</w:t>
      </w:r>
      <w:r>
        <w:rPr>
          <w:snapToGrid w:val="0"/>
        </w:rPr>
        <w:t>.</w:t>
      </w:r>
      <w:r>
        <w:rPr>
          <w:snapToGrid w:val="0"/>
        </w:rPr>
        <w:tab/>
        <w:t>Substitution of one brand of a drug for another</w:t>
      </w:r>
      <w:bookmarkEnd w:id="1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61" w:name="_Toc389746383"/>
      <w:r>
        <w:rPr>
          <w:rStyle w:val="CharSectno"/>
        </w:rPr>
        <w:t>65</w:t>
      </w:r>
      <w:r>
        <w:rPr>
          <w:snapToGrid w:val="0"/>
        </w:rPr>
        <w:t>.</w:t>
      </w:r>
      <w:r>
        <w:rPr>
          <w:snapToGrid w:val="0"/>
        </w:rPr>
        <w:tab/>
        <w:t>Form of warrant (section 55A)</w:t>
      </w:r>
      <w:bookmarkEnd w:id="16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62" w:name="_Toc389746384"/>
      <w:r>
        <w:rPr>
          <w:rStyle w:val="CharSchNo"/>
        </w:rPr>
        <w:t>Appendix A</w:t>
      </w:r>
      <w:bookmarkEnd w:id="162"/>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rPr>
          <w:snapToGrid w:val="0"/>
        </w:rPr>
        <w:t>Commissioner of Health</w:t>
      </w:r>
    </w:p>
    <w:p>
      <w:pPr>
        <w:pStyle w:val="yFootnotesection"/>
        <w:spacing w:before="240"/>
      </w:pPr>
      <w:r>
        <w:tab/>
        <w:t>[Form 8 amended in Gazette 7 Jun 1985 p. 1941; 27 May 1988 p. 1771; 16 Apr 1992 p. 1635; 25 Jun 1993 p. 3085; 26 May 1994 p. 2201; 19 Mar 1996 p. 1235; 4 Apr 2006 p. 1406.]</w:t>
      </w:r>
    </w:p>
    <w:p>
      <w:pPr>
        <w:pStyle w:val="yEdnotesection"/>
        <w:ind w:left="0" w:firstLine="0"/>
        <w:jc w:val="center"/>
      </w:pPr>
    </w:p>
    <w:p>
      <w:pPr>
        <w:pStyle w:val="yTable"/>
        <w:keepNext/>
        <w:jc w:val="center"/>
        <w:rPr>
          <w:snapToGrid w:val="0"/>
        </w:rPr>
      </w:pPr>
      <w:r>
        <w:rPr>
          <w:b/>
          <w:bCs/>
          <w:snapToGrid w:val="0"/>
        </w:rPr>
        <w:t>Form 8AA</w:t>
      </w:r>
    </w:p>
    <w:p>
      <w:pPr>
        <w:pStyle w:val="yMiscellaneousHeading"/>
        <w:rPr>
          <w:i/>
          <w:iCs/>
          <w:snapToGrid w:val="0"/>
        </w:rPr>
      </w:pPr>
      <w:r>
        <w:rPr>
          <w:i/>
          <w:iCs/>
          <w:snapToGrid w:val="0"/>
        </w:rPr>
        <w:t>Poisons Act 1964</w:t>
      </w:r>
    </w:p>
    <w:p>
      <w:pPr>
        <w:pStyle w:val="yMiscellaneousHeading"/>
        <w:rPr>
          <w:b/>
          <w:bCs/>
          <w:snapToGrid w:val="0"/>
        </w:rPr>
      </w:pPr>
      <w:r>
        <w:rPr>
          <w:b/>
          <w:bCs/>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ind w:right="16"/>
        <w:jc w:val="right"/>
        <w:rPr>
          <w:snapToGrid w:val="0"/>
        </w:rPr>
      </w:pPr>
      <w:r>
        <w:rPr>
          <w:snapToGrid w:val="0"/>
        </w:rPr>
        <w:t>Commissioner of Health</w:t>
      </w:r>
    </w:p>
    <w:p>
      <w:pPr>
        <w:pStyle w:val="yFootnotesection"/>
      </w:pPr>
      <w:r>
        <w:tab/>
        <w:t>[Form 8AA inserted in Gazette 4 Apr 2006 p. 1407.]</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rPr>
          <w:snapToGrid w:val="0"/>
        </w:rPr>
      </w:pPr>
      <w:r>
        <w:rPr>
          <w:snapToGrid w:val="0"/>
        </w:rPr>
        <w:t>[* delete if not applicable]</w:t>
      </w:r>
    </w:p>
    <w:p>
      <w:pPr>
        <w:pStyle w:val="yFootnotesection"/>
        <w:keepLines w:val="0"/>
        <w:ind w:left="893" w:hanging="609"/>
      </w:pPr>
      <w:r>
        <w:tab/>
        <w:t>[Form 13A inserted in Gazette 23 Aug 1996 p. 4089.]</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repealed in Gazette 1 Oct 1993 p. 5361.]</w:t>
      </w:r>
    </w:p>
    <w:p>
      <w:pPr>
        <w:pStyle w:val="yEdnoteschedule"/>
      </w:pPr>
      <w:r>
        <w:t xml:space="preserve">[Appendices C, D and E repealed in Gazette 11 Nov 1988 p. 4444.] </w:t>
      </w:r>
    </w:p>
    <w:p>
      <w:pPr>
        <w:pStyle w:val="yEdnoteschedule"/>
      </w:pPr>
      <w:r>
        <w:t>[Appendix F repealed in Gazette 1 Aug 1986 p. 2739.]</w:t>
      </w:r>
    </w:p>
    <w:p>
      <w:pPr>
        <w:pStyle w:val="yScheduleHeading"/>
      </w:pPr>
      <w:bookmarkStart w:id="163" w:name="_Toc389746385"/>
      <w:r>
        <w:rPr>
          <w:rStyle w:val="CharSchNo"/>
        </w:rPr>
        <w:t>Appendix G</w:t>
      </w:r>
      <w:bookmarkEnd w:id="163"/>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iCs/>
                <w:sz w:val="18"/>
              </w:rPr>
            </w:pPr>
            <w:r>
              <w:rPr>
                <w:b/>
                <w:iCs/>
                <w:sz w:val="18"/>
              </w:rPr>
              <w:t>Form</w:t>
            </w:r>
            <w:r>
              <w:rPr>
                <w:b/>
                <w:iCs/>
                <w:sz w:val="18"/>
              </w:rPr>
              <w:tab/>
              <w:t>Description of</w:t>
            </w:r>
          </w:p>
          <w:p>
            <w:pPr>
              <w:pStyle w:val="yTable"/>
              <w:tabs>
                <w:tab w:val="left" w:pos="1049"/>
              </w:tabs>
              <w:spacing w:before="0"/>
              <w:rPr>
                <w:b/>
                <w:iCs/>
                <w:sz w:val="18"/>
              </w:rPr>
            </w:pPr>
            <w:r>
              <w:rPr>
                <w:b/>
                <w:iCs/>
                <w:sz w:val="18"/>
              </w:rPr>
              <w:t>No.</w:t>
            </w:r>
            <w:r>
              <w:rPr>
                <w:b/>
                <w:iCs/>
                <w:sz w:val="18"/>
              </w:rPr>
              <w:tab/>
              <w:t>Licence or Permit</w:t>
            </w:r>
          </w:p>
        </w:tc>
        <w:tc>
          <w:tcPr>
            <w:tcW w:w="992" w:type="dxa"/>
          </w:tcPr>
          <w:p>
            <w:pPr>
              <w:pStyle w:val="yTable"/>
              <w:spacing w:before="0"/>
              <w:jc w:val="center"/>
              <w:rPr>
                <w:b/>
                <w:iCs/>
                <w:sz w:val="18"/>
              </w:rPr>
            </w:pPr>
            <w:r>
              <w:rPr>
                <w:b/>
                <w:iCs/>
                <w:sz w:val="18"/>
              </w:rPr>
              <w:t>Initial Fee</w:t>
            </w:r>
          </w:p>
          <w:p>
            <w:pPr>
              <w:pStyle w:val="yTable"/>
              <w:spacing w:before="0"/>
              <w:jc w:val="center"/>
              <w:rPr>
                <w:b/>
                <w:iCs/>
                <w:sz w:val="18"/>
              </w:rPr>
            </w:pPr>
            <w:r>
              <w:rPr>
                <w:b/>
                <w:iCs/>
                <w:sz w:val="18"/>
              </w:rPr>
              <w:t>(1 year)</w:t>
            </w:r>
          </w:p>
          <w:p>
            <w:pPr>
              <w:pStyle w:val="yTable"/>
              <w:spacing w:before="0"/>
              <w:jc w:val="center"/>
              <w:rPr>
                <w:b/>
                <w:iCs/>
                <w:sz w:val="18"/>
              </w:rPr>
            </w:pPr>
            <w:r>
              <w:rPr>
                <w:b/>
                <w:iCs/>
                <w:sz w:val="18"/>
              </w:rPr>
              <w:t>$</w:t>
            </w:r>
          </w:p>
        </w:tc>
        <w:tc>
          <w:tcPr>
            <w:tcW w:w="992" w:type="dxa"/>
          </w:tcPr>
          <w:p>
            <w:pPr>
              <w:pStyle w:val="yTable"/>
              <w:spacing w:before="0"/>
              <w:jc w:val="center"/>
              <w:rPr>
                <w:b/>
                <w:iCs/>
                <w:sz w:val="18"/>
              </w:rPr>
            </w:pPr>
            <w:r>
              <w:rPr>
                <w:b/>
                <w:iCs/>
                <w:sz w:val="18"/>
              </w:rPr>
              <w:t>Initial Fee</w:t>
            </w:r>
          </w:p>
          <w:p>
            <w:pPr>
              <w:pStyle w:val="yTable"/>
              <w:spacing w:before="0"/>
              <w:jc w:val="center"/>
              <w:rPr>
                <w:b/>
                <w:iCs/>
                <w:sz w:val="18"/>
              </w:rPr>
            </w:pPr>
            <w:r>
              <w:rPr>
                <w:b/>
                <w:iCs/>
                <w:sz w:val="18"/>
              </w:rPr>
              <w:t>(3 years)</w:t>
            </w:r>
          </w:p>
          <w:p>
            <w:pPr>
              <w:pStyle w:val="yTable"/>
              <w:spacing w:before="0"/>
              <w:jc w:val="center"/>
              <w:rPr>
                <w:b/>
                <w:iCs/>
                <w:sz w:val="18"/>
              </w:rPr>
            </w:pPr>
            <w:r>
              <w:rPr>
                <w:b/>
                <w:iCs/>
                <w:sz w:val="18"/>
              </w:rPr>
              <w:t>$</w:t>
            </w:r>
          </w:p>
        </w:tc>
        <w:tc>
          <w:tcPr>
            <w:tcW w:w="992" w:type="dxa"/>
          </w:tcPr>
          <w:p>
            <w:pPr>
              <w:pStyle w:val="yTable"/>
              <w:spacing w:before="0"/>
              <w:jc w:val="center"/>
              <w:rPr>
                <w:b/>
                <w:iCs/>
                <w:sz w:val="18"/>
              </w:rPr>
            </w:pPr>
            <w:r>
              <w:rPr>
                <w:b/>
                <w:iCs/>
                <w:sz w:val="18"/>
              </w:rPr>
              <w:t>Renewal</w:t>
            </w:r>
          </w:p>
          <w:p>
            <w:pPr>
              <w:pStyle w:val="yTable"/>
              <w:spacing w:before="0"/>
              <w:jc w:val="center"/>
              <w:rPr>
                <w:b/>
                <w:iCs/>
                <w:sz w:val="18"/>
              </w:rPr>
            </w:pPr>
            <w:r>
              <w:rPr>
                <w:b/>
                <w:iCs/>
                <w:sz w:val="18"/>
              </w:rPr>
              <w:t>(1 year)</w:t>
            </w:r>
          </w:p>
          <w:p>
            <w:pPr>
              <w:pStyle w:val="yTable"/>
              <w:spacing w:before="0"/>
              <w:jc w:val="center"/>
              <w:rPr>
                <w:b/>
                <w:iCs/>
                <w:sz w:val="18"/>
              </w:rPr>
            </w:pPr>
            <w:r>
              <w:rPr>
                <w:b/>
                <w:iCs/>
                <w:sz w:val="18"/>
              </w:rPr>
              <w:t>$</w:t>
            </w:r>
          </w:p>
        </w:tc>
        <w:tc>
          <w:tcPr>
            <w:tcW w:w="992" w:type="dxa"/>
          </w:tcPr>
          <w:p>
            <w:pPr>
              <w:pStyle w:val="yTable"/>
              <w:spacing w:before="0"/>
              <w:jc w:val="center"/>
              <w:rPr>
                <w:b/>
                <w:iCs/>
                <w:sz w:val="18"/>
              </w:rPr>
            </w:pPr>
            <w:r>
              <w:rPr>
                <w:b/>
                <w:iCs/>
                <w:sz w:val="18"/>
              </w:rPr>
              <w:t>Renewal</w:t>
            </w:r>
          </w:p>
          <w:p>
            <w:pPr>
              <w:pStyle w:val="yTable"/>
              <w:spacing w:before="0"/>
              <w:jc w:val="center"/>
              <w:rPr>
                <w:b/>
                <w:iCs/>
                <w:sz w:val="18"/>
              </w:rPr>
            </w:pPr>
            <w:r>
              <w:rPr>
                <w:b/>
                <w:iCs/>
                <w:sz w:val="18"/>
              </w:rPr>
              <w:t>(3 years)</w:t>
            </w:r>
          </w:p>
          <w:p>
            <w:pPr>
              <w:pStyle w:val="yTable"/>
              <w:spacing w:before="0"/>
              <w:jc w:val="center"/>
              <w:rPr>
                <w:b/>
                <w:iCs/>
                <w:sz w:val="18"/>
              </w:rPr>
            </w:pPr>
            <w:r>
              <w:rPr>
                <w:b/>
                <w:iCs/>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2"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164" w:name="_Toc389746386"/>
      <w:r>
        <w:rPr>
          <w:rStyle w:val="CharSchNo"/>
        </w:rPr>
        <w:t>Appendix H</w:t>
      </w:r>
      <w:bookmarkEnd w:id="164"/>
    </w:p>
    <w:p>
      <w:pPr>
        <w:pStyle w:val="yHeading2"/>
      </w:pPr>
      <w:bookmarkStart w:id="165" w:name="_Toc389746387"/>
      <w:r>
        <w:rPr>
          <w:rStyle w:val="CharSchText"/>
        </w:rPr>
        <w:t>Schedule 4 substances referred to in regulation 39(1)</w:t>
      </w:r>
      <w:bookmarkEnd w:id="165"/>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166" w:name="_Toc389746388"/>
      <w:r>
        <w:rPr>
          <w:rStyle w:val="CharSchNo"/>
        </w:rPr>
        <w:t>Appendix J</w:t>
      </w:r>
      <w:bookmarkEnd w:id="166"/>
    </w:p>
    <w:p>
      <w:pPr>
        <w:pStyle w:val="yShoulderClause"/>
        <w:rPr>
          <w:snapToGrid w:val="0"/>
        </w:rPr>
      </w:pPr>
      <w:r>
        <w:rPr>
          <w:snapToGrid w:val="0"/>
        </w:rPr>
        <w:t>(reg. 35A)</w:t>
      </w:r>
    </w:p>
    <w:p>
      <w:pPr>
        <w:pStyle w:val="yHeading2"/>
      </w:pPr>
      <w:bookmarkStart w:id="167" w:name="_Toc389746389"/>
      <w:r>
        <w:rPr>
          <w:rStyle w:val="CharSchText"/>
        </w:rPr>
        <w:t>Schedule 3 poison sales to be recorded</w:t>
      </w:r>
      <w:bookmarkEnd w:id="167"/>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yNumberedItem"/>
        <w:rPr>
          <w:snapToGrid w:val="0"/>
        </w:rPr>
      </w:pPr>
      <w:r>
        <w:rPr>
          <w:snapToGrid w:val="0"/>
        </w:rPr>
        <w:tab/>
        <w:t>NICOTINE,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division"/>
      </w:pPr>
      <w:r>
        <w:t>[Appendix K deleted in Gazette 19 Mar 1996 p. 1239.]</w:t>
      </w:r>
    </w:p>
    <w:p>
      <w:pPr>
        <w:pStyle w:val="yScheduleHeading"/>
      </w:pPr>
      <w:bookmarkStart w:id="168" w:name="_Toc389746390"/>
      <w:r>
        <w:rPr>
          <w:rStyle w:val="CharSchNo"/>
        </w:rPr>
        <w:t>Appendix L</w:t>
      </w:r>
      <w:bookmarkEnd w:id="168"/>
    </w:p>
    <w:p>
      <w:pPr>
        <w:pStyle w:val="yShoulderClause"/>
        <w:spacing w:before="0"/>
        <w:rPr>
          <w:snapToGrid w:val="0"/>
        </w:rPr>
      </w:pPr>
      <w:r>
        <w:rPr>
          <w:snapToGrid w:val="0"/>
        </w:rPr>
        <w:t>(Regulations 37 and 51)</w:t>
      </w:r>
    </w:p>
    <w:p>
      <w:pPr>
        <w:pStyle w:val="yHeading2"/>
      </w:pPr>
      <w:bookmarkStart w:id="169" w:name="_Toc389746391"/>
      <w:r>
        <w:rPr>
          <w:rStyle w:val="CharSchText"/>
        </w:rPr>
        <w:t>Specified criteria for the generation of prescriptions by computer</w:t>
      </w:r>
      <w:bookmarkEnd w:id="169"/>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170" w:name="_Toc389746392"/>
      <w:r>
        <w:rPr>
          <w:rStyle w:val="CharSchNo"/>
        </w:rPr>
        <w:t>Appendix M</w:t>
      </w:r>
      <w:bookmarkEnd w:id="170"/>
    </w:p>
    <w:p>
      <w:pPr>
        <w:pStyle w:val="yShoulderClause"/>
        <w:rPr>
          <w:snapToGrid w:val="0"/>
        </w:rPr>
      </w:pPr>
      <w:r>
        <w:rPr>
          <w:snapToGrid w:val="0"/>
        </w:rPr>
        <w:t>[Regulations 56(1) and (2)]</w:t>
      </w:r>
    </w:p>
    <w:p>
      <w:pPr>
        <w:pStyle w:val="yHeading2"/>
      </w:pPr>
      <w:bookmarkStart w:id="171" w:name="_Toc389746393"/>
      <w:r>
        <w:rPr>
          <w:rStyle w:val="CharSchText"/>
        </w:rPr>
        <w:t>Safes and additional security for storing drugs of addiction</w:t>
      </w:r>
      <w:bookmarkEnd w:id="171"/>
    </w:p>
    <w:p>
      <w:pPr>
        <w:pStyle w:val="yFootnoteheading"/>
      </w:pPr>
      <w:r>
        <w:tab/>
        <w:t>[Heading inserted in Gazette 25 Jun 1993 p. 3084.]</w:t>
      </w:r>
    </w:p>
    <w:p>
      <w:pPr>
        <w:pStyle w:val="yHeading5"/>
        <w:outlineLvl w:val="9"/>
        <w:rPr>
          <w:snapToGrid w:val="0"/>
        </w:rPr>
      </w:pPr>
      <w:bookmarkStart w:id="172" w:name="_Toc389746394"/>
      <w:r>
        <w:rPr>
          <w:rStyle w:val="CharSClsNo"/>
        </w:rPr>
        <w:t>1</w:t>
      </w:r>
      <w:r>
        <w:rPr>
          <w:snapToGrid w:val="0"/>
        </w:rPr>
        <w:t>.</w:t>
      </w:r>
      <w:r>
        <w:rPr>
          <w:snapToGrid w:val="0"/>
        </w:rPr>
        <w:tab/>
        <w:t>Safes</w:t>
      </w:r>
      <w:bookmarkEnd w:id="172"/>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9"/>
        <w:rPr>
          <w:snapToGrid w:val="0"/>
        </w:rPr>
      </w:pPr>
      <w:bookmarkStart w:id="173" w:name="_Toc389746395"/>
      <w:r>
        <w:rPr>
          <w:rStyle w:val="CharSClsNo"/>
        </w:rPr>
        <w:t>2</w:t>
      </w:r>
      <w:r>
        <w:rPr>
          <w:snapToGrid w:val="0"/>
        </w:rPr>
        <w:t>.</w:t>
      </w:r>
      <w:r>
        <w:rPr>
          <w:snapToGrid w:val="0"/>
        </w:rPr>
        <w:tab/>
        <w:t>Additional security requirements</w:t>
      </w:r>
      <w:bookmarkEnd w:id="17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74" w:name="_Toc389746396"/>
      <w:r>
        <w:t>Notes</w:t>
      </w:r>
      <w:bookmarkEnd w:id="174"/>
    </w:p>
    <w:p>
      <w:pPr>
        <w:pStyle w:val="nSubsection"/>
        <w:rPr>
          <w:snapToGrid w:val="0"/>
        </w:rPr>
      </w:pPr>
      <w:r>
        <w:rPr>
          <w:snapToGrid w:val="0"/>
          <w:vertAlign w:val="superscript"/>
        </w:rPr>
        <w:t>1</w:t>
      </w:r>
      <w:r>
        <w:rPr>
          <w:snapToGrid w:val="0"/>
        </w:rPr>
        <w:tab/>
        <w:t xml:space="preserve">This reprint is a compilation as at 5 May 2006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175" w:name="_Toc389746397"/>
      <w:r>
        <w:rPr>
          <w:snapToGrid w:val="0"/>
        </w:rP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iCs/>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May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548" w:type="dxa"/>
          <w:gridSpan w:val="2"/>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548" w:type="dxa"/>
          <w:gridSpan w:val="2"/>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254"/>
    <w:docVar w:name="WAFER_20140605151243" w:val="RemoveTocBookmarks,RemoveUnusedBookmarks,RemoveLanguageTags,UsedStyles,ResetPageSize"/>
    <w:docVar w:name="WAFER_20140605151243_GUID" w:val="6a734869-d0a3-4a37-87e3-6e1bcf69a6ed"/>
    <w:docVar w:name="WAFER_20140605151254" w:val="RemoveTocBookmarks,RunningHeaders"/>
    <w:docVar w:name="WAFER_20140605151254_GUID" w:val="8acc5c1a-531d-4523-b640-e9e5df0e5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35622</Words>
  <Characters>183814</Characters>
  <Application>Microsoft Office Word</Application>
  <DocSecurity>0</DocSecurity>
  <Lines>5105</Lines>
  <Paragraphs>3005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216431</CharactersWithSpaces>
  <SharedDoc>false</SharedDoc>
  <HLinks>
    <vt:vector size="12" baseType="variant">
      <vt:variant>
        <vt:i4>3014716</vt:i4>
      </vt:variant>
      <vt:variant>
        <vt:i4>14258</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1965 - 08-a0-03</dc:title>
  <dc:subject/>
  <dc:creator/>
  <cp:keywords/>
  <dc:description/>
  <cp:lastModifiedBy>svcMRProcess</cp:lastModifiedBy>
  <cp:revision>4</cp:revision>
  <cp:lastPrinted>2006-05-15T02:43:00Z</cp:lastPrinted>
  <dcterms:created xsi:type="dcterms:W3CDTF">2018-09-14T22:21:00Z</dcterms:created>
  <dcterms:modified xsi:type="dcterms:W3CDTF">2018-09-14T22:21:00Z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4701</vt:i4>
  </property>
  <property fmtid="{D5CDD505-2E9C-101B-9397-08002B2CF9AE}" pid="6" name="ReprintNo">
    <vt:lpwstr>8</vt:lpwstr>
  </property>
  <property fmtid="{D5CDD505-2E9C-101B-9397-08002B2CF9AE}" pid="7" name="AsAtDate">
    <vt:lpwstr>05 May 2006</vt:lpwstr>
  </property>
  <property fmtid="{D5CDD505-2E9C-101B-9397-08002B2CF9AE}" pid="8" name="Suffix">
    <vt:lpwstr>08-a0-03</vt:lpwstr>
  </property>
</Properties>
</file>