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_Toc504046709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_Toc504046710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_Toc504046711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_Toc504046712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_Toc504046713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_Toc504046714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_Toc504046715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_Toc504046716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_Toc504046717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_Toc504046718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_Toc504046719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_Toc504046720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_Toc504046721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_Toc504046722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_Toc504046723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_Toc504046724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_Toc504046725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_Toc504046726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_Toc504046727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_Toc504046728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_Toc504046729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_Toc504046730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_Toc504046731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_Toc504046732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_Toc504046733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_Toc504046734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_Toc504046735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_Toc504046736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_Toc504046737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_Toc504046738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_Toc504046739 \h </w:instrText>
      </w:r>
      <w:r>
        <w:fldChar w:fldCharType="separate"/>
      </w:r>
      <w:r>
        <w:t>35</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_Toc504046740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_Toc504046741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_Toc504046742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_Toc504046743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_Toc504046744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_Toc504046745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_Toc504046746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_Toc504046747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_Toc504046748 \h </w:instrText>
      </w:r>
      <w:r>
        <w:fldChar w:fldCharType="separate"/>
      </w:r>
      <w:r>
        <w:t>41</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_Toc504046749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_Toc504046750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_Toc504046751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_Toc504046752 \h </w:instrText>
      </w:r>
      <w:r>
        <w:fldChar w:fldCharType="separate"/>
      </w:r>
      <w:r>
        <w:t>43</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_Toc504046753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_Toc504046754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_Toc504046755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_Toc504046756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_Toc504046757 \h </w:instrText>
      </w:r>
      <w:r>
        <w:fldChar w:fldCharType="separate"/>
      </w:r>
      <w:r>
        <w:t>46</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_Toc504046758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_Toc504046759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_Toc504046760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_Toc504046761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_Toc504046762 \h </w:instrText>
      </w:r>
      <w:r>
        <w:fldChar w:fldCharType="separate"/>
      </w:r>
      <w:r>
        <w:t>51</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_Toc504046763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_Toc504046764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_Toc504046765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_Toc504046766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_Toc504046767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_Toc504046768 \h </w:instrText>
      </w:r>
      <w:r>
        <w:fldChar w:fldCharType="separate"/>
      </w:r>
      <w:r>
        <w:t>55</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_Toc504046769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_Toc504046770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_Toc504046771 \h </w:instrText>
      </w:r>
      <w:r>
        <w:fldChar w:fldCharType="separate"/>
      </w:r>
      <w:r>
        <w:t>56</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_Toc504046772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_Toc504046773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_Toc504046774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_Toc504046775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_Toc504046776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_Toc504046777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_Toc504046778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_Toc504046779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_Toc504046780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_Toc504046781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_Toc504046782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_Toc504046783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_Toc504046784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_Toc504046785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_Toc504046786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_Toc504046787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_Toc504046788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_Toc504046789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_Toc504046790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_Toc504046791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_Toc504046792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_Toc504046799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0404670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0404671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04046711"/>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504046712"/>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504046713"/>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504046714"/>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504046715"/>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504046716"/>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50404671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504046718"/>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504046719"/>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504046720"/>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504046721"/>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504046722"/>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50404672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504046724"/>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504046725"/>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504046726"/>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504046727"/>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22" w:name="_Toc504046728"/>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504046729"/>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504046730"/>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504046731"/>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26" w:name="_Toc504046732"/>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504046733"/>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504046734"/>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504046735"/>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504046736"/>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504046737"/>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504046738"/>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504046739"/>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34" w:name="_Toc504046740"/>
      <w:r>
        <w:rPr>
          <w:rStyle w:val="CharSectno"/>
        </w:rPr>
        <w:t>9C</w:t>
      </w:r>
      <w:r>
        <w:t>.</w:t>
      </w:r>
      <w:r>
        <w:tab/>
        <w:t>Types of special facility licence prescribed (Act s. 46(6))</w:t>
      </w:r>
      <w:bookmarkEnd w:id="34"/>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35" w:name="_Toc504046741"/>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504046742"/>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504046743"/>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504046744"/>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504046745"/>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504046746"/>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504046747"/>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504046748"/>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504046749"/>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504046750"/>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504046751"/>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504046752"/>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504046753"/>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504046754"/>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504046755"/>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504046756"/>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504046757"/>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504046758"/>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504046759"/>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504046760"/>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504046761"/>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504046762"/>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7" w:name="_Toc501458966"/>
      <w:bookmarkStart w:id="58" w:name="_Toc501458976"/>
      <w:bookmarkStart w:id="59" w:name="_Toc504046763"/>
      <w:r>
        <w:rPr>
          <w:rStyle w:val="CharSectno"/>
        </w:rPr>
        <w:t>16A</w:t>
      </w:r>
      <w:r>
        <w:t>.</w:t>
      </w:r>
      <w:r>
        <w:tab/>
        <w:t xml:space="preserve">Sports arenas prescribed (Act s. 110(4B) </w:t>
      </w:r>
      <w:r>
        <w:rPr>
          <w:i/>
        </w:rPr>
        <w:t>sports arena</w:t>
      </w:r>
      <w:r>
        <w:t>)</w:t>
      </w:r>
      <w:bookmarkEnd w:id="57"/>
      <w:bookmarkEnd w:id="58"/>
      <w:bookmarkEnd w:id="59"/>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in Gazette 19 Jan 2018 p. 231</w:t>
      </w:r>
      <w:r>
        <w:noBreakHyphen/>
        <w:t>2.]</w:t>
      </w:r>
    </w:p>
    <w:p>
      <w:pPr>
        <w:pStyle w:val="Ednotesection"/>
      </w:pPr>
      <w:r>
        <w:t>[</w:t>
      </w:r>
      <w:r>
        <w:rPr>
          <w:b/>
        </w:rPr>
        <w:t>17A</w:t>
      </w:r>
      <w:r>
        <w:tab/>
        <w:t>Deleted in Gazette 19 Jan 2018 p. 231.]</w:t>
      </w:r>
    </w:p>
    <w:p>
      <w:pPr>
        <w:pStyle w:val="Heading5"/>
        <w:rPr>
          <w:snapToGrid w:val="0"/>
        </w:rPr>
      </w:pPr>
      <w:bookmarkStart w:id="60" w:name="_Toc504046764"/>
      <w:r>
        <w:rPr>
          <w:rStyle w:val="CharSectno"/>
        </w:rPr>
        <w:t>17</w:t>
      </w:r>
      <w:r>
        <w:rPr>
          <w:snapToGrid w:val="0"/>
        </w:rPr>
        <w:t>.</w:t>
      </w:r>
      <w:r>
        <w:rPr>
          <w:snapToGrid w:val="0"/>
        </w:rPr>
        <w:tab/>
        <w:t>Out of bounds area, notice for (Act s. 121(6))</w:t>
      </w:r>
      <w:bookmarkEnd w:id="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61" w:name="_Toc504046765"/>
      <w:r>
        <w:rPr>
          <w:rStyle w:val="CharSectno"/>
        </w:rPr>
        <w:t>18</w:t>
      </w:r>
      <w:r>
        <w:t>.</w:t>
      </w:r>
      <w:r>
        <w:tab/>
        <w:t>Premises prescribed to be regulated premises (Act s. 122(1)(f))</w:t>
      </w:r>
      <w:bookmarkEnd w:id="6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2" w:name="_Toc504046766"/>
      <w:r>
        <w:rPr>
          <w:rStyle w:val="CharSectno"/>
        </w:rPr>
        <w:t>18A</w:t>
      </w:r>
      <w:r>
        <w:rPr>
          <w:snapToGrid w:val="0"/>
        </w:rPr>
        <w:t>.</w:t>
      </w:r>
      <w:r>
        <w:rPr>
          <w:snapToGrid w:val="0"/>
        </w:rPr>
        <w:tab/>
        <w:t>Documents prescribed as evidence of age etc. (Act s. 126(1)(b)(i)(III) and s. 160(1))</w:t>
      </w:r>
      <w:bookmarkEnd w:id="6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3" w:name="_Toc504046767"/>
      <w:r>
        <w:rPr>
          <w:rStyle w:val="CharSectno"/>
        </w:rPr>
        <w:t>18B</w:t>
      </w:r>
      <w:r>
        <w:rPr>
          <w:snapToGrid w:val="0"/>
        </w:rPr>
        <w:t>.</w:t>
      </w:r>
      <w:r>
        <w:rPr>
          <w:snapToGrid w:val="0"/>
        </w:rPr>
        <w:tab/>
        <w:t>Proof of age card, issue of etc.</w:t>
      </w:r>
      <w:bookmarkEnd w:id="6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4" w:name="_Toc504046768"/>
      <w:r>
        <w:rPr>
          <w:rStyle w:val="CharSectno"/>
        </w:rPr>
        <w:t>18C</w:t>
      </w:r>
      <w:r>
        <w:rPr>
          <w:snapToGrid w:val="0"/>
        </w:rPr>
        <w:t>.</w:t>
      </w:r>
      <w:r>
        <w:rPr>
          <w:snapToGrid w:val="0"/>
        </w:rPr>
        <w:tab/>
        <w:t>Proof of age card, form etc. of (r. 18B)</w:t>
      </w:r>
      <w:bookmarkEnd w:id="6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5" w:name="_Toc504046769"/>
      <w:r>
        <w:rPr>
          <w:rStyle w:val="CharSectno"/>
        </w:rPr>
        <w:t>18D</w:t>
      </w:r>
      <w:r>
        <w:rPr>
          <w:snapToGrid w:val="0"/>
        </w:rPr>
        <w:t>.</w:t>
      </w:r>
      <w:r>
        <w:rPr>
          <w:snapToGrid w:val="0"/>
        </w:rPr>
        <w:tab/>
        <w:t>Lost etc. proof of age card, replacement of</w:t>
      </w:r>
      <w:bookmarkEnd w:id="6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6" w:name="_Toc504046770"/>
      <w:r>
        <w:rPr>
          <w:rStyle w:val="CharSectno"/>
        </w:rPr>
        <w:t>18E</w:t>
      </w:r>
      <w:r>
        <w:rPr>
          <w:snapToGrid w:val="0"/>
        </w:rPr>
        <w:t>.</w:t>
      </w:r>
      <w:r>
        <w:rPr>
          <w:snapToGrid w:val="0"/>
        </w:rPr>
        <w:tab/>
        <w:t>Agreement or arrangement prescribed (Act s. 104(2))</w:t>
      </w:r>
      <w:bookmarkEnd w:id="6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7" w:name="_Toc504046771"/>
      <w:r>
        <w:rPr>
          <w:rStyle w:val="CharSectno"/>
        </w:rPr>
        <w:t>18EA</w:t>
      </w:r>
      <w:r>
        <w:t>.</w:t>
      </w:r>
      <w:r>
        <w:tab/>
        <w:t>Information prescribed for websites (Act s. 113A)</w:t>
      </w:r>
      <w:bookmarkEnd w:id="6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8" w:name="_Toc504046772"/>
      <w:r>
        <w:rPr>
          <w:rStyle w:val="CharSectno"/>
        </w:rPr>
        <w:t>18EBA</w:t>
      </w:r>
      <w:r>
        <w:t>.</w:t>
      </w:r>
      <w:r>
        <w:tab/>
        <w:t xml:space="preserve">Persons prescribed (Act s. 115AC(1A) </w:t>
      </w:r>
      <w:r>
        <w:rPr>
          <w:i/>
        </w:rPr>
        <w:t>secure webpage</w:t>
      </w:r>
      <w:r>
        <w:t>)</w:t>
      </w:r>
      <w:bookmarkEnd w:id="6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9" w:name="_Toc504046773"/>
      <w:r>
        <w:rPr>
          <w:rStyle w:val="CharSectno"/>
        </w:rPr>
        <w:t>18EB</w:t>
      </w:r>
      <w:r>
        <w:t>.</w:t>
      </w:r>
      <w:r>
        <w:tab/>
        <w:t>Incidents and information prescribed for register (Act s. 116A)</w:t>
      </w:r>
      <w:bookmarkEnd w:id="6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70" w:name="_Toc504046774"/>
      <w:r>
        <w:rPr>
          <w:rStyle w:val="CharSectno"/>
        </w:rPr>
        <w:t>18EC</w:t>
      </w:r>
      <w:r>
        <w:t>.</w:t>
      </w:r>
      <w:r>
        <w:tab/>
        <w:t>Prescribed incidents involving physical force</w:t>
      </w:r>
      <w:bookmarkEnd w:id="7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71" w:name="_Toc504046775"/>
      <w:r>
        <w:rPr>
          <w:rStyle w:val="CharSectno"/>
        </w:rPr>
        <w:t>18F</w:t>
      </w:r>
      <w:r>
        <w:t>.</w:t>
      </w:r>
      <w:r>
        <w:tab/>
        <w:t>Training courses prescribed (Act s. 121(11)(d))</w:t>
      </w:r>
      <w:bookmarkEnd w:id="7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2" w:name="_Toc504046776"/>
      <w:r>
        <w:rPr>
          <w:rStyle w:val="CharSectno"/>
        </w:rPr>
        <w:t>18G</w:t>
      </w:r>
      <w:r>
        <w:t>.</w:t>
      </w:r>
      <w:r>
        <w:tab/>
        <w:t>Confiscated document, how to be dealt with (Act s. 126(2b))</w:t>
      </w:r>
      <w:bookmarkEnd w:id="7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3" w:name="_Toc504046777"/>
      <w:r>
        <w:rPr>
          <w:rStyle w:val="CharSectno"/>
        </w:rPr>
        <w:t>18H</w:t>
      </w:r>
      <w:r>
        <w:t>.</w:t>
      </w:r>
      <w:r>
        <w:tab/>
        <w:t>Provisions prescribed (Act s. 126E(4))</w:t>
      </w:r>
      <w:bookmarkEnd w:id="73"/>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4" w:name="_Toc504046778"/>
      <w:r>
        <w:rPr>
          <w:rStyle w:val="CharSectno"/>
        </w:rPr>
        <w:t>19</w:t>
      </w:r>
      <w:r>
        <w:rPr>
          <w:snapToGrid w:val="0"/>
        </w:rPr>
        <w:t>.</w:t>
      </w:r>
      <w:r>
        <w:rPr>
          <w:snapToGrid w:val="0"/>
        </w:rPr>
        <w:tab/>
        <w:t>Subsidy, application for</w:t>
      </w:r>
      <w:bookmarkEnd w:id="7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5" w:name="_Toc50404677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6" w:name="_Toc504046780"/>
      <w:r>
        <w:rPr>
          <w:rStyle w:val="CharSectno"/>
        </w:rPr>
        <w:t>21</w:t>
      </w:r>
      <w:r>
        <w:t>.</w:t>
      </w:r>
      <w:r>
        <w:tab/>
        <w:t>Wholesaler, subsidy for (Act s. 130)</w:t>
      </w:r>
      <w:bookmarkEnd w:id="7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7" w:name="_Toc504046781"/>
      <w:r>
        <w:rPr>
          <w:rStyle w:val="CharSectno"/>
        </w:rPr>
        <w:t>21A</w:t>
      </w:r>
      <w:r>
        <w:t>.</w:t>
      </w:r>
      <w:r>
        <w:tab/>
        <w:t>Wine producer, subsidy for (Act s. 130)</w:t>
      </w:r>
      <w:bookmarkEnd w:id="7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69750"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8" w:name="_Toc504046782"/>
      <w:r>
        <w:rPr>
          <w:rStyle w:val="CharSectno"/>
        </w:rPr>
        <w:t>21AC</w:t>
      </w:r>
      <w:r>
        <w:rPr>
          <w:snapToGrid w:val="0"/>
        </w:rPr>
        <w:t>.</w:t>
      </w:r>
      <w:r>
        <w:rPr>
          <w:snapToGrid w:val="0"/>
        </w:rPr>
        <w:tab/>
        <w:t>Subsidy payable once in respect of sale of liquor</w:t>
      </w:r>
      <w:bookmarkEnd w:id="7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9" w:name="_Toc504046783"/>
      <w:r>
        <w:rPr>
          <w:rStyle w:val="CharSectno"/>
        </w:rPr>
        <w:t>21B</w:t>
      </w:r>
      <w:r>
        <w:rPr>
          <w:snapToGrid w:val="0"/>
        </w:rPr>
        <w:t>.</w:t>
      </w:r>
      <w:r>
        <w:rPr>
          <w:snapToGrid w:val="0"/>
        </w:rPr>
        <w:tab/>
        <w:t xml:space="preserve">Subsidy, conditions imposed by Director as to </w:t>
      </w:r>
      <w:r>
        <w:t>(Act s. 130(2))</w:t>
      </w:r>
      <w:bookmarkEnd w:id="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80" w:name="_Toc504046784"/>
      <w:r>
        <w:rPr>
          <w:rStyle w:val="CharSectno"/>
        </w:rPr>
        <w:t>21C</w:t>
      </w:r>
      <w:r>
        <w:rPr>
          <w:snapToGrid w:val="0"/>
        </w:rPr>
        <w:t>.</w:t>
      </w:r>
      <w:r>
        <w:rPr>
          <w:snapToGrid w:val="0"/>
        </w:rPr>
        <w:tab/>
        <w:t>Licensees prescribed </w:t>
      </w:r>
      <w:r>
        <w:t>(Act s. </w:t>
      </w:r>
      <w:r>
        <w:rPr>
          <w:snapToGrid w:val="0"/>
        </w:rPr>
        <w:t>145(1))</w:t>
      </w:r>
      <w:bookmarkEnd w:id="8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81" w:name="_Toc504046785"/>
      <w:r>
        <w:rPr>
          <w:rStyle w:val="CharSectno"/>
        </w:rPr>
        <w:t>22</w:t>
      </w:r>
      <w:r>
        <w:rPr>
          <w:snapToGrid w:val="0"/>
        </w:rPr>
        <w:t>.</w:t>
      </w:r>
      <w:r>
        <w:rPr>
          <w:snapToGrid w:val="0"/>
        </w:rPr>
        <w:tab/>
        <w:t xml:space="preserve">Records prescribed etc. </w:t>
      </w:r>
      <w:r>
        <w:t>(Act s. </w:t>
      </w:r>
      <w:r>
        <w:rPr>
          <w:snapToGrid w:val="0"/>
        </w:rPr>
        <w:t>145)</w:t>
      </w:r>
      <w:bookmarkEnd w:id="8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2" w:name="_Toc504046786"/>
      <w:r>
        <w:rPr>
          <w:rStyle w:val="CharSectno"/>
        </w:rPr>
        <w:t>23</w:t>
      </w:r>
      <w:r>
        <w:rPr>
          <w:snapToGrid w:val="0"/>
        </w:rPr>
        <w:t>.</w:t>
      </w:r>
      <w:r>
        <w:rPr>
          <w:snapToGrid w:val="0"/>
        </w:rPr>
        <w:tab/>
        <w:t xml:space="preserve">Returns, verification and lodgment of </w:t>
      </w:r>
      <w:r>
        <w:t>(Act s. 146)</w:t>
      </w:r>
      <w:bookmarkEnd w:id="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3" w:name="_Toc504046787"/>
      <w:r>
        <w:rPr>
          <w:rStyle w:val="CharSectno"/>
        </w:rPr>
        <w:t>24</w:t>
      </w:r>
      <w:r>
        <w:rPr>
          <w:snapToGrid w:val="0"/>
        </w:rPr>
        <w:t>.</w:t>
      </w:r>
      <w:r>
        <w:rPr>
          <w:snapToGrid w:val="0"/>
        </w:rPr>
        <w:tab/>
        <w:t xml:space="preserve">Return of information required etc. </w:t>
      </w:r>
      <w:r>
        <w:t>(Act s. 145)</w:t>
      </w:r>
      <w:bookmarkEnd w:id="8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4" w:name="_Toc504046788"/>
      <w:r>
        <w:rPr>
          <w:rStyle w:val="CharSectno"/>
        </w:rPr>
        <w:t>25A</w:t>
      </w:r>
      <w:r>
        <w:t>.</w:t>
      </w:r>
      <w:r>
        <w:tab/>
        <w:t>Class of persons prescribed (Act s. 152P(4)(b))</w:t>
      </w:r>
      <w:bookmarkEnd w:id="8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5" w:name="_Toc504046789"/>
      <w:r>
        <w:rPr>
          <w:rStyle w:val="CharSectno"/>
        </w:rPr>
        <w:t>25</w:t>
      </w:r>
      <w:r>
        <w:rPr>
          <w:snapToGrid w:val="0"/>
        </w:rPr>
        <w:t>.</w:t>
      </w:r>
      <w:r>
        <w:rPr>
          <w:snapToGrid w:val="0"/>
        </w:rPr>
        <w:tab/>
        <w:t>Money payable under Act, how payable</w:t>
      </w:r>
      <w:bookmarkEnd w:id="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6" w:name="_Toc504046790"/>
      <w:r>
        <w:rPr>
          <w:rStyle w:val="CharSectno"/>
        </w:rPr>
        <w:t>26</w:t>
      </w:r>
      <w:r>
        <w:rPr>
          <w:snapToGrid w:val="0"/>
        </w:rPr>
        <w:t>.</w:t>
      </w:r>
      <w:r>
        <w:rPr>
          <w:snapToGrid w:val="0"/>
        </w:rPr>
        <w:tab/>
        <w:t>Fees generally (Sch. 3)</w:t>
      </w:r>
      <w:bookmarkEnd w:id="8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87" w:name="_Toc504046791"/>
      <w:r>
        <w:rPr>
          <w:rStyle w:val="CharSectno"/>
        </w:rPr>
        <w:t>27A</w:t>
      </w:r>
      <w:r>
        <w:t>.</w:t>
      </w:r>
      <w:r>
        <w:tab/>
        <w:t>Reduction in licence fee for new licences</w:t>
      </w:r>
      <w:bookmarkEnd w:id="8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8" w:name="_Toc504046792"/>
      <w:r>
        <w:rPr>
          <w:rStyle w:val="CharSectno"/>
        </w:rPr>
        <w:t>27</w:t>
      </w:r>
      <w:r>
        <w:rPr>
          <w:snapToGrid w:val="0"/>
        </w:rPr>
        <w:t>.</w:t>
      </w:r>
      <w:r>
        <w:rPr>
          <w:snapToGrid w:val="0"/>
        </w:rPr>
        <w:tab/>
        <w:t>Infringement notices, forms etc. prescribed for (Act s. 167)</w:t>
      </w:r>
      <w:bookmarkEnd w:id="8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9" w:name="_Toc504046793"/>
      <w:r>
        <w:rPr>
          <w:rStyle w:val="CharSchNo"/>
        </w:rPr>
        <w:t>Schedule 1</w:t>
      </w:r>
      <w:bookmarkEnd w:id="89"/>
    </w:p>
    <w:p>
      <w:pPr>
        <w:pStyle w:val="yShoulderClause"/>
        <w:spacing w:before="60"/>
        <w:rPr>
          <w:snapToGrid w:val="0"/>
        </w:rPr>
      </w:pPr>
      <w:r>
        <w:rPr>
          <w:snapToGrid w:val="0"/>
        </w:rPr>
        <w:t>[Regulation 3]</w:t>
      </w:r>
    </w:p>
    <w:p>
      <w:pPr>
        <w:pStyle w:val="yHeading2"/>
        <w:outlineLvl w:val="9"/>
      </w:pPr>
      <w:bookmarkStart w:id="90" w:name="_Toc504046794"/>
      <w:r>
        <w:rPr>
          <w:rStyle w:val="CharSchText"/>
        </w:rPr>
        <w:t>Forms</w:t>
      </w:r>
      <w:bookmarkEnd w:id="9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2" w:name="_Toc504046795"/>
      <w:r>
        <w:rPr>
          <w:rStyle w:val="CharSchNo"/>
        </w:rPr>
        <w:t>Schedule 2</w:t>
      </w:r>
      <w:bookmarkEnd w:id="92"/>
    </w:p>
    <w:p>
      <w:pPr>
        <w:pStyle w:val="yShoulderClause"/>
        <w:spacing w:before="60"/>
        <w:rPr>
          <w:snapToGrid w:val="0"/>
        </w:rPr>
      </w:pPr>
      <w:r>
        <w:rPr>
          <w:snapToGrid w:val="0"/>
        </w:rPr>
        <w:t>[Regulation 13]</w:t>
      </w:r>
    </w:p>
    <w:p>
      <w:pPr>
        <w:pStyle w:val="yHeading2"/>
        <w:spacing w:before="120" w:after="80"/>
      </w:pPr>
      <w:bookmarkStart w:id="93" w:name="_Toc504046796"/>
      <w:r>
        <w:rPr>
          <w:rStyle w:val="CharSchText"/>
        </w:rPr>
        <w:t>Details of applicant</w:t>
      </w:r>
      <w:bookmarkEnd w:id="9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4" w:name="_Toc504046797"/>
      <w:r>
        <w:rPr>
          <w:rStyle w:val="CharSchNo"/>
        </w:rPr>
        <w:t>Schedule 3</w:t>
      </w:r>
      <w:r>
        <w:rPr>
          <w:rStyle w:val="CharSDivNo"/>
        </w:rPr>
        <w:t> </w:t>
      </w:r>
      <w:r>
        <w:t>—</w:t>
      </w:r>
      <w:r>
        <w:rPr>
          <w:rStyle w:val="CharSDivText"/>
        </w:rPr>
        <w:t> </w:t>
      </w:r>
      <w:r>
        <w:rPr>
          <w:rStyle w:val="CharSchText"/>
        </w:rPr>
        <w:t>Fees</w:t>
      </w:r>
      <w:bookmarkEnd w:id="94"/>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95" w:name="_Toc504046798"/>
      <w:r>
        <w:t>Notes</w:t>
      </w:r>
      <w:bookmarkEnd w:id="95"/>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96" w:name="_Toc504046799"/>
      <w:r>
        <w:rPr>
          <w:snapToGrid w:val="0"/>
        </w:rPr>
        <w:t>Compilation table</w:t>
      </w:r>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Liquor Control Amendment Regulations 2018</w:t>
            </w:r>
          </w:p>
        </w:tc>
        <w:tc>
          <w:tcPr>
            <w:tcW w:w="1276" w:type="dxa"/>
            <w:tcBorders>
              <w:bottom w:val="single" w:sz="4" w:space="0" w:color="auto"/>
            </w:tcBorders>
            <w:shd w:val="clear" w:color="auto" w:fill="auto"/>
          </w:tcPr>
          <w:p>
            <w:pPr>
              <w:pStyle w:val="nTable"/>
              <w:spacing w:after="40"/>
            </w:pPr>
            <w:r>
              <w:t>19 Jan 2018 p. 231</w:t>
            </w:r>
            <w:r>
              <w:noBreakHyphen/>
              <w:t>2</w:t>
            </w:r>
          </w:p>
        </w:tc>
        <w:tc>
          <w:tcPr>
            <w:tcW w:w="2693" w:type="dxa"/>
            <w:tcBorders>
              <w:bottom w:val="single" w:sz="4" w:space="0" w:color="auto"/>
            </w:tcBorders>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98" w:name="_Toc504046800"/>
      <w:r>
        <w:rPr>
          <w:sz w:val="28"/>
        </w:rPr>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4AB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1812404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A82C6-4D99-4137-857C-804A294C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27695</Words>
  <Characters>132110</Characters>
  <Application>Microsoft Office Word</Application>
  <DocSecurity>0</DocSecurity>
  <Lines>4718</Lines>
  <Paragraphs>2708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1989 - 14-i0-00</dc:title>
  <dc:subject/>
  <dc:creator/>
  <cp:keywords/>
  <dc:description/>
  <cp:lastModifiedBy>svcMRProcess</cp:lastModifiedBy>
  <cp:revision>4</cp:revision>
  <cp:lastPrinted>2017-09-12T01:43:00Z</cp:lastPrinted>
  <dcterms:created xsi:type="dcterms:W3CDTF">2020-02-26T16:49:00Z</dcterms:created>
  <dcterms:modified xsi:type="dcterms:W3CDTF">2020-02-26T16:49:00Z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20 Jan 2018</vt:lpwstr>
  </property>
  <property fmtid="{D5CDD505-2E9C-101B-9397-08002B2CF9AE}" pid="8" name="Suffix">
    <vt:lpwstr>14-i0-00</vt:lpwstr>
  </property>
  <property fmtid="{D5CDD505-2E9C-101B-9397-08002B2CF9AE}" pid="9" name="CommencementDate">
    <vt:lpwstr>20180120</vt:lpwstr>
  </property>
</Properties>
</file>