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Bail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Bail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_Toc503360216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_Toc503360217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_Toc503360218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Information prescribed for sections 8(1)(a) and 37(1)(b) of the Act</w:t>
      </w:r>
      <w:r>
        <w:tab/>
      </w:r>
      <w:r>
        <w:fldChar w:fldCharType="begin"/>
      </w:r>
      <w:r>
        <w:instrText xml:space="preserve"> PAGEREF _Toc503360219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 prescribed</w:t>
      </w:r>
      <w:r>
        <w:tab/>
      </w:r>
      <w:r>
        <w:fldChar w:fldCharType="begin"/>
      </w:r>
      <w:r>
        <w:instrText xml:space="preserve"> PAGEREF _Toc503360220 \h </w:instrText>
      </w:r>
      <w:r>
        <w:fldChar w:fldCharType="separate"/>
      </w:r>
      <w:r>
        <w:t>2</w:t>
      </w:r>
      <w:r>
        <w:fldChar w:fldCharType="end"/>
      </w:r>
    </w:p>
    <w:p>
      <w:pPr>
        <w:pStyle w:val="TOC8"/>
        <w:rPr>
          <w:rFonts w:asciiTheme="minorHAnsi" w:eastAsiaTheme="minorEastAsia" w:hAnsiTheme="minorHAnsi" w:cstheme="minorBidi"/>
          <w:szCs w:val="22"/>
        </w:rPr>
      </w:pPr>
      <w:r>
        <w:t>7AA.</w:t>
      </w:r>
      <w:r>
        <w:tab/>
        <w:t>Entering information on courts electronic system</w:t>
      </w:r>
      <w:r>
        <w:tab/>
      </w:r>
      <w:r>
        <w:fldChar w:fldCharType="begin"/>
      </w:r>
      <w:r>
        <w:instrText xml:space="preserve"> PAGEREF _Toc503360221 \h </w:instrText>
      </w:r>
      <w:r>
        <w:fldChar w:fldCharType="separate"/>
      </w:r>
      <w:r>
        <w:t>3</w:t>
      </w:r>
      <w:r>
        <w:fldChar w:fldCharType="end"/>
      </w:r>
    </w:p>
    <w:p>
      <w:pPr>
        <w:pStyle w:val="TOC8"/>
        <w:rPr>
          <w:rFonts w:asciiTheme="minorHAnsi" w:eastAsiaTheme="minorEastAsia" w:hAnsiTheme="minorHAnsi" w:cstheme="minorBidi"/>
          <w:szCs w:val="22"/>
        </w:rPr>
      </w:pPr>
      <w:r>
        <w:t>7AB.</w:t>
      </w:r>
      <w:r>
        <w:tab/>
        <w:t>Providing notice under section 13A(3) of the Act electronically</w:t>
      </w:r>
      <w:r>
        <w:tab/>
      </w:r>
      <w:r>
        <w:fldChar w:fldCharType="begin"/>
      </w:r>
      <w:r>
        <w:instrText xml:space="preserve"> PAGEREF _Toc503360222 \h </w:instrText>
      </w:r>
      <w:r>
        <w:fldChar w:fldCharType="separate"/>
      </w:r>
      <w:r>
        <w:t>3</w:t>
      </w:r>
      <w:r>
        <w:fldChar w:fldCharType="end"/>
      </w:r>
    </w:p>
    <w:p>
      <w:pPr>
        <w:pStyle w:val="TOC8"/>
        <w:rPr>
          <w:rFonts w:asciiTheme="minorHAnsi" w:eastAsiaTheme="minorEastAsia" w:hAnsiTheme="minorHAnsi" w:cstheme="minorBidi"/>
          <w:szCs w:val="22"/>
        </w:rPr>
      </w:pPr>
      <w:r>
        <w:t>7A.</w:t>
      </w:r>
      <w:r>
        <w:tab/>
        <w:t>Notice under s. 13A(3) of the Act to be made available to court before which accused to appear</w:t>
      </w:r>
      <w:r>
        <w:tab/>
      </w:r>
      <w:r>
        <w:fldChar w:fldCharType="begin"/>
      </w:r>
      <w:r>
        <w:instrText xml:space="preserve"> PAGEREF _Toc503360223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papers prescribed for s. 27 of the Act</w:t>
      </w:r>
      <w:r>
        <w:tab/>
      </w:r>
      <w:r>
        <w:fldChar w:fldCharType="begin"/>
      </w:r>
      <w:r>
        <w:instrText xml:space="preserve"> PAGEREF _Toc503360224 \h </w:instrText>
      </w:r>
      <w:r>
        <w:fldChar w:fldCharType="separate"/>
      </w:r>
      <w:r>
        <w:t>5</w:t>
      </w:r>
      <w:r>
        <w:fldChar w:fldCharType="end"/>
      </w:r>
    </w:p>
    <w:p>
      <w:pPr>
        <w:pStyle w:val="TOC8"/>
        <w:rPr>
          <w:rFonts w:asciiTheme="minorHAnsi" w:eastAsiaTheme="minorEastAsia" w:hAnsiTheme="minorHAnsi" w:cstheme="minorBidi"/>
          <w:szCs w:val="22"/>
        </w:rPr>
      </w:pPr>
      <w:r>
        <w:t>8A.</w:t>
      </w:r>
      <w:r>
        <w:tab/>
        <w:t>Amending bail undertaking electronically</w:t>
      </w:r>
      <w:r>
        <w:tab/>
      </w:r>
      <w:r>
        <w:fldChar w:fldCharType="begin"/>
      </w:r>
      <w:r>
        <w:instrText xml:space="preserve"> PAGEREF _Toc503360225 \h </w:instrText>
      </w:r>
      <w:r>
        <w:fldChar w:fldCharType="separate"/>
      </w:r>
      <w:r>
        <w:t>6</w:t>
      </w:r>
      <w:r>
        <w:fldChar w:fldCharType="end"/>
      </w:r>
    </w:p>
    <w:p>
      <w:pPr>
        <w:pStyle w:val="TOC8"/>
        <w:rPr>
          <w:rFonts w:asciiTheme="minorHAnsi" w:eastAsiaTheme="minorEastAsia" w:hAnsiTheme="minorHAnsi" w:cstheme="minorBidi"/>
          <w:szCs w:val="22"/>
        </w:rPr>
      </w:pPr>
      <w:r>
        <w:t>8B.</w:t>
      </w:r>
      <w:r>
        <w:tab/>
        <w:t>Giving and proof of notices under section 32(1) of the Act</w:t>
      </w:r>
      <w:r>
        <w:tab/>
      </w:r>
      <w:r>
        <w:fldChar w:fldCharType="begin"/>
      </w:r>
      <w:r>
        <w:instrText xml:space="preserve"> PAGEREF _Toc503360226 \h </w:instrText>
      </w:r>
      <w:r>
        <w:fldChar w:fldCharType="separate"/>
      </w:r>
      <w:r>
        <w:t>7</w:t>
      </w:r>
      <w:r>
        <w:fldChar w:fldCharType="end"/>
      </w:r>
    </w:p>
    <w:p>
      <w:pPr>
        <w:pStyle w:val="TOC8"/>
        <w:rPr>
          <w:rFonts w:asciiTheme="minorHAnsi" w:eastAsiaTheme="minorEastAsia" w:hAnsiTheme="minorHAnsi" w:cstheme="minorBidi"/>
          <w:szCs w:val="22"/>
        </w:rPr>
      </w:pPr>
      <w:r>
        <w:t>8.</w:t>
      </w:r>
      <w:r>
        <w:tab/>
        <w:t>Notice of application for approval as a surety</w:t>
      </w:r>
      <w:r>
        <w:tab/>
      </w:r>
      <w:r>
        <w:fldChar w:fldCharType="begin"/>
      </w:r>
      <w:r>
        <w:instrText xml:space="preserve"> PAGEREF _Toc503360227 \h </w:instrText>
      </w:r>
      <w:r>
        <w:fldChar w:fldCharType="separate"/>
      </w:r>
      <w:r>
        <w:t>8</w:t>
      </w:r>
      <w:r>
        <w:fldChar w:fldCharType="end"/>
      </w:r>
    </w:p>
    <w:p>
      <w:pPr>
        <w:pStyle w:val="TOC8"/>
        <w:rPr>
          <w:rFonts w:asciiTheme="minorHAnsi" w:eastAsiaTheme="minorEastAsia" w:hAnsiTheme="minorHAnsi" w:cstheme="minorBidi"/>
          <w:szCs w:val="22"/>
        </w:rPr>
      </w:pPr>
      <w:r>
        <w:t>9AA.</w:t>
      </w:r>
      <w:r>
        <w:tab/>
        <w:t>Provision of information and form to surety undertaking electronically</w:t>
      </w:r>
      <w:r>
        <w:tab/>
      </w:r>
      <w:r>
        <w:fldChar w:fldCharType="begin"/>
      </w:r>
      <w:r>
        <w:instrText xml:space="preserve"> PAGEREF _Toc503360228 \h </w:instrText>
      </w:r>
      <w:r>
        <w:fldChar w:fldCharType="separate"/>
      </w:r>
      <w:r>
        <w:t>9</w:t>
      </w:r>
      <w:r>
        <w:fldChar w:fldCharType="end"/>
      </w:r>
    </w:p>
    <w:p>
      <w:pPr>
        <w:pStyle w:val="TOC8"/>
        <w:rPr>
          <w:rFonts w:asciiTheme="minorHAnsi" w:eastAsiaTheme="minorEastAsia" w:hAnsiTheme="minorHAnsi" w:cstheme="minorBidi"/>
          <w:szCs w:val="22"/>
        </w:rPr>
      </w:pPr>
      <w:r>
        <w:t>9AB.</w:t>
      </w:r>
      <w:r>
        <w:tab/>
        <w:t>Provision of surety undertaking to proposed surety electronically</w:t>
      </w:r>
      <w:r>
        <w:tab/>
      </w:r>
      <w:r>
        <w:fldChar w:fldCharType="begin"/>
      </w:r>
      <w:r>
        <w:instrText xml:space="preserve"> PAGEREF _Toc503360229 \h </w:instrText>
      </w:r>
      <w:r>
        <w:fldChar w:fldCharType="separate"/>
      </w:r>
      <w:r>
        <w:t>9</w:t>
      </w:r>
      <w:r>
        <w:fldChar w:fldCharType="end"/>
      </w:r>
    </w:p>
    <w:p>
      <w:pPr>
        <w:pStyle w:val="TOC8"/>
        <w:rPr>
          <w:rFonts w:asciiTheme="minorHAnsi" w:eastAsiaTheme="minorEastAsia" w:hAnsiTheme="minorHAnsi" w:cstheme="minorBidi"/>
          <w:szCs w:val="22"/>
        </w:rPr>
      </w:pPr>
      <w:r>
        <w:t>9AC.</w:t>
      </w:r>
      <w:r>
        <w:tab/>
        <w:t>Provision of notice to surety electronically</w:t>
      </w:r>
      <w:r>
        <w:tab/>
      </w:r>
      <w:r>
        <w:fldChar w:fldCharType="begin"/>
      </w:r>
      <w:r>
        <w:instrText xml:space="preserve"> PAGEREF _Toc503360230 \h </w:instrText>
      </w:r>
      <w:r>
        <w:fldChar w:fldCharType="separate"/>
      </w:r>
      <w:r>
        <w:t>10</w:t>
      </w:r>
      <w:r>
        <w:fldChar w:fldCharType="end"/>
      </w:r>
    </w:p>
    <w:p>
      <w:pPr>
        <w:pStyle w:val="TOC8"/>
        <w:rPr>
          <w:rFonts w:asciiTheme="minorHAnsi" w:eastAsiaTheme="minorEastAsia" w:hAnsiTheme="minorHAnsi" w:cstheme="minorBidi"/>
          <w:szCs w:val="22"/>
        </w:rPr>
      </w:pPr>
      <w:r>
        <w:t>9A.</w:t>
      </w:r>
      <w:r>
        <w:tab/>
        <w:t>Application for cancellation of surety undertaking — court of summary jurisdiction</w:t>
      </w:r>
      <w:r>
        <w:tab/>
      </w:r>
      <w:r>
        <w:fldChar w:fldCharType="begin"/>
      </w:r>
      <w:r>
        <w:instrText xml:space="preserve"> PAGEREF _Toc503360231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for forfeiture of amount in surety undertaking — court of summary jurisdiction</w:t>
      </w:r>
      <w:r>
        <w:tab/>
      </w:r>
      <w:r>
        <w:fldChar w:fldCharType="begin"/>
      </w:r>
      <w:r>
        <w:instrText xml:space="preserve"> PAGEREF _Toc503360232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Accused to be given copy of conditions applicable to home detention condition</w:t>
      </w:r>
      <w:r>
        <w:tab/>
      </w:r>
      <w:r>
        <w:fldChar w:fldCharType="begin"/>
      </w:r>
      <w:r>
        <w:instrText xml:space="preserve"> PAGEREF _Toc503360233 \h </w:instrText>
      </w:r>
      <w:r>
        <w:fldChar w:fldCharType="separate"/>
      </w:r>
      <w:r>
        <w:t>12</w:t>
      </w:r>
      <w:r>
        <w:fldChar w:fldCharType="end"/>
      </w:r>
    </w:p>
    <w:p>
      <w:pPr>
        <w:pStyle w:val="TOC8"/>
        <w:rPr>
          <w:rFonts w:asciiTheme="minorHAnsi" w:eastAsiaTheme="minorEastAsia" w:hAnsiTheme="minorHAnsi" w:cstheme="minorBidi"/>
          <w:szCs w:val="22"/>
        </w:rPr>
      </w:pPr>
      <w:r>
        <w:t>10A.</w:t>
      </w:r>
      <w:r>
        <w:tab/>
        <w:t>Notifying change of residential address</w:t>
      </w:r>
      <w:r>
        <w:tab/>
      </w:r>
      <w:r>
        <w:fldChar w:fldCharType="begin"/>
      </w:r>
      <w:r>
        <w:instrText xml:space="preserve"> PAGEREF _Toc503360234 \h </w:instrText>
      </w:r>
      <w:r>
        <w:fldChar w:fldCharType="separate"/>
      </w:r>
      <w:r>
        <w:t>13</w:t>
      </w:r>
      <w:r>
        <w:fldChar w:fldCharType="end"/>
      </w:r>
    </w:p>
    <w:p>
      <w:pPr>
        <w:pStyle w:val="TOC8"/>
        <w:rPr>
          <w:rFonts w:asciiTheme="minorHAnsi" w:eastAsiaTheme="minorEastAsia" w:hAnsiTheme="minorHAnsi" w:cstheme="minorBidi"/>
          <w:szCs w:val="22"/>
        </w:rPr>
      </w:pPr>
      <w:r>
        <w:t>10B.</w:t>
      </w:r>
      <w:r>
        <w:tab/>
        <w:t>Certificate of non</w:t>
      </w:r>
      <w:r>
        <w:noBreakHyphen/>
        <w:t>appearance</w:t>
      </w:r>
      <w:r>
        <w:tab/>
      </w:r>
      <w:r>
        <w:fldChar w:fldCharType="begin"/>
      </w:r>
      <w:r>
        <w:instrText xml:space="preserve"> PAGEREF _Toc503360235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Formalities for undertaking under Schedule 1 Part C clause 2(3)(c)</w:t>
      </w:r>
      <w:r>
        <w:tab/>
      </w:r>
      <w:r>
        <w:fldChar w:fldCharType="begin"/>
      </w:r>
      <w:r>
        <w:instrText xml:space="preserve"> PAGEREF _Toc503360236 \h </w:instrText>
      </w:r>
      <w:r>
        <w:fldChar w:fldCharType="separate"/>
      </w:r>
      <w:r>
        <w:t>14</w:t>
      </w:r>
      <w:r>
        <w:fldChar w:fldCharType="end"/>
      </w:r>
    </w:p>
    <w:p>
      <w:pPr>
        <w:pStyle w:val="TOC8"/>
        <w:rPr>
          <w:rFonts w:asciiTheme="minorHAnsi" w:eastAsiaTheme="minorEastAsia" w:hAnsiTheme="minorHAnsi" w:cstheme="minorBidi"/>
          <w:szCs w:val="22"/>
        </w:rPr>
      </w:pPr>
      <w:r>
        <w:t>11.</w:t>
      </w:r>
      <w:r>
        <w:tab/>
        <w:t>Persons and programmes prescribed for Schedule 1 Part D clause 2(2b)</w:t>
      </w:r>
      <w:r>
        <w:tab/>
      </w:r>
      <w:r>
        <w:fldChar w:fldCharType="begin"/>
      </w:r>
      <w:r>
        <w:instrText xml:space="preserve"> PAGEREF _Toc503360237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 Forms</w:t>
      </w:r>
    </w:p>
    <w:p>
      <w:pPr>
        <w:pStyle w:val="TOC4"/>
        <w:tabs>
          <w:tab w:val="right" w:leader="dot" w:pos="7077"/>
        </w:tabs>
        <w:rPr>
          <w:rFonts w:asciiTheme="minorHAnsi" w:eastAsiaTheme="minorEastAsia" w:hAnsiTheme="minorHAnsi" w:cstheme="minorBidi"/>
          <w:b w:val="0"/>
          <w:szCs w:val="22"/>
        </w:rPr>
      </w:pPr>
      <w:r>
        <w:t>Form 1</w:t>
      </w:r>
    </w:p>
    <w:p>
      <w:pPr>
        <w:pStyle w:val="TOC4"/>
        <w:tabs>
          <w:tab w:val="right" w:leader="dot" w:pos="7077"/>
        </w:tabs>
        <w:rPr>
          <w:rFonts w:asciiTheme="minorHAnsi" w:eastAsiaTheme="minorEastAsia" w:hAnsiTheme="minorHAnsi" w:cstheme="minorBidi"/>
          <w:b w:val="0"/>
          <w:szCs w:val="22"/>
        </w:rPr>
      </w:pPr>
      <w:r>
        <w:t>Form 6</w:t>
      </w:r>
    </w:p>
    <w:p>
      <w:pPr>
        <w:pStyle w:val="TOC4"/>
        <w:tabs>
          <w:tab w:val="right" w:leader="dot" w:pos="7077"/>
        </w:tabs>
        <w:rPr>
          <w:rFonts w:asciiTheme="minorHAnsi" w:eastAsiaTheme="minorEastAsia" w:hAnsiTheme="minorHAnsi" w:cstheme="minorBidi"/>
          <w:b w:val="0"/>
          <w:szCs w:val="22"/>
        </w:rPr>
      </w:pPr>
      <w:r>
        <w:t>Form 8</w:t>
      </w:r>
    </w:p>
    <w:p>
      <w:pPr>
        <w:pStyle w:val="TOC4"/>
        <w:tabs>
          <w:tab w:val="right" w:leader="dot" w:pos="7077"/>
        </w:tabs>
        <w:rPr>
          <w:rFonts w:asciiTheme="minorHAnsi" w:eastAsiaTheme="minorEastAsia" w:hAnsiTheme="minorHAnsi" w:cstheme="minorBidi"/>
          <w:b w:val="0"/>
          <w:szCs w:val="22"/>
        </w:rPr>
      </w:pPr>
      <w:r>
        <w:t>Form 9</w:t>
      </w:r>
    </w:p>
    <w:p>
      <w:pPr>
        <w:pStyle w:val="TOC4"/>
        <w:tabs>
          <w:tab w:val="right" w:leader="dot" w:pos="7077"/>
        </w:tabs>
        <w:rPr>
          <w:rFonts w:asciiTheme="minorHAnsi" w:eastAsiaTheme="minorEastAsia" w:hAnsiTheme="minorHAnsi" w:cstheme="minorBidi"/>
          <w:b w:val="0"/>
          <w:szCs w:val="22"/>
        </w:rPr>
      </w:pPr>
      <w:r>
        <w:t>Form 11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_Toc503360281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3" w:name="_Toc503360216"/>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4" w:name="_Toc503360217"/>
      <w:r>
        <w:rPr>
          <w:rStyle w:val="CharSectno"/>
        </w:rPr>
        <w:t>2</w:t>
      </w:r>
      <w:r>
        <w:rPr>
          <w:snapToGrid w:val="0"/>
        </w:rPr>
        <w:t>.</w:t>
      </w:r>
      <w:r>
        <w:rPr>
          <w:snapToGrid w:val="0"/>
        </w:rPr>
        <w:tab/>
        <w:t>Commencement</w:t>
      </w:r>
      <w:bookmarkEnd w:id="4"/>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pPr>
      <w:bookmarkStart w:id="5" w:name="_Toc503360218"/>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tab/>
      </w:r>
      <w:r>
        <w:rPr>
          <w:rStyle w:val="CharDefText"/>
        </w:rPr>
        <w:t>working day</w:t>
      </w:r>
      <w:r>
        <w:t xml:space="preserve"> means a day other than a Saturday, a Sunday, or a public holiday.</w:t>
      </w:r>
    </w:p>
    <w:p>
      <w:pPr>
        <w:pStyle w:val="Footnotesection"/>
      </w:pPr>
      <w:r>
        <w:tab/>
        <w:t>[Regulation 3A inserted in Gazette 12 Sep 2014 p. 3282.]</w:t>
      </w:r>
    </w:p>
    <w:p>
      <w:pPr>
        <w:pStyle w:val="Heading5"/>
        <w:rPr>
          <w:snapToGrid w:val="0"/>
        </w:rPr>
      </w:pPr>
      <w:bookmarkStart w:id="6" w:name="_Toc503360219"/>
      <w:r>
        <w:rPr>
          <w:rStyle w:val="CharSectno"/>
        </w:rPr>
        <w:t>3</w:t>
      </w:r>
      <w:r>
        <w:rPr>
          <w:snapToGrid w:val="0"/>
        </w:rPr>
        <w:t>.</w:t>
      </w:r>
      <w:r>
        <w:rPr>
          <w:snapToGrid w:val="0"/>
        </w:rPr>
        <w:tab/>
        <w:t>Information prescribed for sections 8(1)(a) and 37(1)(b) of the Act</w:t>
      </w:r>
      <w:bookmarkEnd w:id="6"/>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t>[</w:t>
      </w:r>
      <w:r>
        <w:rPr>
          <w:b/>
          <w:bCs/>
        </w:rPr>
        <w:t>4, 5.</w:t>
      </w:r>
      <w:r>
        <w:tab/>
        <w:t>Deleted in Gazette 25 Feb 2009 p. 473.]</w:t>
      </w:r>
    </w:p>
    <w:p>
      <w:pPr>
        <w:pStyle w:val="Heading5"/>
        <w:rPr>
          <w:snapToGrid w:val="0"/>
        </w:rPr>
      </w:pPr>
      <w:bookmarkStart w:id="7" w:name="_Toc503360220"/>
      <w:r>
        <w:rPr>
          <w:rStyle w:val="CharSectno"/>
        </w:rPr>
        <w:t>6</w:t>
      </w:r>
      <w:r>
        <w:rPr>
          <w:snapToGrid w:val="0"/>
        </w:rPr>
        <w:t>.</w:t>
      </w:r>
      <w:r>
        <w:rPr>
          <w:snapToGrid w:val="0"/>
        </w:rPr>
        <w:tab/>
        <w:t>Forms prescribed</w:t>
      </w:r>
      <w:bookmarkEnd w:id="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 1991 p. 1212; 4 Mar 1994 p. 852; 25 Feb 2009 p. 473-4; 12 Sep 2014 p. 3282.] </w:t>
      </w:r>
    </w:p>
    <w:p>
      <w:pPr>
        <w:pStyle w:val="Heading5"/>
      </w:pPr>
      <w:bookmarkStart w:id="8" w:name="_Toc503360221"/>
      <w:r>
        <w:rPr>
          <w:rStyle w:val="CharSectno"/>
        </w:rPr>
        <w:t>7AA</w:t>
      </w:r>
      <w:r>
        <w:t>.</w:t>
      </w:r>
      <w:r>
        <w:tab/>
        <w:t>Entering information on courts electronic system</w:t>
      </w:r>
      <w:bookmarkEnd w:id="8"/>
    </w:p>
    <w:p>
      <w:pPr>
        <w:pStyle w:val="Subsection"/>
      </w:pPr>
      <w:r>
        <w:tab/>
        <w:t>(1)</w:t>
      </w:r>
      <w:r>
        <w:tab/>
        <w:t>Each form in the Schedule may be completed electronically by an approved user by entering the information required to complete the form into the courts electronic system.</w:t>
      </w:r>
    </w:p>
    <w:p>
      <w:pPr>
        <w:pStyle w:val="Subsection"/>
      </w:pPr>
      <w:r>
        <w:tab/>
        <w:t>(2)</w:t>
      </w:r>
      <w:r>
        <w:tab/>
        <w:t>If a hard copy of a form in the Schedule is handed to a court, an officer of the court must enter the information contained in the form into the courts electronic system.</w:t>
      </w:r>
    </w:p>
    <w:p>
      <w:pPr>
        <w:pStyle w:val="Footnotesection"/>
      </w:pPr>
      <w:r>
        <w:tab/>
        <w:t>[Regulation 7AA inserted in Gazette 12 Sep 2014 p. 3282</w:t>
      </w:r>
      <w:r>
        <w:noBreakHyphen/>
        <w:t xml:space="preserve">3.] </w:t>
      </w:r>
    </w:p>
    <w:p>
      <w:pPr>
        <w:pStyle w:val="Heading5"/>
      </w:pPr>
      <w:bookmarkStart w:id="9" w:name="_Toc503360222"/>
      <w:r>
        <w:rPr>
          <w:rStyle w:val="CharSectno"/>
        </w:rPr>
        <w:t>7AB</w:t>
      </w:r>
      <w:r>
        <w:t>.</w:t>
      </w:r>
      <w:r>
        <w:tab/>
        <w:t>Providing notice under section 13A(3) of the Act electronically</w:t>
      </w:r>
      <w:bookmarkEnd w:id="9"/>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in Gazette 12 Sep 2014 p. 3283.] </w:t>
      </w:r>
    </w:p>
    <w:p>
      <w:pPr>
        <w:pStyle w:val="Heading5"/>
      </w:pPr>
      <w:bookmarkStart w:id="10" w:name="_Toc503360223"/>
      <w:r>
        <w:rPr>
          <w:rStyle w:val="CharSectno"/>
        </w:rPr>
        <w:t>7A</w:t>
      </w:r>
      <w:r>
        <w:t>.</w:t>
      </w:r>
      <w:r>
        <w:tab/>
        <w:t>Notice under s. 13A(3) of the Act to be made available to court before which accused to appear</w:t>
      </w:r>
      <w:bookmarkEnd w:id="10"/>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in Gazette 25 Feb 2009 p. 474; amended in Gazette 12 Sep 2014 p. 3284.] </w:t>
      </w:r>
    </w:p>
    <w:p>
      <w:pPr>
        <w:pStyle w:val="Heading5"/>
        <w:pageBreakBefore/>
        <w:spacing w:before="0"/>
      </w:pPr>
      <w:bookmarkStart w:id="11" w:name="_Toc503360224"/>
      <w:r>
        <w:rPr>
          <w:rStyle w:val="CharSectno"/>
        </w:rPr>
        <w:t>7</w:t>
      </w:r>
      <w:r>
        <w:t>.</w:t>
      </w:r>
      <w:r>
        <w:tab/>
        <w:t>Relevant papers prescribed for s. 27 of the Act</w:t>
      </w:r>
      <w:bookmarkEnd w:id="11"/>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in Gazette 25 Feb 2009 p. 475-6; amended in Gazette 12 Sep 2014 p. 3284.] </w:t>
      </w:r>
    </w:p>
    <w:p>
      <w:pPr>
        <w:pStyle w:val="Heading5"/>
      </w:pPr>
      <w:bookmarkStart w:id="12" w:name="_Toc503360225"/>
      <w:r>
        <w:rPr>
          <w:rStyle w:val="CharSectno"/>
        </w:rPr>
        <w:t>8A</w:t>
      </w:r>
      <w:r>
        <w:t>.</w:t>
      </w:r>
      <w:r>
        <w:tab/>
        <w:t>Amending bail undertaking electronically</w:t>
      </w:r>
      <w:bookmarkEnd w:id="12"/>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p>
    <w:p>
      <w:pPr>
        <w:pStyle w:val="Subsection"/>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p>
    <w:p>
      <w:pPr>
        <w:pStyle w:val="Footnotesection"/>
      </w:pPr>
      <w:r>
        <w:tab/>
        <w:t>[Regulation 8A inserted in Gazette 12 Sep 2014 p. 3284</w:t>
      </w:r>
      <w:r>
        <w:noBreakHyphen/>
        <w:t xml:space="preserve">5.] </w:t>
      </w:r>
    </w:p>
    <w:p>
      <w:pPr>
        <w:pStyle w:val="Heading5"/>
      </w:pPr>
      <w:bookmarkStart w:id="13" w:name="_Toc503360226"/>
      <w:r>
        <w:rPr>
          <w:rStyle w:val="CharSectno"/>
        </w:rPr>
        <w:t>8B</w:t>
      </w:r>
      <w:r>
        <w:t>.</w:t>
      </w:r>
      <w:r>
        <w:tab/>
        <w:t>Giving and proof of notices under section 32(1) of the Act</w:t>
      </w:r>
      <w:bookmarkEnd w:id="13"/>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p>
    <w:p>
      <w:pPr>
        <w:pStyle w:val="Footnotesection"/>
      </w:pPr>
      <w:r>
        <w:tab/>
        <w:t>[Regulation 8B inserted in Gazette 12 Sep 2014 p. 3285</w:t>
      </w:r>
      <w:r>
        <w:noBreakHyphen/>
        <w:t xml:space="preserve">6.] </w:t>
      </w:r>
    </w:p>
    <w:p>
      <w:pPr>
        <w:pStyle w:val="Heading5"/>
      </w:pPr>
      <w:bookmarkStart w:id="14" w:name="_Toc503360227"/>
      <w:r>
        <w:rPr>
          <w:rStyle w:val="CharSectno"/>
        </w:rPr>
        <w:t>8</w:t>
      </w:r>
      <w:r>
        <w:t>.</w:t>
      </w:r>
      <w:r>
        <w:tab/>
        <w:t>Notice of application for approval as a surety</w:t>
      </w:r>
      <w:bookmarkEnd w:id="14"/>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15" w:name="_Toc503360228"/>
      <w:r>
        <w:rPr>
          <w:rStyle w:val="CharSectno"/>
        </w:rPr>
        <w:t>9AA</w:t>
      </w:r>
      <w:r>
        <w:t>.</w:t>
      </w:r>
      <w:r>
        <w:tab/>
        <w:t>Provision of information and form to surety undertaking electronically</w:t>
      </w:r>
      <w:bookmarkEnd w:id="15"/>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in Gazette 12 Sep 2014 p. 3286.] </w:t>
      </w:r>
    </w:p>
    <w:p>
      <w:pPr>
        <w:pStyle w:val="Heading5"/>
      </w:pPr>
      <w:bookmarkStart w:id="16" w:name="_Toc503360229"/>
      <w:r>
        <w:rPr>
          <w:rStyle w:val="CharSectno"/>
        </w:rPr>
        <w:t>9AB</w:t>
      </w:r>
      <w:r>
        <w:t>.</w:t>
      </w:r>
      <w:r>
        <w:tab/>
        <w:t>Provision of surety undertaking to proposed surety electronically</w:t>
      </w:r>
      <w:bookmarkEnd w:id="16"/>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in Gazette 12 Sep 2014 p. 3286</w:t>
      </w:r>
      <w:r>
        <w:noBreakHyphen/>
        <w:t xml:space="preserve">7.] </w:t>
      </w:r>
    </w:p>
    <w:p>
      <w:pPr>
        <w:pStyle w:val="Heading5"/>
      </w:pPr>
      <w:bookmarkStart w:id="17" w:name="_Toc503360230"/>
      <w:r>
        <w:rPr>
          <w:rStyle w:val="CharSectno"/>
        </w:rPr>
        <w:t>9AC</w:t>
      </w:r>
      <w:r>
        <w:t>.</w:t>
      </w:r>
      <w:r>
        <w:tab/>
        <w:t>Provision of notice to surety electronically</w:t>
      </w:r>
      <w:bookmarkEnd w:id="17"/>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courts electronic system in respect of the notice; or</w:t>
      </w:r>
    </w:p>
    <w:p>
      <w:pPr>
        <w:pStyle w:val="Indenta"/>
      </w:pPr>
      <w:r>
        <w:tab/>
        <w:t>(b)</w:t>
      </w:r>
      <w:r>
        <w:tab/>
        <w:t>may be associated electronically with the file copy of the notice to the surety by means of the courts electronic system.</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in Gazette 12 Sep 2014 p. 3287</w:t>
      </w:r>
      <w:r>
        <w:noBreakHyphen/>
        <w:t xml:space="preserve">8.] </w:t>
      </w:r>
    </w:p>
    <w:p>
      <w:pPr>
        <w:pStyle w:val="Heading5"/>
      </w:pPr>
      <w:bookmarkStart w:id="18" w:name="_Toc503360231"/>
      <w:r>
        <w:rPr>
          <w:rStyle w:val="CharSectno"/>
        </w:rPr>
        <w:t>9A</w:t>
      </w:r>
      <w:r>
        <w:t>.</w:t>
      </w:r>
      <w:r>
        <w:tab/>
        <w:t>Application for cancellation of surety undertaking — court of summary jurisdiction</w:t>
      </w:r>
      <w:bookmarkEnd w:id="18"/>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19" w:name="_Toc503360232"/>
      <w:r>
        <w:rPr>
          <w:rStyle w:val="CharSectno"/>
        </w:rPr>
        <w:t>9B</w:t>
      </w:r>
      <w:r>
        <w:t>.</w:t>
      </w:r>
      <w:r>
        <w:tab/>
        <w:t>Application for forfeiture of amount in surety undertaking — court of summary jurisdiction</w:t>
      </w:r>
      <w:bookmarkEnd w:id="19"/>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20" w:name="_Toc503360233"/>
      <w:r>
        <w:rPr>
          <w:rStyle w:val="CharSectno"/>
        </w:rPr>
        <w:t>9</w:t>
      </w:r>
      <w:r>
        <w:rPr>
          <w:snapToGrid w:val="0"/>
        </w:rPr>
        <w:t>.</w:t>
      </w:r>
      <w:r>
        <w:rPr>
          <w:snapToGrid w:val="0"/>
        </w:rPr>
        <w:tab/>
        <w:t>Accused to be given copy of conditions applicable to home detention condition</w:t>
      </w:r>
      <w:bookmarkEnd w:id="20"/>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pPr>
      <w:bookmarkStart w:id="21" w:name="_Toc503360234"/>
      <w:r>
        <w:rPr>
          <w:rStyle w:val="CharSectno"/>
        </w:rPr>
        <w:t>10A</w:t>
      </w:r>
      <w:r>
        <w:t>.</w:t>
      </w:r>
      <w:r>
        <w:tab/>
        <w:t>Notifying change of residential address</w:t>
      </w:r>
      <w:bookmarkEnd w:id="21"/>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in Gazette 12 Sep 2014 p. 3288.] </w:t>
      </w:r>
    </w:p>
    <w:p>
      <w:pPr>
        <w:pStyle w:val="Heading5"/>
      </w:pPr>
      <w:bookmarkStart w:id="22" w:name="_Toc503360235"/>
      <w:r>
        <w:rPr>
          <w:rStyle w:val="CharSectno"/>
        </w:rPr>
        <w:t>10B</w:t>
      </w:r>
      <w:r>
        <w:t>.</w:t>
      </w:r>
      <w:r>
        <w:tab/>
        <w:t>Certificate of non</w:t>
      </w:r>
      <w:r>
        <w:noBreakHyphen/>
        <w:t>appearance</w:t>
      </w:r>
      <w:bookmarkEnd w:id="22"/>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courts electronic system.</w:t>
      </w:r>
    </w:p>
    <w:p>
      <w:pPr>
        <w:pStyle w:val="Footnotesection"/>
      </w:pPr>
      <w:r>
        <w:tab/>
        <w:t xml:space="preserve">[Regulation 10B inserted in Gazette 12 Sep 2014 p. 3288.] </w:t>
      </w:r>
    </w:p>
    <w:p>
      <w:pPr>
        <w:pStyle w:val="Heading5"/>
        <w:rPr>
          <w:snapToGrid w:val="0"/>
        </w:rPr>
      </w:pPr>
      <w:bookmarkStart w:id="23" w:name="_Toc503360236"/>
      <w:r>
        <w:rPr>
          <w:rStyle w:val="CharSectno"/>
        </w:rPr>
        <w:t>10</w:t>
      </w:r>
      <w:r>
        <w:rPr>
          <w:snapToGrid w:val="0"/>
        </w:rPr>
        <w:t>.</w:t>
      </w:r>
      <w:r>
        <w:rPr>
          <w:snapToGrid w:val="0"/>
        </w:rPr>
        <w:tab/>
        <w:t>Formalities for undertaking under Schedule 1 Part C clause 2(3)(c)</w:t>
      </w:r>
      <w:bookmarkEnd w:id="2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in Gazette 4 Mar 1994 p. 852; amended in Gazette 12 Sep 2014 p. 3289.] </w:t>
      </w:r>
    </w:p>
    <w:p>
      <w:pPr>
        <w:pStyle w:val="Heading5"/>
      </w:pPr>
      <w:bookmarkStart w:id="24" w:name="_Toc503360237"/>
      <w:r>
        <w:rPr>
          <w:rStyle w:val="CharSectno"/>
        </w:rPr>
        <w:t>11</w:t>
      </w:r>
      <w:r>
        <w:t>.</w:t>
      </w:r>
      <w:r>
        <w:tab/>
        <w:t>Persons and programmes prescribed for Schedule 1 Part D clause 2(2b)</w:t>
      </w:r>
      <w:bookmarkEnd w:id="24"/>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 2000 p. 4986; amended in Gazette 25 Feb 2009 p. 479; 6 Mar 2012 p. 895.] </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5" w:name="_Toc496082844"/>
      <w:bookmarkStart w:id="26" w:name="_Toc496083207"/>
      <w:bookmarkStart w:id="27" w:name="_Toc496084638"/>
      <w:bookmarkStart w:id="28" w:name="_Toc496101185"/>
      <w:bookmarkStart w:id="29" w:name="_Toc496101669"/>
      <w:bookmarkStart w:id="30" w:name="_Toc496101739"/>
      <w:bookmarkStart w:id="31" w:name="_Toc496101802"/>
      <w:bookmarkStart w:id="32" w:name="_Toc496101958"/>
      <w:bookmarkStart w:id="33" w:name="_Toc496107276"/>
      <w:bookmarkStart w:id="34" w:name="_Toc501458690"/>
      <w:bookmarkStart w:id="35" w:name="_Toc503360238"/>
      <w:r>
        <w:rPr>
          <w:rStyle w:val="CharSchNo"/>
        </w:rPr>
        <w:t>Schedule</w:t>
      </w:r>
      <w:bookmarkEnd w:id="25"/>
      <w:bookmarkEnd w:id="26"/>
      <w:bookmarkEnd w:id="27"/>
      <w:bookmarkEnd w:id="28"/>
      <w:bookmarkEnd w:id="29"/>
      <w:bookmarkEnd w:id="30"/>
      <w:bookmarkEnd w:id="31"/>
      <w:bookmarkEnd w:id="32"/>
      <w:bookmarkEnd w:id="33"/>
      <w:bookmarkEnd w:id="34"/>
      <w:bookmarkEnd w:id="35"/>
      <w:r>
        <w:rPr>
          <w:rStyle w:val="CharSchText"/>
        </w:rPr>
        <w:t xml:space="preserve"> </w:t>
      </w:r>
    </w:p>
    <w:p>
      <w:pPr>
        <w:pStyle w:val="yShoulderClause"/>
        <w:rPr>
          <w:snapToGrid w:val="0"/>
        </w:rPr>
      </w:pPr>
      <w:r>
        <w:rPr>
          <w:snapToGrid w:val="0"/>
        </w:rPr>
        <w:t>[reg. 3(1)]</w:t>
      </w:r>
    </w:p>
    <w:p>
      <w:pPr>
        <w:pStyle w:val="yHeading3"/>
      </w:pPr>
      <w:bookmarkStart w:id="36" w:name="_Toc496101740"/>
      <w:bookmarkStart w:id="37" w:name="_Toc496101803"/>
      <w:bookmarkStart w:id="38" w:name="_Toc496101959"/>
      <w:bookmarkStart w:id="39" w:name="_Toc496107277"/>
      <w:bookmarkStart w:id="40" w:name="_Toc501458691"/>
      <w:bookmarkStart w:id="41" w:name="_Toc503360239"/>
      <w:r>
        <w:rPr>
          <w:rStyle w:val="CharSClsNo"/>
        </w:rPr>
        <w:t>Form 1</w:t>
      </w:r>
      <w:bookmarkEnd w:id="36"/>
      <w:bookmarkEnd w:id="37"/>
      <w:bookmarkEnd w:id="38"/>
      <w:bookmarkEnd w:id="39"/>
      <w:bookmarkEnd w:id="40"/>
      <w:bookmarkEnd w:id="41"/>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outlineLvl w:val="9"/>
        <w:rPr>
          <w:snapToGrid w:val="0"/>
        </w:rPr>
      </w:pPr>
      <w:bookmarkStart w:id="42" w:name="_Toc501458692"/>
      <w:bookmarkStart w:id="43" w:name="_Toc503360240"/>
      <w:r>
        <w:rPr>
          <w:snapToGrid w:val="0"/>
        </w:rPr>
        <w:t>1.</w:t>
      </w:r>
      <w:r>
        <w:rPr>
          <w:snapToGrid w:val="0"/>
        </w:rPr>
        <w:tab/>
        <w:t>Summary</w:t>
      </w:r>
      <w:bookmarkEnd w:id="42"/>
      <w:bookmarkEnd w:id="43"/>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44" w:name="_Toc501458693"/>
      <w:bookmarkStart w:id="45" w:name="_Toc503360241"/>
      <w:r>
        <w:rPr>
          <w:snapToGrid w:val="0"/>
        </w:rPr>
        <w:t>2.</w:t>
      </w:r>
      <w:r>
        <w:rPr>
          <w:snapToGrid w:val="0"/>
        </w:rPr>
        <w:tab/>
        <w:t>Bail information form</w:t>
      </w:r>
      <w:bookmarkEnd w:id="44"/>
      <w:bookmarkEnd w:id="45"/>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46" w:name="_Toc501458694"/>
      <w:bookmarkStart w:id="47" w:name="_Toc503360242"/>
      <w:r>
        <w:rPr>
          <w:snapToGrid w:val="0"/>
        </w:rPr>
        <w:t>3.</w:t>
      </w:r>
      <w:r>
        <w:rPr>
          <w:snapToGrid w:val="0"/>
        </w:rPr>
        <w:tab/>
        <w:t>At time of arrest</w:t>
      </w:r>
      <w:bookmarkEnd w:id="46"/>
      <w:bookmarkEnd w:id="47"/>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outlineLvl w:val="9"/>
        <w:rPr>
          <w:snapToGrid w:val="0"/>
        </w:rPr>
      </w:pPr>
      <w:bookmarkStart w:id="48" w:name="_Toc501458695"/>
      <w:bookmarkStart w:id="49" w:name="_Toc503360243"/>
      <w:r>
        <w:rPr>
          <w:snapToGrid w:val="0"/>
        </w:rPr>
        <w:t>4.</w:t>
      </w:r>
      <w:r>
        <w:rPr>
          <w:snapToGrid w:val="0"/>
        </w:rPr>
        <w:tab/>
        <w:t>On appearance in court</w:t>
      </w:r>
      <w:bookmarkEnd w:id="48"/>
      <w:bookmarkEnd w:id="49"/>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outlineLvl w:val="9"/>
        <w:rPr>
          <w:snapToGrid w:val="0"/>
        </w:rPr>
      </w:pPr>
      <w:bookmarkStart w:id="50" w:name="_Toc501458696"/>
      <w:bookmarkStart w:id="51" w:name="_Toc503360244"/>
      <w:r>
        <w:rPr>
          <w:snapToGrid w:val="0"/>
        </w:rPr>
        <w:t>5.</w:t>
      </w:r>
      <w:r>
        <w:rPr>
          <w:snapToGrid w:val="0"/>
        </w:rPr>
        <w:tab/>
        <w:t>Warrant cases</w:t>
      </w:r>
      <w:bookmarkEnd w:id="50"/>
      <w:bookmarkEnd w:id="5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outlineLvl w:val="9"/>
      </w:pPr>
      <w:bookmarkStart w:id="52" w:name="_Toc501458697"/>
      <w:bookmarkStart w:id="53" w:name="_Toc503360245"/>
      <w:r>
        <w:t>6.</w:t>
      </w:r>
      <w:r>
        <w:rPr>
          <w:b w:val="0"/>
        </w:rPr>
        <w:tab/>
      </w:r>
      <w:r>
        <w:t>Where charge is murder</w:t>
      </w:r>
      <w:bookmarkEnd w:id="52"/>
      <w:bookmarkEnd w:id="53"/>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outlineLvl w:val="9"/>
        <w:rPr>
          <w:snapToGrid w:val="0"/>
        </w:rPr>
      </w:pPr>
      <w:bookmarkStart w:id="54" w:name="_Toc501458698"/>
      <w:bookmarkStart w:id="55" w:name="_Toc503360246"/>
      <w:r>
        <w:rPr>
          <w:snapToGrid w:val="0"/>
        </w:rPr>
        <w:t>7.</w:t>
      </w:r>
      <w:r>
        <w:rPr>
          <w:snapToGrid w:val="0"/>
        </w:rPr>
        <w:tab/>
        <w:t>Decision may be delayed</w:t>
      </w:r>
      <w:bookmarkEnd w:id="54"/>
      <w:bookmarkEnd w:id="55"/>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56" w:name="_Toc501458699"/>
      <w:bookmarkStart w:id="57" w:name="_Toc503360247"/>
      <w:r>
        <w:rPr>
          <w:snapToGrid w:val="0"/>
        </w:rPr>
        <w:t>8.</w:t>
      </w:r>
      <w:r>
        <w:rPr>
          <w:snapToGrid w:val="0"/>
        </w:rPr>
        <w:tab/>
        <w:t>How decision to be made — adult</w:t>
      </w:r>
      <w:bookmarkEnd w:id="56"/>
      <w:bookmarkEnd w:id="57"/>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outlineLvl w:val="9"/>
        <w:rPr>
          <w:snapToGrid w:val="0"/>
        </w:rPr>
      </w:pPr>
      <w:bookmarkStart w:id="58" w:name="_Toc501458700"/>
      <w:bookmarkStart w:id="59" w:name="_Toc503360248"/>
      <w:r>
        <w:rPr>
          <w:snapToGrid w:val="0"/>
        </w:rPr>
        <w:t>8A.</w:t>
      </w:r>
      <w:r>
        <w:rPr>
          <w:snapToGrid w:val="0"/>
        </w:rPr>
        <w:tab/>
        <w:t>How decision to be made — child</w:t>
      </w:r>
      <w:bookmarkEnd w:id="58"/>
      <w:bookmarkEnd w:id="59"/>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outlineLvl w:val="9"/>
        <w:rPr>
          <w:snapToGrid w:val="0"/>
        </w:rPr>
      </w:pPr>
      <w:bookmarkStart w:id="60" w:name="_Toc501458701"/>
      <w:bookmarkStart w:id="61" w:name="_Toc503360249"/>
      <w:r>
        <w:rPr>
          <w:snapToGrid w:val="0"/>
        </w:rPr>
        <w:t>8B.</w:t>
      </w:r>
      <w:r>
        <w:rPr>
          <w:snapToGrid w:val="0"/>
        </w:rPr>
        <w:tab/>
        <w:t>Where serious offence committed while on bail for another serious offence</w:t>
      </w:r>
      <w:bookmarkEnd w:id="60"/>
      <w:bookmarkEnd w:id="61"/>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62" w:name="_Toc501458702"/>
      <w:bookmarkStart w:id="63" w:name="_Toc503360250"/>
      <w:r>
        <w:rPr>
          <w:snapToGrid w:val="0"/>
        </w:rPr>
        <w:t>9.</w:t>
      </w:r>
      <w:r>
        <w:rPr>
          <w:snapToGrid w:val="0"/>
        </w:rPr>
        <w:tab/>
        <w:t>Points to be considered</w:t>
      </w:r>
      <w:bookmarkEnd w:id="62"/>
      <w:bookmarkEnd w:id="63"/>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64" w:name="_Toc501458703"/>
      <w:bookmarkStart w:id="65" w:name="_Toc503360251"/>
      <w:r>
        <w:rPr>
          <w:snapToGrid w:val="0"/>
        </w:rPr>
        <w:t>10.</w:t>
      </w:r>
      <w:r>
        <w:rPr>
          <w:snapToGrid w:val="0"/>
        </w:rPr>
        <w:tab/>
        <w:t>Conditions</w:t>
      </w:r>
      <w:bookmarkEnd w:id="64"/>
      <w:bookmarkEnd w:id="65"/>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66" w:name="_Toc501458704"/>
      <w:bookmarkStart w:id="67" w:name="_Toc503360252"/>
      <w:r>
        <w:rPr>
          <w:snapToGrid w:val="0"/>
        </w:rPr>
        <w:t>11.</w:t>
      </w:r>
      <w:r>
        <w:rPr>
          <w:snapToGrid w:val="0"/>
        </w:rPr>
        <w:tab/>
        <w:t>Accused to receive copy of bail decision form or court record</w:t>
      </w:r>
      <w:bookmarkEnd w:id="66"/>
      <w:bookmarkEnd w:id="67"/>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68" w:name="_Toc501458705"/>
      <w:bookmarkStart w:id="69" w:name="_Toc503360253"/>
      <w:r>
        <w:t>12.</w:t>
      </w:r>
      <w:r>
        <w:tab/>
        <w:t>Bail undertaking</w:t>
      </w:r>
      <w:bookmarkEnd w:id="68"/>
      <w:bookmarkEnd w:id="69"/>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70" w:name="_Toc501458706"/>
      <w:bookmarkStart w:id="71" w:name="_Toc503360254"/>
      <w:r>
        <w:t>13.</w:t>
      </w:r>
      <w:r>
        <w:tab/>
        <w:t>Release from custody</w:t>
      </w:r>
      <w:bookmarkEnd w:id="70"/>
      <w:bookmarkEnd w:id="71"/>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outlineLvl w:val="9"/>
      </w:pPr>
      <w:bookmarkStart w:id="72" w:name="_Toc501458707"/>
      <w:bookmarkStart w:id="73" w:name="_Toc503360255"/>
      <w:r>
        <w:t>14.</w:t>
      </w:r>
      <w:r>
        <w:rPr>
          <w:b w:val="0"/>
        </w:rPr>
        <w:tab/>
      </w:r>
      <w:r>
        <w:t>Reconsideration of decision</w:t>
      </w:r>
      <w:bookmarkEnd w:id="72"/>
      <w:bookmarkEnd w:id="73"/>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outlineLvl w:val="9"/>
      </w:pPr>
      <w:bookmarkStart w:id="74" w:name="_Toc501458708"/>
      <w:bookmarkStart w:id="75" w:name="_Toc503360256"/>
      <w:r>
        <w:t>15.</w:t>
      </w:r>
      <w:r>
        <w:rPr>
          <w:b w:val="0"/>
        </w:rPr>
        <w:tab/>
      </w:r>
      <w:r>
        <w:t>Application to judge</w:t>
      </w:r>
      <w:bookmarkEnd w:id="74"/>
      <w:bookmarkEnd w:id="75"/>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outlineLvl w:val="9"/>
        <w:rPr>
          <w:snapToGrid w:val="0"/>
        </w:rPr>
      </w:pPr>
      <w:bookmarkStart w:id="76" w:name="_Toc501458709"/>
      <w:bookmarkStart w:id="77" w:name="_Toc503360257"/>
      <w:r>
        <w:rPr>
          <w:snapToGrid w:val="0"/>
        </w:rPr>
        <w:t>16.</w:t>
      </w:r>
      <w:r>
        <w:rPr>
          <w:snapToGrid w:val="0"/>
        </w:rPr>
        <w:tab/>
        <w:t>Sureties</w:t>
      </w:r>
      <w:bookmarkEnd w:id="76"/>
      <w:bookmarkEnd w:id="77"/>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78" w:name="_Toc501458710"/>
      <w:bookmarkStart w:id="79" w:name="_Toc503360258"/>
      <w:r>
        <w:rPr>
          <w:snapToGrid w:val="0"/>
        </w:rPr>
        <w:t>17.</w:t>
      </w:r>
      <w:r>
        <w:rPr>
          <w:snapToGrid w:val="0"/>
        </w:rPr>
        <w:tab/>
        <w:t>False information</w:t>
      </w:r>
      <w:bookmarkEnd w:id="78"/>
      <w:bookmarkEnd w:id="79"/>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80" w:name="_Toc501458711"/>
      <w:bookmarkStart w:id="81" w:name="_Toc503360259"/>
      <w:r>
        <w:rPr>
          <w:snapToGrid w:val="0"/>
        </w:rPr>
        <w:t>18.</w:t>
      </w:r>
      <w:r>
        <w:rPr>
          <w:snapToGrid w:val="0"/>
        </w:rPr>
        <w:tab/>
        <w:t>Offence to compensate surety</w:t>
      </w:r>
      <w:bookmarkEnd w:id="80"/>
      <w:bookmarkEnd w:id="81"/>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 27 Jun 2017 p. 3433.]</w:t>
      </w:r>
    </w:p>
    <w:p>
      <w:pPr>
        <w:pStyle w:val="yEdnotesect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82" w:name="_Toc496101980"/>
      <w:bookmarkStart w:id="83" w:name="_Toc496107298"/>
      <w:bookmarkStart w:id="84" w:name="_Toc501458712"/>
      <w:bookmarkStart w:id="85" w:name="_Toc503360260"/>
      <w:r>
        <w:rPr>
          <w:rStyle w:val="CharSClsNo"/>
        </w:rPr>
        <w:t>Form 6</w:t>
      </w:r>
      <w:bookmarkEnd w:id="82"/>
      <w:bookmarkEnd w:id="83"/>
      <w:bookmarkEnd w:id="84"/>
      <w:bookmarkEnd w:id="85"/>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w:t>
      </w:r>
      <w:r>
        <w:noBreakHyphen/>
        <w:t>5; 12 Sep 2014 p. 3289.]</w:t>
      </w:r>
    </w:p>
    <w:p>
      <w:pPr>
        <w:pStyle w:val="yEdnotedivision"/>
      </w:pPr>
      <w:r>
        <w:t>[Form 7 deleted in Gazette 25 Feb 2009 p. 485.]</w:t>
      </w:r>
    </w:p>
    <w:p>
      <w:pPr>
        <w:pStyle w:val="yShoulderClause"/>
        <w:pageBreakBefore/>
        <w:rPr>
          <w:snapToGrid w:val="0"/>
        </w:rPr>
      </w:pPr>
      <w:r>
        <w:rPr>
          <w:snapToGrid w:val="0"/>
        </w:rPr>
        <w:t>[reg. 6]</w:t>
      </w:r>
    </w:p>
    <w:p>
      <w:pPr>
        <w:pStyle w:val="yHeading3"/>
      </w:pPr>
      <w:bookmarkStart w:id="86" w:name="_Toc496101981"/>
      <w:bookmarkStart w:id="87" w:name="_Toc496107299"/>
      <w:bookmarkStart w:id="88" w:name="_Toc501458713"/>
      <w:bookmarkStart w:id="89" w:name="_Toc503360261"/>
      <w:r>
        <w:rPr>
          <w:rStyle w:val="CharSClsNo"/>
        </w:rPr>
        <w:t>Form 8</w:t>
      </w:r>
      <w:bookmarkEnd w:id="86"/>
      <w:bookmarkEnd w:id="87"/>
      <w:bookmarkEnd w:id="88"/>
      <w:bookmarkEnd w:id="89"/>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6" o:title=""/>
          </v:shape>
          <o:OLEObject Type="Embed" ProgID="PBrush" ShapeID="_x0000_i1025" DrawAspect="Content" ObjectID="_1598080531" r:id="rId27"/>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w:t>
      </w:r>
      <w:r>
        <w:noBreakHyphen/>
        <w:t>8; 12 Sep 2014 p. 3289.]</w:t>
      </w:r>
    </w:p>
    <w:p>
      <w:pPr>
        <w:pStyle w:val="yShoulderClause"/>
        <w:pageBreakBefore/>
        <w:rPr>
          <w:snapToGrid w:val="0"/>
        </w:rPr>
      </w:pPr>
      <w:r>
        <w:rPr>
          <w:snapToGrid w:val="0"/>
        </w:rPr>
        <w:t>[reg. 3(2)]</w:t>
      </w:r>
    </w:p>
    <w:p>
      <w:pPr>
        <w:pStyle w:val="yHeading3"/>
      </w:pPr>
      <w:bookmarkStart w:id="90" w:name="_Toc496101982"/>
      <w:bookmarkStart w:id="91" w:name="_Toc496107300"/>
      <w:bookmarkStart w:id="92" w:name="_Toc501458714"/>
      <w:bookmarkStart w:id="93" w:name="_Toc503360262"/>
      <w:r>
        <w:rPr>
          <w:rStyle w:val="CharSClsNo"/>
        </w:rPr>
        <w:t>Form 9</w:t>
      </w:r>
      <w:bookmarkEnd w:id="90"/>
      <w:bookmarkEnd w:id="91"/>
      <w:bookmarkEnd w:id="92"/>
      <w:bookmarkEnd w:id="93"/>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94" w:name="_Toc501458715"/>
      <w:bookmarkStart w:id="95" w:name="_Toc503360263"/>
      <w:r>
        <w:rPr>
          <w:snapToGrid w:val="0"/>
        </w:rPr>
        <w:t>1.</w:t>
      </w:r>
      <w:r>
        <w:rPr>
          <w:snapToGrid w:val="0"/>
        </w:rPr>
        <w:tab/>
        <w:t>Contents of this form</w:t>
      </w:r>
      <w:bookmarkEnd w:id="94"/>
      <w:bookmarkEnd w:id="95"/>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96" w:name="_Toc501458716"/>
      <w:bookmarkStart w:id="97" w:name="_Toc503360264"/>
      <w:r>
        <w:rPr>
          <w:snapToGrid w:val="0"/>
        </w:rPr>
        <w:t>2.</w:t>
      </w:r>
      <w:r>
        <w:rPr>
          <w:snapToGrid w:val="0"/>
        </w:rPr>
        <w:tab/>
        <w:t>Meaning and function of surety</w:t>
      </w:r>
      <w:bookmarkEnd w:id="96"/>
      <w:bookmarkEnd w:id="97"/>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98" w:name="_Toc501458717"/>
      <w:bookmarkStart w:id="99" w:name="_Toc503360265"/>
      <w:r>
        <w:rPr>
          <w:snapToGrid w:val="0"/>
        </w:rPr>
        <w:t>3.</w:t>
      </w:r>
      <w:r>
        <w:rPr>
          <w:snapToGrid w:val="0"/>
        </w:rPr>
        <w:tab/>
        <w:t>Information</w:t>
      </w:r>
      <w:r>
        <w:rPr>
          <w:b w:val="0"/>
          <w:snapToGrid w:val="0"/>
        </w:rPr>
        <w:t xml:space="preserve"> </w:t>
      </w:r>
      <w:r>
        <w:rPr>
          <w:snapToGrid w:val="0"/>
        </w:rPr>
        <w:t>to be given to surety</w:t>
      </w:r>
      <w:bookmarkEnd w:id="98"/>
      <w:bookmarkEnd w:id="99"/>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outlineLvl w:val="9"/>
        <w:rPr>
          <w:snapToGrid w:val="0"/>
        </w:rPr>
      </w:pPr>
      <w:bookmarkStart w:id="100" w:name="_Toc501458718"/>
      <w:bookmarkStart w:id="101" w:name="_Toc503360266"/>
      <w:r>
        <w:rPr>
          <w:snapToGrid w:val="0"/>
        </w:rPr>
        <w:t>4.</w:t>
      </w:r>
      <w:r>
        <w:rPr>
          <w:snapToGrid w:val="0"/>
        </w:rPr>
        <w:tab/>
        <w:t>Application for approval</w:t>
      </w:r>
      <w:bookmarkEnd w:id="100"/>
      <w:bookmarkEnd w:id="101"/>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102" w:name="_Toc501458719"/>
      <w:bookmarkStart w:id="103" w:name="_Toc503360267"/>
      <w:r>
        <w:rPr>
          <w:snapToGrid w:val="0"/>
        </w:rPr>
        <w:t>5.</w:t>
      </w:r>
      <w:r>
        <w:rPr>
          <w:b w:val="0"/>
          <w:snapToGrid w:val="0"/>
        </w:rPr>
        <w:tab/>
      </w:r>
      <w:r>
        <w:rPr>
          <w:snapToGrid w:val="0"/>
        </w:rPr>
        <w:t>Disqualified persons</w:t>
      </w:r>
      <w:bookmarkEnd w:id="102"/>
      <w:bookmarkEnd w:id="103"/>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outlineLvl w:val="9"/>
        <w:rPr>
          <w:snapToGrid w:val="0"/>
        </w:rPr>
      </w:pPr>
      <w:bookmarkStart w:id="104" w:name="_Toc501458720"/>
      <w:bookmarkStart w:id="105" w:name="_Toc503360268"/>
      <w:r>
        <w:rPr>
          <w:snapToGrid w:val="0"/>
        </w:rPr>
        <w:t>6.</w:t>
      </w:r>
      <w:r>
        <w:rPr>
          <w:snapToGrid w:val="0"/>
        </w:rPr>
        <w:tab/>
        <w:t>Points to be considered</w:t>
      </w:r>
      <w:bookmarkEnd w:id="104"/>
      <w:bookmarkEnd w:id="105"/>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106" w:name="_Toc501458721"/>
      <w:bookmarkStart w:id="107" w:name="_Toc503360269"/>
      <w:r>
        <w:rPr>
          <w:snapToGrid w:val="0"/>
        </w:rPr>
        <w:t>7.</w:t>
      </w:r>
      <w:r>
        <w:rPr>
          <w:snapToGrid w:val="0"/>
        </w:rPr>
        <w:tab/>
        <w:t>Reconsideration</w:t>
      </w:r>
      <w:bookmarkEnd w:id="106"/>
      <w:bookmarkEnd w:id="107"/>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108" w:name="_Toc501458722"/>
      <w:bookmarkStart w:id="109" w:name="_Toc503360270"/>
      <w:r>
        <w:rPr>
          <w:snapToGrid w:val="0"/>
        </w:rPr>
        <w:t>8.</w:t>
      </w:r>
      <w:r>
        <w:rPr>
          <w:snapToGrid w:val="0"/>
        </w:rPr>
        <w:tab/>
        <w:t>Copy of surety undertaking</w:t>
      </w:r>
      <w:bookmarkEnd w:id="108"/>
      <w:bookmarkEnd w:id="109"/>
    </w:p>
    <w:p>
      <w:pPr>
        <w:pStyle w:val="ySubsection"/>
        <w:rPr>
          <w:snapToGrid w:val="0"/>
        </w:rPr>
      </w:pPr>
      <w:r>
        <w:rPr>
          <w:snapToGrid w:val="0"/>
        </w:rPr>
        <w:tab/>
      </w:r>
      <w:r>
        <w:rPr>
          <w:snapToGrid w:val="0"/>
        </w:rPr>
        <w:tab/>
        <w:t>A surety must be given a copy of his surety undertaking.</w:t>
      </w:r>
    </w:p>
    <w:p>
      <w:pPr>
        <w:pStyle w:val="yHeading5"/>
        <w:keepNext w:val="0"/>
        <w:keepLines w:val="0"/>
        <w:outlineLvl w:val="9"/>
        <w:rPr>
          <w:snapToGrid w:val="0"/>
        </w:rPr>
      </w:pPr>
      <w:bookmarkStart w:id="110" w:name="_Toc501458723"/>
      <w:bookmarkStart w:id="111" w:name="_Toc503360271"/>
      <w:r>
        <w:rPr>
          <w:snapToGrid w:val="0"/>
        </w:rPr>
        <w:t>9.</w:t>
      </w:r>
      <w:r>
        <w:rPr>
          <w:snapToGrid w:val="0"/>
        </w:rPr>
        <w:tab/>
        <w:t>Remand etc. of accused to later date</w:t>
      </w:r>
      <w:bookmarkEnd w:id="110"/>
      <w:bookmarkEnd w:id="111"/>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112" w:name="_Toc501458724"/>
      <w:bookmarkStart w:id="113" w:name="_Toc503360272"/>
      <w:r>
        <w:rPr>
          <w:snapToGrid w:val="0"/>
        </w:rPr>
        <w:t>10.</w:t>
      </w:r>
      <w:r>
        <w:rPr>
          <w:snapToGrid w:val="0"/>
        </w:rPr>
        <w:tab/>
        <w:t>Change of address</w:t>
      </w:r>
      <w:bookmarkEnd w:id="112"/>
      <w:bookmarkEnd w:id="113"/>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outlineLvl w:val="9"/>
        <w:rPr>
          <w:snapToGrid w:val="0"/>
        </w:rPr>
      </w:pPr>
      <w:bookmarkStart w:id="114" w:name="_Toc501458725"/>
      <w:bookmarkStart w:id="115" w:name="_Toc503360273"/>
      <w:r>
        <w:rPr>
          <w:snapToGrid w:val="0"/>
        </w:rPr>
        <w:t xml:space="preserve">11. </w:t>
      </w:r>
      <w:r>
        <w:rPr>
          <w:snapToGrid w:val="0"/>
        </w:rPr>
        <w:tab/>
        <w:t>Action by surety where accused likely to default</w:t>
      </w:r>
      <w:bookmarkEnd w:id="114"/>
      <w:bookmarkEnd w:id="115"/>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outlineLvl w:val="9"/>
        <w:rPr>
          <w:snapToGrid w:val="0"/>
        </w:rPr>
      </w:pPr>
      <w:bookmarkStart w:id="116" w:name="_Toc501458726"/>
      <w:bookmarkStart w:id="117" w:name="_Toc503360274"/>
      <w:r>
        <w:rPr>
          <w:snapToGrid w:val="0"/>
        </w:rPr>
        <w:t>12.</w:t>
      </w:r>
      <w:r>
        <w:rPr>
          <w:snapToGrid w:val="0"/>
        </w:rPr>
        <w:tab/>
        <w:t>Cancellation of surety undertaking</w:t>
      </w:r>
      <w:bookmarkEnd w:id="116"/>
      <w:bookmarkEnd w:id="117"/>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118" w:name="_Toc501458727"/>
      <w:bookmarkStart w:id="119" w:name="_Toc503360275"/>
      <w:r>
        <w:rPr>
          <w:snapToGrid w:val="0"/>
        </w:rPr>
        <w:t>13.</w:t>
      </w:r>
      <w:r>
        <w:rPr>
          <w:snapToGrid w:val="0"/>
        </w:rPr>
        <w:tab/>
        <w:t>Enforcing payment by surety</w:t>
      </w:r>
      <w:bookmarkEnd w:id="118"/>
      <w:bookmarkEnd w:id="119"/>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outlineLvl w:val="9"/>
        <w:rPr>
          <w:snapToGrid w:val="0"/>
        </w:rPr>
      </w:pPr>
      <w:bookmarkStart w:id="120" w:name="_Toc501458728"/>
      <w:bookmarkStart w:id="121" w:name="_Toc503360276"/>
      <w:r>
        <w:rPr>
          <w:snapToGrid w:val="0"/>
        </w:rPr>
        <w:t xml:space="preserve">14. </w:t>
      </w:r>
      <w:r>
        <w:rPr>
          <w:snapToGrid w:val="0"/>
        </w:rPr>
        <w:tab/>
        <w:t>Cases of hardship</w:t>
      </w:r>
      <w:bookmarkEnd w:id="120"/>
      <w:bookmarkEnd w:id="121"/>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122" w:name="_Toc501458729"/>
      <w:bookmarkStart w:id="123" w:name="_Toc503360277"/>
      <w:r>
        <w:rPr>
          <w:snapToGrid w:val="0"/>
        </w:rPr>
        <w:t>15.</w:t>
      </w:r>
      <w:r>
        <w:rPr>
          <w:snapToGrid w:val="0"/>
        </w:rPr>
        <w:tab/>
        <w:t>Surety becoming unsuitable</w:t>
      </w:r>
      <w:bookmarkEnd w:id="122"/>
      <w:bookmarkEnd w:id="123"/>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124" w:name="_Toc501458730"/>
      <w:bookmarkStart w:id="125" w:name="_Toc503360278"/>
      <w:r>
        <w:rPr>
          <w:snapToGrid w:val="0"/>
        </w:rPr>
        <w:t xml:space="preserve">16. </w:t>
      </w:r>
      <w:r>
        <w:rPr>
          <w:snapToGrid w:val="0"/>
        </w:rPr>
        <w:tab/>
        <w:t>Offence to compensate surety</w:t>
      </w:r>
      <w:bookmarkEnd w:id="124"/>
      <w:bookmarkEnd w:id="125"/>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ShoulderClause"/>
        <w:keepNext/>
        <w:keepLines/>
        <w:pageBreakBefore/>
        <w:rPr>
          <w:snapToGrid w:val="0"/>
        </w:rPr>
      </w:pPr>
      <w:r>
        <w:rPr>
          <w:snapToGrid w:val="0"/>
        </w:rPr>
        <w:t>[reg. 6]</w:t>
      </w:r>
    </w:p>
    <w:p>
      <w:pPr>
        <w:pStyle w:val="yHeading3"/>
      </w:pPr>
      <w:bookmarkStart w:id="126" w:name="_Toc496101999"/>
      <w:bookmarkStart w:id="127" w:name="_Toc496107317"/>
      <w:bookmarkStart w:id="128" w:name="_Toc501458731"/>
      <w:bookmarkStart w:id="129" w:name="_Toc503360279"/>
      <w:r>
        <w:rPr>
          <w:rStyle w:val="CharSClsNo"/>
        </w:rPr>
        <w:t>Form 11</w:t>
      </w:r>
      <w:bookmarkEnd w:id="126"/>
      <w:bookmarkEnd w:id="127"/>
      <w:bookmarkEnd w:id="128"/>
      <w:bookmarkEnd w:id="129"/>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31" w:name="_Toc496082881"/>
      <w:bookmarkStart w:id="132" w:name="_Toc496083244"/>
      <w:bookmarkStart w:id="133" w:name="_Toc496084675"/>
      <w:bookmarkStart w:id="134" w:name="_Toc496101222"/>
      <w:bookmarkStart w:id="135" w:name="_Toc496101707"/>
      <w:bookmarkStart w:id="136" w:name="_Toc496101777"/>
      <w:bookmarkStart w:id="137" w:name="_Toc496101840"/>
      <w:bookmarkStart w:id="138" w:name="_Toc496102000"/>
      <w:bookmarkStart w:id="139" w:name="_Toc496107318"/>
      <w:bookmarkStart w:id="140" w:name="_Toc501458732"/>
      <w:bookmarkStart w:id="141" w:name="_Toc503360280"/>
      <w:r>
        <w:t>Notes</w:t>
      </w:r>
      <w:bookmarkEnd w:id="131"/>
      <w:bookmarkEnd w:id="132"/>
      <w:bookmarkEnd w:id="133"/>
      <w:bookmarkEnd w:id="134"/>
      <w:bookmarkEnd w:id="135"/>
      <w:bookmarkEnd w:id="136"/>
      <w:bookmarkEnd w:id="137"/>
      <w:bookmarkEnd w:id="138"/>
      <w:bookmarkEnd w:id="139"/>
      <w:bookmarkEnd w:id="140"/>
      <w:bookmarkEnd w:id="141"/>
    </w:p>
    <w:p>
      <w:pPr>
        <w:pStyle w:val="nSubsection"/>
      </w:pPr>
      <w:r>
        <w:rPr>
          <w:vertAlign w:val="superscript"/>
        </w:rPr>
        <w:t>1</w:t>
      </w:r>
      <w:r>
        <w:tab/>
        <w:t xml:space="preserve">This reprint is a compilation as at 12 January 2018 of the </w:t>
      </w:r>
      <w:r>
        <w:rPr>
          <w:i/>
          <w:noProof/>
        </w:rPr>
        <w:t>Bail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142" w:name="_Toc503360281"/>
      <w:r>
        <w:rPr>
          <w:snapToGrid w:val="0"/>
        </w:rP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rPr>
          <w:cantSplit/>
        </w:trPr>
        <w:tc>
          <w:tcPr>
            <w:tcW w:w="7088" w:type="dxa"/>
            <w:gridSpan w:val="3"/>
            <w:tcBorders>
              <w:bottom w:val="single" w:sz="4" w:space="0" w:color="auto"/>
            </w:tcBorders>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44" w:name="_Toc496082883"/>
      <w:bookmarkStart w:id="145" w:name="_Toc496083246"/>
      <w:bookmarkStart w:id="146" w:name="_Toc496084677"/>
      <w:bookmarkStart w:id="147" w:name="_Toc496101224"/>
      <w:bookmarkStart w:id="148" w:name="_Toc496101709"/>
      <w:bookmarkStart w:id="149" w:name="_Toc496101779"/>
      <w:bookmarkStart w:id="150" w:name="_Toc496101842"/>
      <w:bookmarkStart w:id="151" w:name="_Toc496102002"/>
      <w:bookmarkStart w:id="152" w:name="_Toc496107320"/>
      <w:bookmarkStart w:id="153" w:name="_Toc501458734"/>
      <w:bookmarkStart w:id="154" w:name="_Toc503360282"/>
      <w:r>
        <w:rPr>
          <w:sz w:val="28"/>
        </w:rPr>
        <w:t>Defined terms</w:t>
      </w:r>
      <w:bookmarkEnd w:id="144"/>
      <w:bookmarkEnd w:id="145"/>
      <w:bookmarkEnd w:id="146"/>
      <w:bookmarkEnd w:id="147"/>
      <w:bookmarkEnd w:id="148"/>
      <w:bookmarkEnd w:id="149"/>
      <w:bookmarkEnd w:id="150"/>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3A</w:t>
      </w:r>
    </w:p>
    <w:p>
      <w:pPr>
        <w:pStyle w:val="DefinedTerms"/>
      </w:pPr>
      <w:r>
        <w:t>courts electronic system</w:t>
      </w:r>
      <w:r>
        <w:tab/>
        <w:t>3A</w:t>
      </w:r>
    </w:p>
    <w:p>
      <w:pPr>
        <w:pStyle w:val="DefinedTerms"/>
      </w:pPr>
      <w:r>
        <w:t>department</w:t>
      </w:r>
      <w:r>
        <w:tab/>
        <w:t>11(3)</w:t>
      </w:r>
    </w:p>
    <w:p>
      <w:pPr>
        <w:pStyle w:val="DefinedTerms"/>
      </w:pPr>
      <w:r>
        <w:t>departmental programme</w:t>
      </w:r>
      <w:r>
        <w:tab/>
        <w:t>11(3)</w:t>
      </w:r>
    </w:p>
    <w:p>
      <w:pPr>
        <w:pStyle w:val="DefinedTerms"/>
      </w:pPr>
      <w:r>
        <w:t>working day</w:t>
      </w:r>
      <w:r>
        <w:tab/>
        <w:t>3A</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130" w:name="Schedule"/>
        <w:bookmarkEnd w:id="130"/>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8093018"/>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uiPriority w:val="99"/>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uiPriority w:val="99"/>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93A3-B2EB-4DDC-9B9B-4659F143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9607</Words>
  <Characters>58801</Characters>
  <Application>Microsoft Office Word</Application>
  <DocSecurity>0</DocSecurity>
  <Lines>1507</Lines>
  <Paragraphs>963</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67445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1988 - 03-a0-01</dc:title>
  <dc:subject/>
  <dc:creator/>
  <cp:keywords/>
  <dc:description/>
  <cp:lastModifiedBy>svcMRProcess</cp:lastModifiedBy>
  <cp:revision>4</cp:revision>
  <cp:lastPrinted>2018-01-03T00:59:00Z</cp:lastPrinted>
  <dcterms:created xsi:type="dcterms:W3CDTF">2018-09-10T02:29:00Z</dcterms:created>
  <dcterms:modified xsi:type="dcterms:W3CDTF">2018-09-10T02:29:00Z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AsAtDate">
    <vt:lpwstr>12 Jan 2018</vt:lpwstr>
  </property>
  <property fmtid="{D5CDD505-2E9C-101B-9397-08002B2CF9AE}" pid="7" name="Suffix">
    <vt:lpwstr>03-a0-01</vt:lpwstr>
  </property>
  <property fmtid="{D5CDD505-2E9C-101B-9397-08002B2CF9AE}" pid="8" name="CommencementDate">
    <vt:lpwstr>20180112</vt:lpwstr>
  </property>
  <property fmtid="{D5CDD505-2E9C-101B-9397-08002B2CF9AE}" pid="9" name="DocumentType">
    <vt:lpwstr>Reg</vt:lpwstr>
  </property>
</Properties>
</file>