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_Toc504466374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_Toc504466375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_Toc504466376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_Toc504466377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_Toc504466378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_Toc504466379 \h </w:instrText>
      </w:r>
      <w:r>
        <w:fldChar w:fldCharType="separate"/>
      </w:r>
      <w:r>
        <w:t>12</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_Toc504466380 \h </w:instrText>
      </w:r>
      <w:r>
        <w:fldChar w:fldCharType="separate"/>
      </w:r>
      <w:r>
        <w:t>12</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_Toc504466381 \h </w:instrText>
      </w:r>
      <w:r>
        <w:fldChar w:fldCharType="separate"/>
      </w:r>
      <w:r>
        <w:t>12</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_Toc504466382 \h </w:instrText>
      </w:r>
      <w:r>
        <w:fldChar w:fldCharType="separate"/>
      </w:r>
      <w:r>
        <w:t>12</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_Toc504466383 \h </w:instrText>
      </w:r>
      <w:r>
        <w:fldChar w:fldCharType="separate"/>
      </w:r>
      <w:r>
        <w:t>13</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_Toc504466384 \h </w:instrText>
      </w:r>
      <w:r>
        <w:fldChar w:fldCharType="separate"/>
      </w:r>
      <w:r>
        <w:t>13</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_Toc504466385 \h </w:instrText>
      </w:r>
      <w:r>
        <w:fldChar w:fldCharType="separate"/>
      </w:r>
      <w:r>
        <w:t>14</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_Toc504466386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 and certificates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_Toc504466389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_Toc504466390 \h </w:instrText>
      </w:r>
      <w:r>
        <w:fldChar w:fldCharType="separate"/>
      </w:r>
      <w:r>
        <w:t>18</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_Toc504466391 \h </w:instrText>
      </w:r>
      <w:r>
        <w:fldChar w:fldCharType="separate"/>
      </w:r>
      <w:r>
        <w:t>19</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_Toc504466392 \h </w:instrText>
      </w:r>
      <w:r>
        <w:fldChar w:fldCharType="separate"/>
      </w:r>
      <w:r>
        <w:t>20</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_Toc504466393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19.</w:t>
      </w:r>
      <w:r>
        <w:tab/>
        <w:t>Application for voluntary suspension of provider approval</w:t>
      </w:r>
      <w:r>
        <w:tab/>
      </w:r>
      <w:r>
        <w:fldChar w:fldCharType="begin"/>
      </w:r>
      <w:r>
        <w:instrText xml:space="preserve"> PAGEREF _Toc504466394 \h </w:instrText>
      </w:r>
      <w:r>
        <w:fldChar w:fldCharType="separate"/>
      </w:r>
      <w:r>
        <w:t>20</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_Toc504466395 \h </w:instrText>
      </w:r>
      <w:r>
        <w:fldChar w:fldCharType="separate"/>
      </w:r>
      <w:r>
        <w:t>21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_Toc504466396 \h </w:instrText>
      </w:r>
      <w:r>
        <w:fldChar w:fldCharType="separate"/>
      </w:r>
      <w:r>
        <w:t>23</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_Toc504466397 \h </w:instrText>
      </w:r>
      <w:r>
        <w:fldChar w:fldCharType="separate"/>
      </w:r>
      <w:r>
        <w:t>24</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_Toc504466398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_Toc504466401 \h </w:instrText>
      </w:r>
      <w:r>
        <w:fldChar w:fldCharType="separate"/>
      </w:r>
      <w:r>
        <w:t>26</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_Toc504466402 \h </w:instrText>
      </w:r>
      <w:r>
        <w:fldChar w:fldCharType="separate"/>
      </w:r>
      <w:r>
        <w:t>28</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_Toc504466403 \h </w:instrText>
      </w:r>
      <w:r>
        <w:fldChar w:fldCharType="separate"/>
      </w:r>
      <w:r>
        <w:t>30</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_Toc504466404 \h </w:instrText>
      </w:r>
      <w:r>
        <w:fldChar w:fldCharType="separate"/>
      </w:r>
      <w:r>
        <w:t>32</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_Toc504466405 \h </w:instrText>
      </w:r>
      <w:r>
        <w:fldChar w:fldCharType="separate"/>
      </w:r>
      <w:r>
        <w:t>32</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_Toc504466406 \h </w:instrText>
      </w:r>
      <w:r>
        <w:fldChar w:fldCharType="separate"/>
      </w:r>
      <w:r>
        <w:t>33</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_Toc504466407 \h </w:instrText>
      </w:r>
      <w:r>
        <w:fldChar w:fldCharType="separate"/>
      </w:r>
      <w:r>
        <w:t>33</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_Toc504466408 \h </w:instrText>
      </w:r>
      <w:r>
        <w:fldChar w:fldCharType="separate"/>
      </w:r>
      <w:r>
        <w:t>33</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_Toc504466409 \h </w:instrText>
      </w:r>
      <w:r>
        <w:fldChar w:fldCharType="separate"/>
      </w:r>
      <w:r>
        <w:t>34</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_Toc504466410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_Toc504466412 \h </w:instrText>
      </w:r>
      <w:r>
        <w:fldChar w:fldCharType="separate"/>
      </w:r>
      <w:r>
        <w:t>34</w:t>
      </w:r>
      <w:r>
        <w:fldChar w:fldCharType="end"/>
      </w:r>
    </w:p>
    <w:p>
      <w:pPr>
        <w:pStyle w:val="TOC8"/>
        <w:rPr>
          <w:rFonts w:asciiTheme="minorHAnsi" w:eastAsiaTheme="minorEastAsia" w:hAnsiTheme="minorHAnsi" w:cstheme="minorBidi"/>
          <w:szCs w:val="22"/>
        </w:rPr>
      </w:pPr>
      <w:r>
        <w:t>35.</w:t>
      </w:r>
      <w:r>
        <w:tab/>
        <w:t>Notice of change to nominated supervisor</w:t>
      </w:r>
      <w:r>
        <w:tab/>
      </w:r>
      <w:r>
        <w:fldChar w:fldCharType="begin"/>
      </w:r>
      <w:r>
        <w:instrText xml:space="preserve"> PAGEREF _Toc504466413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_Toc504466415 \h </w:instrText>
      </w:r>
      <w:r>
        <w:fldChar w:fldCharType="separate"/>
      </w:r>
      <w:r>
        <w:t>35</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_Toc504466416 \h </w:instrText>
      </w:r>
      <w:r>
        <w:fldChar w:fldCharType="separate"/>
      </w:r>
      <w:r>
        <w:t>36</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_Toc504466417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_Toc504466419 \h </w:instrText>
      </w:r>
      <w:r>
        <w:fldChar w:fldCharType="separate"/>
      </w:r>
      <w:r>
        <w:t>37</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_Toc504466420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_Toc504466422 \h </w:instrText>
      </w:r>
      <w:r>
        <w:fldChar w:fldCharType="separate"/>
      </w:r>
      <w:r>
        <w:t>38</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_Toc504466423 \h </w:instrText>
      </w:r>
      <w:r>
        <w:fldChar w:fldCharType="separate"/>
      </w:r>
      <w:r>
        <w:t>38</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_Toc504466424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_Toc504466426 \h </w:instrText>
      </w:r>
      <w:r>
        <w:fldChar w:fldCharType="separate"/>
      </w:r>
      <w:r>
        <w:t>40</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_Toc504466427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Part 2.3 — Supervisor certificates</w:t>
      </w:r>
    </w:p>
    <w:p>
      <w:pPr>
        <w:pStyle w:val="TOC6"/>
        <w:tabs>
          <w:tab w:val="right" w:leader="dot" w:pos="7077"/>
        </w:tabs>
        <w:rPr>
          <w:rFonts w:asciiTheme="minorHAnsi" w:eastAsiaTheme="minorEastAsia" w:hAnsiTheme="minorHAnsi" w:cstheme="minorBidi"/>
          <w:b w:val="0"/>
          <w:sz w:val="22"/>
          <w:szCs w:val="22"/>
        </w:rPr>
      </w:pPr>
      <w:r>
        <w:t>Division 1 — Applications for supervisor certificates</w:t>
      </w:r>
    </w:p>
    <w:p>
      <w:pPr>
        <w:pStyle w:val="TOC8"/>
        <w:rPr>
          <w:rFonts w:asciiTheme="minorHAnsi" w:eastAsiaTheme="minorEastAsia" w:hAnsiTheme="minorHAnsi" w:cstheme="minorBidi"/>
          <w:szCs w:val="22"/>
        </w:rPr>
      </w:pPr>
      <w:r>
        <w:t>46.</w:t>
      </w:r>
      <w:r>
        <w:tab/>
        <w:t>Application for supervisor certificate</w:t>
      </w:r>
      <w:r>
        <w:tab/>
      </w:r>
      <w:r>
        <w:fldChar w:fldCharType="begin"/>
      </w:r>
      <w:r>
        <w:instrText xml:space="preserve"> PAGEREF _Toc504466430 \h </w:instrText>
      </w:r>
      <w:r>
        <w:fldChar w:fldCharType="separate"/>
      </w:r>
      <w:r>
        <w:t>41</w:t>
      </w:r>
      <w:r>
        <w:fldChar w:fldCharType="end"/>
      </w:r>
    </w:p>
    <w:p>
      <w:pPr>
        <w:pStyle w:val="TOC8"/>
        <w:rPr>
          <w:rFonts w:asciiTheme="minorHAnsi" w:eastAsiaTheme="minorEastAsia" w:hAnsiTheme="minorHAnsi" w:cstheme="minorBidi"/>
          <w:szCs w:val="22"/>
        </w:rPr>
      </w:pPr>
      <w:r>
        <w:t>47.</w:t>
      </w:r>
      <w:r>
        <w:tab/>
        <w:t>Minimum requirements for qualifications, experience and management capability</w:t>
      </w:r>
      <w:r>
        <w:tab/>
      </w:r>
      <w:r>
        <w:fldChar w:fldCharType="begin"/>
      </w:r>
      <w:r>
        <w:instrText xml:space="preserve"> PAGEREF _Toc504466431 \h </w:instrText>
      </w:r>
      <w:r>
        <w:fldChar w:fldCharType="separate"/>
      </w:r>
      <w:r>
        <w:t>44</w:t>
      </w:r>
      <w:r>
        <w:fldChar w:fldCharType="end"/>
      </w:r>
    </w:p>
    <w:p>
      <w:pPr>
        <w:pStyle w:val="TOC8"/>
        <w:rPr>
          <w:rFonts w:asciiTheme="minorHAnsi" w:eastAsiaTheme="minorEastAsia" w:hAnsiTheme="minorHAnsi" w:cstheme="minorBidi"/>
          <w:szCs w:val="22"/>
        </w:rPr>
      </w:pPr>
      <w:r>
        <w:t>48.</w:t>
      </w:r>
      <w:r>
        <w:tab/>
        <w:t>Matters relating to criminal history</w:t>
      </w:r>
      <w:r>
        <w:tab/>
      </w:r>
      <w:r>
        <w:fldChar w:fldCharType="begin"/>
      </w:r>
      <w:r>
        <w:instrText xml:space="preserve"> PAGEREF _Toc504466432 \h </w:instrText>
      </w:r>
      <w:r>
        <w:fldChar w:fldCharType="separate"/>
      </w:r>
      <w:r>
        <w:t>44</w:t>
      </w:r>
      <w:r>
        <w:fldChar w:fldCharType="end"/>
      </w:r>
    </w:p>
    <w:p>
      <w:pPr>
        <w:pStyle w:val="TOC8"/>
        <w:rPr>
          <w:rFonts w:asciiTheme="minorHAnsi" w:eastAsiaTheme="minorEastAsia" w:hAnsiTheme="minorHAnsi" w:cstheme="minorBidi"/>
          <w:szCs w:val="22"/>
        </w:rPr>
      </w:pPr>
      <w:r>
        <w:t>49.</w:t>
      </w:r>
      <w:r>
        <w:tab/>
        <w:t>Prescribed classes of persons for grant of supervisor certificate</w:t>
      </w:r>
      <w:r>
        <w:tab/>
      </w:r>
      <w:r>
        <w:fldChar w:fldCharType="begin"/>
      </w:r>
      <w:r>
        <w:instrText xml:space="preserve"> PAGEREF _Toc504466433 \h </w:instrText>
      </w:r>
      <w:r>
        <w:fldChar w:fldCharType="separate"/>
      </w:r>
      <w:r>
        <w:t>45</w:t>
      </w:r>
      <w:r>
        <w:fldChar w:fldCharType="end"/>
      </w:r>
    </w:p>
    <w:p>
      <w:pPr>
        <w:pStyle w:val="TOC8"/>
        <w:rPr>
          <w:rFonts w:asciiTheme="minorHAnsi" w:eastAsiaTheme="minorEastAsia" w:hAnsiTheme="minorHAnsi" w:cstheme="minorBidi"/>
          <w:szCs w:val="22"/>
        </w:rPr>
      </w:pPr>
      <w:r>
        <w:t>50.</w:t>
      </w:r>
      <w:r>
        <w:tab/>
        <w:t>Issue of supervisor certificate — supervisor in prescribed class</w:t>
      </w:r>
      <w:r>
        <w:tab/>
      </w:r>
      <w:r>
        <w:fldChar w:fldCharType="begin"/>
      </w:r>
      <w:r>
        <w:instrText xml:space="preserve"> PAGEREF _Toc504466434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supervisor certificate</w:t>
      </w:r>
    </w:p>
    <w:p>
      <w:pPr>
        <w:pStyle w:val="TOC8"/>
        <w:rPr>
          <w:rFonts w:asciiTheme="minorHAnsi" w:eastAsiaTheme="minorEastAsia" w:hAnsiTheme="minorHAnsi" w:cstheme="minorBidi"/>
          <w:szCs w:val="22"/>
        </w:rPr>
      </w:pPr>
      <w:r>
        <w:t>51.</w:t>
      </w:r>
      <w:r>
        <w:tab/>
        <w:t>Application for amendment of supervisor certificate</w:t>
      </w:r>
      <w:r>
        <w:tab/>
      </w:r>
      <w:r>
        <w:fldChar w:fldCharType="begin"/>
      </w:r>
      <w:r>
        <w:instrText xml:space="preserve"> PAGEREF _Toc504466436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Division 3 — Suspension of supervisor certificate</w:t>
      </w:r>
    </w:p>
    <w:p>
      <w:pPr>
        <w:pStyle w:val="TOC8"/>
        <w:rPr>
          <w:rFonts w:asciiTheme="minorHAnsi" w:eastAsiaTheme="minorEastAsia" w:hAnsiTheme="minorHAnsi" w:cstheme="minorBidi"/>
          <w:szCs w:val="22"/>
        </w:rPr>
      </w:pPr>
      <w:r>
        <w:t>52.</w:t>
      </w:r>
      <w:r>
        <w:tab/>
        <w:t>Maximum period of suspension of supervisor certificate</w:t>
      </w:r>
      <w:r>
        <w:tab/>
      </w:r>
      <w:r>
        <w:fldChar w:fldCharType="begin"/>
      </w:r>
      <w:r>
        <w:instrText xml:space="preserve"> PAGEREF _Toc504466438 \h </w:instrText>
      </w:r>
      <w:r>
        <w:fldChar w:fldCharType="separate"/>
      </w:r>
      <w:r>
        <w:t>47</w:t>
      </w:r>
      <w:r>
        <w:fldChar w:fldCharType="end"/>
      </w:r>
    </w:p>
    <w:p>
      <w:pPr>
        <w:pStyle w:val="TOC8"/>
        <w:rPr>
          <w:rFonts w:asciiTheme="minorHAnsi" w:eastAsiaTheme="minorEastAsia" w:hAnsiTheme="minorHAnsi" w:cstheme="minorBidi"/>
          <w:szCs w:val="22"/>
        </w:rPr>
      </w:pPr>
      <w:r>
        <w:t>53.</w:t>
      </w:r>
      <w:r>
        <w:tab/>
        <w:t>Prescribed information — voluntary suspension of supervisor certificate</w:t>
      </w:r>
      <w:r>
        <w:tab/>
      </w:r>
      <w:r>
        <w:fldChar w:fldCharType="begin"/>
      </w:r>
      <w:r>
        <w:instrText xml:space="preserve"> PAGEREF _Toc504466439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Division 4 — Process for certified supervisor to be placed in day to day charge</w:t>
      </w:r>
    </w:p>
    <w:p>
      <w:pPr>
        <w:pStyle w:val="TOC8"/>
        <w:rPr>
          <w:rFonts w:asciiTheme="minorHAnsi" w:eastAsiaTheme="minorEastAsia" w:hAnsiTheme="minorHAnsi" w:cstheme="minorBidi"/>
          <w:szCs w:val="22"/>
        </w:rPr>
      </w:pPr>
      <w:r>
        <w:t>54.</w:t>
      </w:r>
      <w:r>
        <w:tab/>
        <w:t>Process for certified supervisor to be placed in day to day charge of education and care service</w:t>
      </w:r>
      <w:r>
        <w:tab/>
      </w:r>
      <w:r>
        <w:fldChar w:fldCharType="begin"/>
      </w:r>
      <w:r>
        <w:instrText xml:space="preserve"> PAGEREF _Toc504466441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_Toc504466444 \h </w:instrText>
      </w:r>
      <w:r>
        <w:fldChar w:fldCharType="separate"/>
      </w:r>
      <w:r>
        <w:t>49</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_Toc504466445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_Toc504466447 \h </w:instrText>
      </w:r>
      <w:r>
        <w:fldChar w:fldCharType="separate"/>
      </w:r>
      <w:r>
        <w:t>50</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_Toc504466448 \h </w:instrText>
      </w:r>
      <w:r>
        <w:fldChar w:fldCharType="separate"/>
      </w:r>
      <w:r>
        <w:t>51</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_Toc504466449 \h </w:instrText>
      </w:r>
      <w:r>
        <w:fldChar w:fldCharType="separate"/>
      </w:r>
      <w:r>
        <w:t>51</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_Toc504466450 \h </w:instrText>
      </w:r>
      <w:r>
        <w:fldChar w:fldCharType="separate"/>
      </w:r>
      <w:r>
        <w:t>51</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_Toc504466451 \h </w:instrText>
      </w:r>
      <w:r>
        <w:fldChar w:fldCharType="separate"/>
      </w:r>
      <w:r>
        <w:t>52</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_Toc504466452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_Toc504466455 \h </w:instrText>
      </w:r>
      <w:r>
        <w:fldChar w:fldCharType="separate"/>
      </w:r>
      <w:r>
        <w:t>54</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_Toc504466456 \h </w:instrText>
      </w:r>
      <w:r>
        <w:fldChar w:fldCharType="separate"/>
      </w:r>
      <w:r>
        <w:t>56</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_Toc504466457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_Toc504466459 \h </w:instrText>
      </w:r>
      <w:r>
        <w:fldChar w:fldCharType="separate"/>
      </w:r>
      <w:r>
        <w:t>56</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_Toc504466460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_Toc504466463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_Toc504466465 \h </w:instrText>
      </w:r>
      <w:r>
        <w:fldChar w:fldCharType="separate"/>
      </w:r>
      <w:r>
        <w:t>58</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_Toc504466466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_Toc504466468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_Toc504466470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_Toc504466473 \h </w:instrText>
      </w:r>
      <w:r>
        <w:fldChar w:fldCharType="separate"/>
      </w:r>
      <w:r>
        <w:t>62</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_Toc504466474 \h </w:instrText>
      </w:r>
      <w:r>
        <w:fldChar w:fldCharType="separate"/>
      </w:r>
      <w:r>
        <w:t>63</w:t>
      </w:r>
      <w:r>
        <w:fldChar w:fldCharType="end"/>
      </w:r>
    </w:p>
    <w:p>
      <w:pPr>
        <w:pStyle w:val="TOC8"/>
        <w:rPr>
          <w:rFonts w:asciiTheme="minorHAnsi" w:eastAsiaTheme="minorEastAsia" w:hAnsiTheme="minorHAnsi" w:cstheme="minorBidi"/>
          <w:szCs w:val="22"/>
        </w:rPr>
      </w:pPr>
      <w:r>
        <w:t>75.</w:t>
      </w:r>
      <w:r>
        <w:tab/>
        <w:t>Information about educational program to be kept available</w:t>
      </w:r>
      <w:r>
        <w:tab/>
      </w:r>
      <w:r>
        <w:fldChar w:fldCharType="begin"/>
      </w:r>
      <w:r>
        <w:instrText xml:space="preserve"> PAGEREF _Toc504466475 \h </w:instrText>
      </w:r>
      <w:r>
        <w:fldChar w:fldCharType="separate"/>
      </w:r>
      <w:r>
        <w:t>64</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_Toc504466476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_Toc504466479 \h </w:instrText>
      </w:r>
      <w:r>
        <w:fldChar w:fldCharType="separate"/>
      </w:r>
      <w:r>
        <w:t>65</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_Toc504466480 \h </w:instrText>
      </w:r>
      <w:r>
        <w:fldChar w:fldCharType="separate"/>
      </w:r>
      <w:r>
        <w:t>66</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_Toc504466481 \h </w:instrText>
      </w:r>
      <w:r>
        <w:fldChar w:fldCharType="separate"/>
      </w:r>
      <w:r>
        <w:t>67</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_Toc504466482 \h </w:instrText>
      </w:r>
      <w:r>
        <w:fldChar w:fldCharType="separate"/>
      </w:r>
      <w:r>
        <w:t>68</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_Toc504466483 \h </w:instrText>
      </w:r>
      <w:r>
        <w:fldChar w:fldCharType="separate"/>
      </w:r>
      <w:r>
        <w:t>69</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_Toc504466484 \h </w:instrText>
      </w:r>
      <w:r>
        <w:fldChar w:fldCharType="separate"/>
      </w:r>
      <w:r>
        <w:t>70</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_Toc504466485 \h </w:instrText>
      </w:r>
      <w:r>
        <w:fldChar w:fldCharType="separate"/>
      </w:r>
      <w:r>
        <w:t>71</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_Toc504466486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_Toc504466488 \h </w:instrText>
      </w:r>
      <w:r>
        <w:fldChar w:fldCharType="separate"/>
      </w:r>
      <w:r>
        <w:t>72</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_Toc504466489 \h </w:instrText>
      </w:r>
      <w:r>
        <w:fldChar w:fldCharType="separate"/>
      </w:r>
      <w:r>
        <w:t>72</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_Toc504466490 \h </w:instrText>
      </w:r>
      <w:r>
        <w:fldChar w:fldCharType="separate"/>
      </w:r>
      <w:r>
        <w:t>73</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_Toc504466491 \h </w:instrText>
      </w:r>
      <w:r>
        <w:fldChar w:fldCharType="separate"/>
      </w:r>
      <w:r>
        <w:t>74</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_Toc504466492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_Toc504466494 \h </w:instrText>
      </w:r>
      <w:r>
        <w:fldChar w:fldCharType="separate"/>
      </w:r>
      <w:r>
        <w:t>76</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_Toc504466495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_Toc504466497 \h </w:instrText>
      </w:r>
      <w:r>
        <w:fldChar w:fldCharType="separate"/>
      </w:r>
      <w:r>
        <w:t>78</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_Toc504466498 \h </w:instrText>
      </w:r>
      <w:r>
        <w:fldChar w:fldCharType="separate"/>
      </w:r>
      <w:r>
        <w:t>79</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_Toc504466499 \h </w:instrText>
      </w:r>
      <w:r>
        <w:fldChar w:fldCharType="separate"/>
      </w:r>
      <w:r>
        <w:t>81</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_Toc504466500 \h </w:instrText>
      </w:r>
      <w:r>
        <w:fldChar w:fldCharType="separate"/>
      </w:r>
      <w:r>
        <w:t>81</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_Toc504466501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_Toc504466503 \h </w:instrText>
      </w:r>
      <w:r>
        <w:fldChar w:fldCharType="separate"/>
      </w:r>
      <w:r>
        <w:t>82</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_Toc504466504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_Toc504466506 \h </w:instrText>
      </w:r>
      <w:r>
        <w:fldChar w:fldCharType="separate"/>
      </w:r>
      <w:r>
        <w:t>84</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_Toc504466507 \h </w:instrText>
      </w:r>
      <w:r>
        <w:fldChar w:fldCharType="separate"/>
      </w:r>
      <w:r>
        <w:t>84</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_Toc504466508 \h </w:instrText>
      </w:r>
      <w:r>
        <w:fldChar w:fldCharType="separate"/>
      </w:r>
      <w:r>
        <w:t>85</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_Toc504466509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_Toc504466512 \h </w:instrText>
      </w:r>
      <w:r>
        <w:fldChar w:fldCharType="separate"/>
      </w:r>
      <w:r>
        <w:t>88</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_Toc504466513 \h </w:instrText>
      </w:r>
      <w:r>
        <w:fldChar w:fldCharType="separate"/>
      </w:r>
      <w:r>
        <w:t>88</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_Toc504466514 \h </w:instrText>
      </w:r>
      <w:r>
        <w:fldChar w:fldCharType="separate"/>
      </w:r>
      <w:r>
        <w:t>89</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_Toc504466515 \h </w:instrText>
      </w:r>
      <w:r>
        <w:fldChar w:fldCharType="separate"/>
      </w:r>
      <w:r>
        <w:t>89</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_Toc504466516 \h </w:instrText>
      </w:r>
      <w:r>
        <w:fldChar w:fldCharType="separate"/>
      </w:r>
      <w:r>
        <w:t>89</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_Toc504466517 \h </w:instrText>
      </w:r>
      <w:r>
        <w:fldChar w:fldCharType="separate"/>
      </w:r>
      <w:r>
        <w:t>91</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_Toc504466518 \h </w:instrText>
      </w:r>
      <w:r>
        <w:fldChar w:fldCharType="separate"/>
      </w:r>
      <w:r>
        <w:t>92</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_Toc504466519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_Toc504466521 \h </w:instrText>
      </w:r>
      <w:r>
        <w:fldChar w:fldCharType="separate"/>
      </w:r>
      <w:r>
        <w:t>93</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_Toc504466522 \h </w:instrText>
      </w:r>
      <w:r>
        <w:fldChar w:fldCharType="separate"/>
      </w:r>
      <w:r>
        <w:t>93</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_Toc504466523 \h </w:instrText>
      </w:r>
      <w:r>
        <w:fldChar w:fldCharType="separate"/>
      </w:r>
      <w:r>
        <w:t>94</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_Toc504466524 \h </w:instrText>
      </w:r>
      <w:r>
        <w:fldChar w:fldCharType="separate"/>
      </w:r>
      <w:r>
        <w:t>94</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_Toc504466525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_Toc504466527 \h </w:instrText>
      </w:r>
      <w:r>
        <w:fldChar w:fldCharType="separate"/>
      </w:r>
      <w:r>
        <w:t>95</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_Toc504466528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_Toc504466531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_Toc504466533 \h </w:instrText>
      </w:r>
      <w:r>
        <w:fldChar w:fldCharType="separate"/>
      </w:r>
      <w:r>
        <w:t>97</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_Toc504466534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_Toc504466536 \h </w:instrText>
      </w:r>
      <w:r>
        <w:fldChar w:fldCharType="separate"/>
      </w:r>
      <w:r>
        <w:t>98</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_Toc504466537 \h </w:instrText>
      </w:r>
      <w:r>
        <w:fldChar w:fldCharType="separate"/>
      </w:r>
      <w:r>
        <w:t>98</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_Toc504466538 \h </w:instrText>
      </w:r>
      <w:r>
        <w:fldChar w:fldCharType="separate"/>
      </w:r>
      <w:r>
        <w:t>98</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_Toc504466539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_Toc504466541 \h </w:instrText>
      </w:r>
      <w:r>
        <w:fldChar w:fldCharType="separate"/>
      </w:r>
      <w:r>
        <w:t>102</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_Toc504466542 \h </w:instrText>
      </w:r>
      <w:r>
        <w:fldChar w:fldCharType="separate"/>
      </w:r>
      <w:r>
        <w:t>103</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_Toc504466543 \h </w:instrText>
      </w:r>
      <w:r>
        <w:fldChar w:fldCharType="separate"/>
      </w:r>
      <w:r>
        <w:t>104</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_Toc504466544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_Toc504466546 \h </w:instrText>
      </w:r>
      <w:r>
        <w:fldChar w:fldCharType="separate"/>
      </w:r>
      <w:r>
        <w:t>104</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_Toc504466547 \h </w:instrText>
      </w:r>
      <w:r>
        <w:fldChar w:fldCharType="separate"/>
      </w:r>
      <w:r>
        <w:t>104</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_Toc504466548 \h </w:instrText>
      </w:r>
      <w:r>
        <w:fldChar w:fldCharType="separate"/>
      </w:r>
      <w:r>
        <w:t>105</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_Toc504466549 \h </w:instrText>
      </w:r>
      <w:r>
        <w:fldChar w:fldCharType="separate"/>
      </w:r>
      <w:r>
        <w:t>105</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_Toc504466550 \h </w:instrText>
      </w:r>
      <w:r>
        <w:fldChar w:fldCharType="separate"/>
      </w:r>
      <w:r>
        <w:t>106</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_Toc504466551 \h </w:instrText>
      </w:r>
      <w:r>
        <w:fldChar w:fldCharType="separate"/>
      </w:r>
      <w:r>
        <w:t>107</w:t>
      </w:r>
      <w:r>
        <w:fldChar w:fldCharType="end"/>
      </w:r>
    </w:p>
    <w:p>
      <w:pPr>
        <w:pStyle w:val="TOC8"/>
        <w:rPr>
          <w:rFonts w:asciiTheme="minorHAnsi" w:eastAsiaTheme="minorEastAsia" w:hAnsiTheme="minorHAnsi" w:cstheme="minorBidi"/>
          <w:szCs w:val="22"/>
        </w:rPr>
      </w:pPr>
      <w:r>
        <w:t>135.</w:t>
      </w:r>
      <w:r>
        <w:tab/>
        <w:t>Early childhood teacher illness or absence</w:t>
      </w:r>
      <w:r>
        <w:tab/>
      </w:r>
      <w:r>
        <w:fldChar w:fldCharType="begin"/>
      </w:r>
      <w:r>
        <w:instrText xml:space="preserve"> PAGEREF _Toc504466552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_Toc504466554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_Toc504466556 \h </w:instrText>
      </w:r>
      <w:r>
        <w:fldChar w:fldCharType="separate"/>
      </w:r>
      <w:r>
        <w:t>111</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_Toc504466557 \h </w:instrText>
      </w:r>
      <w:r>
        <w:fldChar w:fldCharType="separate"/>
      </w:r>
      <w:r>
        <w:t>112</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_Toc504466558 \h </w:instrText>
      </w:r>
      <w:r>
        <w:fldChar w:fldCharType="separate"/>
      </w:r>
      <w:r>
        <w:t>112</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_Toc504466559 \h </w:instrText>
      </w:r>
      <w:r>
        <w:fldChar w:fldCharType="separate"/>
      </w:r>
      <w:r>
        <w:t>113</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_Toc504466560 \h </w:instrText>
      </w:r>
      <w:r>
        <w:fldChar w:fldCharType="separate"/>
      </w:r>
      <w:r>
        <w:t>115</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_Toc504466561 \h </w:instrText>
      </w:r>
      <w:r>
        <w:fldChar w:fldCharType="separate"/>
      </w:r>
      <w:r>
        <w:t>117</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_Toc504466562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_Toc504466564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_Toc504466566 \h </w:instrText>
      </w:r>
      <w:r>
        <w:fldChar w:fldCharType="separate"/>
      </w:r>
      <w:r>
        <w:t>119</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_Toc504466567 \h </w:instrText>
      </w:r>
      <w:r>
        <w:fldChar w:fldCharType="separate"/>
      </w:r>
      <w:r>
        <w:t>119</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_Toc504466568 \h </w:instrText>
      </w:r>
      <w:r>
        <w:fldChar w:fldCharType="separate"/>
      </w:r>
      <w:r>
        <w:t>120</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_Toc504466569 \h </w:instrText>
      </w:r>
      <w:r>
        <w:fldChar w:fldCharType="separate"/>
      </w:r>
      <w:r>
        <w:t>121</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_Toc504466570 \h </w:instrText>
      </w:r>
      <w:r>
        <w:fldChar w:fldCharType="separate"/>
      </w:r>
      <w:r>
        <w:t>121</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_Toc504466571 \h </w:instrText>
      </w:r>
      <w:r>
        <w:fldChar w:fldCharType="separate"/>
      </w:r>
      <w:r>
        <w:t>121</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_Toc504466572 \h </w:instrText>
      </w:r>
      <w:r>
        <w:fldChar w:fldCharType="separate"/>
      </w:r>
      <w:r>
        <w:t>122</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_Toc504466573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and records of family day care service</w:t>
      </w:r>
    </w:p>
    <w:p>
      <w:pPr>
        <w:pStyle w:val="TOC8"/>
        <w:rPr>
          <w:rFonts w:asciiTheme="minorHAnsi" w:eastAsiaTheme="minorEastAsia" w:hAnsiTheme="minorHAnsi" w:cstheme="minorBidi"/>
          <w:szCs w:val="22"/>
        </w:rPr>
      </w:pPr>
      <w:r>
        <w:t>153.</w:t>
      </w:r>
      <w:r>
        <w:tab/>
        <w:t>Register of family day care educators</w:t>
      </w:r>
      <w:r>
        <w:tab/>
      </w:r>
      <w:r>
        <w:fldChar w:fldCharType="begin"/>
      </w:r>
      <w:r>
        <w:instrText xml:space="preserve"> PAGEREF _Toc504466575 \h </w:instrText>
      </w:r>
      <w:r>
        <w:fldChar w:fldCharType="separate"/>
      </w:r>
      <w:r>
        <w:t>122</w:t>
      </w:r>
      <w:r>
        <w:fldChar w:fldCharType="end"/>
      </w:r>
    </w:p>
    <w:p>
      <w:pPr>
        <w:pStyle w:val="TOC8"/>
        <w:rPr>
          <w:rFonts w:asciiTheme="minorHAnsi" w:eastAsiaTheme="minorEastAsia" w:hAnsiTheme="minorHAnsi" w:cstheme="minorBidi"/>
          <w:szCs w:val="22"/>
        </w:rPr>
      </w:pPr>
      <w:r>
        <w:t>154.</w:t>
      </w:r>
      <w:r>
        <w:tab/>
        <w:t>Record of staff, family day care co</w:t>
      </w:r>
      <w:r>
        <w:noBreakHyphen/>
        <w:t>ordinators and family day care educator assistants</w:t>
      </w:r>
      <w:r>
        <w:tab/>
      </w:r>
      <w:r>
        <w:fldChar w:fldCharType="begin"/>
      </w:r>
      <w:r>
        <w:instrText xml:space="preserve"> PAGEREF _Toc504466576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_Toc504466578 \h </w:instrText>
      </w:r>
      <w:r>
        <w:fldChar w:fldCharType="separate"/>
      </w:r>
      <w:r>
        <w:t>126</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_Toc504466579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_Toc504466581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Part 4.7 — Leadership and service management</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_Toc504466584 \h </w:instrText>
      </w:r>
      <w:r>
        <w:fldChar w:fldCharType="separate"/>
      </w:r>
      <w:r>
        <w:t>128</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_Toc504466585 \h </w:instrText>
      </w:r>
      <w:r>
        <w:fldChar w:fldCharType="separate"/>
      </w:r>
      <w:r>
        <w:t>129</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_Toc504466586 \h </w:instrText>
      </w:r>
      <w:r>
        <w:fldChar w:fldCharType="separate"/>
      </w:r>
      <w:r>
        <w:t>129</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_Toc504466587 \h </w:instrText>
      </w:r>
      <w:r>
        <w:fldChar w:fldCharType="separate"/>
      </w:r>
      <w:r>
        <w:t>131</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_Toc504466588 \h </w:instrText>
      </w:r>
      <w:r>
        <w:fldChar w:fldCharType="separate"/>
      </w:r>
      <w:r>
        <w:t>132</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_Toc504466589 \h </w:instrText>
      </w:r>
      <w:r>
        <w:fldChar w:fldCharType="separate"/>
      </w:r>
      <w:r>
        <w:t>133</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_Toc504466590 \h </w:instrText>
      </w:r>
      <w:r>
        <w:fldChar w:fldCharType="separate"/>
      </w:r>
      <w:r>
        <w:t>135</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_Toc504466591 \h </w:instrText>
      </w:r>
      <w:r>
        <w:fldChar w:fldCharType="separate"/>
      </w:r>
      <w:r>
        <w:t>135</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_Toc504466592 \h </w:instrText>
      </w:r>
      <w:r>
        <w:fldChar w:fldCharType="separate"/>
      </w:r>
      <w:r>
        <w:t>136</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_Toc504466593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_Toc504466595 \h </w:instrText>
      </w:r>
      <w:r>
        <w:fldChar w:fldCharType="separate"/>
      </w:r>
      <w:r>
        <w:t>137</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_Toc504466596 \h </w:instrText>
      </w:r>
      <w:r>
        <w:fldChar w:fldCharType="separate"/>
      </w:r>
      <w:r>
        <w:t>139</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_Toc504466597 \h </w:instrText>
      </w:r>
      <w:r>
        <w:fldChar w:fldCharType="separate"/>
      </w:r>
      <w:r>
        <w:t>140</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_Toc504466598 \h </w:instrText>
      </w:r>
      <w:r>
        <w:fldChar w:fldCharType="separate"/>
      </w:r>
      <w:r>
        <w:t>141</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_Toc504466599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_Toc504466601 \h </w:instrText>
      </w:r>
      <w:r>
        <w:fldChar w:fldCharType="separate"/>
      </w:r>
      <w:r>
        <w:t>142</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_Toc504466602 \h </w:instrText>
      </w:r>
      <w:r>
        <w:fldChar w:fldCharType="separate"/>
      </w:r>
      <w:r>
        <w:t>144</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_Toc504466603 \h </w:instrText>
      </w:r>
      <w:r>
        <w:fldChar w:fldCharType="separate"/>
      </w:r>
      <w:r>
        <w:t>145</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_Toc504466604 \h </w:instrText>
      </w:r>
      <w:r>
        <w:fldChar w:fldCharType="separate"/>
      </w:r>
      <w:r>
        <w:t>146</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_Toc504466605 \h </w:instrText>
      </w:r>
      <w:r>
        <w:fldChar w:fldCharType="separate"/>
      </w:r>
      <w:r>
        <w:t>147</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_Toc504466606 \h </w:instrText>
      </w:r>
      <w:r>
        <w:fldChar w:fldCharType="separate"/>
      </w:r>
      <w:r>
        <w:t>149</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_Toc504466607 \h </w:instrText>
      </w:r>
      <w:r>
        <w:fldChar w:fldCharType="separate"/>
      </w:r>
      <w:r>
        <w:t>150</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_Toc504466608 \h </w:instrText>
      </w:r>
      <w:r>
        <w:fldChar w:fldCharType="separate"/>
      </w:r>
      <w:r>
        <w:t>150</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_Toc504466609 \h </w:instrText>
      </w:r>
      <w:r>
        <w:fldChar w:fldCharType="separate"/>
      </w:r>
      <w:r>
        <w:t>151</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_Toc504466610 \h </w:instrText>
      </w:r>
      <w:r>
        <w:fldChar w:fldCharType="separate"/>
      </w:r>
      <w:r>
        <w:t>151</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_Toc504466611 \h </w:instrText>
      </w:r>
      <w:r>
        <w:fldChar w:fldCharType="separate"/>
      </w:r>
      <w:r>
        <w:t>152</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_Toc504466612 \h </w:instrText>
      </w:r>
      <w:r>
        <w:fldChar w:fldCharType="separate"/>
      </w:r>
      <w:r>
        <w:t>153</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_Toc504466613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_Toc504466616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_Toc504466618 \h </w:instrText>
      </w:r>
      <w:r>
        <w:fldChar w:fldCharType="separate"/>
      </w:r>
      <w:r>
        <w:t>156</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_Toc504466619 \h </w:instrText>
      </w:r>
      <w:r>
        <w:fldChar w:fldCharType="separate"/>
      </w:r>
      <w:r>
        <w:t>156</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_Toc504466620 \h </w:instrText>
      </w:r>
      <w:r>
        <w:fldChar w:fldCharType="separate"/>
      </w:r>
      <w:r>
        <w:t>156</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_Toc504466621 \h </w:instrText>
      </w:r>
      <w:r>
        <w:fldChar w:fldCharType="separate"/>
      </w:r>
      <w:r>
        <w:t>157</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_Toc504466622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_Toc504466625 \h </w:instrText>
      </w:r>
      <w:r>
        <w:fldChar w:fldCharType="separate"/>
      </w:r>
      <w:r>
        <w:t>159</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_Toc504466626 \h </w:instrText>
      </w:r>
      <w:r>
        <w:fldChar w:fldCharType="separate"/>
      </w:r>
      <w:r>
        <w:t>160</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_Toc504466627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_Toc504466630 \h </w:instrText>
      </w:r>
      <w:r>
        <w:fldChar w:fldCharType="separate"/>
      </w:r>
      <w:r>
        <w:t>161</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_Toc504466631 \h </w:instrText>
      </w:r>
      <w:r>
        <w:fldChar w:fldCharType="separate"/>
      </w:r>
      <w:r>
        <w:t>161</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_Toc504466632 \h </w:instrText>
      </w:r>
      <w:r>
        <w:fldChar w:fldCharType="separate"/>
      </w:r>
      <w:r>
        <w:t>163</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_Toc504466633 \h </w:instrText>
      </w:r>
      <w:r>
        <w:fldChar w:fldCharType="separate"/>
      </w:r>
      <w:r>
        <w:t>164</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_Toc504466634 \h </w:instrText>
      </w:r>
      <w:r>
        <w:fldChar w:fldCharType="separate"/>
      </w:r>
      <w:r>
        <w:t>164</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_Toc504466635 \h </w:instrText>
      </w:r>
      <w:r>
        <w:fldChar w:fldCharType="separate"/>
      </w:r>
      <w:r>
        <w:t>165</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_Toc504466636 \h </w:instrText>
      </w:r>
      <w:r>
        <w:fldChar w:fldCharType="separate"/>
      </w:r>
      <w:r>
        <w:t>165</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_Toc504466637 \h </w:instrText>
      </w:r>
      <w:r>
        <w:fldChar w:fldCharType="separate"/>
      </w:r>
      <w:r>
        <w:t>167</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_Toc504466638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_Toc504466640 \h </w:instrText>
      </w:r>
      <w:r>
        <w:fldChar w:fldCharType="separate"/>
      </w:r>
      <w:r>
        <w:t>168</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_Toc504466641 \h </w:instrText>
      </w:r>
      <w:r>
        <w:fldChar w:fldCharType="separate"/>
      </w:r>
      <w:r>
        <w:t>168</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_Toc504466642 \h </w:instrText>
      </w:r>
      <w:r>
        <w:fldChar w:fldCharType="separate"/>
      </w:r>
      <w:r>
        <w:t>171</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_Toc504466643 \h </w:instrText>
      </w:r>
      <w:r>
        <w:fldChar w:fldCharType="separate"/>
      </w:r>
      <w:r>
        <w:t>172</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_Toc504466644 \h </w:instrText>
      </w:r>
      <w:r>
        <w:fldChar w:fldCharType="separate"/>
      </w:r>
      <w:r>
        <w:t>173</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_Toc504466645 \h </w:instrText>
      </w:r>
      <w:r>
        <w:fldChar w:fldCharType="separate"/>
      </w:r>
      <w:r>
        <w:t>173</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_Toc504466646 \h </w:instrText>
      </w:r>
      <w:r>
        <w:fldChar w:fldCharType="separate"/>
      </w:r>
      <w:r>
        <w:t>175</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_Toc504466647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_Toc504466649 \h </w:instrText>
      </w:r>
      <w:r>
        <w:fldChar w:fldCharType="separate"/>
      </w:r>
      <w:r>
        <w:t>176</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_Toc504466650 \h </w:instrText>
      </w:r>
      <w:r>
        <w:fldChar w:fldCharType="separate"/>
      </w:r>
      <w:r>
        <w:t>176</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_Toc504466651 \h </w:instrText>
      </w:r>
      <w:r>
        <w:fldChar w:fldCharType="separate"/>
      </w:r>
      <w:r>
        <w:t>176</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_Toc504466652 \h </w:instrText>
      </w:r>
      <w:r>
        <w:fldChar w:fldCharType="separate"/>
      </w:r>
      <w:r>
        <w:t>177</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_Toc504466653 \h </w:instrText>
      </w:r>
      <w:r>
        <w:fldChar w:fldCharType="separate"/>
      </w:r>
      <w:r>
        <w:t>177</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_Toc504466654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_Toc504466656 \h </w:instrText>
      </w:r>
      <w:r>
        <w:fldChar w:fldCharType="separate"/>
      </w:r>
      <w:r>
        <w:t>180</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_Toc504466657 \h </w:instrText>
      </w:r>
      <w:r>
        <w:fldChar w:fldCharType="separate"/>
      </w:r>
      <w:r>
        <w:t>180</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_Toc504466658 \h </w:instrText>
      </w:r>
      <w:r>
        <w:fldChar w:fldCharType="separate"/>
      </w:r>
      <w:r>
        <w:t>181</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_Toc504466659 \h </w:instrText>
      </w:r>
      <w:r>
        <w:fldChar w:fldCharType="separate"/>
      </w:r>
      <w:r>
        <w:t>182</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_Toc504466660 \h </w:instrText>
      </w:r>
      <w:r>
        <w:fldChar w:fldCharType="separate"/>
      </w:r>
      <w:r>
        <w:t>183</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_Toc504466661 \h </w:instrText>
      </w:r>
      <w:r>
        <w:fldChar w:fldCharType="separate"/>
      </w:r>
      <w:r>
        <w:t>183</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_Toc504466662 \h </w:instrText>
      </w:r>
      <w:r>
        <w:fldChar w:fldCharType="separate"/>
      </w:r>
      <w:r>
        <w:t>185</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_Toc504466663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_Toc504466665 \h </w:instrText>
      </w:r>
      <w:r>
        <w:fldChar w:fldCharType="separate"/>
      </w:r>
      <w:r>
        <w:t>186</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_Toc504466666 \h </w:instrText>
      </w:r>
      <w:r>
        <w:fldChar w:fldCharType="separate"/>
      </w:r>
      <w:r>
        <w:t>186</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_Toc504466667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_Toc504466669 \h </w:instrText>
      </w:r>
      <w:r>
        <w:fldChar w:fldCharType="separate"/>
      </w:r>
      <w:r>
        <w:t>191</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_Toc504466670 \h </w:instrText>
      </w:r>
      <w:r>
        <w:fldChar w:fldCharType="separate"/>
      </w:r>
      <w:r>
        <w:t>191</w:t>
      </w:r>
      <w:r>
        <w:fldChar w:fldCharType="end"/>
      </w:r>
    </w:p>
    <w:p>
      <w:pPr>
        <w:pStyle w:val="TOC8"/>
        <w:rPr>
          <w:rFonts w:asciiTheme="minorHAnsi" w:eastAsiaTheme="minorEastAsia" w:hAnsiTheme="minorHAnsi" w:cstheme="minorBidi"/>
          <w:szCs w:val="22"/>
        </w:rPr>
      </w:pPr>
      <w:r>
        <w:t>231.</w:t>
      </w:r>
      <w:r>
        <w:tab/>
        <w:t>Register of certified supervisors</w:t>
      </w:r>
      <w:r>
        <w:tab/>
      </w:r>
      <w:r>
        <w:fldChar w:fldCharType="begin"/>
      </w:r>
      <w:r>
        <w:instrText xml:space="preserve"> PAGEREF _Toc504466671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_Toc504466673 \h </w:instrText>
      </w:r>
      <w:r>
        <w:fldChar w:fldCharType="separate"/>
      </w:r>
      <w:r>
        <w:t>192</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_Toc504466674 \h </w:instrText>
      </w:r>
      <w:r>
        <w:fldChar w:fldCharType="separate"/>
      </w:r>
      <w:r>
        <w:t>192</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_Toc504466675 \h </w:instrText>
      </w:r>
      <w:r>
        <w:fldChar w:fldCharType="separate"/>
      </w:r>
      <w:r>
        <w:t>193</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_Toc504466676 \h </w:instrText>
      </w:r>
      <w:r>
        <w:fldChar w:fldCharType="separate"/>
      </w:r>
      <w:r>
        <w:t>193</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_Toc504466677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_Toc504466679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1 — Quality improvement plans</w:t>
      </w:r>
    </w:p>
    <w:p>
      <w:pPr>
        <w:pStyle w:val="TOC8"/>
        <w:rPr>
          <w:rFonts w:asciiTheme="minorHAnsi" w:eastAsiaTheme="minorEastAsia" w:hAnsiTheme="minorHAnsi" w:cstheme="minorBidi"/>
          <w:szCs w:val="22"/>
        </w:rPr>
      </w:pPr>
      <w:r>
        <w:t>238.</w:t>
      </w:r>
      <w:r>
        <w:tab/>
        <w:t>Quality improvement plans</w:t>
      </w:r>
      <w:r>
        <w:tab/>
      </w:r>
      <w:r>
        <w:fldChar w:fldCharType="begin"/>
      </w:r>
      <w:r>
        <w:instrText xml:space="preserve"> PAGEREF _Toc504466683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Division 1A — Prescribed classes of persons for grant of supervisor certificate</w:t>
      </w:r>
    </w:p>
    <w:p>
      <w:pPr>
        <w:pStyle w:val="TOC8"/>
        <w:rPr>
          <w:rFonts w:asciiTheme="minorHAnsi" w:eastAsiaTheme="minorEastAsia" w:hAnsiTheme="minorHAnsi" w:cstheme="minorBidi"/>
          <w:szCs w:val="22"/>
        </w:rPr>
      </w:pPr>
      <w:r>
        <w:t>238A.</w:t>
      </w:r>
      <w:r>
        <w:tab/>
        <w:t>Prescribed classes of persons for grant of supervisor certificate</w:t>
      </w:r>
      <w:r>
        <w:tab/>
      </w:r>
      <w:r>
        <w:fldChar w:fldCharType="begin"/>
      </w:r>
      <w:r>
        <w:instrText xml:space="preserve"> PAGEREF _Toc504466685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_Toc504466687 \h </w:instrText>
      </w:r>
      <w:r>
        <w:fldChar w:fldCharType="separate"/>
      </w:r>
      <w:r>
        <w:t>197</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_Toc504466688 \h </w:instrText>
      </w:r>
      <w:r>
        <w:fldChar w:fldCharType="separate"/>
      </w:r>
      <w:r>
        <w:t>198</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_Toc504466689 \h </w:instrText>
      </w:r>
      <w:r>
        <w:fldChar w:fldCharType="separate"/>
      </w:r>
      <w:r>
        <w:t>199</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_Toc504466690 \h </w:instrText>
      </w:r>
      <w:r>
        <w:fldChar w:fldCharType="separate"/>
      </w:r>
      <w:r>
        <w:t>200</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_Toc504466691 \h </w:instrText>
      </w:r>
      <w:r>
        <w:fldChar w:fldCharType="separate"/>
      </w:r>
      <w:r>
        <w:t>202</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_Toc504466692 \h </w:instrText>
      </w:r>
      <w:r>
        <w:fldChar w:fldCharType="separate"/>
      </w:r>
      <w:r>
        <w:t>203</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_Toc504466693 \h </w:instrText>
      </w:r>
      <w:r>
        <w:fldChar w:fldCharType="separate"/>
      </w:r>
      <w:r>
        <w:t>204</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_Toc504466694 \h </w:instrText>
      </w:r>
      <w:r>
        <w:fldChar w:fldCharType="separate"/>
      </w:r>
      <w:r>
        <w:t>204</w:t>
      </w:r>
      <w:r>
        <w:fldChar w:fldCharType="end"/>
      </w:r>
    </w:p>
    <w:p>
      <w:pPr>
        <w:pStyle w:val="TOC8"/>
        <w:rPr>
          <w:rFonts w:asciiTheme="minorHAnsi" w:eastAsiaTheme="minorEastAsia" w:hAnsiTheme="minorHAnsi" w:cstheme="minorBidi"/>
          <w:szCs w:val="22"/>
        </w:rPr>
      </w:pPr>
      <w:r>
        <w:t>245.</w:t>
      </w:r>
      <w:r>
        <w:tab/>
        <w:t>Person taken to hold approved first aid qualification</w:t>
      </w:r>
      <w:r>
        <w:tab/>
      </w:r>
      <w:r>
        <w:fldChar w:fldCharType="begin"/>
      </w:r>
      <w:r>
        <w:instrText xml:space="preserve"> PAGEREF _Toc504466695 \h </w:instrText>
      </w:r>
      <w:r>
        <w:fldChar w:fldCharType="separate"/>
      </w:r>
      <w:r>
        <w:t>205</w:t>
      </w:r>
      <w:r>
        <w:fldChar w:fldCharType="end"/>
      </w:r>
    </w:p>
    <w:p>
      <w:pPr>
        <w:pStyle w:val="TOC8"/>
        <w:rPr>
          <w:rFonts w:asciiTheme="minorHAnsi" w:eastAsiaTheme="minorEastAsia" w:hAnsiTheme="minorHAnsi" w:cstheme="minorBidi"/>
          <w:szCs w:val="22"/>
        </w:rPr>
      </w:pPr>
      <w:r>
        <w:t>246.</w:t>
      </w:r>
      <w:r>
        <w:tab/>
        <w:t>Anaphylaxis training</w:t>
      </w:r>
      <w:r>
        <w:tab/>
      </w:r>
      <w:r>
        <w:fldChar w:fldCharType="begin"/>
      </w:r>
      <w:r>
        <w:instrText xml:space="preserve"> PAGEREF _Toc504466696 \h </w:instrText>
      </w:r>
      <w:r>
        <w:fldChar w:fldCharType="separate"/>
      </w:r>
      <w:r>
        <w:t>205</w:t>
      </w:r>
      <w:r>
        <w:fldChar w:fldCharType="end"/>
      </w:r>
    </w:p>
    <w:p>
      <w:pPr>
        <w:pStyle w:val="TOC8"/>
        <w:rPr>
          <w:rFonts w:asciiTheme="minorHAnsi" w:eastAsiaTheme="minorEastAsia" w:hAnsiTheme="minorHAnsi" w:cstheme="minorBidi"/>
          <w:szCs w:val="22"/>
        </w:rPr>
      </w:pPr>
      <w:r>
        <w:t>247.</w:t>
      </w:r>
      <w:r>
        <w:tab/>
        <w:t>Asthma management training</w:t>
      </w:r>
      <w:r>
        <w:tab/>
      </w:r>
      <w:r>
        <w:fldChar w:fldCharType="begin"/>
      </w:r>
      <w:r>
        <w:instrText xml:space="preserve"> PAGEREF _Toc504466697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_Toc504466699 \h </w:instrText>
      </w:r>
      <w:r>
        <w:fldChar w:fldCharType="separate"/>
      </w:r>
      <w:r>
        <w:t>206</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_Toc504466700 \h </w:instrText>
      </w:r>
      <w:r>
        <w:fldChar w:fldCharType="separate"/>
      </w:r>
      <w:r>
        <w:t>207</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_Toc504466701 \h </w:instrText>
      </w:r>
      <w:r>
        <w:fldChar w:fldCharType="separate"/>
      </w:r>
      <w:r>
        <w:t>208</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_Toc504466702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_Toc504466704 \h </w:instrText>
      </w:r>
      <w:r>
        <w:fldChar w:fldCharType="separate"/>
      </w:r>
      <w:r>
        <w:t>210</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_Toc504466705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_Toc504466707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_Toc504466709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_Toc504466711 \h </w:instrText>
      </w:r>
      <w:r>
        <w:fldChar w:fldCharType="separate"/>
      </w:r>
      <w:r>
        <w:t>211</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_Toc504466712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_Toc504466722 \h </w:instrText>
      </w:r>
      <w:r>
        <w:fldChar w:fldCharType="separate"/>
      </w:r>
      <w:r>
        <w:t>213</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_Toc504466723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_Toc504466725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_Toc504466727 \h </w:instrText>
      </w:r>
      <w:r>
        <w:fldChar w:fldCharType="separate"/>
      </w:r>
      <w:r>
        <w:t>215</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_Toc504466728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371.</w:t>
      </w:r>
      <w:r>
        <w:tab/>
        <w:t>Educator to child ratio — children preschool age or under who are 36 months of age or over (other than for a pre</w:t>
      </w:r>
      <w:r>
        <w:noBreakHyphen/>
        <w:t>kindergarten programme or kindergarten programme)</w:t>
      </w:r>
      <w:r>
        <w:tab/>
      </w:r>
      <w:r>
        <w:fldChar w:fldCharType="begin"/>
      </w:r>
      <w:r>
        <w:instrText xml:space="preserve"> PAGEREF _Toc504466730 \h </w:instrText>
      </w:r>
      <w:r>
        <w:fldChar w:fldCharType="separate"/>
      </w:r>
      <w:r>
        <w:t>217</w:t>
      </w:r>
      <w:r>
        <w:fldChar w:fldCharType="end"/>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_Toc504466731 \h </w:instrText>
      </w:r>
      <w:r>
        <w:fldChar w:fldCharType="separate"/>
      </w:r>
      <w:r>
        <w:t>217</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_Toc504466732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374.</w:t>
      </w:r>
      <w:r>
        <w:tab/>
        <w:t>Educator to child ratio — pre</w:t>
      </w:r>
      <w:r>
        <w:noBreakHyphen/>
        <w:t>kindergarten programme or kindergarten programme provided by a school</w:t>
      </w:r>
      <w:r>
        <w:tab/>
      </w:r>
      <w:r>
        <w:fldChar w:fldCharType="begin"/>
      </w:r>
      <w:r>
        <w:instrText xml:space="preserve"> PAGEREF _Toc504466734 \h </w:instrText>
      </w:r>
      <w:r>
        <w:fldChar w:fldCharType="separate"/>
      </w:r>
      <w:r>
        <w:t>218</w:t>
      </w:r>
      <w:r>
        <w:fldChar w:fldCharType="end"/>
      </w:r>
    </w:p>
    <w:p>
      <w:pPr>
        <w:pStyle w:val="TOC8"/>
        <w:rPr>
          <w:rFonts w:asciiTheme="minorHAnsi" w:eastAsiaTheme="minorEastAsia" w:hAnsiTheme="minorHAnsi" w:cstheme="minorBidi"/>
          <w:szCs w:val="22"/>
        </w:rPr>
      </w:pPr>
      <w:r>
        <w:t>375.</w:t>
      </w:r>
      <w:r>
        <w:tab/>
        <w:t>Qualifications for educators — children aged 24 months or under (other than for a pre</w:t>
      </w:r>
      <w:r>
        <w:noBreakHyphen/>
        <w:t>kindergarten programme or kindergarten programme)</w:t>
      </w:r>
      <w:r>
        <w:tab/>
      </w:r>
      <w:r>
        <w:fldChar w:fldCharType="begin"/>
      </w:r>
      <w:r>
        <w:instrText xml:space="preserve"> PAGEREF _Toc504466735 \h </w:instrText>
      </w:r>
      <w:r>
        <w:fldChar w:fldCharType="separate"/>
      </w:r>
      <w:r>
        <w:t>218</w:t>
      </w:r>
      <w:r>
        <w:fldChar w:fldCharType="end"/>
      </w:r>
    </w:p>
    <w:p>
      <w:pPr>
        <w:pStyle w:val="TOC8"/>
        <w:rPr>
          <w:rFonts w:asciiTheme="minorHAnsi" w:eastAsiaTheme="minorEastAsia" w:hAnsiTheme="minorHAnsi" w:cstheme="minorBidi"/>
          <w:szCs w:val="22"/>
        </w:rPr>
      </w:pPr>
      <w:r>
        <w:t>376.</w:t>
      </w:r>
      <w:r>
        <w:tab/>
        <w:t>Qualifications for educators — children aged more than 24 months but less than 36 months (other than for a pre</w:t>
      </w:r>
      <w:r>
        <w:noBreakHyphen/>
        <w:t>kindergarten programme or kindergarten programme)</w:t>
      </w:r>
      <w:r>
        <w:tab/>
      </w:r>
      <w:r>
        <w:fldChar w:fldCharType="begin"/>
      </w:r>
      <w:r>
        <w:instrText xml:space="preserve"> PAGEREF _Toc504466736 \h </w:instrText>
      </w:r>
      <w:r>
        <w:fldChar w:fldCharType="separate"/>
      </w:r>
      <w:r>
        <w:t>219</w:t>
      </w:r>
      <w:r>
        <w:fldChar w:fldCharType="end"/>
      </w:r>
    </w:p>
    <w:p>
      <w:pPr>
        <w:pStyle w:val="TOC8"/>
        <w:rPr>
          <w:rFonts w:asciiTheme="minorHAnsi" w:eastAsiaTheme="minorEastAsia" w:hAnsiTheme="minorHAnsi" w:cstheme="minorBidi"/>
          <w:szCs w:val="22"/>
        </w:rPr>
      </w:pPr>
      <w:r>
        <w:t>377.</w:t>
      </w:r>
      <w:r>
        <w:tab/>
        <w:t>Qualifications for educators — children preschool age or under who are 36 months of age or over (other than a pre</w:t>
      </w:r>
      <w:r>
        <w:noBreakHyphen/>
        <w:t>kindergarten programme or kindergarten programme)</w:t>
      </w:r>
      <w:r>
        <w:tab/>
      </w:r>
      <w:r>
        <w:fldChar w:fldCharType="begin"/>
      </w:r>
      <w:r>
        <w:instrText xml:space="preserve"> PAGEREF _Toc504466737 \h </w:instrText>
      </w:r>
      <w:r>
        <w:fldChar w:fldCharType="separate"/>
      </w:r>
      <w:r>
        <w:t>220</w:t>
      </w:r>
      <w:r>
        <w:fldChar w:fldCharType="end"/>
      </w:r>
    </w:p>
    <w:p>
      <w:pPr>
        <w:pStyle w:val="TOC8"/>
        <w:rPr>
          <w:rFonts w:asciiTheme="minorHAnsi" w:eastAsiaTheme="minorEastAsia" w:hAnsiTheme="minorHAnsi" w:cstheme="minorBidi"/>
          <w:szCs w:val="22"/>
        </w:rPr>
      </w:pPr>
      <w:r>
        <w:t>378.</w:t>
      </w:r>
      <w:r>
        <w:tab/>
        <w:t>Qualifications for educators — pre</w:t>
      </w:r>
      <w:r>
        <w:noBreakHyphen/>
        <w:t>kindergarten programme or kindergarten programme provided by a school</w:t>
      </w:r>
      <w:r>
        <w:tab/>
      </w:r>
      <w:r>
        <w:fldChar w:fldCharType="begin"/>
      </w:r>
      <w:r>
        <w:instrText xml:space="preserve"> PAGEREF _Toc504466738 \h </w:instrText>
      </w:r>
      <w:r>
        <w:fldChar w:fldCharType="separate"/>
      </w:r>
      <w:r>
        <w:t>220</w:t>
      </w:r>
      <w:r>
        <w:fldChar w:fldCharType="end"/>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_Toc504466739 \h </w:instrText>
      </w:r>
      <w:r>
        <w:fldChar w:fldCharType="separate"/>
      </w:r>
      <w:r>
        <w:t>221</w:t>
      </w:r>
      <w:r>
        <w:fldChar w:fldCharType="end"/>
      </w:r>
    </w:p>
    <w:p>
      <w:pPr>
        <w:pStyle w:val="TOC8"/>
        <w:rPr>
          <w:rFonts w:asciiTheme="minorHAnsi" w:eastAsiaTheme="minorEastAsia" w:hAnsiTheme="minorHAnsi" w:cstheme="minorBidi"/>
          <w:szCs w:val="22"/>
        </w:rPr>
      </w:pPr>
      <w:r>
        <w:t>380.</w:t>
      </w:r>
      <w:r>
        <w:tab/>
        <w:t>Number of children who can be educated and cared for — family day care educator</w:t>
      </w:r>
      <w:r>
        <w:tab/>
      </w:r>
      <w:r>
        <w:fldChar w:fldCharType="begin"/>
      </w:r>
      <w:r>
        <w:instrText xml:space="preserve"> PAGEREF _Toc504466740 \h </w:instrText>
      </w:r>
      <w:r>
        <w:fldChar w:fldCharType="separate"/>
      </w:r>
      <w:r>
        <w:t>221</w:t>
      </w:r>
      <w:r>
        <w:fldChar w:fldCharType="end"/>
      </w:r>
    </w:p>
    <w:p>
      <w:pPr>
        <w:pStyle w:val="TOC8"/>
        <w:rPr>
          <w:rFonts w:asciiTheme="minorHAnsi" w:eastAsiaTheme="minorEastAsia" w:hAnsiTheme="minorHAnsi" w:cstheme="minorBidi"/>
          <w:szCs w:val="22"/>
        </w:rPr>
      </w:pPr>
      <w:r>
        <w:t>381.</w:t>
      </w:r>
      <w:r>
        <w:tab/>
        <w:t>Qualifications for family day care educators</w:t>
      </w:r>
      <w:r>
        <w:tab/>
      </w:r>
      <w:r>
        <w:fldChar w:fldCharType="begin"/>
      </w:r>
      <w:r>
        <w:instrText xml:space="preserve"> PAGEREF _Toc504466741 \h </w:instrText>
      </w:r>
      <w:r>
        <w:fldChar w:fldCharType="separate"/>
      </w:r>
      <w:r>
        <w:t>222</w:t>
      </w:r>
      <w:r>
        <w:fldChar w:fldCharType="end"/>
      </w:r>
    </w:p>
    <w:p>
      <w:pPr>
        <w:pStyle w:val="TOC8"/>
        <w:rPr>
          <w:rFonts w:asciiTheme="minorHAnsi" w:eastAsiaTheme="minorEastAsia" w:hAnsiTheme="minorHAnsi" w:cstheme="minorBidi"/>
          <w:szCs w:val="22"/>
        </w:rPr>
      </w:pPr>
      <w:r>
        <w:t>382.</w:t>
      </w:r>
      <w:r>
        <w:tab/>
        <w:t>Qualifications for family day care co</w:t>
      </w:r>
      <w:r>
        <w:noBreakHyphen/>
        <w:t>ordinators</w:t>
      </w:r>
      <w:r>
        <w:tab/>
      </w:r>
      <w:r>
        <w:fldChar w:fldCharType="begin"/>
      </w:r>
      <w:r>
        <w:instrText xml:space="preserve"> PAGEREF _Toc504466742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_Toc504466744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_Toc504466746 \h </w:instrText>
      </w:r>
      <w:r>
        <w:fldChar w:fldCharType="separate"/>
      </w:r>
      <w:r>
        <w:t>223</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_Toc504466747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Schedule 1 — National Quality Standard</w:t>
      </w:r>
    </w:p>
    <w:p>
      <w:pPr>
        <w:pStyle w:val="TOC6"/>
        <w:tabs>
          <w:tab w:val="right" w:leader="dot" w:pos="7077"/>
        </w:tabs>
        <w:rPr>
          <w:rFonts w:asciiTheme="minorHAnsi" w:eastAsiaTheme="minorEastAsia" w:hAnsiTheme="minorHAnsi" w:cstheme="minorBidi"/>
          <w:b w:val="0"/>
          <w:sz w:val="22"/>
          <w:szCs w:val="22"/>
        </w:rPr>
      </w:pPr>
      <w:r>
        <w:t>Quality area 1 — Educational program and practice</w:t>
      </w:r>
    </w:p>
    <w:p>
      <w:pPr>
        <w:pStyle w:val="TOC6"/>
        <w:tabs>
          <w:tab w:val="right" w:leader="dot" w:pos="7077"/>
        </w:tabs>
        <w:rPr>
          <w:rFonts w:asciiTheme="minorHAnsi" w:eastAsiaTheme="minorEastAsia" w:hAnsiTheme="minorHAnsi" w:cstheme="minorBidi"/>
          <w:b w:val="0"/>
          <w:sz w:val="22"/>
          <w:szCs w:val="22"/>
        </w:rPr>
      </w:pPr>
      <w:r>
        <w:t>Quality area 2 — Children’s health and safety</w:t>
      </w:r>
    </w:p>
    <w:p>
      <w:pPr>
        <w:pStyle w:val="TOC6"/>
        <w:tabs>
          <w:tab w:val="right" w:leader="dot" w:pos="7077"/>
        </w:tabs>
        <w:rPr>
          <w:rFonts w:asciiTheme="minorHAnsi" w:eastAsiaTheme="minorEastAsia" w:hAnsiTheme="minorHAnsi" w:cstheme="minorBidi"/>
          <w:b w:val="0"/>
          <w:sz w:val="22"/>
          <w:szCs w:val="22"/>
        </w:rPr>
      </w:pPr>
      <w:r>
        <w:t>Quality area 3 — Physical environment</w:t>
      </w:r>
    </w:p>
    <w:p>
      <w:pPr>
        <w:pStyle w:val="TOC6"/>
        <w:tabs>
          <w:tab w:val="right" w:leader="dot" w:pos="7077"/>
        </w:tabs>
        <w:rPr>
          <w:rFonts w:asciiTheme="minorHAnsi" w:eastAsiaTheme="minorEastAsia" w:hAnsiTheme="minorHAnsi" w:cstheme="minorBidi"/>
          <w:b w:val="0"/>
          <w:sz w:val="22"/>
          <w:szCs w:val="22"/>
        </w:rPr>
      </w:pPr>
      <w:r>
        <w:t>Quality area 4 — Staffing arrangements</w:t>
      </w:r>
    </w:p>
    <w:p>
      <w:pPr>
        <w:pStyle w:val="TOC6"/>
        <w:tabs>
          <w:tab w:val="right" w:leader="dot" w:pos="7077"/>
        </w:tabs>
        <w:rPr>
          <w:rFonts w:asciiTheme="minorHAnsi" w:eastAsiaTheme="minorEastAsia" w:hAnsiTheme="minorHAnsi" w:cstheme="minorBidi"/>
          <w:b w:val="0"/>
          <w:sz w:val="22"/>
          <w:szCs w:val="22"/>
        </w:rPr>
      </w:pPr>
      <w:r>
        <w:t>Quality area 5 — Relationships with children</w:t>
      </w:r>
    </w:p>
    <w:p>
      <w:pPr>
        <w:pStyle w:val="TOC6"/>
        <w:tabs>
          <w:tab w:val="right" w:leader="dot" w:pos="7077"/>
        </w:tabs>
        <w:rPr>
          <w:rFonts w:asciiTheme="minorHAnsi" w:eastAsiaTheme="minorEastAsia" w:hAnsiTheme="minorHAnsi" w:cstheme="minorBidi"/>
          <w:b w:val="0"/>
          <w:sz w:val="22"/>
          <w:szCs w:val="22"/>
        </w:rPr>
      </w:pPr>
      <w:r>
        <w:t>Quality area 6 — Collaborative partnerships with families and communities</w:t>
      </w:r>
    </w:p>
    <w:p>
      <w:pPr>
        <w:pStyle w:val="TOC6"/>
        <w:tabs>
          <w:tab w:val="right" w:leader="dot" w:pos="7077"/>
        </w:tabs>
        <w:rPr>
          <w:rFonts w:asciiTheme="minorHAnsi" w:eastAsiaTheme="minorEastAsia" w:hAnsiTheme="minorHAnsi" w:cstheme="minorBidi"/>
          <w:b w:val="0"/>
          <w:sz w:val="22"/>
          <w:szCs w:val="22"/>
        </w:rPr>
      </w:pPr>
      <w:r>
        <w:t>Quality area 7 — Leadership and service management</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4"/>
        <w:tabs>
          <w:tab w:val="right" w:leader="dot" w:pos="7077"/>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77"/>
        </w:tabs>
        <w:rPr>
          <w:rFonts w:asciiTheme="minorHAnsi" w:eastAsiaTheme="minorEastAsia" w:hAnsiTheme="minorHAnsi" w:cstheme="minorBidi"/>
          <w:b w:val="0"/>
          <w:szCs w:val="22"/>
        </w:rPr>
      </w:pPr>
      <w:r>
        <w:t>Part 2 — Other fees</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_Toc504466762 \h </w:instrText>
      </w:r>
      <w:r>
        <w:fldChar w:fldCharType="separate"/>
      </w:r>
      <w:r>
        <w:t>244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_Toc504466763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3" w:name="_Toc425346096"/>
      <w:bookmarkStart w:id="4" w:name="_Toc425413755"/>
      <w:bookmarkStart w:id="5" w:name="_Toc497394976"/>
      <w:bookmarkStart w:id="6" w:name="_Toc504465950"/>
      <w:bookmarkStart w:id="7" w:name="_Toc504466373"/>
      <w:r>
        <w:rPr>
          <w:rStyle w:val="CharPartNo"/>
        </w:rPr>
        <w:t>Chapter 1</w:t>
      </w:r>
      <w:r>
        <w:rPr>
          <w:rStyle w:val="CharDivNo"/>
        </w:rPr>
        <w:t> </w:t>
      </w:r>
      <w:r>
        <w:t>—</w:t>
      </w:r>
      <w:r>
        <w:rPr>
          <w:rStyle w:val="CharDivText"/>
        </w:rPr>
        <w:t> </w:t>
      </w:r>
      <w:r>
        <w:rPr>
          <w:rStyle w:val="CharPartText"/>
        </w:rPr>
        <w:t>Preliminary</w:t>
      </w:r>
      <w:bookmarkEnd w:id="3"/>
      <w:bookmarkEnd w:id="4"/>
      <w:bookmarkEnd w:id="5"/>
      <w:bookmarkEnd w:id="6"/>
      <w:bookmarkEnd w:id="7"/>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8" w:name="_Toc504466374"/>
      <w:r>
        <w:rPr>
          <w:rStyle w:val="CharSectno"/>
        </w:rPr>
        <w:t>1</w:t>
      </w:r>
      <w:r>
        <w:t>.</w:t>
      </w:r>
      <w:r>
        <w:tab/>
        <w:t>Citation</w:t>
      </w:r>
      <w:bookmarkEnd w:id="8"/>
    </w:p>
    <w:p>
      <w:pPr>
        <w:pStyle w:val="Subsection"/>
      </w:pPr>
      <w:r>
        <w:tab/>
      </w:r>
      <w:r>
        <w:tab/>
      </w:r>
      <w:bookmarkStart w:id="9" w:name="Start_Cursor"/>
      <w:bookmarkEnd w:id="9"/>
      <w:r>
        <w:t xml:space="preserve">These Regulations are the </w:t>
      </w:r>
      <w:r>
        <w:rPr>
          <w:i/>
        </w:rPr>
        <w:t>Education and Care Services National Regulations 2012</w:t>
      </w:r>
      <w:r>
        <w:rPr>
          <w:vertAlign w:val="superscript"/>
        </w:rPr>
        <w:t> 1</w:t>
      </w:r>
      <w:r>
        <w:t>.</w:t>
      </w:r>
    </w:p>
    <w:p>
      <w:pPr>
        <w:pStyle w:val="Heading5"/>
      </w:pPr>
      <w:bookmarkStart w:id="10" w:name="_Toc504466375"/>
      <w:r>
        <w:rPr>
          <w:rStyle w:val="CharSectno"/>
        </w:rPr>
        <w:t>2</w:t>
      </w:r>
      <w:r>
        <w:t>.</w:t>
      </w:r>
      <w:r>
        <w:tab/>
        <w:t>Authorising provisions</w:t>
      </w:r>
      <w:bookmarkEnd w:id="10"/>
    </w:p>
    <w:p>
      <w:pPr>
        <w:pStyle w:val="Subsection"/>
      </w:pPr>
      <w:r>
        <w:tab/>
      </w:r>
      <w:r>
        <w:tab/>
        <w:t xml:space="preserve">These Regulations are made under sections 301 and 324 of the </w:t>
      </w:r>
      <w:r>
        <w:rPr>
          <w:i/>
        </w:rPr>
        <w:t>Education and Care Services National Law</w:t>
      </w:r>
      <w:r>
        <w:t>.</w:t>
      </w:r>
    </w:p>
    <w:p>
      <w:pPr>
        <w:pStyle w:val="Heading5"/>
      </w:pPr>
      <w:bookmarkStart w:id="11" w:name="_Toc504466376"/>
      <w:r>
        <w:rPr>
          <w:rStyle w:val="CharSectno"/>
        </w:rPr>
        <w:t>3</w:t>
      </w:r>
      <w:r>
        <w:t>.</w:t>
      </w:r>
      <w:r>
        <w:tab/>
        <w:t>Commencement</w:t>
      </w:r>
      <w:bookmarkEnd w:id="11"/>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r>
        <w:rPr>
          <w:vertAlign w:val="superscript"/>
        </w:rPr>
        <w:t> 1</w:t>
      </w:r>
      <w:r>
        <w:t>.</w:t>
      </w:r>
    </w:p>
    <w:p>
      <w:pPr>
        <w:pStyle w:val="Heading5"/>
      </w:pPr>
      <w:bookmarkStart w:id="12" w:name="_Toc504466377"/>
      <w:r>
        <w:rPr>
          <w:rStyle w:val="CharSectno"/>
        </w:rPr>
        <w:t>4</w:t>
      </w:r>
      <w:r>
        <w:t>.</w:t>
      </w:r>
      <w:r>
        <w:tab/>
        <w:t>Definitions</w:t>
      </w:r>
      <w:bookmarkEnd w:id="12"/>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in Gazette 13 Dec 2013 p.</w:t>
      </w:r>
      <w:r>
        <w:rPr>
          <w:sz w:val="19"/>
        </w:rPr>
        <w:t> </w:t>
      </w:r>
      <w:r>
        <w:t>6151</w:t>
      </w:r>
      <w:r>
        <w:noBreakHyphen/>
        <w:t>2; 28 Nov 2014 p. 4402.]</w:t>
      </w:r>
    </w:p>
    <w:p>
      <w:pPr>
        <w:pStyle w:val="Heading5"/>
        <w:spacing w:before="260"/>
      </w:pPr>
      <w:bookmarkStart w:id="13" w:name="_Toc504466378"/>
      <w:r>
        <w:rPr>
          <w:rStyle w:val="CharSectno"/>
        </w:rPr>
        <w:t>5</w:t>
      </w:r>
      <w:r>
        <w:t>.</w:t>
      </w:r>
      <w:r>
        <w:tab/>
        <w:t>Services that are not education and care services</w:t>
      </w:r>
      <w:bookmarkEnd w:id="13"/>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in Gazette 5 Mar 2013 p. 1107; 3 Nov 2017 p. 5481.]</w:t>
      </w:r>
    </w:p>
    <w:p>
      <w:pPr>
        <w:pStyle w:val="Heading5"/>
      </w:pPr>
      <w:bookmarkStart w:id="14" w:name="_Toc504466379"/>
      <w:r>
        <w:rPr>
          <w:rStyle w:val="CharSectno"/>
        </w:rPr>
        <w:t>6</w:t>
      </w:r>
      <w:r>
        <w:t>.</w:t>
      </w:r>
      <w:r>
        <w:tab/>
        <w:t>Eligible association</w:t>
      </w:r>
      <w:bookmarkEnd w:id="14"/>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15" w:name="_Toc504466380"/>
      <w:r>
        <w:rPr>
          <w:rStyle w:val="CharSectno"/>
        </w:rPr>
        <w:t>7</w:t>
      </w:r>
      <w:r>
        <w:t>.</w:t>
      </w:r>
      <w:r>
        <w:tab/>
        <w:t>Prescribed rating system</w:t>
      </w:r>
      <w:bookmarkEnd w:id="15"/>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6" w:name="_Toc504466381"/>
      <w:r>
        <w:rPr>
          <w:rStyle w:val="CharSectno"/>
        </w:rPr>
        <w:t>8</w:t>
      </w:r>
      <w:r>
        <w:t>.</w:t>
      </w:r>
      <w:r>
        <w:tab/>
        <w:t>National Quality Standard</w:t>
      </w:r>
      <w:bookmarkEnd w:id="16"/>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7" w:name="_Toc504466382"/>
      <w:r>
        <w:rPr>
          <w:rStyle w:val="CharSectno"/>
        </w:rPr>
        <w:t>9</w:t>
      </w:r>
      <w:r>
        <w:t>.</w:t>
      </w:r>
      <w:r>
        <w:tab/>
        <w:t>Prescribed entities</w:t>
      </w:r>
      <w:bookmarkEnd w:id="17"/>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in Gazette 13 Dec 2013 p.</w:t>
      </w:r>
      <w:r>
        <w:rPr>
          <w:sz w:val="19"/>
        </w:rPr>
        <w:t> </w:t>
      </w:r>
      <w:r>
        <w:t>6152.]</w:t>
      </w:r>
    </w:p>
    <w:p>
      <w:pPr>
        <w:pStyle w:val="Heading5"/>
      </w:pPr>
      <w:bookmarkStart w:id="18" w:name="_Toc504466383"/>
      <w:r>
        <w:rPr>
          <w:rStyle w:val="CharSectno"/>
        </w:rPr>
        <w:t>10</w:t>
      </w:r>
      <w:r>
        <w:t>.</w:t>
      </w:r>
      <w:r>
        <w:tab/>
        <w:t xml:space="preserve">Meaning of </w:t>
      </w:r>
      <w:r>
        <w:rPr>
          <w:i/>
        </w:rPr>
        <w:t>actively working towards</w:t>
      </w:r>
      <w:r>
        <w:t xml:space="preserve"> a qualification</w:t>
      </w:r>
      <w:bookmarkEnd w:id="18"/>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in Gazette 28 Nov 2014 p. 4402.]</w:t>
      </w:r>
    </w:p>
    <w:p>
      <w:pPr>
        <w:pStyle w:val="Heading5"/>
      </w:pPr>
      <w:bookmarkStart w:id="19" w:name="_Toc504466384"/>
      <w:r>
        <w:rPr>
          <w:rStyle w:val="CharSectno"/>
        </w:rPr>
        <w:t>11</w:t>
      </w:r>
      <w:r>
        <w:t>.</w:t>
      </w:r>
      <w:r>
        <w:tab/>
        <w:t xml:space="preserve">Meaning of </w:t>
      </w:r>
      <w:r>
        <w:rPr>
          <w:i/>
        </w:rPr>
        <w:t>in attendance</w:t>
      </w:r>
      <w:r>
        <w:t xml:space="preserve"> at a centre</w:t>
      </w:r>
      <w:r>
        <w:noBreakHyphen/>
        <w:t>based service</w:t>
      </w:r>
      <w:bookmarkEnd w:id="19"/>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20" w:name="_Toc504466385"/>
      <w:r>
        <w:rPr>
          <w:rStyle w:val="CharSectno"/>
        </w:rPr>
        <w:t>12</w:t>
      </w:r>
      <w:r>
        <w:t>.</w:t>
      </w:r>
      <w:r>
        <w:tab/>
        <w:t xml:space="preserve">Meaning of </w:t>
      </w:r>
      <w:r>
        <w:rPr>
          <w:i/>
        </w:rPr>
        <w:t>serious incident</w:t>
      </w:r>
      <w:bookmarkEnd w:id="20"/>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MiscellaneousBody"/>
        <w:tabs>
          <w:tab w:val="left" w:pos="1701"/>
          <w:tab w:val="left" w:pos="2694"/>
        </w:tabs>
        <w:rPr>
          <w:rFonts w:ascii="Arial" w:hAnsi="Arial" w:cs="Arial"/>
          <w:sz w:val="18"/>
          <w:szCs w:val="18"/>
        </w:rPr>
      </w:pPr>
      <w:r>
        <w:rPr>
          <w:rFonts w:ascii="Arial" w:hAnsi="Arial" w:cs="Arial"/>
          <w:sz w:val="18"/>
          <w:szCs w:val="18"/>
        </w:rPr>
        <w:tab/>
        <w:t xml:space="preserve">Examples: </w:t>
      </w:r>
      <w:r>
        <w:rPr>
          <w:rFonts w:ascii="Arial" w:hAnsi="Arial" w:cs="Arial"/>
          <w:sz w:val="18"/>
          <w:szCs w:val="18"/>
        </w:rP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amended in Gazette 13 Dec 2013 p.</w:t>
      </w:r>
      <w:r>
        <w:rPr>
          <w:sz w:val="19"/>
        </w:rPr>
        <w:t> </w:t>
      </w:r>
      <w:r>
        <w:t>6152</w:t>
      </w:r>
      <w:r>
        <w:noBreakHyphen/>
        <w:t>3.]</w:t>
      </w:r>
    </w:p>
    <w:p>
      <w:pPr>
        <w:pStyle w:val="Heading5"/>
      </w:pPr>
      <w:bookmarkStart w:id="21" w:name="_Toc504466386"/>
      <w:r>
        <w:rPr>
          <w:rStyle w:val="CharSectno"/>
        </w:rPr>
        <w:t>13</w:t>
      </w:r>
      <w:r>
        <w:t>.</w:t>
      </w:r>
      <w:r>
        <w:tab/>
        <w:t xml:space="preserve">Meaning of </w:t>
      </w:r>
      <w:r>
        <w:rPr>
          <w:i/>
        </w:rPr>
        <w:t>working directly with children</w:t>
      </w:r>
      <w:bookmarkEnd w:id="21"/>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22" w:name="_Toc425346110"/>
      <w:bookmarkStart w:id="23" w:name="_Toc425413769"/>
      <w:bookmarkStart w:id="24" w:name="_Toc497394990"/>
      <w:bookmarkStart w:id="25" w:name="_Toc504465964"/>
      <w:bookmarkStart w:id="26" w:name="_Toc504466387"/>
      <w:r>
        <w:rPr>
          <w:rStyle w:val="CharPartNo"/>
        </w:rPr>
        <w:t>Chapter 2</w:t>
      </w:r>
      <w:r>
        <w:t> — </w:t>
      </w:r>
      <w:r>
        <w:rPr>
          <w:rStyle w:val="CharPartText"/>
        </w:rPr>
        <w:t>Approvals and certificates</w:t>
      </w:r>
      <w:bookmarkEnd w:id="22"/>
      <w:bookmarkEnd w:id="23"/>
      <w:bookmarkEnd w:id="24"/>
      <w:bookmarkEnd w:id="25"/>
      <w:bookmarkEnd w:id="26"/>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spacing w:before="120"/>
        <w:ind w:left="284"/>
      </w:pPr>
      <w:r>
        <w:rPr>
          <w:i/>
        </w:rPr>
        <w:t>Division 1</w:t>
      </w:r>
      <w:r>
        <w:t xml:space="preserve"> deals with applications for service approvals, conditions on service approvals and annual fees for service approvals.</w:t>
      </w:r>
    </w:p>
    <w:p>
      <w:pPr>
        <w:pStyle w:val="MiscellaneousBody"/>
        <w:spacing w:before="120"/>
        <w:ind w:left="284"/>
      </w:pPr>
      <w:r>
        <w:rPr>
          <w:i/>
        </w:rPr>
        <w:t>Division 2</w:t>
      </w:r>
      <w:r>
        <w:t xml:space="preserve"> deals with amendment of service approvals and notices of change to nominated supervisors.</w:t>
      </w:r>
    </w:p>
    <w:p>
      <w:pPr>
        <w:pStyle w:val="MiscellaneousBody"/>
        <w:spacing w:before="120"/>
        <w:ind w:left="284"/>
      </w:pPr>
      <w:r>
        <w:rPr>
          <w:i/>
        </w:rPr>
        <w:t>Division 3</w:t>
      </w:r>
      <w:r>
        <w:t xml:space="preserve"> deals with the transfer of service approvals from one approved provider to another.</w:t>
      </w:r>
    </w:p>
    <w:p>
      <w:pPr>
        <w:pStyle w:val="MiscellaneousBody"/>
        <w:spacing w:before="120"/>
        <w:ind w:left="284"/>
      </w:pPr>
      <w:r>
        <w:rPr>
          <w:i/>
        </w:rPr>
        <w:t>Division 4</w:t>
      </w:r>
      <w:r>
        <w:t xml:space="preserve"> deals with the suspension of service approvals.</w:t>
      </w:r>
    </w:p>
    <w:p>
      <w:pPr>
        <w:pStyle w:val="MiscellaneousBody"/>
        <w:spacing w:before="120"/>
        <w:ind w:left="284"/>
      </w:pPr>
      <w:r>
        <w:rPr>
          <w:i/>
        </w:rPr>
        <w:t>Division 5</w:t>
      </w:r>
      <w:r>
        <w:t xml:space="preserve"> deals with the process for obtaining a service waiver.</w:t>
      </w:r>
    </w:p>
    <w:p>
      <w:pPr>
        <w:pStyle w:val="MiscellaneousBody"/>
        <w:spacing w:before="120"/>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spacing w:before="120"/>
        <w:ind w:left="284"/>
      </w:pPr>
      <w:r>
        <w:rPr>
          <w:i/>
        </w:rPr>
        <w:t>Division 1</w:t>
      </w:r>
      <w:r>
        <w:t xml:space="preserve"> deals with the process for obtaining a supervisor certificate.</w:t>
      </w:r>
    </w:p>
    <w:p>
      <w:pPr>
        <w:pStyle w:val="MiscellaneousBody"/>
        <w:spacing w:before="120"/>
        <w:ind w:left="284"/>
      </w:pPr>
      <w:r>
        <w:rPr>
          <w:i/>
        </w:rPr>
        <w:t>Division 2</w:t>
      </w:r>
      <w:r>
        <w:t xml:space="preserve"> deals with the amendment of supervisor certificates.</w:t>
      </w:r>
    </w:p>
    <w:p>
      <w:pPr>
        <w:pStyle w:val="MiscellaneousBody"/>
        <w:spacing w:before="120"/>
        <w:ind w:left="284"/>
      </w:pPr>
      <w:r>
        <w:rPr>
          <w:i/>
        </w:rPr>
        <w:t>Division 3</w:t>
      </w:r>
      <w:r>
        <w:t xml:space="preserve"> deals with the suspension of supervisor certificates.</w:t>
      </w:r>
    </w:p>
    <w:p>
      <w:pPr>
        <w:pStyle w:val="MiscellaneousBody"/>
        <w:spacing w:before="120"/>
        <w:ind w:left="284"/>
      </w:pPr>
      <w:r>
        <w:rPr>
          <w:i/>
        </w:rPr>
        <w:t>Division 4</w:t>
      </w:r>
      <w:r>
        <w:t xml:space="preserve"> deals with the process for placing a certified supervisor in day to day charge of an education and care service.</w:t>
      </w:r>
    </w:p>
    <w:p>
      <w:pPr>
        <w:pStyle w:val="Heading3"/>
      </w:pPr>
      <w:bookmarkStart w:id="27" w:name="_Toc425346111"/>
      <w:bookmarkStart w:id="28" w:name="_Toc425413770"/>
      <w:bookmarkStart w:id="29" w:name="_Toc497394991"/>
      <w:bookmarkStart w:id="30" w:name="_Toc504465965"/>
      <w:bookmarkStart w:id="31" w:name="_Toc504466388"/>
      <w:r>
        <w:rPr>
          <w:rStyle w:val="CharDivNo"/>
        </w:rPr>
        <w:t>Part 2.1</w:t>
      </w:r>
      <w:r>
        <w:t> — </w:t>
      </w:r>
      <w:r>
        <w:rPr>
          <w:rStyle w:val="CharDivText"/>
        </w:rPr>
        <w:t>Provider approvals</w:t>
      </w:r>
      <w:bookmarkEnd w:id="27"/>
      <w:bookmarkEnd w:id="28"/>
      <w:bookmarkEnd w:id="29"/>
      <w:bookmarkEnd w:id="30"/>
      <w:bookmarkEnd w:id="31"/>
    </w:p>
    <w:p>
      <w:pPr>
        <w:pStyle w:val="Heading5"/>
      </w:pPr>
      <w:bookmarkStart w:id="32" w:name="_Toc504466389"/>
      <w:r>
        <w:rPr>
          <w:rStyle w:val="CharSectno"/>
        </w:rPr>
        <w:t>14</w:t>
      </w:r>
      <w:r>
        <w:t>.</w:t>
      </w:r>
      <w:r>
        <w:tab/>
        <w:t>Application for provider approval by individual</w:t>
      </w:r>
      <w:bookmarkEnd w:id="32"/>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 or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Footnotesection"/>
      </w:pPr>
      <w:r>
        <w:tab/>
        <w:t>[Regulation 14 amended in Gazette 13 Dec 2013 p.</w:t>
      </w:r>
      <w:r>
        <w:rPr>
          <w:sz w:val="19"/>
        </w:rPr>
        <w:t> </w:t>
      </w:r>
      <w:r>
        <w:t>6153</w:t>
      </w:r>
      <w:r>
        <w:noBreakHyphen/>
        <w:t>4; 28 Nov 2014 p. 4402.]</w:t>
      </w:r>
    </w:p>
    <w:p>
      <w:pPr>
        <w:pStyle w:val="Heading5"/>
      </w:pPr>
      <w:bookmarkStart w:id="33" w:name="_Toc504466390"/>
      <w:r>
        <w:rPr>
          <w:rStyle w:val="CharSectno"/>
        </w:rPr>
        <w:t>15</w:t>
      </w:r>
      <w:r>
        <w:t>.</w:t>
      </w:r>
      <w:r>
        <w:tab/>
        <w:t>Application for provider approval by person other than an individual</w:t>
      </w:r>
      <w:bookmarkEnd w:id="33"/>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34" w:name="_Toc504466391"/>
      <w:r>
        <w:rPr>
          <w:rStyle w:val="CharSectno"/>
        </w:rPr>
        <w:t>16</w:t>
      </w:r>
      <w:r>
        <w:t>.</w:t>
      </w:r>
      <w:r>
        <w:tab/>
        <w:t>Matters relating to criminal history</w:t>
      </w:r>
      <w:bookmarkEnd w:id="34"/>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35" w:name="_Toc504466392"/>
      <w:r>
        <w:rPr>
          <w:rStyle w:val="CharSectno"/>
        </w:rPr>
        <w:t>17</w:t>
      </w:r>
      <w:r>
        <w:t>.</w:t>
      </w:r>
      <w:r>
        <w:tab/>
        <w:t>Application for amendment of provider approval</w:t>
      </w:r>
      <w:bookmarkEnd w:id="35"/>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36" w:name="_Toc504466393"/>
      <w:r>
        <w:rPr>
          <w:rStyle w:val="CharSectno"/>
        </w:rPr>
        <w:t>18</w:t>
      </w:r>
      <w:r>
        <w:t>.</w:t>
      </w:r>
      <w:r>
        <w:tab/>
        <w:t>Maximum period of suspension of provider approval</w:t>
      </w:r>
      <w:bookmarkEnd w:id="36"/>
      <w:r>
        <w:t xml:space="preserve"> </w:t>
      </w:r>
    </w:p>
    <w:p>
      <w:pPr>
        <w:pStyle w:val="Subsection"/>
      </w:pPr>
      <w:r>
        <w:tab/>
      </w:r>
      <w:r>
        <w:tab/>
        <w:t>The prescribed maximum period of suspension of a provider approval under section 27(a) or 33(1)(a)(ii) of the Law is 12 months.</w:t>
      </w:r>
    </w:p>
    <w:p>
      <w:pPr>
        <w:pStyle w:val="Heading5"/>
      </w:pPr>
      <w:bookmarkStart w:id="37" w:name="_Toc504466394"/>
      <w:r>
        <w:rPr>
          <w:rStyle w:val="CharSectno"/>
        </w:rPr>
        <w:t>19</w:t>
      </w:r>
      <w:r>
        <w:t>.</w:t>
      </w:r>
      <w:r>
        <w:tab/>
        <w:t>Application for voluntary suspension of provider approval</w:t>
      </w:r>
      <w:bookmarkEnd w:id="37"/>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38" w:name="_Toc504466395"/>
      <w:r>
        <w:rPr>
          <w:rStyle w:val="CharSectno"/>
        </w:rPr>
        <w:t>20</w:t>
      </w:r>
      <w:r>
        <w:t>.</w:t>
      </w:r>
      <w:r>
        <w:tab/>
        <w:t>Application by individual executor for provider approval</w:t>
      </w:r>
      <w:bookmarkEnd w:id="38"/>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20 amended in Gazette 13 Dec 2013 p.</w:t>
      </w:r>
      <w:r>
        <w:rPr>
          <w:sz w:val="19"/>
        </w:rPr>
        <w:t> </w:t>
      </w:r>
      <w:r>
        <w:t>6154</w:t>
      </w:r>
      <w:r>
        <w:noBreakHyphen/>
        <w:t>5; 28 Nov 2014 p. 4403.]</w:t>
      </w:r>
    </w:p>
    <w:p>
      <w:pPr>
        <w:pStyle w:val="Heading5"/>
      </w:pPr>
      <w:bookmarkStart w:id="39" w:name="_Toc504466396"/>
      <w:r>
        <w:rPr>
          <w:rStyle w:val="CharSectno"/>
        </w:rPr>
        <w:t>21</w:t>
      </w:r>
      <w:r>
        <w:t>.</w:t>
      </w:r>
      <w:r>
        <w:tab/>
        <w:t>Application by executor other than an individual for provider approval</w:t>
      </w:r>
      <w:bookmarkEnd w:id="39"/>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40" w:name="_Toc504466397"/>
      <w:r>
        <w:rPr>
          <w:rStyle w:val="CharSectno"/>
        </w:rPr>
        <w:t>22</w:t>
      </w:r>
      <w:r>
        <w:t>.</w:t>
      </w:r>
      <w:r>
        <w:tab/>
        <w:t>Application by individual for provider approval on incapacity of approved provider</w:t>
      </w:r>
      <w:bookmarkEnd w:id="40"/>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Footnotesection"/>
      </w:pPr>
      <w:r>
        <w:tab/>
        <w:t>[Regulation 22 amended in Gazette 13 Dec 2013 p.</w:t>
      </w:r>
      <w:r>
        <w:rPr>
          <w:sz w:val="19"/>
        </w:rPr>
        <w:t> </w:t>
      </w:r>
      <w:r>
        <w:t>6155</w:t>
      </w:r>
      <w:r>
        <w:noBreakHyphen/>
        <w:t>6; 28 Nov 2014 p. 4403.]</w:t>
      </w:r>
    </w:p>
    <w:p>
      <w:pPr>
        <w:pStyle w:val="Heading5"/>
      </w:pPr>
      <w:bookmarkStart w:id="41" w:name="_Toc504466398"/>
      <w:r>
        <w:rPr>
          <w:rStyle w:val="CharSectno"/>
        </w:rPr>
        <w:t>23</w:t>
      </w:r>
      <w:r>
        <w:t>.</w:t>
      </w:r>
      <w:r>
        <w:tab/>
        <w:t>Application by person other than an individual for provider approval on incapacity of approved provider</w:t>
      </w:r>
      <w:bookmarkEnd w:id="41"/>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Heading3"/>
      </w:pPr>
      <w:bookmarkStart w:id="42" w:name="_Toc425346122"/>
      <w:bookmarkStart w:id="43" w:name="_Toc425413781"/>
      <w:bookmarkStart w:id="44" w:name="_Toc497395002"/>
      <w:bookmarkStart w:id="45" w:name="_Toc504465976"/>
      <w:bookmarkStart w:id="46" w:name="_Toc504466399"/>
      <w:r>
        <w:rPr>
          <w:rStyle w:val="CharDivNo"/>
        </w:rPr>
        <w:t>Part 2.2</w:t>
      </w:r>
      <w:r>
        <w:t> — </w:t>
      </w:r>
      <w:r>
        <w:rPr>
          <w:rStyle w:val="CharDivText"/>
        </w:rPr>
        <w:t>Service approvals</w:t>
      </w:r>
      <w:bookmarkEnd w:id="42"/>
      <w:bookmarkEnd w:id="43"/>
      <w:bookmarkEnd w:id="44"/>
      <w:bookmarkEnd w:id="45"/>
      <w:bookmarkEnd w:id="46"/>
    </w:p>
    <w:p>
      <w:pPr>
        <w:pStyle w:val="Heading4"/>
      </w:pPr>
      <w:bookmarkStart w:id="47" w:name="_Toc425346123"/>
      <w:bookmarkStart w:id="48" w:name="_Toc425413782"/>
      <w:bookmarkStart w:id="49" w:name="_Toc497395003"/>
      <w:bookmarkStart w:id="50" w:name="_Toc504465977"/>
      <w:bookmarkStart w:id="51" w:name="_Toc504466400"/>
      <w:r>
        <w:t>Division 1 — Applications for service approvals</w:t>
      </w:r>
      <w:bookmarkEnd w:id="47"/>
      <w:bookmarkEnd w:id="48"/>
      <w:bookmarkEnd w:id="49"/>
      <w:bookmarkEnd w:id="50"/>
      <w:bookmarkEnd w:id="51"/>
    </w:p>
    <w:p>
      <w:pPr>
        <w:pStyle w:val="Heading5"/>
      </w:pPr>
      <w:bookmarkStart w:id="52" w:name="_Toc504466401"/>
      <w:r>
        <w:rPr>
          <w:rStyle w:val="CharSectno"/>
        </w:rPr>
        <w:t>24</w:t>
      </w:r>
      <w:r>
        <w:t>.</w:t>
      </w:r>
      <w:r>
        <w:tab/>
        <w:t>Application for service approval — centre</w:t>
      </w:r>
      <w:r>
        <w:noBreakHyphen/>
        <w:t>based service</w:t>
      </w:r>
      <w:bookmarkEnd w:id="52"/>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PermNoteHeading"/>
      </w:pPr>
      <w:r>
        <w:tab/>
        <w:t>Note for this regulation:</w:t>
      </w:r>
    </w:p>
    <w:p>
      <w:pPr>
        <w:pStyle w:val="PermNoteText"/>
      </w:pPr>
      <w:r>
        <w:tab/>
      </w:r>
      <w:r>
        <w:tab/>
        <w:t>The application must include the certified supervisor’s written consent to the nomination — see section 44(1)(d) of the Law.</w:t>
      </w:r>
    </w:p>
    <w:p>
      <w:pPr>
        <w:pStyle w:val="Heading5"/>
      </w:pPr>
      <w:bookmarkStart w:id="53" w:name="_Toc504466402"/>
      <w:r>
        <w:rPr>
          <w:rStyle w:val="CharSectno"/>
        </w:rPr>
        <w:t>25</w:t>
      </w:r>
      <w:r>
        <w:t>.</w:t>
      </w:r>
      <w:r>
        <w:tab/>
        <w:t>Additional information about proposed education and care service premises</w:t>
      </w:r>
      <w:bookmarkEnd w:id="53"/>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[Regulation 25 amended in Gazette 13 Dec 2013 p.</w:t>
      </w:r>
      <w:r>
        <w:rPr>
          <w:sz w:val="19"/>
        </w:rPr>
        <w:t> </w:t>
      </w:r>
      <w:r>
        <w:t>6156</w:t>
      </w:r>
      <w:r>
        <w:noBreakHyphen/>
        <w:t>7.]</w:t>
      </w:r>
    </w:p>
    <w:p>
      <w:pPr>
        <w:pStyle w:val="Heading5"/>
      </w:pPr>
      <w:bookmarkStart w:id="54" w:name="_Toc504466403"/>
      <w:r>
        <w:rPr>
          <w:rStyle w:val="CharSectno"/>
        </w:rPr>
        <w:t>26</w:t>
      </w:r>
      <w:r>
        <w:t>.</w:t>
      </w:r>
      <w:r>
        <w:tab/>
        <w:t>Application for service approval — family day care service</w:t>
      </w:r>
      <w:bookmarkEnd w:id="54"/>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PermNoteHeading"/>
      </w:pPr>
      <w:r>
        <w:tab/>
        <w:t>Note for this regulation:</w:t>
      </w:r>
    </w:p>
    <w:p>
      <w:pPr>
        <w:pStyle w:val="PermNoteText"/>
      </w:pPr>
      <w:r>
        <w:tab/>
      </w:r>
      <w:r>
        <w:tab/>
        <w:t>The application must include the certified supervisor’s written consent to the nomination — see section 44(1)(d) of the Law.</w:t>
      </w:r>
    </w:p>
    <w:p>
      <w:pPr>
        <w:pStyle w:val="Heading5"/>
      </w:pPr>
      <w:bookmarkStart w:id="55" w:name="_Toc504466404"/>
      <w:r>
        <w:rPr>
          <w:rStyle w:val="CharSectno"/>
        </w:rPr>
        <w:t>27</w:t>
      </w:r>
      <w:r>
        <w:t>.</w:t>
      </w:r>
      <w:r>
        <w:tab/>
        <w:t>Additional matters to have regard to in determining application for service approval</w:t>
      </w:r>
      <w:bookmarkEnd w:id="55"/>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56" w:name="_Toc504466405"/>
      <w:r>
        <w:rPr>
          <w:rStyle w:val="CharSectno"/>
        </w:rPr>
        <w:t>28</w:t>
      </w:r>
      <w:r>
        <w:t>.</w:t>
      </w:r>
      <w:r>
        <w:tab/>
        <w:t>Additional grounds for refusal to grant service approval</w:t>
      </w:r>
      <w:bookmarkEnd w:id="56"/>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57" w:name="_Toc504466406"/>
      <w:r>
        <w:rPr>
          <w:rStyle w:val="CharSectno"/>
        </w:rPr>
        <w:t>29</w:t>
      </w:r>
      <w:r>
        <w:t>.</w:t>
      </w:r>
      <w:r>
        <w:tab/>
        <w:t>Condition on service approval — insurance</w:t>
      </w:r>
      <w:bookmarkEnd w:id="57"/>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58" w:name="_Toc504466407"/>
      <w:r>
        <w:rPr>
          <w:rStyle w:val="CharSectno"/>
        </w:rPr>
        <w:t>30</w:t>
      </w:r>
      <w:r>
        <w:t>.</w:t>
      </w:r>
      <w:r>
        <w:tab/>
        <w:t>Condition on service approval — family day care educator insurance</w:t>
      </w:r>
      <w:bookmarkEnd w:id="58"/>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59" w:name="_Toc504466408"/>
      <w:r>
        <w:rPr>
          <w:rStyle w:val="CharSectno"/>
        </w:rPr>
        <w:t>31</w:t>
      </w:r>
      <w:r>
        <w:t>.</w:t>
      </w:r>
      <w:r>
        <w:tab/>
        <w:t>Condition on service approval — quality improvement plan</w:t>
      </w:r>
      <w:bookmarkEnd w:id="59"/>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in Gazette 28 Nov 2014 p. 4403.]</w:t>
      </w:r>
    </w:p>
    <w:p>
      <w:pPr>
        <w:pStyle w:val="Heading5"/>
      </w:pPr>
      <w:bookmarkStart w:id="60" w:name="_Toc504466409"/>
      <w:r>
        <w:rPr>
          <w:rStyle w:val="CharSectno"/>
        </w:rPr>
        <w:t>32</w:t>
      </w:r>
      <w:r>
        <w:t>.</w:t>
      </w:r>
      <w:r>
        <w:tab/>
        <w:t>Condition on service approval — entitlement to occupy premises</w:t>
      </w:r>
      <w:bookmarkEnd w:id="60"/>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61" w:name="_Toc504466410"/>
      <w:r>
        <w:rPr>
          <w:rStyle w:val="CharSectno"/>
        </w:rPr>
        <w:t>33</w:t>
      </w:r>
      <w:r>
        <w:t>.</w:t>
      </w:r>
      <w:r>
        <w:tab/>
        <w:t>Annual fees</w:t>
      </w:r>
      <w:bookmarkEnd w:id="61"/>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in Gazette 13 Dec 2013 p.</w:t>
      </w:r>
      <w:r>
        <w:rPr>
          <w:sz w:val="19"/>
        </w:rPr>
        <w:t> </w:t>
      </w:r>
      <w:r>
        <w:t>6157.]</w:t>
      </w:r>
    </w:p>
    <w:p>
      <w:pPr>
        <w:pStyle w:val="Heading4"/>
      </w:pPr>
      <w:bookmarkStart w:id="62" w:name="_Toc425346134"/>
      <w:bookmarkStart w:id="63" w:name="_Toc425413793"/>
      <w:bookmarkStart w:id="64" w:name="_Toc497395014"/>
      <w:bookmarkStart w:id="65" w:name="_Toc504465988"/>
      <w:bookmarkStart w:id="66" w:name="_Toc504466411"/>
      <w:r>
        <w:t>Division 2 — Amendment of service approval and notice of change to nominated supervisor</w:t>
      </w:r>
      <w:bookmarkEnd w:id="62"/>
      <w:bookmarkEnd w:id="63"/>
      <w:bookmarkEnd w:id="64"/>
      <w:bookmarkEnd w:id="65"/>
      <w:bookmarkEnd w:id="66"/>
    </w:p>
    <w:p>
      <w:pPr>
        <w:pStyle w:val="Heading5"/>
      </w:pPr>
      <w:bookmarkStart w:id="67" w:name="_Toc504466412"/>
      <w:r>
        <w:rPr>
          <w:rStyle w:val="CharSectno"/>
        </w:rPr>
        <w:t>34</w:t>
      </w:r>
      <w:r>
        <w:t>.</w:t>
      </w:r>
      <w:r>
        <w:tab/>
        <w:t>Prescribed information for application to amend service approval</w:t>
      </w:r>
      <w:bookmarkEnd w:id="67"/>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68" w:name="_Toc504466413"/>
      <w:r>
        <w:rPr>
          <w:rStyle w:val="CharSectno"/>
        </w:rPr>
        <w:t>35</w:t>
      </w:r>
      <w:r>
        <w:t>.</w:t>
      </w:r>
      <w:r>
        <w:tab/>
        <w:t>Notice of change to nominated supervisor</w:t>
      </w:r>
      <w:bookmarkEnd w:id="68"/>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69" w:name="_Toc425346137"/>
      <w:bookmarkStart w:id="70" w:name="_Toc425413796"/>
      <w:bookmarkStart w:id="71" w:name="_Toc497395017"/>
      <w:bookmarkStart w:id="72" w:name="_Toc504465991"/>
      <w:bookmarkStart w:id="73" w:name="_Toc504466414"/>
      <w:r>
        <w:t>Division 3 — Transfer of service approval</w:t>
      </w:r>
      <w:bookmarkEnd w:id="69"/>
      <w:bookmarkEnd w:id="70"/>
      <w:bookmarkEnd w:id="71"/>
      <w:bookmarkEnd w:id="72"/>
      <w:bookmarkEnd w:id="73"/>
    </w:p>
    <w:p>
      <w:pPr>
        <w:pStyle w:val="Heading5"/>
      </w:pPr>
      <w:bookmarkStart w:id="74" w:name="_Toc504466415"/>
      <w:r>
        <w:rPr>
          <w:rStyle w:val="CharSectno"/>
        </w:rPr>
        <w:t>36</w:t>
      </w:r>
      <w:r>
        <w:t>.</w:t>
      </w:r>
      <w:r>
        <w:tab/>
        <w:t>Notice of transfer of service approval — centre</w:t>
      </w:r>
      <w:r>
        <w:noBreakHyphen/>
        <w:t>based service</w:t>
      </w:r>
      <w:bookmarkEnd w:id="74"/>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75" w:name="_Toc504466416"/>
      <w:r>
        <w:rPr>
          <w:rStyle w:val="CharSectno"/>
        </w:rPr>
        <w:t>37</w:t>
      </w:r>
      <w:r>
        <w:t>.</w:t>
      </w:r>
      <w:r>
        <w:tab/>
        <w:t>Notice of transfer of service approval — family day care service</w:t>
      </w:r>
      <w:bookmarkEnd w:id="75"/>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76" w:name="_Toc504466417"/>
      <w:r>
        <w:rPr>
          <w:rStyle w:val="CharSectno"/>
        </w:rPr>
        <w:t>38</w:t>
      </w:r>
      <w:r>
        <w:t>.</w:t>
      </w:r>
      <w:r>
        <w:tab/>
        <w:t>Notification of decision to intervene in transfer of service approval</w:t>
      </w:r>
      <w:bookmarkEnd w:id="76"/>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77" w:name="_Toc425346141"/>
      <w:bookmarkStart w:id="78" w:name="_Toc425413800"/>
      <w:bookmarkStart w:id="79" w:name="_Toc497395021"/>
      <w:bookmarkStart w:id="80" w:name="_Toc504465995"/>
      <w:bookmarkStart w:id="81" w:name="_Toc504466418"/>
      <w:r>
        <w:t>Division 4 — Suspension of service approval</w:t>
      </w:r>
      <w:bookmarkEnd w:id="77"/>
      <w:bookmarkEnd w:id="78"/>
      <w:bookmarkEnd w:id="79"/>
      <w:bookmarkEnd w:id="80"/>
      <w:bookmarkEnd w:id="81"/>
    </w:p>
    <w:p>
      <w:pPr>
        <w:pStyle w:val="Heading5"/>
      </w:pPr>
      <w:bookmarkStart w:id="82" w:name="_Toc504466419"/>
      <w:r>
        <w:rPr>
          <w:rStyle w:val="CharSectno"/>
        </w:rPr>
        <w:t>39</w:t>
      </w:r>
      <w:r>
        <w:t>.</w:t>
      </w:r>
      <w:r>
        <w:tab/>
        <w:t>Maximum period of suspension of service approval</w:t>
      </w:r>
      <w:bookmarkEnd w:id="82"/>
      <w:r>
        <w:t xml:space="preserve"> </w:t>
      </w:r>
    </w:p>
    <w:p>
      <w:pPr>
        <w:pStyle w:val="Subsection"/>
      </w:pPr>
      <w:r>
        <w:tab/>
      </w:r>
      <w:r>
        <w:tab/>
        <w:t>The prescribed maximum period of suspension of a service approval under sections 72(a) and 79(1)(a)(ii) of the Law is 12 months.</w:t>
      </w:r>
    </w:p>
    <w:p>
      <w:pPr>
        <w:pStyle w:val="Heading5"/>
      </w:pPr>
      <w:bookmarkStart w:id="83" w:name="_Toc504466420"/>
      <w:r>
        <w:rPr>
          <w:rStyle w:val="CharSectno"/>
        </w:rPr>
        <w:t>40</w:t>
      </w:r>
      <w:r>
        <w:t>.</w:t>
      </w:r>
      <w:r>
        <w:tab/>
        <w:t>Application for voluntary suspension of service approval</w:t>
      </w:r>
      <w:bookmarkEnd w:id="83"/>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84" w:name="_Toc425346144"/>
      <w:bookmarkStart w:id="85" w:name="_Toc425413803"/>
      <w:bookmarkStart w:id="86" w:name="_Toc497395024"/>
      <w:bookmarkStart w:id="87" w:name="_Toc504465998"/>
      <w:bookmarkStart w:id="88" w:name="_Toc504466421"/>
      <w:r>
        <w:t>Division 5 — Service waiver</w:t>
      </w:r>
      <w:bookmarkEnd w:id="84"/>
      <w:bookmarkEnd w:id="85"/>
      <w:bookmarkEnd w:id="86"/>
      <w:bookmarkEnd w:id="87"/>
      <w:bookmarkEnd w:id="88"/>
    </w:p>
    <w:p>
      <w:pPr>
        <w:pStyle w:val="Heading5"/>
      </w:pPr>
      <w:bookmarkStart w:id="89" w:name="_Toc504466422"/>
      <w:r>
        <w:rPr>
          <w:rStyle w:val="CharSectno"/>
        </w:rPr>
        <w:t>41</w:t>
      </w:r>
      <w:r>
        <w:t>.</w:t>
      </w:r>
      <w:r>
        <w:tab/>
        <w:t>Service waiver — prescribed elements</w:t>
      </w:r>
      <w:bookmarkEnd w:id="89"/>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90" w:name="_Toc504466423"/>
      <w:r>
        <w:rPr>
          <w:rStyle w:val="CharSectno"/>
        </w:rPr>
        <w:t>42</w:t>
      </w:r>
      <w:r>
        <w:t>.</w:t>
      </w:r>
      <w:r>
        <w:tab/>
        <w:t>Prescribed information — application for service waiver</w:t>
      </w:r>
      <w:bookmarkEnd w:id="90"/>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 for this regulation:</w:t>
      </w:r>
    </w:p>
    <w:p>
      <w:pPr>
        <w:pStyle w:val="PermNoteText"/>
      </w:pPr>
      <w:r>
        <w:tab/>
      </w:r>
      <w:r>
        <w:tab/>
        <w:t>See section 88 of the Law.</w:t>
      </w:r>
    </w:p>
    <w:p>
      <w:pPr>
        <w:pStyle w:val="Heading5"/>
      </w:pPr>
      <w:bookmarkStart w:id="91" w:name="_Toc504466424"/>
      <w:r>
        <w:rPr>
          <w:rStyle w:val="CharSectno"/>
        </w:rPr>
        <w:t>43</w:t>
      </w:r>
      <w:r>
        <w:t>.</w:t>
      </w:r>
      <w:r>
        <w:tab/>
        <w:t>Prescribed period — revocation of service waiver</w:t>
      </w:r>
      <w:bookmarkEnd w:id="91"/>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bookmarkStart w:id="92" w:name="_Toc425346148"/>
      <w:bookmarkStart w:id="93" w:name="_Toc425413807"/>
      <w:r>
        <w:tab/>
        <w:t>[Regulation 43 amended in Gazette 3 Nov 2017 p. 5481.]</w:t>
      </w:r>
    </w:p>
    <w:p>
      <w:pPr>
        <w:pStyle w:val="Heading4"/>
      </w:pPr>
      <w:bookmarkStart w:id="94" w:name="_Toc497395028"/>
      <w:bookmarkStart w:id="95" w:name="_Toc504466002"/>
      <w:bookmarkStart w:id="96" w:name="_Toc504466425"/>
      <w:r>
        <w:t>Division 6 — Temporary waiver</w:t>
      </w:r>
      <w:bookmarkEnd w:id="92"/>
      <w:bookmarkEnd w:id="93"/>
      <w:bookmarkEnd w:id="94"/>
      <w:bookmarkEnd w:id="95"/>
      <w:bookmarkEnd w:id="96"/>
    </w:p>
    <w:p>
      <w:pPr>
        <w:pStyle w:val="Heading5"/>
      </w:pPr>
      <w:bookmarkStart w:id="97" w:name="_Toc504466426"/>
      <w:r>
        <w:rPr>
          <w:rStyle w:val="CharSectno"/>
        </w:rPr>
        <w:t>44</w:t>
      </w:r>
      <w:r>
        <w:t>.</w:t>
      </w:r>
      <w:r>
        <w:tab/>
        <w:t>Temporary waiver — prescribed elements</w:t>
      </w:r>
      <w:bookmarkEnd w:id="97"/>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98" w:name="_Toc504466427"/>
      <w:r>
        <w:rPr>
          <w:rStyle w:val="CharSectno"/>
        </w:rPr>
        <w:t>45</w:t>
      </w:r>
      <w:r>
        <w:t>.</w:t>
      </w:r>
      <w:r>
        <w:tab/>
        <w:t>Application for temporary waiver</w:t>
      </w:r>
      <w:bookmarkEnd w:id="98"/>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Heading3"/>
      </w:pPr>
      <w:bookmarkStart w:id="99" w:name="_Toc425346151"/>
      <w:bookmarkStart w:id="100" w:name="_Toc425413810"/>
      <w:bookmarkStart w:id="101" w:name="_Toc497395031"/>
      <w:bookmarkStart w:id="102" w:name="_Toc504466005"/>
      <w:bookmarkStart w:id="103" w:name="_Toc504466428"/>
      <w:r>
        <w:rPr>
          <w:rStyle w:val="CharDivNo"/>
        </w:rPr>
        <w:t>Part 2.3</w:t>
      </w:r>
      <w:r>
        <w:t> — </w:t>
      </w:r>
      <w:r>
        <w:rPr>
          <w:rStyle w:val="CharDivText"/>
        </w:rPr>
        <w:t>Supervisor certificates</w:t>
      </w:r>
      <w:bookmarkEnd w:id="99"/>
      <w:bookmarkEnd w:id="100"/>
      <w:bookmarkEnd w:id="101"/>
      <w:bookmarkEnd w:id="102"/>
      <w:bookmarkEnd w:id="103"/>
    </w:p>
    <w:p>
      <w:pPr>
        <w:pStyle w:val="Heading4"/>
      </w:pPr>
      <w:bookmarkStart w:id="104" w:name="_Toc425346152"/>
      <w:bookmarkStart w:id="105" w:name="_Toc425413811"/>
      <w:bookmarkStart w:id="106" w:name="_Toc497395032"/>
      <w:bookmarkStart w:id="107" w:name="_Toc504466006"/>
      <w:bookmarkStart w:id="108" w:name="_Toc504466429"/>
      <w:r>
        <w:t>Division 1 — Applications for supervisor certificates</w:t>
      </w:r>
      <w:bookmarkEnd w:id="104"/>
      <w:bookmarkEnd w:id="105"/>
      <w:bookmarkEnd w:id="106"/>
      <w:bookmarkEnd w:id="107"/>
      <w:bookmarkEnd w:id="108"/>
    </w:p>
    <w:p>
      <w:pPr>
        <w:pStyle w:val="Heading5"/>
      </w:pPr>
      <w:bookmarkStart w:id="109" w:name="_Toc504466430"/>
      <w:r>
        <w:rPr>
          <w:rStyle w:val="CharSectno"/>
        </w:rPr>
        <w:t>46</w:t>
      </w:r>
      <w:r>
        <w:t>.</w:t>
      </w:r>
      <w:r>
        <w:tab/>
        <w:t>Application for supervisor certificate</w:t>
      </w:r>
      <w:bookmarkEnd w:id="109"/>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 or working with vulnerable people registration.</w:t>
      </w:r>
    </w:p>
    <w:p>
      <w:pPr>
        <w:pStyle w:val="Subsection"/>
        <w:keepNext/>
        <w:keepLines/>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[Regulation 46 amended in Gazette 13 Dec 2013 p.</w:t>
      </w:r>
      <w:r>
        <w:rPr>
          <w:sz w:val="19"/>
        </w:rPr>
        <w:t> </w:t>
      </w:r>
      <w:r>
        <w:t>6157</w:t>
      </w:r>
      <w:r>
        <w:noBreakHyphen/>
        <w:t>8; 28 Nov 2014 p. 4403.]</w:t>
      </w:r>
    </w:p>
    <w:p>
      <w:pPr>
        <w:pStyle w:val="Heading5"/>
      </w:pPr>
      <w:bookmarkStart w:id="110" w:name="_Toc504466431"/>
      <w:r>
        <w:rPr>
          <w:rStyle w:val="CharSectno"/>
        </w:rPr>
        <w:t>47</w:t>
      </w:r>
      <w:r>
        <w:t>.</w:t>
      </w:r>
      <w:r>
        <w:tab/>
        <w:t>Minimum requirements for qualifications, experience and management capability</w:t>
      </w:r>
      <w:bookmarkEnd w:id="110"/>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w:t>
      </w:r>
    </w:p>
    <w:p>
      <w:pPr>
        <w:pStyle w:val="Indenta"/>
      </w:pPr>
      <w:r>
        <w:tab/>
      </w:r>
      <w:r>
        <w:tab/>
        <w:t>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111" w:name="_Toc504466432"/>
      <w:r>
        <w:rPr>
          <w:rStyle w:val="CharSectno"/>
        </w:rPr>
        <w:t>48</w:t>
      </w:r>
      <w:r>
        <w:t>.</w:t>
      </w:r>
      <w:r>
        <w:tab/>
        <w:t>Matters relating to criminal history</w:t>
      </w:r>
      <w:bookmarkEnd w:id="111"/>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w:t>
      </w:r>
    </w:p>
    <w:p>
      <w:pPr>
        <w:pStyle w:val="Indenta"/>
      </w:pPr>
      <w:r>
        <w:tab/>
      </w:r>
      <w:r>
        <w:tab/>
        <w:t>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PermNoteHeading"/>
      </w:pPr>
      <w:r>
        <w:tab/>
        <w:t>Note for this regulation:</w:t>
      </w:r>
    </w:p>
    <w:p>
      <w:pPr>
        <w:pStyle w:val="PermNoteText"/>
      </w:pPr>
      <w:r>
        <w:tab/>
      </w:r>
      <w:r>
        <w:tab/>
        <w:t>This regulation applies if the applicant does not provide a working with children check.</w:t>
      </w:r>
    </w:p>
    <w:p>
      <w:pPr>
        <w:pStyle w:val="Heading5"/>
      </w:pPr>
      <w:bookmarkStart w:id="112" w:name="_Toc504466433"/>
      <w:r>
        <w:rPr>
          <w:rStyle w:val="CharSectno"/>
        </w:rPr>
        <w:t>49</w:t>
      </w:r>
      <w:r>
        <w:t>.</w:t>
      </w:r>
      <w:r>
        <w:tab/>
        <w:t>Prescribed classes of persons for grant of supervisor certificate</w:t>
      </w:r>
      <w:bookmarkEnd w:id="112"/>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spacing w:before="70"/>
      </w:pPr>
      <w:r>
        <w:tab/>
        <w:t>(a)</w:t>
      </w:r>
      <w:r>
        <w:tab/>
        <w:t>a principal of a school that provides an education and care service at the site of the school;</w:t>
      </w:r>
    </w:p>
    <w:p>
      <w:pPr>
        <w:pStyle w:val="Indenta"/>
        <w:spacing w:before="70"/>
      </w:pPr>
      <w:r>
        <w:tab/>
        <w:t>(b)</w:t>
      </w:r>
      <w:r>
        <w:tab/>
        <w:t>a person in charge of a campus of a school that provides an education and care service at that campus;</w:t>
      </w:r>
    </w:p>
    <w:p>
      <w:pPr>
        <w:pStyle w:val="Indenta"/>
        <w:spacing w:before="70"/>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70"/>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spacing w:before="70"/>
      </w:pPr>
      <w:r>
        <w:tab/>
        <w:t>(e)</w:t>
      </w:r>
      <w:r>
        <w:tab/>
        <w:t>a director of a pre</w:t>
      </w:r>
      <w:r>
        <w:noBreakHyphen/>
        <w:t xml:space="preserve">school education program provided in a children’s services centre registered under the </w:t>
      </w:r>
      <w:r>
        <w:rPr>
          <w:i/>
        </w:rPr>
        <w:t>Children’s Services Act 1985</w:t>
      </w:r>
      <w:r>
        <w:t xml:space="preserve"> of South Australia;</w:t>
      </w:r>
    </w:p>
    <w:p>
      <w:pPr>
        <w:pStyle w:val="Indenta"/>
        <w:spacing w:before="70"/>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spacing w:before="70"/>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Indenta"/>
      </w:pPr>
      <w:r>
        <w:tab/>
        <w:t>(h)</w:t>
      </w:r>
      <w:r>
        <w:tab/>
        <w:t xml:space="preserve">a person who, immediately before 1 October 2017, was the holder of a supervisor certificate that was — </w:t>
      </w:r>
    </w:p>
    <w:p>
      <w:pPr>
        <w:pStyle w:val="Indenti"/>
      </w:pPr>
      <w:r>
        <w:tab/>
        <w:t>(i)</w:t>
      </w:r>
      <w:r>
        <w:tab/>
        <w:t xml:space="preserve">granted by a Regulatory Authority of another participating jurisdiction; and </w:t>
      </w:r>
    </w:p>
    <w:p>
      <w:pPr>
        <w:pStyle w:val="Indenti"/>
      </w:pPr>
      <w:r>
        <w:tab/>
        <w:t>(ii)</w:t>
      </w:r>
      <w:r>
        <w:tab/>
        <w:t>neither cancelled nor suspended.</w:t>
      </w:r>
    </w:p>
    <w:p>
      <w:pPr>
        <w:pStyle w:val="PermNoteHeading"/>
      </w:pPr>
      <w:r>
        <w:tab/>
        <w:t>Note for this regulation:</w:t>
      </w:r>
    </w:p>
    <w:p>
      <w:pPr>
        <w:pStyle w:val="PermNoteText"/>
      </w:pPr>
      <w:r>
        <w:tab/>
      </w:r>
      <w:r>
        <w:tab/>
        <w:t>This regulation differs from regulation 49 of the national regulations made by the Ministerial Council.</w:t>
      </w:r>
    </w:p>
    <w:p>
      <w:pPr>
        <w:pStyle w:val="Footnotesection"/>
      </w:pPr>
      <w:r>
        <w:tab/>
        <w:t>[Regulation 49 amended in Gazette 5 Mar 2013 p. 1107; 3 Nov 2017 p. 5482.]</w:t>
      </w:r>
    </w:p>
    <w:p>
      <w:pPr>
        <w:pStyle w:val="Heading5"/>
      </w:pPr>
      <w:bookmarkStart w:id="113" w:name="_Toc504466434"/>
      <w:r>
        <w:rPr>
          <w:rStyle w:val="CharSectno"/>
        </w:rPr>
        <w:t>50</w:t>
      </w:r>
      <w:r>
        <w:t>.</w:t>
      </w:r>
      <w:r>
        <w:tab/>
        <w:t>Issue of supervisor certificate — supervisor in prescribed class</w:t>
      </w:r>
      <w:bookmarkEnd w:id="113"/>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spacing w:before="70"/>
      </w:pPr>
      <w:r>
        <w:tab/>
        <w:t>(a)</w:t>
      </w:r>
      <w:r>
        <w:tab/>
        <w:t>the name of the approved education and care service;</w:t>
      </w:r>
    </w:p>
    <w:p>
      <w:pPr>
        <w:pStyle w:val="Indenta"/>
      </w:pPr>
      <w:r>
        <w:tab/>
        <w:t>(b)</w:t>
      </w:r>
      <w:r>
        <w:tab/>
        <w:t>if applicable, the name of the school that provides the education and care service (if different from the name of the approved education and care service).</w:t>
      </w:r>
    </w:p>
    <w:p>
      <w:pPr>
        <w:pStyle w:val="Footnotesection"/>
      </w:pPr>
      <w:r>
        <w:tab/>
        <w:t>[Regulation 50 amended in Gazette 28 Nov 2014 p. 4403.]</w:t>
      </w:r>
    </w:p>
    <w:p>
      <w:pPr>
        <w:pStyle w:val="Heading4"/>
      </w:pPr>
      <w:bookmarkStart w:id="114" w:name="_Toc425346158"/>
      <w:bookmarkStart w:id="115" w:name="_Toc425413817"/>
      <w:bookmarkStart w:id="116" w:name="_Toc497395038"/>
      <w:bookmarkStart w:id="117" w:name="_Toc504466012"/>
      <w:bookmarkStart w:id="118" w:name="_Toc504466435"/>
      <w:r>
        <w:t>Division 2 — Amendment of supervisor certificate</w:t>
      </w:r>
      <w:bookmarkEnd w:id="114"/>
      <w:bookmarkEnd w:id="115"/>
      <w:bookmarkEnd w:id="116"/>
      <w:bookmarkEnd w:id="117"/>
      <w:bookmarkEnd w:id="118"/>
    </w:p>
    <w:p>
      <w:pPr>
        <w:pStyle w:val="Heading5"/>
      </w:pPr>
      <w:bookmarkStart w:id="119" w:name="_Toc504466436"/>
      <w:r>
        <w:rPr>
          <w:rStyle w:val="CharSectno"/>
        </w:rPr>
        <w:t>51</w:t>
      </w:r>
      <w:r>
        <w:t>.</w:t>
      </w:r>
      <w:r>
        <w:tab/>
        <w:t>Application for amendment of supervisor certificate</w:t>
      </w:r>
      <w:bookmarkEnd w:id="119"/>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120" w:name="_Toc425346160"/>
      <w:bookmarkStart w:id="121" w:name="_Toc425413819"/>
      <w:bookmarkStart w:id="122" w:name="_Toc497395040"/>
      <w:bookmarkStart w:id="123" w:name="_Toc504466014"/>
      <w:bookmarkStart w:id="124" w:name="_Toc504466437"/>
      <w:r>
        <w:t>Division 3 — Suspension of supervisor certificate</w:t>
      </w:r>
      <w:bookmarkEnd w:id="120"/>
      <w:bookmarkEnd w:id="121"/>
      <w:bookmarkEnd w:id="122"/>
      <w:bookmarkEnd w:id="123"/>
      <w:bookmarkEnd w:id="124"/>
    </w:p>
    <w:p>
      <w:pPr>
        <w:pStyle w:val="Heading5"/>
      </w:pPr>
      <w:bookmarkStart w:id="125" w:name="_Toc504466438"/>
      <w:r>
        <w:rPr>
          <w:rStyle w:val="CharSectno"/>
        </w:rPr>
        <w:t>52</w:t>
      </w:r>
      <w:r>
        <w:t>.</w:t>
      </w:r>
      <w:r>
        <w:tab/>
        <w:t>Maximum period of suspension of supervisor certificate</w:t>
      </w:r>
      <w:bookmarkEnd w:id="125"/>
      <w:r>
        <w:t xml:space="preserve"> </w:t>
      </w:r>
    </w:p>
    <w:p>
      <w:pPr>
        <w:pStyle w:val="Subsection"/>
      </w:pPr>
      <w:r>
        <w:tab/>
      </w:r>
      <w:r>
        <w:tab/>
        <w:t>The prescribed maximum period of suspension of a supervisor certificate under section 125(a)(i) of the Law is 12 months.</w:t>
      </w:r>
    </w:p>
    <w:p>
      <w:pPr>
        <w:pStyle w:val="Heading5"/>
      </w:pPr>
      <w:bookmarkStart w:id="126" w:name="_Toc504466439"/>
      <w:r>
        <w:rPr>
          <w:rStyle w:val="CharSectno"/>
        </w:rPr>
        <w:t>53</w:t>
      </w:r>
      <w:r>
        <w:t>.</w:t>
      </w:r>
      <w:r>
        <w:tab/>
        <w:t>Prescribed information — voluntary suspension of supervisor certificate</w:t>
      </w:r>
      <w:bookmarkEnd w:id="126"/>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127" w:name="_Toc425346163"/>
      <w:bookmarkStart w:id="128" w:name="_Toc425413822"/>
      <w:bookmarkStart w:id="129" w:name="_Toc497395043"/>
      <w:bookmarkStart w:id="130" w:name="_Toc504466017"/>
      <w:bookmarkStart w:id="131" w:name="_Toc504466440"/>
      <w:r>
        <w:t>Division 4 — Process for certified supervisor to be placed in day to day charge</w:t>
      </w:r>
      <w:bookmarkEnd w:id="127"/>
      <w:bookmarkEnd w:id="128"/>
      <w:bookmarkEnd w:id="129"/>
      <w:bookmarkEnd w:id="130"/>
      <w:bookmarkEnd w:id="131"/>
    </w:p>
    <w:p>
      <w:pPr>
        <w:pStyle w:val="Heading5"/>
      </w:pPr>
      <w:bookmarkStart w:id="132" w:name="_Toc504466441"/>
      <w:r>
        <w:rPr>
          <w:rStyle w:val="CharSectno"/>
        </w:rPr>
        <w:t>54</w:t>
      </w:r>
      <w:r>
        <w:t>.</w:t>
      </w:r>
      <w:r>
        <w:tab/>
        <w:t>Process for certified supervisor to be placed in day to day charge of education and care service</w:t>
      </w:r>
      <w:bookmarkEnd w:id="132"/>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PermNoteHeading"/>
      </w:pPr>
      <w:r>
        <w:tab/>
        <w:t>Note for this regulation:</w:t>
      </w:r>
    </w:p>
    <w:p>
      <w:pPr>
        <w:pStyle w:val="PermNoteText"/>
      </w:pPr>
      <w:r>
        <w:tab/>
      </w:r>
      <w:r>
        <w:tab/>
        <w:t>A certified supervisor placed in day to day charge of an education and care service is not the nominated supervisor for the service and does not have the same responsibilities as the nominated supervisor.</w:t>
      </w:r>
    </w:p>
    <w:p>
      <w:pPr>
        <w:pStyle w:val="Heading2"/>
      </w:pPr>
      <w:bookmarkStart w:id="133" w:name="_Toc425346165"/>
      <w:bookmarkStart w:id="134" w:name="_Toc425413824"/>
      <w:bookmarkStart w:id="135" w:name="_Toc497395045"/>
      <w:bookmarkStart w:id="136" w:name="_Toc504466019"/>
      <w:bookmarkStart w:id="137" w:name="_Toc504466442"/>
      <w:r>
        <w:rPr>
          <w:rStyle w:val="CharPartNo"/>
        </w:rPr>
        <w:t>Chapter 3</w:t>
      </w:r>
      <w:r>
        <w:t> — </w:t>
      </w:r>
      <w:r>
        <w:rPr>
          <w:rStyle w:val="CharPartText"/>
        </w:rPr>
        <w:t>Assessments and ratings</w:t>
      </w:r>
      <w:bookmarkEnd w:id="133"/>
      <w:bookmarkEnd w:id="134"/>
      <w:bookmarkEnd w:id="135"/>
      <w:bookmarkEnd w:id="136"/>
      <w:bookmarkEnd w:id="137"/>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38" w:name="_Toc425346166"/>
      <w:bookmarkStart w:id="139" w:name="_Toc425413825"/>
      <w:bookmarkStart w:id="140" w:name="_Toc497395046"/>
      <w:bookmarkStart w:id="141" w:name="_Toc504466020"/>
      <w:bookmarkStart w:id="142" w:name="_Toc504466443"/>
      <w:r>
        <w:rPr>
          <w:rStyle w:val="CharDivNo"/>
        </w:rPr>
        <w:t>Part 3.1</w:t>
      </w:r>
      <w:r>
        <w:t> — </w:t>
      </w:r>
      <w:r>
        <w:rPr>
          <w:rStyle w:val="CharDivText"/>
        </w:rPr>
        <w:t>Quality improvement plans</w:t>
      </w:r>
      <w:bookmarkEnd w:id="138"/>
      <w:bookmarkEnd w:id="139"/>
      <w:bookmarkEnd w:id="140"/>
      <w:bookmarkEnd w:id="141"/>
      <w:bookmarkEnd w:id="142"/>
    </w:p>
    <w:p>
      <w:pPr>
        <w:pStyle w:val="Heading5"/>
      </w:pPr>
      <w:bookmarkStart w:id="143" w:name="_Toc504466444"/>
      <w:r>
        <w:rPr>
          <w:rStyle w:val="CharSectno"/>
        </w:rPr>
        <w:t>55</w:t>
      </w:r>
      <w:r>
        <w:t>.</w:t>
      </w:r>
      <w:r>
        <w:tab/>
        <w:t>Quality improvement plans</w:t>
      </w:r>
      <w:bookmarkEnd w:id="143"/>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in Gazette 28 Nov 2014 p. 4403.]</w:t>
      </w:r>
    </w:p>
    <w:p>
      <w:pPr>
        <w:pStyle w:val="Heading5"/>
      </w:pPr>
      <w:bookmarkStart w:id="144" w:name="_Toc504466445"/>
      <w:r>
        <w:rPr>
          <w:rStyle w:val="CharSectno"/>
        </w:rPr>
        <w:t>56</w:t>
      </w:r>
      <w:r>
        <w:t>.</w:t>
      </w:r>
      <w:r>
        <w:tab/>
        <w:t>Review and revision of quality improvement plans</w:t>
      </w:r>
      <w:bookmarkEnd w:id="144"/>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145" w:name="_Toc425346169"/>
      <w:bookmarkStart w:id="146" w:name="_Toc425413828"/>
      <w:bookmarkStart w:id="147" w:name="_Toc497395049"/>
      <w:bookmarkStart w:id="148" w:name="_Toc504466023"/>
      <w:bookmarkStart w:id="149" w:name="_Toc504466446"/>
      <w:r>
        <w:rPr>
          <w:rStyle w:val="CharDivNo"/>
        </w:rPr>
        <w:t>Part 3.2</w:t>
      </w:r>
      <w:r>
        <w:t> — </w:t>
      </w:r>
      <w:r>
        <w:rPr>
          <w:rStyle w:val="CharDivText"/>
        </w:rPr>
        <w:t>Prescribed rating levels</w:t>
      </w:r>
      <w:bookmarkEnd w:id="145"/>
      <w:bookmarkEnd w:id="146"/>
      <w:bookmarkEnd w:id="147"/>
      <w:bookmarkEnd w:id="148"/>
      <w:bookmarkEnd w:id="149"/>
    </w:p>
    <w:p>
      <w:pPr>
        <w:pStyle w:val="Heading5"/>
      </w:pPr>
      <w:bookmarkStart w:id="150" w:name="_Toc504466447"/>
      <w:r>
        <w:rPr>
          <w:rStyle w:val="CharSectno"/>
        </w:rPr>
        <w:t>57</w:t>
      </w:r>
      <w:r>
        <w:t>.</w:t>
      </w:r>
      <w:r>
        <w:tab/>
        <w:t>Rating levels</w:t>
      </w:r>
      <w:bookmarkEnd w:id="150"/>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151" w:name="_Toc504466448"/>
      <w:r>
        <w:rPr>
          <w:rStyle w:val="CharSectno"/>
        </w:rPr>
        <w:t>58</w:t>
      </w:r>
      <w:r>
        <w:t>.</w:t>
      </w:r>
      <w:r>
        <w:tab/>
        <w:t>Prescribed provisional rating</w:t>
      </w:r>
      <w:bookmarkEnd w:id="151"/>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52" w:name="_Toc504466449"/>
      <w:r>
        <w:rPr>
          <w:rStyle w:val="CharSectno"/>
        </w:rPr>
        <w:t>59</w:t>
      </w:r>
      <w:r>
        <w:t>.</w:t>
      </w:r>
      <w:r>
        <w:tab/>
        <w:t>Significant Improvement Required</w:t>
      </w:r>
      <w:bookmarkEnd w:id="152"/>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153" w:name="_Toc504466450"/>
      <w:r>
        <w:rPr>
          <w:rStyle w:val="CharSectno"/>
        </w:rPr>
        <w:t>60</w:t>
      </w:r>
      <w:r>
        <w:t>.</w:t>
      </w:r>
      <w:r>
        <w:tab/>
        <w:t>Working Towards National Quality Standard</w:t>
      </w:r>
      <w:bookmarkEnd w:id="153"/>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54" w:name="_Toc504466451"/>
      <w:r>
        <w:rPr>
          <w:rStyle w:val="CharSectno"/>
        </w:rPr>
        <w:t>61</w:t>
      </w:r>
      <w:r>
        <w:t>.</w:t>
      </w:r>
      <w:r>
        <w:tab/>
        <w:t>Meeting National Quality Standard</w:t>
      </w:r>
      <w:bookmarkEnd w:id="154"/>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55" w:name="_Toc504466452"/>
      <w:r>
        <w:rPr>
          <w:rStyle w:val="CharSectno"/>
        </w:rPr>
        <w:t>62</w:t>
      </w:r>
      <w:r>
        <w:t>.</w:t>
      </w:r>
      <w:r>
        <w:tab/>
        <w:t>Exceeding National Quality Standard</w:t>
      </w:r>
      <w:bookmarkEnd w:id="155"/>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in Gazette 6 Jun 2014 p. 1787.]</w:t>
      </w:r>
    </w:p>
    <w:p>
      <w:pPr>
        <w:pStyle w:val="Heading3"/>
      </w:pPr>
      <w:bookmarkStart w:id="156" w:name="_Toc425346176"/>
      <w:bookmarkStart w:id="157" w:name="_Toc425413835"/>
      <w:bookmarkStart w:id="158" w:name="_Toc497395056"/>
      <w:bookmarkStart w:id="159" w:name="_Toc504466030"/>
      <w:bookmarkStart w:id="160" w:name="_Toc504466453"/>
      <w:r>
        <w:rPr>
          <w:rStyle w:val="CharDivNo"/>
        </w:rPr>
        <w:t>Part 3.3</w:t>
      </w:r>
      <w:r>
        <w:t> — </w:t>
      </w:r>
      <w:r>
        <w:rPr>
          <w:rStyle w:val="CharDivText"/>
        </w:rPr>
        <w:t>Assessment</w:t>
      </w:r>
      <w:bookmarkEnd w:id="156"/>
      <w:bookmarkEnd w:id="157"/>
      <w:bookmarkEnd w:id="158"/>
      <w:bookmarkEnd w:id="159"/>
      <w:bookmarkEnd w:id="160"/>
    </w:p>
    <w:p>
      <w:pPr>
        <w:pStyle w:val="Heading4"/>
      </w:pPr>
      <w:bookmarkStart w:id="161" w:name="_Toc425346177"/>
      <w:bookmarkStart w:id="162" w:name="_Toc425413836"/>
      <w:bookmarkStart w:id="163" w:name="_Toc497395057"/>
      <w:bookmarkStart w:id="164" w:name="_Toc504466031"/>
      <w:bookmarkStart w:id="165" w:name="_Toc504466454"/>
      <w:r>
        <w:t>Division 1 — Assessment</w:t>
      </w:r>
      <w:bookmarkEnd w:id="161"/>
      <w:bookmarkEnd w:id="162"/>
      <w:bookmarkEnd w:id="163"/>
      <w:bookmarkEnd w:id="164"/>
      <w:bookmarkEnd w:id="165"/>
    </w:p>
    <w:p>
      <w:pPr>
        <w:pStyle w:val="Heading5"/>
      </w:pPr>
      <w:bookmarkStart w:id="166" w:name="_Toc504466455"/>
      <w:r>
        <w:rPr>
          <w:rStyle w:val="CharSectno"/>
        </w:rPr>
        <w:t>63</w:t>
      </w:r>
      <w:r>
        <w:t>.</w:t>
      </w:r>
      <w:r>
        <w:tab/>
        <w:t>Assessing approved education and care services</w:t>
      </w:r>
      <w:bookmarkEnd w:id="166"/>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167" w:name="_Toc504466456"/>
      <w:r>
        <w:rPr>
          <w:rStyle w:val="CharSectno"/>
        </w:rPr>
        <w:t>64</w:t>
      </w:r>
      <w:r>
        <w:t>.</w:t>
      </w:r>
      <w:r>
        <w:tab/>
        <w:t>Matters for determination of rating</w:t>
      </w:r>
      <w:bookmarkEnd w:id="167"/>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68" w:name="_Toc504466457"/>
      <w:r>
        <w:rPr>
          <w:rStyle w:val="CharSectno"/>
        </w:rPr>
        <w:t>65</w:t>
      </w:r>
      <w:r>
        <w:t>.</w:t>
      </w:r>
      <w:r>
        <w:tab/>
        <w:t>Assessment and rating of new education and care services</w:t>
      </w:r>
      <w:bookmarkEnd w:id="168"/>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169" w:name="_Toc425346181"/>
      <w:bookmarkStart w:id="170" w:name="_Toc425413840"/>
      <w:bookmarkStart w:id="171" w:name="_Toc497395061"/>
      <w:bookmarkStart w:id="172" w:name="_Toc504466035"/>
      <w:bookmarkStart w:id="173" w:name="_Toc504466458"/>
      <w:r>
        <w:t>Division 2 — Reassessment</w:t>
      </w:r>
      <w:bookmarkEnd w:id="169"/>
      <w:bookmarkEnd w:id="170"/>
      <w:bookmarkEnd w:id="171"/>
      <w:bookmarkEnd w:id="172"/>
      <w:bookmarkEnd w:id="173"/>
    </w:p>
    <w:p>
      <w:pPr>
        <w:pStyle w:val="Heading5"/>
      </w:pPr>
      <w:bookmarkStart w:id="174" w:name="_Toc504466459"/>
      <w:r>
        <w:rPr>
          <w:rStyle w:val="CharSectno"/>
        </w:rPr>
        <w:t>66</w:t>
      </w:r>
      <w:r>
        <w:t>.</w:t>
      </w:r>
      <w:r>
        <w:tab/>
        <w:t>Application for reassessment</w:t>
      </w:r>
      <w:bookmarkEnd w:id="174"/>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75" w:name="_Toc504466460"/>
      <w:r>
        <w:rPr>
          <w:rStyle w:val="CharSectno"/>
        </w:rPr>
        <w:t>67</w:t>
      </w:r>
      <w:r>
        <w:t>.</w:t>
      </w:r>
      <w:r>
        <w:tab/>
        <w:t>Reassessment by Regulatory Authority</w:t>
      </w:r>
      <w:bookmarkEnd w:id="175"/>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76" w:name="_Toc425346184"/>
      <w:bookmarkStart w:id="177" w:name="_Toc425413843"/>
      <w:bookmarkStart w:id="178" w:name="_Toc497395064"/>
      <w:bookmarkStart w:id="179" w:name="_Toc504466038"/>
      <w:bookmarkStart w:id="180" w:name="_Toc504466461"/>
      <w:r>
        <w:rPr>
          <w:rStyle w:val="CharDivNo"/>
        </w:rPr>
        <w:t>Part 3.4</w:t>
      </w:r>
      <w:r>
        <w:t> — </w:t>
      </w:r>
      <w:r>
        <w:rPr>
          <w:rStyle w:val="CharDivText"/>
        </w:rPr>
        <w:t>Review of ratings</w:t>
      </w:r>
      <w:bookmarkEnd w:id="176"/>
      <w:bookmarkEnd w:id="177"/>
      <w:bookmarkEnd w:id="178"/>
      <w:bookmarkEnd w:id="179"/>
      <w:bookmarkEnd w:id="180"/>
    </w:p>
    <w:p>
      <w:pPr>
        <w:pStyle w:val="Heading4"/>
      </w:pPr>
      <w:bookmarkStart w:id="181" w:name="_Toc425346185"/>
      <w:bookmarkStart w:id="182" w:name="_Toc425413844"/>
      <w:bookmarkStart w:id="183" w:name="_Toc497395065"/>
      <w:bookmarkStart w:id="184" w:name="_Toc504466039"/>
      <w:bookmarkStart w:id="185" w:name="_Toc504466462"/>
      <w:r>
        <w:t>Division 1 — Review of ratings by Regulatory Authority</w:t>
      </w:r>
      <w:bookmarkEnd w:id="181"/>
      <w:bookmarkEnd w:id="182"/>
      <w:bookmarkEnd w:id="183"/>
      <w:bookmarkEnd w:id="184"/>
      <w:bookmarkEnd w:id="185"/>
    </w:p>
    <w:p>
      <w:pPr>
        <w:pStyle w:val="Heading5"/>
      </w:pPr>
      <w:bookmarkStart w:id="186" w:name="_Toc504466463"/>
      <w:r>
        <w:rPr>
          <w:rStyle w:val="CharSectno"/>
        </w:rPr>
        <w:t>68</w:t>
      </w:r>
      <w:r>
        <w:t>.</w:t>
      </w:r>
      <w:r>
        <w:tab/>
        <w:t>Prescribed information for request for review of rating</w:t>
      </w:r>
      <w:bookmarkEnd w:id="186"/>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87" w:name="_Toc425346187"/>
      <w:bookmarkStart w:id="188" w:name="_Toc425413846"/>
      <w:bookmarkStart w:id="189" w:name="_Toc497395067"/>
      <w:bookmarkStart w:id="190" w:name="_Toc504466041"/>
      <w:bookmarkStart w:id="191" w:name="_Toc504466464"/>
      <w:r>
        <w:t>Division 2 — Review of ratings by Ratings Review Panel</w:t>
      </w:r>
      <w:bookmarkEnd w:id="187"/>
      <w:bookmarkEnd w:id="188"/>
      <w:bookmarkEnd w:id="189"/>
      <w:bookmarkEnd w:id="190"/>
      <w:bookmarkEnd w:id="191"/>
    </w:p>
    <w:p>
      <w:pPr>
        <w:pStyle w:val="Heading5"/>
      </w:pPr>
      <w:bookmarkStart w:id="192" w:name="_Toc504466465"/>
      <w:r>
        <w:rPr>
          <w:rStyle w:val="CharSectno"/>
        </w:rPr>
        <w:t>69</w:t>
      </w:r>
      <w:r>
        <w:t>.</w:t>
      </w:r>
      <w:r>
        <w:tab/>
        <w:t>Application for further review by Ratings Review Panel</w:t>
      </w:r>
      <w:bookmarkEnd w:id="192"/>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193" w:name="_Toc504466466"/>
      <w:r>
        <w:rPr>
          <w:rStyle w:val="CharSectno"/>
        </w:rPr>
        <w:t>70</w:t>
      </w:r>
      <w:r>
        <w:t>.</w:t>
      </w:r>
      <w:r>
        <w:tab/>
        <w:t>Prescribed areas of expertise or expert knowledge of Ratings Review Panel pool</w:t>
      </w:r>
      <w:bookmarkEnd w:id="193"/>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194" w:name="_Toc425346190"/>
      <w:bookmarkStart w:id="195" w:name="_Toc425413849"/>
      <w:bookmarkStart w:id="196" w:name="_Toc497395070"/>
      <w:bookmarkStart w:id="197" w:name="_Toc504466044"/>
      <w:bookmarkStart w:id="198" w:name="_Toc504466467"/>
      <w:r>
        <w:rPr>
          <w:rStyle w:val="CharDivNo"/>
        </w:rPr>
        <w:t>Part 3.5</w:t>
      </w:r>
      <w:r>
        <w:t> — </w:t>
      </w:r>
      <w:r>
        <w:rPr>
          <w:rStyle w:val="CharDivText"/>
        </w:rPr>
        <w:t>Highest rating</w:t>
      </w:r>
      <w:bookmarkEnd w:id="194"/>
      <w:bookmarkEnd w:id="195"/>
      <w:bookmarkEnd w:id="196"/>
      <w:bookmarkEnd w:id="197"/>
      <w:bookmarkEnd w:id="198"/>
    </w:p>
    <w:p>
      <w:pPr>
        <w:pStyle w:val="Heading5"/>
      </w:pPr>
      <w:bookmarkStart w:id="199" w:name="_Toc504466468"/>
      <w:r>
        <w:rPr>
          <w:rStyle w:val="CharSectno"/>
        </w:rPr>
        <w:t>71</w:t>
      </w:r>
      <w:r>
        <w:t>.</w:t>
      </w:r>
      <w:r>
        <w:tab/>
        <w:t>Application or reapplication for the highest rating</w:t>
      </w:r>
      <w:bookmarkEnd w:id="199"/>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200" w:name="_Toc425346192"/>
      <w:bookmarkStart w:id="201" w:name="_Toc425413851"/>
      <w:bookmarkStart w:id="202" w:name="_Toc497395072"/>
      <w:bookmarkStart w:id="203" w:name="_Toc504466046"/>
      <w:bookmarkStart w:id="204" w:name="_Toc504466469"/>
      <w:r>
        <w:rPr>
          <w:rStyle w:val="CharDivNo"/>
        </w:rPr>
        <w:t>Part 3.6</w:t>
      </w:r>
      <w:r>
        <w:t> — </w:t>
      </w:r>
      <w:r>
        <w:rPr>
          <w:rStyle w:val="CharDivText"/>
        </w:rPr>
        <w:t>Offences</w:t>
      </w:r>
      <w:bookmarkEnd w:id="200"/>
      <w:bookmarkEnd w:id="201"/>
      <w:bookmarkEnd w:id="202"/>
      <w:bookmarkEnd w:id="203"/>
      <w:bookmarkEnd w:id="204"/>
    </w:p>
    <w:p>
      <w:pPr>
        <w:pStyle w:val="Heading5"/>
      </w:pPr>
      <w:bookmarkStart w:id="205" w:name="_Toc504466470"/>
      <w:r>
        <w:rPr>
          <w:rStyle w:val="CharSectno"/>
        </w:rPr>
        <w:t>72</w:t>
      </w:r>
      <w:r>
        <w:t>.</w:t>
      </w:r>
      <w:r>
        <w:tab/>
        <w:t>Offences in relation to giving false or misleading statements about ratings</w:t>
      </w:r>
      <w:bookmarkEnd w:id="205"/>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Heading2"/>
      </w:pPr>
      <w:bookmarkStart w:id="206" w:name="_Toc425346194"/>
      <w:bookmarkStart w:id="207" w:name="_Toc425413853"/>
      <w:bookmarkStart w:id="208" w:name="_Toc497395074"/>
      <w:bookmarkStart w:id="209" w:name="_Toc504466048"/>
      <w:bookmarkStart w:id="210" w:name="_Toc504466471"/>
      <w:r>
        <w:rPr>
          <w:rStyle w:val="CharPartNo"/>
        </w:rPr>
        <w:t>Chapter 4</w:t>
      </w:r>
      <w:r>
        <w:rPr>
          <w:rStyle w:val="CharDivNo"/>
        </w:rPr>
        <w:t> </w:t>
      </w:r>
      <w:r>
        <w:t>—</w:t>
      </w:r>
      <w:r>
        <w:rPr>
          <w:rStyle w:val="CharDivText"/>
        </w:rPr>
        <w:t> </w:t>
      </w:r>
      <w:r>
        <w:rPr>
          <w:rStyle w:val="CharPartText"/>
        </w:rPr>
        <w:t>Operational requirements</w:t>
      </w:r>
      <w:bookmarkEnd w:id="206"/>
      <w:bookmarkEnd w:id="207"/>
      <w:bookmarkEnd w:id="208"/>
      <w:bookmarkEnd w:id="209"/>
      <w:bookmarkEnd w:id="210"/>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211" w:name="_Toc425346195"/>
      <w:bookmarkStart w:id="212" w:name="_Toc425413854"/>
      <w:bookmarkStart w:id="213" w:name="_Toc497395075"/>
      <w:bookmarkStart w:id="214" w:name="_Toc504466049"/>
      <w:bookmarkStart w:id="215" w:name="_Toc504466472"/>
      <w:r>
        <w:rPr>
          <w:rStyle w:val="CharDivNo"/>
        </w:rPr>
        <w:t>Part 4.1</w:t>
      </w:r>
      <w:r>
        <w:t> — </w:t>
      </w:r>
      <w:r>
        <w:rPr>
          <w:rStyle w:val="CharDivText"/>
        </w:rPr>
        <w:t>Educational program and practice</w:t>
      </w:r>
      <w:bookmarkEnd w:id="211"/>
      <w:bookmarkEnd w:id="212"/>
      <w:bookmarkEnd w:id="213"/>
      <w:bookmarkEnd w:id="214"/>
      <w:bookmarkEnd w:id="215"/>
    </w:p>
    <w:p>
      <w:pPr>
        <w:pStyle w:val="Heading5"/>
      </w:pPr>
      <w:bookmarkStart w:id="216" w:name="_Toc504466473"/>
      <w:r>
        <w:rPr>
          <w:rStyle w:val="CharSectno"/>
        </w:rPr>
        <w:t>73</w:t>
      </w:r>
      <w:r>
        <w:t>.</w:t>
      </w:r>
      <w:r>
        <w:tab/>
        <w:t>Educational program</w:t>
      </w:r>
      <w:bookmarkEnd w:id="216"/>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217" w:name="_Toc504466474"/>
      <w:r>
        <w:rPr>
          <w:rStyle w:val="CharSectno"/>
        </w:rPr>
        <w:t>74</w:t>
      </w:r>
      <w:r>
        <w:t>.</w:t>
      </w:r>
      <w:r>
        <w:tab/>
        <w:t>Documenting of child assessments or evaluations for delivery of educational program</w:t>
      </w:r>
      <w:bookmarkEnd w:id="217"/>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18" w:name="_Toc504466475"/>
      <w:r>
        <w:rPr>
          <w:rStyle w:val="CharSectno"/>
        </w:rPr>
        <w:t>75</w:t>
      </w:r>
      <w:r>
        <w:t>.</w:t>
      </w:r>
      <w:r>
        <w:tab/>
        <w:t>Information about educational program to be kept available</w:t>
      </w:r>
      <w:bookmarkEnd w:id="218"/>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75 of the national regulations made by the Ministerial Council.</w:t>
      </w:r>
    </w:p>
    <w:p>
      <w:pPr>
        <w:pStyle w:val="Footnotesection"/>
      </w:pPr>
      <w:r>
        <w:tab/>
        <w:t>[Regulation 75 amended in Gazette 28 Nov 2014 p. 4404.]</w:t>
      </w:r>
    </w:p>
    <w:p>
      <w:pPr>
        <w:pStyle w:val="Heading5"/>
      </w:pPr>
      <w:bookmarkStart w:id="219" w:name="_Toc504466476"/>
      <w:r>
        <w:rPr>
          <w:rStyle w:val="CharSectno"/>
        </w:rPr>
        <w:t>76</w:t>
      </w:r>
      <w:r>
        <w:t>.</w:t>
      </w:r>
      <w:r>
        <w:tab/>
        <w:t>Information about educational program to be given to parents</w:t>
      </w:r>
      <w:bookmarkEnd w:id="219"/>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220" w:name="_Toc425346200"/>
      <w:bookmarkStart w:id="221" w:name="_Toc425413859"/>
      <w:bookmarkStart w:id="222" w:name="_Toc497395080"/>
      <w:bookmarkStart w:id="223" w:name="_Toc504466054"/>
      <w:bookmarkStart w:id="224" w:name="_Toc504466477"/>
      <w:r>
        <w:rPr>
          <w:rStyle w:val="CharDivNo"/>
        </w:rPr>
        <w:t>Part 4.2</w:t>
      </w:r>
      <w:r>
        <w:t> — </w:t>
      </w:r>
      <w:r>
        <w:rPr>
          <w:rStyle w:val="CharDivText"/>
        </w:rPr>
        <w:t>Children’s health and safety</w:t>
      </w:r>
      <w:bookmarkEnd w:id="220"/>
      <w:bookmarkEnd w:id="221"/>
      <w:bookmarkEnd w:id="222"/>
      <w:bookmarkEnd w:id="223"/>
      <w:bookmarkEnd w:id="224"/>
    </w:p>
    <w:p>
      <w:pPr>
        <w:pStyle w:val="Heading4"/>
      </w:pPr>
      <w:bookmarkStart w:id="225" w:name="_Toc425346201"/>
      <w:bookmarkStart w:id="226" w:name="_Toc425413860"/>
      <w:bookmarkStart w:id="227" w:name="_Toc497395081"/>
      <w:bookmarkStart w:id="228" w:name="_Toc504466055"/>
      <w:bookmarkStart w:id="229" w:name="_Toc504466478"/>
      <w:r>
        <w:t>Division 1 — Health, safety and wellbeing of children</w:t>
      </w:r>
      <w:bookmarkEnd w:id="225"/>
      <w:bookmarkEnd w:id="226"/>
      <w:bookmarkEnd w:id="227"/>
      <w:bookmarkEnd w:id="228"/>
      <w:bookmarkEnd w:id="229"/>
    </w:p>
    <w:p>
      <w:pPr>
        <w:pStyle w:val="Heading5"/>
      </w:pPr>
      <w:bookmarkStart w:id="230" w:name="_Toc504466479"/>
      <w:r>
        <w:rPr>
          <w:rStyle w:val="CharSectno"/>
        </w:rPr>
        <w:t>77</w:t>
      </w:r>
      <w:r>
        <w:t>.</w:t>
      </w:r>
      <w:r>
        <w:tab/>
        <w:t>Health, hygiene and safe food practices</w:t>
      </w:r>
      <w:bookmarkEnd w:id="230"/>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31" w:name="_Toc504466480"/>
      <w:r>
        <w:rPr>
          <w:rStyle w:val="CharSectno"/>
        </w:rPr>
        <w:t>78</w:t>
      </w:r>
      <w:r>
        <w:t>.</w:t>
      </w:r>
      <w:r>
        <w:tab/>
        <w:t>Food and beverages</w:t>
      </w:r>
      <w:bookmarkEnd w:id="231"/>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32" w:name="_Toc504466481"/>
      <w:r>
        <w:rPr>
          <w:rStyle w:val="CharSectno"/>
        </w:rPr>
        <w:t>79</w:t>
      </w:r>
      <w:r>
        <w:t>.</w:t>
      </w:r>
      <w:r>
        <w:tab/>
        <w:t>Service providing food and beverages</w:t>
      </w:r>
      <w:bookmarkEnd w:id="232"/>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33" w:name="_Toc504466482"/>
      <w:r>
        <w:rPr>
          <w:rStyle w:val="CharSectno"/>
        </w:rPr>
        <w:t>80</w:t>
      </w:r>
      <w:r>
        <w:t>.</w:t>
      </w:r>
      <w:r>
        <w:tab/>
        <w:t>Weekly menu</w:t>
      </w:r>
      <w:bookmarkEnd w:id="233"/>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in Gazette 28 Nov 2014 p. 4404.]</w:t>
      </w:r>
    </w:p>
    <w:p>
      <w:pPr>
        <w:pStyle w:val="Heading5"/>
      </w:pPr>
      <w:bookmarkStart w:id="234" w:name="_Toc504466483"/>
      <w:r>
        <w:rPr>
          <w:rStyle w:val="CharSectno"/>
        </w:rPr>
        <w:t>81</w:t>
      </w:r>
      <w:r>
        <w:t>.</w:t>
      </w:r>
      <w:r>
        <w:tab/>
        <w:t>Sleep and rest</w:t>
      </w:r>
      <w:bookmarkEnd w:id="234"/>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35" w:name="_Toc504466484"/>
      <w:r>
        <w:rPr>
          <w:rStyle w:val="CharSectno"/>
        </w:rPr>
        <w:t>82</w:t>
      </w:r>
      <w:r>
        <w:t>.</w:t>
      </w:r>
      <w:r>
        <w:tab/>
        <w:t>Tobacco, drug and alcohol</w:t>
      </w:r>
      <w:r>
        <w:noBreakHyphen/>
        <w:t>free environment</w:t>
      </w:r>
      <w:bookmarkEnd w:id="235"/>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36" w:name="_Toc504466485"/>
      <w:r>
        <w:rPr>
          <w:rStyle w:val="CharSectno"/>
        </w:rPr>
        <w:t>83</w:t>
      </w:r>
      <w:r>
        <w:t>.</w:t>
      </w:r>
      <w:r>
        <w:tab/>
        <w:t>Staff members and family day care educators not to be affected by alcohol or drugs</w:t>
      </w:r>
      <w:bookmarkEnd w:id="236"/>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37" w:name="_Toc504466486"/>
      <w:r>
        <w:rPr>
          <w:rStyle w:val="CharSectno"/>
        </w:rPr>
        <w:t>84</w:t>
      </w:r>
      <w:r>
        <w:t>.</w:t>
      </w:r>
      <w:r>
        <w:tab/>
        <w:t>Awareness of child protection law</w:t>
      </w:r>
      <w:bookmarkEnd w:id="237"/>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38" w:name="_Toc425346210"/>
      <w:bookmarkStart w:id="239" w:name="_Toc425413869"/>
      <w:bookmarkStart w:id="240" w:name="_Toc497395090"/>
      <w:bookmarkStart w:id="241" w:name="_Toc504466064"/>
      <w:bookmarkStart w:id="242" w:name="_Toc504466487"/>
      <w:r>
        <w:t>Division 2 — Incidents, injury, trauma and illness</w:t>
      </w:r>
      <w:bookmarkEnd w:id="238"/>
      <w:bookmarkEnd w:id="239"/>
      <w:bookmarkEnd w:id="240"/>
      <w:bookmarkEnd w:id="241"/>
      <w:bookmarkEnd w:id="242"/>
    </w:p>
    <w:p>
      <w:pPr>
        <w:pStyle w:val="Heading5"/>
      </w:pPr>
      <w:bookmarkStart w:id="243" w:name="_Toc504466488"/>
      <w:r>
        <w:rPr>
          <w:rStyle w:val="CharSectno"/>
        </w:rPr>
        <w:t>85</w:t>
      </w:r>
      <w:r>
        <w:t>.</w:t>
      </w:r>
      <w:r>
        <w:tab/>
        <w:t>Incident, injury, trauma and illness policies and procedures</w:t>
      </w:r>
      <w:bookmarkEnd w:id="243"/>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244" w:name="_Toc504466489"/>
      <w:r>
        <w:rPr>
          <w:rStyle w:val="CharSectno"/>
        </w:rPr>
        <w:t>86</w:t>
      </w:r>
      <w:r>
        <w:t>.</w:t>
      </w:r>
      <w:r>
        <w:tab/>
        <w:t>Notification to parents of incident, injury, trauma and illness</w:t>
      </w:r>
      <w:bookmarkEnd w:id="244"/>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in Gazette 28 Nov 2014 p. 4404.]</w:t>
      </w:r>
    </w:p>
    <w:p>
      <w:pPr>
        <w:pStyle w:val="Heading5"/>
      </w:pPr>
      <w:bookmarkStart w:id="245" w:name="_Toc504466490"/>
      <w:r>
        <w:rPr>
          <w:rStyle w:val="CharSectno"/>
        </w:rPr>
        <w:t>87</w:t>
      </w:r>
      <w:r>
        <w:t>.</w:t>
      </w:r>
      <w:r>
        <w:tab/>
        <w:t>Incident, injury, trauma and illness record</w:t>
      </w:r>
      <w:bookmarkEnd w:id="245"/>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246" w:name="_Toc504466491"/>
      <w:r>
        <w:rPr>
          <w:rStyle w:val="CharSectno"/>
        </w:rPr>
        <w:t>88</w:t>
      </w:r>
      <w:r>
        <w:t>.</w:t>
      </w:r>
      <w:r>
        <w:tab/>
        <w:t>Infectious diseases</w:t>
      </w:r>
      <w:bookmarkEnd w:id="246"/>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247" w:name="_Toc504466492"/>
      <w:r>
        <w:rPr>
          <w:rStyle w:val="CharSectno"/>
        </w:rPr>
        <w:t>89</w:t>
      </w:r>
      <w:r>
        <w:t>.</w:t>
      </w:r>
      <w:r>
        <w:tab/>
        <w:t>First aid kits</w:t>
      </w:r>
      <w:bookmarkEnd w:id="247"/>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248" w:name="_Toc425346216"/>
      <w:bookmarkStart w:id="249" w:name="_Toc425413875"/>
      <w:bookmarkStart w:id="250" w:name="_Toc497395096"/>
      <w:bookmarkStart w:id="251" w:name="_Toc504466070"/>
      <w:bookmarkStart w:id="252" w:name="_Toc504466493"/>
      <w:r>
        <w:t>Division 3 — Medical conditions policy</w:t>
      </w:r>
      <w:bookmarkEnd w:id="248"/>
      <w:bookmarkEnd w:id="249"/>
      <w:bookmarkEnd w:id="250"/>
      <w:bookmarkEnd w:id="251"/>
      <w:bookmarkEnd w:id="252"/>
    </w:p>
    <w:p>
      <w:pPr>
        <w:pStyle w:val="Heading5"/>
      </w:pPr>
      <w:bookmarkStart w:id="253" w:name="_Toc504466494"/>
      <w:r>
        <w:rPr>
          <w:rStyle w:val="CharSectno"/>
        </w:rPr>
        <w:t>90</w:t>
      </w:r>
      <w:r>
        <w:t>.</w:t>
      </w:r>
      <w:r>
        <w:tab/>
        <w:t>Medical conditions policy</w:t>
      </w:r>
      <w:bookmarkEnd w:id="253"/>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254" w:name="_Toc504466495"/>
      <w:r>
        <w:rPr>
          <w:rStyle w:val="CharSectno"/>
        </w:rPr>
        <w:t>91</w:t>
      </w:r>
      <w:r>
        <w:t>.</w:t>
      </w:r>
      <w:r>
        <w:tab/>
        <w:t>Medical conditions policy to be provided to parents</w:t>
      </w:r>
      <w:bookmarkEnd w:id="254"/>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55" w:name="_Toc425346219"/>
      <w:bookmarkStart w:id="256" w:name="_Toc425413878"/>
      <w:bookmarkStart w:id="257" w:name="_Toc497395099"/>
      <w:bookmarkStart w:id="258" w:name="_Toc504466073"/>
      <w:bookmarkStart w:id="259" w:name="_Toc504466496"/>
      <w:r>
        <w:t>Division 4 — Administration of medication</w:t>
      </w:r>
      <w:bookmarkEnd w:id="255"/>
      <w:bookmarkEnd w:id="256"/>
      <w:bookmarkEnd w:id="257"/>
      <w:bookmarkEnd w:id="258"/>
      <w:bookmarkEnd w:id="259"/>
    </w:p>
    <w:p>
      <w:pPr>
        <w:pStyle w:val="Heading5"/>
      </w:pPr>
      <w:bookmarkStart w:id="260" w:name="_Toc504466497"/>
      <w:r>
        <w:rPr>
          <w:rStyle w:val="CharSectno"/>
        </w:rPr>
        <w:t>92</w:t>
      </w:r>
      <w:r>
        <w:t>.</w:t>
      </w:r>
      <w:r>
        <w:tab/>
        <w:t>Medication record</w:t>
      </w:r>
      <w:bookmarkEnd w:id="260"/>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in Gazette 28 Nov 2014 p. 4404.]</w:t>
      </w:r>
    </w:p>
    <w:p>
      <w:pPr>
        <w:pStyle w:val="Heading5"/>
      </w:pPr>
      <w:bookmarkStart w:id="261" w:name="_Toc504466498"/>
      <w:r>
        <w:rPr>
          <w:rStyle w:val="CharSectno"/>
        </w:rPr>
        <w:t>93</w:t>
      </w:r>
      <w:r>
        <w:t>.</w:t>
      </w:r>
      <w:r>
        <w:tab/>
        <w:t>Administration of medication</w:t>
      </w:r>
      <w:bookmarkEnd w:id="261"/>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Heading5"/>
        <w:spacing w:before="200"/>
      </w:pPr>
      <w:bookmarkStart w:id="262" w:name="_Toc504466499"/>
      <w:r>
        <w:rPr>
          <w:rStyle w:val="CharSectno"/>
        </w:rPr>
        <w:t>94</w:t>
      </w:r>
      <w:r>
        <w:t>.</w:t>
      </w:r>
      <w:r>
        <w:tab/>
        <w:t>Exception to authorisation requirement — anaphylaxis or asthma emergency</w:t>
      </w:r>
      <w:bookmarkEnd w:id="262"/>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in Gazette 28 Nov 2014 p. 4405.]</w:t>
      </w:r>
    </w:p>
    <w:p>
      <w:pPr>
        <w:pStyle w:val="Heading5"/>
      </w:pPr>
      <w:bookmarkStart w:id="263" w:name="_Toc504466500"/>
      <w:r>
        <w:rPr>
          <w:rStyle w:val="CharSectno"/>
        </w:rPr>
        <w:t>95</w:t>
      </w:r>
      <w:r>
        <w:t>.</w:t>
      </w:r>
      <w:r>
        <w:tab/>
        <w:t>Procedure for administration of medication</w:t>
      </w:r>
      <w:bookmarkEnd w:id="263"/>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264" w:name="_Toc504466501"/>
      <w:r>
        <w:rPr>
          <w:rStyle w:val="CharSectno"/>
        </w:rPr>
        <w:t>96</w:t>
      </w:r>
      <w:r>
        <w:t>.</w:t>
      </w:r>
      <w:r>
        <w:tab/>
        <w:t>Self</w:t>
      </w:r>
      <w:r>
        <w:noBreakHyphen/>
        <w:t>administration of medication</w:t>
      </w:r>
      <w:bookmarkEnd w:id="264"/>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265" w:name="_Toc425346225"/>
      <w:bookmarkStart w:id="266" w:name="_Toc425413884"/>
      <w:bookmarkStart w:id="267" w:name="_Toc497395105"/>
      <w:bookmarkStart w:id="268" w:name="_Toc504466079"/>
      <w:bookmarkStart w:id="269" w:name="_Toc504466502"/>
      <w:r>
        <w:t>Division 5 — Emergencies and communication</w:t>
      </w:r>
      <w:bookmarkEnd w:id="265"/>
      <w:bookmarkEnd w:id="266"/>
      <w:bookmarkEnd w:id="267"/>
      <w:bookmarkEnd w:id="268"/>
      <w:bookmarkEnd w:id="269"/>
    </w:p>
    <w:p>
      <w:pPr>
        <w:pStyle w:val="Heading5"/>
      </w:pPr>
      <w:bookmarkStart w:id="270" w:name="_Toc504466503"/>
      <w:r>
        <w:rPr>
          <w:rStyle w:val="CharSectno"/>
        </w:rPr>
        <w:t>97</w:t>
      </w:r>
      <w:r>
        <w:t>.</w:t>
      </w:r>
      <w:r>
        <w:tab/>
        <w:t>Emergency and evacuation procedures</w:t>
      </w:r>
      <w:bookmarkEnd w:id="270"/>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in Gazette 13 Dec 2013 p.</w:t>
      </w:r>
      <w:r>
        <w:rPr>
          <w:sz w:val="19"/>
        </w:rPr>
        <w:t> </w:t>
      </w:r>
      <w:r>
        <w:t>6158</w:t>
      </w:r>
      <w:r>
        <w:noBreakHyphen/>
        <w:t>9.]</w:t>
      </w:r>
    </w:p>
    <w:p>
      <w:pPr>
        <w:pStyle w:val="Heading5"/>
      </w:pPr>
      <w:bookmarkStart w:id="271" w:name="_Toc504466504"/>
      <w:r>
        <w:rPr>
          <w:rStyle w:val="CharSectno"/>
        </w:rPr>
        <w:t>98</w:t>
      </w:r>
      <w:r>
        <w:t>.</w:t>
      </w:r>
      <w:r>
        <w:tab/>
        <w:t>Telephone or other communication equipment</w:t>
      </w:r>
      <w:bookmarkEnd w:id="271"/>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in Gazette 28 Nov 2014 p. 4405.]</w:t>
      </w:r>
    </w:p>
    <w:p>
      <w:pPr>
        <w:pStyle w:val="Heading4"/>
        <w:keepLines/>
      </w:pPr>
      <w:bookmarkStart w:id="272" w:name="_Toc425346228"/>
      <w:bookmarkStart w:id="273" w:name="_Toc425413887"/>
      <w:bookmarkStart w:id="274" w:name="_Toc497395108"/>
      <w:bookmarkStart w:id="275" w:name="_Toc504466082"/>
      <w:bookmarkStart w:id="276" w:name="_Toc504466505"/>
      <w:r>
        <w:t>Division 6 — Collection of children from premises and excursions</w:t>
      </w:r>
      <w:bookmarkEnd w:id="272"/>
      <w:bookmarkEnd w:id="273"/>
      <w:bookmarkEnd w:id="274"/>
      <w:bookmarkEnd w:id="275"/>
      <w:bookmarkEnd w:id="276"/>
    </w:p>
    <w:p>
      <w:pPr>
        <w:pStyle w:val="Heading5"/>
      </w:pPr>
      <w:bookmarkStart w:id="277" w:name="_Toc504466506"/>
      <w:r>
        <w:rPr>
          <w:rStyle w:val="CharSectno"/>
        </w:rPr>
        <w:t>99</w:t>
      </w:r>
      <w:r>
        <w:t>.</w:t>
      </w:r>
      <w:r>
        <w:tab/>
        <w:t>Children leaving the education and care service premises</w:t>
      </w:r>
      <w:bookmarkEnd w:id="277"/>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278" w:name="_Toc504466507"/>
      <w:r>
        <w:rPr>
          <w:rStyle w:val="CharSectno"/>
        </w:rPr>
        <w:t>100</w:t>
      </w:r>
      <w:r>
        <w:t>.</w:t>
      </w:r>
      <w:r>
        <w:tab/>
        <w:t>Risk assessment must be conducted before excursion</w:t>
      </w:r>
      <w:bookmarkEnd w:id="278"/>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in Gazette 3 Nov 2017 p. 5482.]</w:t>
      </w:r>
    </w:p>
    <w:p>
      <w:pPr>
        <w:pStyle w:val="Heading5"/>
      </w:pPr>
      <w:bookmarkStart w:id="279" w:name="_Toc504466508"/>
      <w:r>
        <w:rPr>
          <w:rStyle w:val="CharSectno"/>
        </w:rPr>
        <w:t>101</w:t>
      </w:r>
      <w:r>
        <w:t>.</w:t>
      </w:r>
      <w:r>
        <w:tab/>
        <w:t>Conduct of risk assessment for excursion</w:t>
      </w:r>
      <w:bookmarkEnd w:id="279"/>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Heading5"/>
      </w:pPr>
      <w:bookmarkStart w:id="280" w:name="_Toc504466509"/>
      <w:r>
        <w:rPr>
          <w:rStyle w:val="CharSectno"/>
        </w:rPr>
        <w:t>102</w:t>
      </w:r>
      <w:r>
        <w:t>.</w:t>
      </w:r>
      <w:r>
        <w:tab/>
        <w:t>Authorisation for excursions</w:t>
      </w:r>
      <w:bookmarkEnd w:id="280"/>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281" w:name="_Toc425346233"/>
      <w:bookmarkStart w:id="282" w:name="_Toc425413892"/>
      <w:bookmarkStart w:id="283" w:name="_Toc497395113"/>
      <w:bookmarkStart w:id="284" w:name="_Toc504466087"/>
      <w:bookmarkStart w:id="285" w:name="_Toc504466510"/>
      <w:r>
        <w:rPr>
          <w:rStyle w:val="CharDivNo"/>
        </w:rPr>
        <w:t>Part 4.3</w:t>
      </w:r>
      <w:r>
        <w:t> — </w:t>
      </w:r>
      <w:r>
        <w:rPr>
          <w:rStyle w:val="CharDivText"/>
        </w:rPr>
        <w:t>Physical environment</w:t>
      </w:r>
      <w:bookmarkEnd w:id="281"/>
      <w:bookmarkEnd w:id="282"/>
      <w:bookmarkEnd w:id="283"/>
      <w:bookmarkEnd w:id="284"/>
      <w:bookmarkEnd w:id="285"/>
    </w:p>
    <w:p>
      <w:pPr>
        <w:pStyle w:val="Heading4"/>
      </w:pPr>
      <w:bookmarkStart w:id="286" w:name="_Toc425346234"/>
      <w:bookmarkStart w:id="287" w:name="_Toc425413893"/>
      <w:bookmarkStart w:id="288" w:name="_Toc497395114"/>
      <w:bookmarkStart w:id="289" w:name="_Toc504466088"/>
      <w:bookmarkStart w:id="290" w:name="_Toc504466511"/>
      <w:r>
        <w:t>Division 1 — Centre</w:t>
      </w:r>
      <w:r>
        <w:noBreakHyphen/>
        <w:t>based services and family day care services</w:t>
      </w:r>
      <w:bookmarkEnd w:id="286"/>
      <w:bookmarkEnd w:id="287"/>
      <w:bookmarkEnd w:id="288"/>
      <w:bookmarkEnd w:id="289"/>
      <w:bookmarkEnd w:id="290"/>
    </w:p>
    <w:p>
      <w:pPr>
        <w:pStyle w:val="Heading5"/>
      </w:pPr>
      <w:bookmarkStart w:id="291" w:name="_Toc504466512"/>
      <w:r>
        <w:rPr>
          <w:rStyle w:val="CharSectno"/>
        </w:rPr>
        <w:t>103</w:t>
      </w:r>
      <w:r>
        <w:t>.</w:t>
      </w:r>
      <w:r>
        <w:tab/>
        <w:t>Premises, furniture and equipment to be safe, clean and in good repair</w:t>
      </w:r>
      <w:bookmarkEnd w:id="291"/>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92" w:name="_Toc504466513"/>
      <w:r>
        <w:rPr>
          <w:rStyle w:val="CharSectno"/>
        </w:rPr>
        <w:t>104</w:t>
      </w:r>
      <w:r>
        <w:t>.</w:t>
      </w:r>
      <w:r>
        <w:tab/>
        <w:t>Fencing</w:t>
      </w:r>
      <w:bookmarkEnd w:id="292"/>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104 amended in Gazette 28 Nov 2014 p. 4405.]</w:t>
      </w:r>
    </w:p>
    <w:p>
      <w:pPr>
        <w:pStyle w:val="Heading5"/>
      </w:pPr>
      <w:bookmarkStart w:id="293" w:name="_Toc504466514"/>
      <w:r>
        <w:rPr>
          <w:rStyle w:val="CharSectno"/>
        </w:rPr>
        <w:t>105</w:t>
      </w:r>
      <w:r>
        <w:t>.</w:t>
      </w:r>
      <w:r>
        <w:tab/>
        <w:t>Furniture, materials and equipment</w:t>
      </w:r>
      <w:bookmarkEnd w:id="293"/>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94" w:name="_Toc504466515"/>
      <w:r>
        <w:rPr>
          <w:rStyle w:val="CharSectno"/>
        </w:rPr>
        <w:t>106</w:t>
      </w:r>
      <w:r>
        <w:t>.</w:t>
      </w:r>
      <w:r>
        <w:tab/>
        <w:t>Laundry and hygiene facilities</w:t>
      </w:r>
      <w:bookmarkEnd w:id="294"/>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295" w:name="_Toc504466516"/>
      <w:r>
        <w:rPr>
          <w:rStyle w:val="CharSectno"/>
        </w:rPr>
        <w:t>107</w:t>
      </w:r>
      <w:r>
        <w:t>.</w:t>
      </w:r>
      <w:r>
        <w:tab/>
        <w:t>Space requirements — indoor space</w:t>
      </w:r>
      <w:bookmarkEnd w:id="295"/>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in Gazette 13 Dec 2013 p.</w:t>
      </w:r>
      <w:r>
        <w:rPr>
          <w:sz w:val="19"/>
        </w:rPr>
        <w:t> </w:t>
      </w:r>
      <w:r>
        <w:t>6159.]</w:t>
      </w:r>
    </w:p>
    <w:p>
      <w:pPr>
        <w:pStyle w:val="Heading5"/>
      </w:pPr>
      <w:bookmarkStart w:id="296" w:name="_Toc504466517"/>
      <w:r>
        <w:rPr>
          <w:rStyle w:val="CharSectno"/>
        </w:rPr>
        <w:t>108</w:t>
      </w:r>
      <w:r>
        <w:t>.</w:t>
      </w:r>
      <w:r>
        <w:tab/>
        <w:t>Space requirements — outdoor space</w:t>
      </w:r>
      <w:bookmarkEnd w:id="296"/>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in Gazette 13 Dec 2013 p.</w:t>
      </w:r>
      <w:r>
        <w:rPr>
          <w:sz w:val="19"/>
        </w:rPr>
        <w:t> </w:t>
      </w:r>
      <w:r>
        <w:t>6159.]</w:t>
      </w:r>
    </w:p>
    <w:p>
      <w:pPr>
        <w:pStyle w:val="Heading5"/>
      </w:pPr>
      <w:bookmarkStart w:id="297" w:name="_Toc504466518"/>
      <w:r>
        <w:rPr>
          <w:rStyle w:val="CharSectno"/>
        </w:rPr>
        <w:t>109</w:t>
      </w:r>
      <w:r>
        <w:t>.</w:t>
      </w:r>
      <w:r>
        <w:tab/>
        <w:t>Toilet and hygiene facilities</w:t>
      </w:r>
      <w:bookmarkEnd w:id="297"/>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298" w:name="_Toc504466519"/>
      <w:r>
        <w:rPr>
          <w:rStyle w:val="CharSectno"/>
        </w:rPr>
        <w:t>110</w:t>
      </w:r>
      <w:r>
        <w:t>.</w:t>
      </w:r>
      <w:r>
        <w:tab/>
        <w:t>Ventilation and natural light</w:t>
      </w:r>
      <w:bookmarkEnd w:id="298"/>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99" w:name="_Toc425346243"/>
      <w:bookmarkStart w:id="300" w:name="_Toc425413902"/>
      <w:bookmarkStart w:id="301" w:name="_Toc497395123"/>
      <w:bookmarkStart w:id="302" w:name="_Toc504466097"/>
      <w:bookmarkStart w:id="303" w:name="_Toc504466520"/>
      <w:r>
        <w:t>Division 2 — Additional requirements for centre</w:t>
      </w:r>
      <w:r>
        <w:noBreakHyphen/>
        <w:t>based services</w:t>
      </w:r>
      <w:bookmarkEnd w:id="299"/>
      <w:bookmarkEnd w:id="300"/>
      <w:bookmarkEnd w:id="301"/>
      <w:bookmarkEnd w:id="302"/>
      <w:bookmarkEnd w:id="303"/>
    </w:p>
    <w:p>
      <w:pPr>
        <w:pStyle w:val="Heading5"/>
      </w:pPr>
      <w:bookmarkStart w:id="304" w:name="_Toc504466521"/>
      <w:r>
        <w:rPr>
          <w:rStyle w:val="CharSectno"/>
        </w:rPr>
        <w:t>111</w:t>
      </w:r>
      <w:r>
        <w:t>.</w:t>
      </w:r>
      <w:r>
        <w:tab/>
        <w:t>Administrative space</w:t>
      </w:r>
      <w:bookmarkEnd w:id="304"/>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in Gazette 28 Nov 2014 p. 4405.]</w:t>
      </w:r>
    </w:p>
    <w:p>
      <w:pPr>
        <w:pStyle w:val="Heading5"/>
      </w:pPr>
      <w:bookmarkStart w:id="305" w:name="_Toc504466522"/>
      <w:r>
        <w:rPr>
          <w:rStyle w:val="CharSectno"/>
        </w:rPr>
        <w:t>112</w:t>
      </w:r>
      <w:r>
        <w:t>.</w:t>
      </w:r>
      <w:r>
        <w:tab/>
        <w:t>Nappy change facilities</w:t>
      </w:r>
      <w:bookmarkEnd w:id="305"/>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306" w:name="_Toc504466523"/>
      <w:r>
        <w:rPr>
          <w:rStyle w:val="CharSectno"/>
        </w:rPr>
        <w:t>113</w:t>
      </w:r>
      <w:r>
        <w:t>.</w:t>
      </w:r>
      <w:r>
        <w:tab/>
        <w:t>Outdoor space — natural environment</w:t>
      </w:r>
      <w:bookmarkEnd w:id="306"/>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07" w:name="_Toc504466524"/>
      <w:r>
        <w:rPr>
          <w:rStyle w:val="CharSectno"/>
        </w:rPr>
        <w:t>114</w:t>
      </w:r>
      <w:r>
        <w:t>.</w:t>
      </w:r>
      <w:r>
        <w:tab/>
        <w:t>Outdoor space — shade</w:t>
      </w:r>
      <w:bookmarkEnd w:id="307"/>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08" w:name="_Toc504466525"/>
      <w:r>
        <w:rPr>
          <w:rStyle w:val="CharSectno"/>
        </w:rPr>
        <w:t>115</w:t>
      </w:r>
      <w:r>
        <w:t>.</w:t>
      </w:r>
      <w:r>
        <w:tab/>
        <w:t>Premises designed to facilitate supervision</w:t>
      </w:r>
      <w:bookmarkEnd w:id="308"/>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09" w:name="_Toc425346249"/>
      <w:bookmarkStart w:id="310" w:name="_Toc425413908"/>
      <w:bookmarkStart w:id="311" w:name="_Toc497395129"/>
      <w:bookmarkStart w:id="312" w:name="_Toc504466103"/>
      <w:bookmarkStart w:id="313" w:name="_Toc504466526"/>
      <w:r>
        <w:t>Division 3 — Additional provisions for family day care services</w:t>
      </w:r>
      <w:bookmarkEnd w:id="309"/>
      <w:bookmarkEnd w:id="310"/>
      <w:bookmarkEnd w:id="311"/>
      <w:bookmarkEnd w:id="312"/>
      <w:bookmarkEnd w:id="313"/>
    </w:p>
    <w:p>
      <w:pPr>
        <w:pStyle w:val="Heading5"/>
      </w:pPr>
      <w:bookmarkStart w:id="314" w:name="_Toc504466527"/>
      <w:r>
        <w:rPr>
          <w:rStyle w:val="CharSectno"/>
        </w:rPr>
        <w:t>116</w:t>
      </w:r>
      <w:r>
        <w:t>.</w:t>
      </w:r>
      <w:r>
        <w:tab/>
        <w:t>Assessments of family day care residences and approved family day care venues</w:t>
      </w:r>
      <w:bookmarkEnd w:id="314"/>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spacing w:before="120"/>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15" w:name="_Toc504466528"/>
      <w:r>
        <w:rPr>
          <w:rStyle w:val="CharSectno"/>
        </w:rPr>
        <w:t>117</w:t>
      </w:r>
      <w:r>
        <w:t>.</w:t>
      </w:r>
      <w:r>
        <w:tab/>
        <w:t>Glass</w:t>
      </w:r>
      <w:bookmarkEnd w:id="315"/>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in Gazette 28 Nov 2014 p. 4406.]</w:t>
      </w:r>
    </w:p>
    <w:p>
      <w:pPr>
        <w:pStyle w:val="Heading3"/>
      </w:pPr>
      <w:bookmarkStart w:id="316" w:name="_Toc425346252"/>
      <w:bookmarkStart w:id="317" w:name="_Toc425413911"/>
      <w:bookmarkStart w:id="318" w:name="_Toc497395132"/>
      <w:bookmarkStart w:id="319" w:name="_Toc504466106"/>
      <w:bookmarkStart w:id="320" w:name="_Toc504466529"/>
      <w:r>
        <w:rPr>
          <w:rStyle w:val="CharDivNo"/>
        </w:rPr>
        <w:t>Part 4.4</w:t>
      </w:r>
      <w:r>
        <w:t> — </w:t>
      </w:r>
      <w:r>
        <w:rPr>
          <w:rStyle w:val="CharDivText"/>
        </w:rPr>
        <w:t>Staffing arrangements</w:t>
      </w:r>
      <w:bookmarkEnd w:id="316"/>
      <w:bookmarkEnd w:id="317"/>
      <w:bookmarkEnd w:id="318"/>
      <w:bookmarkEnd w:id="319"/>
      <w:bookmarkEnd w:id="320"/>
    </w:p>
    <w:p>
      <w:pPr>
        <w:pStyle w:val="Heading4"/>
      </w:pPr>
      <w:bookmarkStart w:id="321" w:name="_Toc425346253"/>
      <w:bookmarkStart w:id="322" w:name="_Toc425413912"/>
      <w:bookmarkStart w:id="323" w:name="_Toc497395133"/>
      <w:bookmarkStart w:id="324" w:name="_Toc504466107"/>
      <w:bookmarkStart w:id="325" w:name="_Toc504466530"/>
      <w:r>
        <w:t>Division 1 — Educational leader</w:t>
      </w:r>
      <w:bookmarkEnd w:id="321"/>
      <w:bookmarkEnd w:id="322"/>
      <w:bookmarkEnd w:id="323"/>
      <w:bookmarkEnd w:id="324"/>
      <w:bookmarkEnd w:id="325"/>
    </w:p>
    <w:p>
      <w:pPr>
        <w:pStyle w:val="Heading5"/>
      </w:pPr>
      <w:bookmarkStart w:id="326" w:name="_Toc504466531"/>
      <w:r>
        <w:rPr>
          <w:rStyle w:val="CharSectno"/>
        </w:rPr>
        <w:t>118</w:t>
      </w:r>
      <w:r>
        <w:t>.</w:t>
      </w:r>
      <w:r>
        <w:tab/>
        <w:t>Educational leader</w:t>
      </w:r>
      <w:bookmarkEnd w:id="326"/>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27" w:name="_Toc425346255"/>
      <w:bookmarkStart w:id="328" w:name="_Toc425413914"/>
      <w:bookmarkStart w:id="329" w:name="_Toc497395135"/>
      <w:bookmarkStart w:id="330" w:name="_Toc504466109"/>
      <w:bookmarkStart w:id="331" w:name="_Toc504466532"/>
      <w:r>
        <w:t>Division 2 — Age and supervision requirements</w:t>
      </w:r>
      <w:bookmarkEnd w:id="327"/>
      <w:bookmarkEnd w:id="328"/>
      <w:bookmarkEnd w:id="329"/>
      <w:bookmarkEnd w:id="330"/>
      <w:bookmarkEnd w:id="331"/>
    </w:p>
    <w:p>
      <w:pPr>
        <w:pStyle w:val="Heading5"/>
      </w:pPr>
      <w:bookmarkStart w:id="332" w:name="_Toc504466533"/>
      <w:r>
        <w:rPr>
          <w:rStyle w:val="CharSectno"/>
        </w:rPr>
        <w:t>119</w:t>
      </w:r>
      <w:r>
        <w:t>.</w:t>
      </w:r>
      <w:r>
        <w:tab/>
        <w:t>Family day care educator and family day care educator assistant to be at least 18 years old</w:t>
      </w:r>
      <w:bookmarkEnd w:id="332"/>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33" w:name="_Toc504466534"/>
      <w:r>
        <w:rPr>
          <w:rStyle w:val="CharSectno"/>
        </w:rPr>
        <w:t>120</w:t>
      </w:r>
      <w:r>
        <w:t>.</w:t>
      </w:r>
      <w:r>
        <w:tab/>
        <w:t>Educators who are under 18 to be supervised</w:t>
      </w:r>
      <w:bookmarkEnd w:id="333"/>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34" w:name="_Toc425346258"/>
      <w:bookmarkStart w:id="335" w:name="_Toc425413917"/>
      <w:bookmarkStart w:id="336" w:name="_Toc497395138"/>
      <w:bookmarkStart w:id="337" w:name="_Toc504466112"/>
      <w:bookmarkStart w:id="338" w:name="_Toc504466535"/>
      <w:r>
        <w:t>Division 3 — Minimum number of educators required</w:t>
      </w:r>
      <w:bookmarkEnd w:id="334"/>
      <w:bookmarkEnd w:id="335"/>
      <w:bookmarkEnd w:id="336"/>
      <w:bookmarkEnd w:id="337"/>
      <w:bookmarkEnd w:id="338"/>
    </w:p>
    <w:p>
      <w:pPr>
        <w:pStyle w:val="Heading5"/>
      </w:pPr>
      <w:bookmarkStart w:id="339" w:name="_Toc504466536"/>
      <w:r>
        <w:rPr>
          <w:rStyle w:val="CharSectno"/>
        </w:rPr>
        <w:t>121</w:t>
      </w:r>
      <w:r>
        <w:t>.</w:t>
      </w:r>
      <w:r>
        <w:tab/>
        <w:t>Application of Division 3</w:t>
      </w:r>
      <w:bookmarkEnd w:id="339"/>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340" w:name="_Toc504466537"/>
      <w:r>
        <w:rPr>
          <w:rStyle w:val="CharSectno"/>
        </w:rPr>
        <w:t>122</w:t>
      </w:r>
      <w:r>
        <w:t>.</w:t>
      </w:r>
      <w:r>
        <w:tab/>
        <w:t>Educators must be working directly with children to be included in ratios</w:t>
      </w:r>
      <w:bookmarkEnd w:id="340"/>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341" w:name="_Toc504466538"/>
      <w:r>
        <w:rPr>
          <w:rStyle w:val="CharSectno"/>
        </w:rPr>
        <w:t>123</w:t>
      </w:r>
      <w:r>
        <w:t>.</w:t>
      </w:r>
      <w:r>
        <w:tab/>
        <w:t>Educator to child ratios — centre</w:t>
      </w:r>
      <w:r>
        <w:noBreakHyphen/>
        <w:t>based services</w:t>
      </w:r>
      <w:bookmarkEnd w:id="341"/>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regulations 372 and 374.</w:t>
      </w:r>
    </w:p>
    <w:p>
      <w:pPr>
        <w:pStyle w:val="Footnotesection"/>
      </w:pPr>
      <w:r>
        <w:tab/>
        <w:t>[Regulation 123 amended in Gazette 5 Mar 2013 p. 1108; 13 Dec 2013 p.</w:t>
      </w:r>
      <w:r>
        <w:rPr>
          <w:sz w:val="19"/>
        </w:rPr>
        <w:t> </w:t>
      </w:r>
      <w:r>
        <w:t>6160</w:t>
      </w:r>
      <w:r>
        <w:noBreakHyphen/>
        <w:t>1; 3 Jul 2015 p. 2667</w:t>
      </w:r>
      <w:r>
        <w:noBreakHyphen/>
        <w:t>8.]</w:t>
      </w:r>
    </w:p>
    <w:p>
      <w:pPr>
        <w:pStyle w:val="Heading5"/>
      </w:pPr>
      <w:bookmarkStart w:id="342" w:name="_Toc504466539"/>
      <w:r>
        <w:rPr>
          <w:rStyle w:val="CharSectno"/>
        </w:rPr>
        <w:t>124</w:t>
      </w:r>
      <w:r>
        <w:t>.</w:t>
      </w:r>
      <w:r>
        <w:tab/>
        <w:t>Number of children who can be educated and cared for — family day care educator</w:t>
      </w:r>
      <w:bookmarkEnd w:id="342"/>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343" w:name="_Toc425346263"/>
      <w:bookmarkStart w:id="344" w:name="_Toc425413922"/>
      <w:bookmarkStart w:id="345" w:name="_Toc497395143"/>
      <w:bookmarkStart w:id="346" w:name="_Toc504466117"/>
      <w:bookmarkStart w:id="347" w:name="_Toc504466540"/>
      <w:r>
        <w:t>Division 4 — Educational qualifications for educators</w:t>
      </w:r>
      <w:bookmarkEnd w:id="343"/>
      <w:bookmarkEnd w:id="344"/>
      <w:bookmarkEnd w:id="345"/>
      <w:bookmarkEnd w:id="346"/>
      <w:bookmarkEnd w:id="347"/>
    </w:p>
    <w:p>
      <w:pPr>
        <w:pStyle w:val="Heading5"/>
        <w:spacing w:before="200"/>
      </w:pPr>
      <w:bookmarkStart w:id="348" w:name="_Toc504466541"/>
      <w:r>
        <w:rPr>
          <w:rStyle w:val="CharSectno"/>
        </w:rPr>
        <w:t>125</w:t>
      </w:r>
      <w:r>
        <w:t>.</w:t>
      </w:r>
      <w:r>
        <w:tab/>
        <w:t>Application of Division 4</w:t>
      </w:r>
      <w:bookmarkEnd w:id="348"/>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349" w:name="_Toc504466542"/>
      <w:r>
        <w:rPr>
          <w:rStyle w:val="CharSectno"/>
        </w:rPr>
        <w:t>126</w:t>
      </w:r>
      <w:r>
        <w:t>.</w:t>
      </w:r>
      <w:r>
        <w:tab/>
        <w:t>Centre</w:t>
      </w:r>
      <w:r>
        <w:noBreakHyphen/>
        <w:t>based services — general educator qualifications</w:t>
      </w:r>
      <w:bookmarkEnd w:id="349"/>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 or South Australia.</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135(1)(b),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can be included in determining the number of educators who have an approved diploma level education and care qualification if the teacher is working directly with children.</w:t>
      </w:r>
    </w:p>
    <w:p>
      <w:pPr>
        <w:pStyle w:val="Footnotesection"/>
      </w:pPr>
      <w:r>
        <w:tab/>
        <w:t>[Regulation 126 amended in Gazette 28 Nov 2014 p. 4406.]</w:t>
      </w:r>
    </w:p>
    <w:p>
      <w:pPr>
        <w:pStyle w:val="Heading5"/>
      </w:pPr>
      <w:bookmarkStart w:id="350" w:name="_Toc504466543"/>
      <w:r>
        <w:rPr>
          <w:rStyle w:val="CharSectno"/>
        </w:rPr>
        <w:t>127</w:t>
      </w:r>
      <w:r>
        <w:t>.</w:t>
      </w:r>
      <w:r>
        <w:tab/>
        <w:t>Family day care educator qualifications</w:t>
      </w:r>
      <w:bookmarkEnd w:id="350"/>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351" w:name="_Toc504466544"/>
      <w:r>
        <w:rPr>
          <w:rStyle w:val="CharSectno"/>
        </w:rPr>
        <w:t>128</w:t>
      </w:r>
      <w:r>
        <w:t>.</w:t>
      </w:r>
      <w:r>
        <w:tab/>
        <w:t>Family day care co</w:t>
      </w:r>
      <w:r>
        <w:noBreakHyphen/>
        <w:t>ordinator qualifications</w:t>
      </w:r>
      <w:bookmarkEnd w:id="351"/>
      <w:r>
        <w:t xml:space="preserve"> </w:t>
      </w:r>
    </w:p>
    <w:p>
      <w:pPr>
        <w:pStyle w:val="Subsection"/>
      </w:pPr>
      <w:r>
        <w:tab/>
      </w:r>
      <w:r>
        <w:tab/>
        <w:t>A family day care co</w:t>
      </w:r>
      <w:r>
        <w:noBreakHyphen/>
        <w:t>ordinator must have an approved diploma level education and care qualification.</w:t>
      </w:r>
    </w:p>
    <w:p>
      <w:pPr>
        <w:pStyle w:val="Heading4"/>
      </w:pPr>
      <w:bookmarkStart w:id="352" w:name="_Toc425346268"/>
      <w:bookmarkStart w:id="353" w:name="_Toc425413927"/>
      <w:bookmarkStart w:id="354" w:name="_Toc497395148"/>
      <w:bookmarkStart w:id="355" w:name="_Toc504466122"/>
      <w:bookmarkStart w:id="356" w:name="_Toc504466545"/>
      <w:r>
        <w:t>Division 5 — Requirements for educators who are early childhood teachers</w:t>
      </w:r>
      <w:bookmarkEnd w:id="352"/>
      <w:bookmarkEnd w:id="353"/>
      <w:bookmarkEnd w:id="354"/>
      <w:bookmarkEnd w:id="355"/>
      <w:bookmarkEnd w:id="356"/>
    </w:p>
    <w:p>
      <w:pPr>
        <w:pStyle w:val="Heading5"/>
      </w:pPr>
      <w:bookmarkStart w:id="357" w:name="_Toc504466546"/>
      <w:r>
        <w:rPr>
          <w:rStyle w:val="CharSectno"/>
        </w:rPr>
        <w:t>129</w:t>
      </w:r>
      <w:r>
        <w:t>.</w:t>
      </w:r>
      <w:r>
        <w:tab/>
        <w:t>Application of Division 5</w:t>
      </w:r>
      <w:bookmarkEnd w:id="357"/>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in Gazette 13 Dec 2013 p.</w:t>
      </w:r>
      <w:r>
        <w:rPr>
          <w:sz w:val="19"/>
        </w:rPr>
        <w:t> </w:t>
      </w:r>
      <w:r>
        <w:t>6161.]</w:t>
      </w:r>
    </w:p>
    <w:p>
      <w:pPr>
        <w:pStyle w:val="Heading5"/>
      </w:pPr>
      <w:bookmarkStart w:id="358" w:name="_Toc504466547"/>
      <w:r>
        <w:rPr>
          <w:rStyle w:val="CharSectno"/>
        </w:rPr>
        <w:t>130</w:t>
      </w:r>
      <w:r>
        <w:t>.</w:t>
      </w:r>
      <w:r>
        <w:tab/>
        <w:t>Requirement for early childhood teacher — centre</w:t>
      </w:r>
      <w:r>
        <w:noBreakHyphen/>
        <w:t>based services — fewer than 25 approved places</w:t>
      </w:r>
      <w:bookmarkEnd w:id="358"/>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359" w:name="_Toc504466548"/>
      <w:r>
        <w:rPr>
          <w:rStyle w:val="CharSectno"/>
        </w:rPr>
        <w:t>131</w:t>
      </w:r>
      <w:r>
        <w:t>.</w:t>
      </w:r>
      <w:r>
        <w:tab/>
        <w:t>Requirement for early childhood teacher — centre</w:t>
      </w:r>
      <w:r>
        <w:noBreakHyphen/>
        <w:t>based services — 25 or more approved places but fewer than 25 children</w:t>
      </w:r>
      <w:bookmarkEnd w:id="359"/>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in Gazette 13 Dec 2013 p.</w:t>
      </w:r>
      <w:r>
        <w:rPr>
          <w:sz w:val="19"/>
        </w:rPr>
        <w:t> </w:t>
      </w:r>
      <w:r>
        <w:t>6162.]</w:t>
      </w:r>
    </w:p>
    <w:p>
      <w:pPr>
        <w:pStyle w:val="Heading5"/>
        <w:spacing w:before="260"/>
      </w:pPr>
      <w:bookmarkStart w:id="360" w:name="_Toc504466549"/>
      <w:r>
        <w:rPr>
          <w:rStyle w:val="CharSectno"/>
        </w:rPr>
        <w:t>132</w:t>
      </w:r>
      <w:r>
        <w:t>.</w:t>
      </w:r>
      <w:r>
        <w:tab/>
        <w:t>Requirement for early childhood teacher — centre</w:t>
      </w:r>
      <w:r>
        <w:noBreakHyphen/>
        <w:t>based services — 25 to 59 children</w:t>
      </w:r>
      <w:bookmarkEnd w:id="360"/>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361" w:name="_Toc504466550"/>
      <w:r>
        <w:rPr>
          <w:rStyle w:val="CharSectno"/>
        </w:rPr>
        <w:t>133</w:t>
      </w:r>
      <w:r>
        <w:t>.</w:t>
      </w:r>
      <w:r>
        <w:tab/>
        <w:t>Requirement for early childhood teacher — centre</w:t>
      </w:r>
      <w:r>
        <w:noBreakHyphen/>
        <w:t>based services — 60 to 80 children</w:t>
      </w:r>
      <w:bookmarkEnd w:id="361"/>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Heading5"/>
      </w:pPr>
      <w:bookmarkStart w:id="362" w:name="_Toc504466551"/>
      <w:r>
        <w:rPr>
          <w:rStyle w:val="CharSectno"/>
        </w:rPr>
        <w:t>134</w:t>
      </w:r>
      <w:r>
        <w:t>.</w:t>
      </w:r>
      <w:r>
        <w:tab/>
        <w:t>Requirement for early childhood teacher — centre</w:t>
      </w:r>
      <w:r>
        <w:noBreakHyphen/>
        <w:t>based services — more than 80 children</w:t>
      </w:r>
      <w:bookmarkEnd w:id="362"/>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another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363" w:name="_Toc504466552"/>
      <w:r>
        <w:rPr>
          <w:rStyle w:val="CharSectno"/>
        </w:rPr>
        <w:t>135</w:t>
      </w:r>
      <w:r>
        <w:t>.</w:t>
      </w:r>
      <w:r>
        <w:tab/>
        <w:t>Early childhood teacher illness or absence</w:t>
      </w:r>
      <w:bookmarkEnd w:id="363"/>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The combined total of all periods of absence for which persons are taken to be an early childhood teacher of an education and care service under subregulation (1) in any 12 month period must not exceed 60 days.</w:t>
      </w:r>
    </w:p>
    <w:p>
      <w:pPr>
        <w:pStyle w:val="Footnotesection"/>
      </w:pPr>
      <w:bookmarkStart w:id="364" w:name="_Toc425346276"/>
      <w:bookmarkStart w:id="365" w:name="_Toc425413935"/>
      <w:r>
        <w:tab/>
        <w:t>[Regulation 135 amended in Gazette 3 Nov 2017 p. 5482.]</w:t>
      </w:r>
    </w:p>
    <w:p>
      <w:pPr>
        <w:pStyle w:val="Heading4"/>
      </w:pPr>
      <w:bookmarkStart w:id="366" w:name="_Toc497395156"/>
      <w:bookmarkStart w:id="367" w:name="_Toc504466130"/>
      <w:bookmarkStart w:id="368" w:name="_Toc504466553"/>
      <w:r>
        <w:t>Division 6 — First aid qualifications</w:t>
      </w:r>
      <w:bookmarkEnd w:id="364"/>
      <w:bookmarkEnd w:id="365"/>
      <w:bookmarkEnd w:id="366"/>
      <w:bookmarkEnd w:id="367"/>
      <w:bookmarkEnd w:id="368"/>
    </w:p>
    <w:p>
      <w:pPr>
        <w:pStyle w:val="Heading5"/>
      </w:pPr>
      <w:bookmarkStart w:id="369" w:name="_Toc504466554"/>
      <w:r>
        <w:rPr>
          <w:rStyle w:val="CharSectno"/>
        </w:rPr>
        <w:t>136</w:t>
      </w:r>
      <w:r>
        <w:t>.</w:t>
      </w:r>
      <w:r>
        <w:tab/>
        <w:t>First aid qualifications</w:t>
      </w:r>
      <w:bookmarkEnd w:id="369"/>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136 amended in Gazette 28 Nov 2014 p. 4406-7; 3 Nov 2017 p. 5483.]</w:t>
      </w:r>
    </w:p>
    <w:p>
      <w:pPr>
        <w:pStyle w:val="Heading4"/>
      </w:pPr>
      <w:bookmarkStart w:id="370" w:name="_Toc425346278"/>
      <w:bookmarkStart w:id="371" w:name="_Toc425413937"/>
      <w:bookmarkStart w:id="372" w:name="_Toc497395158"/>
      <w:bookmarkStart w:id="373" w:name="_Toc504466132"/>
      <w:bookmarkStart w:id="374" w:name="_Toc504466555"/>
      <w:r>
        <w:t>Division 7 — Approval and determination of qualifications</w:t>
      </w:r>
      <w:bookmarkEnd w:id="370"/>
      <w:bookmarkEnd w:id="371"/>
      <w:bookmarkEnd w:id="372"/>
      <w:bookmarkEnd w:id="373"/>
      <w:bookmarkEnd w:id="374"/>
    </w:p>
    <w:p>
      <w:pPr>
        <w:pStyle w:val="Heading5"/>
      </w:pPr>
      <w:bookmarkStart w:id="375" w:name="_Toc504466556"/>
      <w:r>
        <w:rPr>
          <w:rStyle w:val="CharSectno"/>
        </w:rPr>
        <w:t>137</w:t>
      </w:r>
      <w:r>
        <w:t>.</w:t>
      </w:r>
      <w:r>
        <w:tab/>
        <w:t>Approval of qualifications</w:t>
      </w:r>
      <w:bookmarkEnd w:id="375"/>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in Gazette 28 Nov 2014 p. 4407.]</w:t>
      </w:r>
    </w:p>
    <w:p>
      <w:pPr>
        <w:pStyle w:val="Heading5"/>
      </w:pPr>
      <w:bookmarkStart w:id="376" w:name="_Toc504466557"/>
      <w:r>
        <w:rPr>
          <w:rStyle w:val="CharSectno"/>
        </w:rPr>
        <w:t>138</w:t>
      </w:r>
      <w:r>
        <w:t>.</w:t>
      </w:r>
      <w:r>
        <w:tab/>
        <w:t>Application for qualification to be assessed for inclusion on the list of approved qualifications</w:t>
      </w:r>
      <w:bookmarkEnd w:id="376"/>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377" w:name="_Toc504466558"/>
      <w:r>
        <w:rPr>
          <w:rStyle w:val="CharSectno"/>
        </w:rPr>
        <w:t>139</w:t>
      </w:r>
      <w:r>
        <w:t>.</w:t>
      </w:r>
      <w:r>
        <w:tab/>
        <w:t>Application for determination of equivalent qualification</w:t>
      </w:r>
      <w:bookmarkEnd w:id="377"/>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in Gazette 13 Dec 2013 p.</w:t>
      </w:r>
      <w:r>
        <w:rPr>
          <w:sz w:val="19"/>
        </w:rPr>
        <w:t> </w:t>
      </w:r>
      <w:r>
        <w:t>6162.]</w:t>
      </w:r>
    </w:p>
    <w:p>
      <w:pPr>
        <w:pStyle w:val="Heading5"/>
      </w:pPr>
      <w:bookmarkStart w:id="378" w:name="_Toc504466559"/>
      <w:r>
        <w:rPr>
          <w:rStyle w:val="CharSectno"/>
        </w:rPr>
        <w:t>140</w:t>
      </w:r>
      <w:r>
        <w:t>.</w:t>
      </w:r>
      <w:r>
        <w:tab/>
        <w:t>Application for determination of an equivalent qualification</w:t>
      </w:r>
      <w:bookmarkEnd w:id="378"/>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in Gazette 13 Dec 2013 p.</w:t>
      </w:r>
      <w:r>
        <w:rPr>
          <w:sz w:val="19"/>
        </w:rPr>
        <w:t> </w:t>
      </w:r>
      <w:r>
        <w:t>6162.]</w:t>
      </w:r>
    </w:p>
    <w:p>
      <w:pPr>
        <w:pStyle w:val="Heading5"/>
      </w:pPr>
      <w:bookmarkStart w:id="379" w:name="_Toc504466560"/>
      <w:r>
        <w:rPr>
          <w:rStyle w:val="CharSectno"/>
        </w:rPr>
        <w:t>141</w:t>
      </w:r>
      <w:r>
        <w:t>.</w:t>
      </w:r>
      <w:r>
        <w:tab/>
        <w:t>Additional information for application for determination of equivalent qualification</w:t>
      </w:r>
      <w:bookmarkEnd w:id="379"/>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in Gazette 13 Dec 2013 p.</w:t>
      </w:r>
      <w:r>
        <w:rPr>
          <w:sz w:val="19"/>
        </w:rPr>
        <w:t> </w:t>
      </w:r>
      <w:r>
        <w:t>6162</w:t>
      </w:r>
      <w:r>
        <w:noBreakHyphen/>
        <w:t>3.]</w:t>
      </w:r>
    </w:p>
    <w:p>
      <w:pPr>
        <w:pStyle w:val="Heading5"/>
      </w:pPr>
      <w:bookmarkStart w:id="380" w:name="_Toc504466561"/>
      <w:r>
        <w:rPr>
          <w:rStyle w:val="CharSectno"/>
        </w:rPr>
        <w:t>142</w:t>
      </w:r>
      <w:r>
        <w:t>.</w:t>
      </w:r>
      <w:r>
        <w:tab/>
        <w:t>Translations of documents</w:t>
      </w:r>
      <w:bookmarkEnd w:id="380"/>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381" w:name="_Toc504466562"/>
      <w:r>
        <w:rPr>
          <w:rStyle w:val="CharSectno"/>
        </w:rPr>
        <w:t>143</w:t>
      </w:r>
      <w:r>
        <w:t>.</w:t>
      </w:r>
      <w:r>
        <w:tab/>
        <w:t>Certification of documents</w:t>
      </w:r>
      <w:bookmarkEnd w:id="381"/>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in Gazette 13 Dec 2013 p.</w:t>
      </w:r>
      <w:r>
        <w:rPr>
          <w:sz w:val="19"/>
        </w:rPr>
        <w:t> </w:t>
      </w:r>
      <w:r>
        <w:t>6163.]</w:t>
      </w:r>
    </w:p>
    <w:p>
      <w:pPr>
        <w:pStyle w:val="Heading4"/>
      </w:pPr>
      <w:bookmarkStart w:id="382" w:name="_Toc425346286"/>
      <w:bookmarkStart w:id="383" w:name="_Toc425413945"/>
      <w:bookmarkStart w:id="384" w:name="_Toc497395166"/>
      <w:bookmarkStart w:id="385" w:name="_Toc504466140"/>
      <w:bookmarkStart w:id="386" w:name="_Toc504466563"/>
      <w:r>
        <w:t>Division 8 — Family day care educator assistant</w:t>
      </w:r>
      <w:bookmarkEnd w:id="382"/>
      <w:bookmarkEnd w:id="383"/>
      <w:bookmarkEnd w:id="384"/>
      <w:bookmarkEnd w:id="385"/>
      <w:bookmarkEnd w:id="386"/>
    </w:p>
    <w:p>
      <w:pPr>
        <w:pStyle w:val="Heading5"/>
      </w:pPr>
      <w:bookmarkStart w:id="387" w:name="_Toc504466564"/>
      <w:r>
        <w:rPr>
          <w:rStyle w:val="CharSectno"/>
        </w:rPr>
        <w:t>144</w:t>
      </w:r>
      <w:r>
        <w:t>.</w:t>
      </w:r>
      <w:r>
        <w:tab/>
        <w:t>Family day care educator assistant</w:t>
      </w:r>
      <w:bookmarkEnd w:id="387"/>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spacing w:before="60"/>
      </w:pPr>
      <w:r>
        <w:tab/>
        <w:t>(iii)</w:t>
      </w:r>
      <w:r>
        <w:tab/>
        <w:t>notice of that absence has been given to the parents of the child;</w:t>
      </w:r>
    </w:p>
    <w:p>
      <w:pPr>
        <w:pStyle w:val="Indenta"/>
        <w:spacing w:before="60"/>
      </w:pPr>
      <w:r>
        <w:tab/>
      </w:r>
      <w:r>
        <w:tab/>
        <w:t>and</w:t>
      </w:r>
    </w:p>
    <w:p>
      <w:pPr>
        <w:pStyle w:val="Indenta"/>
        <w:spacing w:before="60"/>
      </w:pPr>
      <w:r>
        <w:tab/>
        <w:t>(d)</w:t>
      </w:r>
      <w:r>
        <w:tab/>
        <w:t>providing assistance to the educator while the educator is educating and caring for children as part of a family day care service.</w:t>
      </w:r>
    </w:p>
    <w:p>
      <w:pPr>
        <w:pStyle w:val="Subsection"/>
        <w:spacing w:before="130"/>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spacing w:before="220"/>
      </w:pPr>
      <w:bookmarkStart w:id="388" w:name="_Toc425346288"/>
      <w:bookmarkStart w:id="389" w:name="_Toc425413947"/>
      <w:bookmarkStart w:id="390" w:name="_Toc497395168"/>
      <w:bookmarkStart w:id="391" w:name="_Toc504466142"/>
      <w:bookmarkStart w:id="392" w:name="_Toc504466565"/>
      <w:r>
        <w:t>Division 9 — Staff and educator records — centre</w:t>
      </w:r>
      <w:r>
        <w:noBreakHyphen/>
        <w:t>based services</w:t>
      </w:r>
      <w:bookmarkEnd w:id="388"/>
      <w:bookmarkEnd w:id="389"/>
      <w:bookmarkEnd w:id="390"/>
      <w:bookmarkEnd w:id="391"/>
      <w:bookmarkEnd w:id="392"/>
    </w:p>
    <w:p>
      <w:pPr>
        <w:pStyle w:val="Heading5"/>
        <w:spacing w:before="180"/>
      </w:pPr>
      <w:bookmarkStart w:id="393" w:name="_Toc504466566"/>
      <w:r>
        <w:rPr>
          <w:rStyle w:val="CharSectno"/>
        </w:rPr>
        <w:t>145</w:t>
      </w:r>
      <w:r>
        <w:t>.</w:t>
      </w:r>
      <w:r>
        <w:tab/>
        <w:t>Staff record</w:t>
      </w:r>
      <w:bookmarkEnd w:id="393"/>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394" w:name="_Toc504466567"/>
      <w:r>
        <w:rPr>
          <w:rStyle w:val="CharSectno"/>
        </w:rPr>
        <w:t>146</w:t>
      </w:r>
      <w:r>
        <w:t>.</w:t>
      </w:r>
      <w:r>
        <w:tab/>
        <w:t>Nominated supervisor</w:t>
      </w:r>
      <w:bookmarkEnd w:id="394"/>
      <w:r>
        <w:t xml:space="preserve"> </w:t>
      </w:r>
    </w:p>
    <w:p>
      <w:pPr>
        <w:pStyle w:val="Subsection"/>
        <w:spacing w:before="140"/>
      </w:pPr>
      <w:r>
        <w:tab/>
      </w:r>
      <w:r>
        <w:tab/>
        <w:t xml:space="preserve">The staff record must include the following information in relation to the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safety screening clearance or working with vulnerable people registration and the expiry date of that clearance or registration.</w:t>
      </w:r>
    </w:p>
    <w:p>
      <w:pPr>
        <w:pStyle w:val="Footnotesection"/>
      </w:pPr>
      <w:r>
        <w:tab/>
        <w:t>[Regulation 146 amended in Gazette 13 Dec 2013 p.</w:t>
      </w:r>
      <w:r>
        <w:rPr>
          <w:sz w:val="19"/>
        </w:rPr>
        <w:t> </w:t>
      </w:r>
      <w:r>
        <w:t>6164; 28 Nov 2014 p. 4407.]</w:t>
      </w:r>
    </w:p>
    <w:p>
      <w:pPr>
        <w:pStyle w:val="Heading5"/>
      </w:pPr>
      <w:bookmarkStart w:id="395" w:name="_Toc504466568"/>
      <w:r>
        <w:rPr>
          <w:rStyle w:val="CharSectno"/>
        </w:rPr>
        <w:t>147</w:t>
      </w:r>
      <w:r>
        <w:t>.</w:t>
      </w:r>
      <w:r>
        <w:tab/>
        <w:t>Staff members</w:t>
      </w:r>
      <w:bookmarkEnd w:id="395"/>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staff member’s safety screening clearance or working with vulnerable people registration and the expiry date of that clearance or registration.</w:t>
      </w:r>
    </w:p>
    <w:p>
      <w:pPr>
        <w:pStyle w:val="Footnotesection"/>
      </w:pPr>
      <w:r>
        <w:tab/>
        <w:t>[Regulation 147 amended in Gazette 13 Dec 2013 p.</w:t>
      </w:r>
      <w:r>
        <w:rPr>
          <w:sz w:val="19"/>
        </w:rPr>
        <w:t> </w:t>
      </w:r>
      <w:r>
        <w:t>6164</w:t>
      </w:r>
      <w:r>
        <w:noBreakHyphen/>
        <w:t>5; 28 Nov 2014 p. 4407.]</w:t>
      </w:r>
    </w:p>
    <w:p>
      <w:pPr>
        <w:pStyle w:val="Heading5"/>
      </w:pPr>
      <w:bookmarkStart w:id="396" w:name="_Toc504466569"/>
      <w:r>
        <w:rPr>
          <w:rStyle w:val="CharSectno"/>
        </w:rPr>
        <w:t>148</w:t>
      </w:r>
      <w:r>
        <w:t>.</w:t>
      </w:r>
      <w:r>
        <w:tab/>
        <w:t>Educational leader</w:t>
      </w:r>
      <w:bookmarkEnd w:id="396"/>
      <w:r>
        <w:t xml:space="preserve"> </w:t>
      </w:r>
    </w:p>
    <w:p>
      <w:pPr>
        <w:pStyle w:val="Subsection"/>
      </w:pPr>
      <w:r>
        <w:tab/>
      </w:r>
      <w:r>
        <w:tab/>
        <w:t>The staff record must include the name of the person designated as the educational leader in accordance with regulation 118.</w:t>
      </w:r>
    </w:p>
    <w:p>
      <w:pPr>
        <w:pStyle w:val="Heading5"/>
      </w:pPr>
      <w:bookmarkStart w:id="397" w:name="_Toc504466570"/>
      <w:r>
        <w:rPr>
          <w:rStyle w:val="CharSectno"/>
        </w:rPr>
        <w:t>149</w:t>
      </w:r>
      <w:r>
        <w:t>.</w:t>
      </w:r>
      <w:r>
        <w:tab/>
        <w:t>Volunteers and students</w:t>
      </w:r>
      <w:bookmarkEnd w:id="397"/>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398" w:name="_Toc504466571"/>
      <w:r>
        <w:rPr>
          <w:rStyle w:val="CharSectno"/>
        </w:rPr>
        <w:t>150</w:t>
      </w:r>
      <w:r>
        <w:t>.</w:t>
      </w:r>
      <w:r>
        <w:tab/>
        <w:t>Responsible person</w:t>
      </w:r>
      <w:bookmarkEnd w:id="398"/>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399" w:name="_Toc504466572"/>
      <w:r>
        <w:rPr>
          <w:rStyle w:val="CharSectno"/>
        </w:rPr>
        <w:t>151</w:t>
      </w:r>
      <w:r>
        <w:t>.</w:t>
      </w:r>
      <w:r>
        <w:tab/>
        <w:t>Record of educators working directly with children</w:t>
      </w:r>
      <w:bookmarkEnd w:id="399"/>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400" w:name="_Toc504466573"/>
      <w:r>
        <w:rPr>
          <w:rStyle w:val="CharSectno"/>
        </w:rPr>
        <w:t>152</w:t>
      </w:r>
      <w:r>
        <w:t>.</w:t>
      </w:r>
      <w:r>
        <w:tab/>
        <w:t>Record of access to early childhood teachers</w:t>
      </w:r>
      <w:bookmarkEnd w:id="400"/>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401" w:name="_Toc425346297"/>
      <w:bookmarkStart w:id="402" w:name="_Toc425413956"/>
      <w:bookmarkStart w:id="403" w:name="_Toc497395177"/>
      <w:bookmarkStart w:id="404" w:name="_Toc504466151"/>
      <w:bookmarkStart w:id="405" w:name="_Toc504466574"/>
      <w:r>
        <w:t>Division 10 — Register of family day care educators and records of family day care service</w:t>
      </w:r>
      <w:bookmarkEnd w:id="401"/>
      <w:bookmarkEnd w:id="402"/>
      <w:bookmarkEnd w:id="403"/>
      <w:bookmarkEnd w:id="404"/>
      <w:bookmarkEnd w:id="405"/>
    </w:p>
    <w:p>
      <w:pPr>
        <w:pStyle w:val="Heading5"/>
      </w:pPr>
      <w:bookmarkStart w:id="406" w:name="_Toc504466575"/>
      <w:r>
        <w:rPr>
          <w:rStyle w:val="CharSectno"/>
        </w:rPr>
        <w:t>153</w:t>
      </w:r>
      <w:r>
        <w:t>.</w:t>
      </w:r>
      <w:r>
        <w:tab/>
        <w:t>Register of family day care educators</w:t>
      </w:r>
      <w:bookmarkEnd w:id="406"/>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407" w:name="_Toc504466576"/>
      <w:r>
        <w:rPr>
          <w:rStyle w:val="CharSectno"/>
        </w:rPr>
        <w:t>154</w:t>
      </w:r>
      <w:r>
        <w:t>.</w:t>
      </w:r>
      <w:r>
        <w:tab/>
        <w:t>Record of staff, family day care co</w:t>
      </w:r>
      <w:r>
        <w:noBreakHyphen/>
        <w:t>ordinators and family day care educator assistants</w:t>
      </w:r>
      <w:bookmarkEnd w:id="407"/>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408" w:name="_Toc425346300"/>
      <w:bookmarkStart w:id="409" w:name="_Toc425413959"/>
      <w:bookmarkStart w:id="410" w:name="_Toc497395180"/>
      <w:bookmarkStart w:id="411" w:name="_Toc504466154"/>
      <w:bookmarkStart w:id="412" w:name="_Toc504466577"/>
      <w:r>
        <w:rPr>
          <w:rStyle w:val="CharDivNo"/>
        </w:rPr>
        <w:t>Part 4.5</w:t>
      </w:r>
      <w:r>
        <w:t> — </w:t>
      </w:r>
      <w:r>
        <w:rPr>
          <w:rStyle w:val="CharDivText"/>
        </w:rPr>
        <w:t>Relationships with children</w:t>
      </w:r>
      <w:bookmarkEnd w:id="408"/>
      <w:bookmarkEnd w:id="409"/>
      <w:bookmarkEnd w:id="410"/>
      <w:bookmarkEnd w:id="411"/>
      <w:bookmarkEnd w:id="412"/>
    </w:p>
    <w:p>
      <w:pPr>
        <w:pStyle w:val="Heading5"/>
      </w:pPr>
      <w:bookmarkStart w:id="413" w:name="_Toc504466578"/>
      <w:r>
        <w:rPr>
          <w:rStyle w:val="CharSectno"/>
        </w:rPr>
        <w:t>155</w:t>
      </w:r>
      <w:r>
        <w:t>.</w:t>
      </w:r>
      <w:r>
        <w:tab/>
        <w:t>Interactions with children</w:t>
      </w:r>
      <w:bookmarkEnd w:id="413"/>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414" w:name="_Toc504466579"/>
      <w:r>
        <w:rPr>
          <w:rStyle w:val="CharSectno"/>
        </w:rPr>
        <w:t>156</w:t>
      </w:r>
      <w:r>
        <w:t>.</w:t>
      </w:r>
      <w:r>
        <w:tab/>
        <w:t>Relationships in groups</w:t>
      </w:r>
      <w:bookmarkEnd w:id="414"/>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415" w:name="_Toc425346303"/>
      <w:bookmarkStart w:id="416" w:name="_Toc425413962"/>
      <w:bookmarkStart w:id="417" w:name="_Toc497395183"/>
      <w:bookmarkStart w:id="418" w:name="_Toc504466157"/>
      <w:bookmarkStart w:id="419" w:name="_Toc504466580"/>
      <w:r>
        <w:rPr>
          <w:rStyle w:val="CharDivNo"/>
        </w:rPr>
        <w:t>Part 4.6</w:t>
      </w:r>
      <w:r>
        <w:t> — </w:t>
      </w:r>
      <w:r>
        <w:rPr>
          <w:rStyle w:val="CharDivText"/>
        </w:rPr>
        <w:t>Collaborative partnerships with families and communities</w:t>
      </w:r>
      <w:bookmarkEnd w:id="415"/>
      <w:bookmarkEnd w:id="416"/>
      <w:bookmarkEnd w:id="417"/>
      <w:bookmarkEnd w:id="418"/>
      <w:bookmarkEnd w:id="419"/>
    </w:p>
    <w:p>
      <w:pPr>
        <w:pStyle w:val="Heading5"/>
      </w:pPr>
      <w:bookmarkStart w:id="420" w:name="_Toc504466581"/>
      <w:r>
        <w:rPr>
          <w:rStyle w:val="CharSectno"/>
        </w:rPr>
        <w:t>157</w:t>
      </w:r>
      <w:r>
        <w:t>.</w:t>
      </w:r>
      <w:r>
        <w:tab/>
        <w:t>Access for parents</w:t>
      </w:r>
      <w:bookmarkEnd w:id="420"/>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in Gazette 28 Nov 2014 p. 4407.]</w:t>
      </w:r>
    </w:p>
    <w:p>
      <w:pPr>
        <w:pStyle w:val="Heading3"/>
      </w:pPr>
      <w:bookmarkStart w:id="421" w:name="_Toc425346305"/>
      <w:bookmarkStart w:id="422" w:name="_Toc425413964"/>
      <w:bookmarkStart w:id="423" w:name="_Toc497395185"/>
      <w:bookmarkStart w:id="424" w:name="_Toc504466159"/>
      <w:bookmarkStart w:id="425" w:name="_Toc504466582"/>
      <w:r>
        <w:rPr>
          <w:rStyle w:val="CharDivNo"/>
        </w:rPr>
        <w:t>Part 4.7</w:t>
      </w:r>
      <w:r>
        <w:t> — </w:t>
      </w:r>
      <w:r>
        <w:rPr>
          <w:rStyle w:val="CharDivText"/>
        </w:rPr>
        <w:t>Leadership and service management</w:t>
      </w:r>
      <w:bookmarkEnd w:id="421"/>
      <w:bookmarkEnd w:id="422"/>
      <w:bookmarkEnd w:id="423"/>
      <w:bookmarkEnd w:id="424"/>
      <w:bookmarkEnd w:id="425"/>
    </w:p>
    <w:p>
      <w:pPr>
        <w:pStyle w:val="Heading4"/>
        <w:spacing w:before="200"/>
      </w:pPr>
      <w:bookmarkStart w:id="426" w:name="_Toc425346306"/>
      <w:bookmarkStart w:id="427" w:name="_Toc425413965"/>
      <w:bookmarkStart w:id="428" w:name="_Toc497395186"/>
      <w:bookmarkStart w:id="429" w:name="_Toc504466160"/>
      <w:bookmarkStart w:id="430" w:name="_Toc504466583"/>
      <w:r>
        <w:t>Division 1 — Management of services</w:t>
      </w:r>
      <w:bookmarkEnd w:id="426"/>
      <w:bookmarkEnd w:id="427"/>
      <w:bookmarkEnd w:id="428"/>
      <w:bookmarkEnd w:id="429"/>
      <w:bookmarkEnd w:id="430"/>
    </w:p>
    <w:p>
      <w:pPr>
        <w:pStyle w:val="MiscellaneousHeading"/>
        <w:spacing w:before="200"/>
        <w:rPr>
          <w:b/>
        </w:rPr>
      </w:pPr>
      <w:r>
        <w:rPr>
          <w:b/>
        </w:rPr>
        <w:t>Subdivision 1 — Attendance and enrolment records</w:t>
      </w:r>
    </w:p>
    <w:p>
      <w:pPr>
        <w:pStyle w:val="Heading5"/>
        <w:spacing w:before="180"/>
      </w:pPr>
      <w:bookmarkStart w:id="431" w:name="_Toc504466584"/>
      <w:r>
        <w:rPr>
          <w:rStyle w:val="CharSectno"/>
        </w:rPr>
        <w:t>158</w:t>
      </w:r>
      <w:r>
        <w:t>.</w:t>
      </w:r>
      <w:r>
        <w:tab/>
        <w:t>Children’s attendance record to be kept by approved provider</w:t>
      </w:r>
      <w:bookmarkEnd w:id="431"/>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the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spacing w:before="200"/>
      </w:pPr>
      <w:bookmarkStart w:id="432" w:name="_Toc504466585"/>
      <w:r>
        <w:rPr>
          <w:rStyle w:val="CharSectno"/>
        </w:rPr>
        <w:t>159</w:t>
      </w:r>
      <w:r>
        <w:t>.</w:t>
      </w:r>
      <w:r>
        <w:tab/>
        <w:t>Children’s attendance record to be kept by family day care educator</w:t>
      </w:r>
      <w:bookmarkEnd w:id="432"/>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433" w:name="_Toc504466586"/>
      <w:r>
        <w:rPr>
          <w:rStyle w:val="CharSectno"/>
        </w:rPr>
        <w:t>160</w:t>
      </w:r>
      <w:r>
        <w:t>.</w:t>
      </w:r>
      <w:r>
        <w:tab/>
        <w:t>Child enrolment records to be kept by approved provider and family day care educator</w:t>
      </w:r>
      <w:bookmarkEnd w:id="433"/>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in Gazette 28 Nov 2014 p. 4408.]</w:t>
      </w:r>
    </w:p>
    <w:p>
      <w:pPr>
        <w:pStyle w:val="Heading5"/>
      </w:pPr>
      <w:bookmarkStart w:id="434" w:name="_Toc504466587"/>
      <w:r>
        <w:rPr>
          <w:rStyle w:val="CharSectno"/>
        </w:rPr>
        <w:t>161</w:t>
      </w:r>
      <w:r>
        <w:t>.</w:t>
      </w:r>
      <w:r>
        <w:tab/>
        <w:t>Authorisations to be kept in enrolment record</w:t>
      </w:r>
      <w:bookmarkEnd w:id="434"/>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Heading5"/>
      </w:pPr>
      <w:bookmarkStart w:id="435" w:name="_Toc504466588"/>
      <w:r>
        <w:rPr>
          <w:rStyle w:val="CharSectno"/>
        </w:rPr>
        <w:t>162</w:t>
      </w:r>
      <w:r>
        <w:t>.</w:t>
      </w:r>
      <w:r>
        <w:tab/>
        <w:t>Health information to be kept in enrolment record</w:t>
      </w:r>
      <w:bookmarkEnd w:id="435"/>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w:t>
      </w:r>
    </w:p>
    <w:p>
      <w:pPr>
        <w:pStyle w:val="Footnotesection"/>
      </w:pPr>
      <w:r>
        <w:tab/>
        <w:t>[Regulation 162 amended in Gazette 28 Nov 2014 p. 4408.]</w:t>
      </w:r>
    </w:p>
    <w:p>
      <w:pPr>
        <w:pStyle w:val="MiscellaneousHeading"/>
        <w:spacing w:before="300"/>
        <w:rPr>
          <w:b/>
          <w:bCs/>
        </w:rPr>
      </w:pPr>
      <w:r>
        <w:rPr>
          <w:b/>
          <w:bCs/>
        </w:rPr>
        <w:t>Subdivision 2 — Residents at family day care residences and family day care educator assistants</w:t>
      </w:r>
    </w:p>
    <w:p>
      <w:pPr>
        <w:pStyle w:val="Heading5"/>
      </w:pPr>
      <w:bookmarkStart w:id="436" w:name="_Toc504466589"/>
      <w:r>
        <w:rPr>
          <w:rStyle w:val="CharSectno"/>
        </w:rPr>
        <w:t>163</w:t>
      </w:r>
      <w:r>
        <w:t>.</w:t>
      </w:r>
      <w:r>
        <w:tab/>
        <w:t>Residents at family day care residence and family day care educator assistants to be fit and proper persons</w:t>
      </w:r>
      <w:bookmarkEnd w:id="436"/>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safety screening clearance or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in Gazette 13 Dec 2013 p.</w:t>
      </w:r>
      <w:r>
        <w:rPr>
          <w:sz w:val="19"/>
        </w:rPr>
        <w:t> </w:t>
      </w:r>
      <w:r>
        <w:t>6165; 28 Nov 2014 p. 4408.]</w:t>
      </w:r>
    </w:p>
    <w:p>
      <w:pPr>
        <w:pStyle w:val="Heading5"/>
      </w:pPr>
      <w:bookmarkStart w:id="437" w:name="_Toc504466590"/>
      <w:r>
        <w:rPr>
          <w:rStyle w:val="CharSectno"/>
        </w:rPr>
        <w:t>164</w:t>
      </w:r>
      <w:r>
        <w:t>.</w:t>
      </w:r>
      <w:r>
        <w:tab/>
        <w:t>Requirement for notice of new persons at residence</w:t>
      </w:r>
      <w:bookmarkEnd w:id="437"/>
      <w:r>
        <w:t xml:space="preserve"> </w:t>
      </w:r>
    </w:p>
    <w:p>
      <w:pPr>
        <w:pStyle w:val="Subsection"/>
        <w:spacing w:before="150"/>
      </w:pPr>
      <w:r>
        <w:tab/>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38" w:name="_Toc504466591"/>
      <w:r>
        <w:rPr>
          <w:rStyle w:val="CharSectno"/>
        </w:rPr>
        <w:t>165</w:t>
      </w:r>
      <w:r>
        <w:t>.</w:t>
      </w:r>
      <w:r>
        <w:tab/>
        <w:t>Record of visitors</w:t>
      </w:r>
      <w:bookmarkEnd w:id="438"/>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439" w:name="_Toc504466592"/>
      <w:r>
        <w:rPr>
          <w:rStyle w:val="CharSectno"/>
        </w:rPr>
        <w:t>166</w:t>
      </w:r>
      <w:r>
        <w:t>.</w:t>
      </w:r>
      <w:r>
        <w:tab/>
        <w:t>Children not to be alone with visitors</w:t>
      </w:r>
      <w:bookmarkEnd w:id="439"/>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t>Subdivision 3 — Record of service’s compliance</w:t>
      </w:r>
    </w:p>
    <w:p>
      <w:pPr>
        <w:pStyle w:val="Heading5"/>
      </w:pPr>
      <w:bookmarkStart w:id="440" w:name="_Toc504466593"/>
      <w:r>
        <w:rPr>
          <w:rStyle w:val="CharSectno"/>
        </w:rPr>
        <w:t>167</w:t>
      </w:r>
      <w:r>
        <w:t>.</w:t>
      </w:r>
      <w:r>
        <w:tab/>
        <w:t>Record of service’s compliance</w:t>
      </w:r>
      <w:bookmarkEnd w:id="440"/>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441" w:name="_Toc425346317"/>
      <w:bookmarkStart w:id="442" w:name="_Toc425413976"/>
      <w:bookmarkStart w:id="443" w:name="_Toc497395197"/>
      <w:bookmarkStart w:id="444" w:name="_Toc504466171"/>
      <w:bookmarkStart w:id="445" w:name="_Toc504466594"/>
      <w:r>
        <w:t>Division 2 — Policies and procedures</w:t>
      </w:r>
      <w:bookmarkEnd w:id="441"/>
      <w:bookmarkEnd w:id="442"/>
      <w:bookmarkEnd w:id="443"/>
      <w:bookmarkEnd w:id="444"/>
      <w:bookmarkEnd w:id="445"/>
    </w:p>
    <w:p>
      <w:pPr>
        <w:pStyle w:val="Heading5"/>
      </w:pPr>
      <w:bookmarkStart w:id="446" w:name="_Toc504466595"/>
      <w:r>
        <w:rPr>
          <w:rStyle w:val="CharSectno"/>
        </w:rPr>
        <w:t>168</w:t>
      </w:r>
      <w:r>
        <w:t>.</w:t>
      </w:r>
      <w:r>
        <w:tab/>
        <w:t>Education and care service must have policies and procedures</w:t>
      </w:r>
      <w:bookmarkEnd w:id="446"/>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spacing w:before="100"/>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Heading5"/>
      </w:pPr>
      <w:bookmarkStart w:id="447" w:name="_Toc504466596"/>
      <w:r>
        <w:rPr>
          <w:rStyle w:val="CharSectno"/>
        </w:rPr>
        <w:t>169</w:t>
      </w:r>
      <w:r>
        <w:t>.</w:t>
      </w:r>
      <w:r>
        <w:tab/>
        <w:t>Additional policies and procedures — family day care service</w:t>
      </w:r>
      <w:bookmarkEnd w:id="447"/>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448" w:name="_Toc504466597"/>
      <w:r>
        <w:rPr>
          <w:rStyle w:val="CharSectno"/>
        </w:rPr>
        <w:t>170</w:t>
      </w:r>
      <w:r>
        <w:t>.</w:t>
      </w:r>
      <w:r>
        <w:tab/>
        <w:t>Policies and procedures to be followed</w:t>
      </w:r>
      <w:bookmarkEnd w:id="448"/>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449" w:name="_Toc504466598"/>
      <w:r>
        <w:rPr>
          <w:rStyle w:val="CharSectno"/>
        </w:rPr>
        <w:t>171</w:t>
      </w:r>
      <w:r>
        <w:t>.</w:t>
      </w:r>
      <w:r>
        <w:tab/>
        <w:t>Policies and procedures to be kept available</w:t>
      </w:r>
      <w:bookmarkEnd w:id="449"/>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450" w:name="_Toc504466599"/>
      <w:r>
        <w:rPr>
          <w:rStyle w:val="CharSectno"/>
        </w:rPr>
        <w:t>172</w:t>
      </w:r>
      <w:r>
        <w:t>.</w:t>
      </w:r>
      <w:r>
        <w:tab/>
        <w:t>Notification of change to policies or procedures</w:t>
      </w:r>
      <w:bookmarkEnd w:id="450"/>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451" w:name="_Toc425346323"/>
      <w:bookmarkStart w:id="452" w:name="_Toc425413982"/>
      <w:bookmarkStart w:id="453" w:name="_Toc497395203"/>
      <w:bookmarkStart w:id="454" w:name="_Toc504466177"/>
      <w:bookmarkStart w:id="455" w:name="_Toc504466600"/>
      <w:r>
        <w:t>Division 3 — Information and record</w:t>
      </w:r>
      <w:r>
        <w:noBreakHyphen/>
        <w:t>keeping requirements</w:t>
      </w:r>
      <w:bookmarkEnd w:id="451"/>
      <w:bookmarkEnd w:id="452"/>
      <w:bookmarkEnd w:id="453"/>
      <w:bookmarkEnd w:id="454"/>
      <w:bookmarkEnd w:id="455"/>
    </w:p>
    <w:p>
      <w:pPr>
        <w:pStyle w:val="MiscellaneousHeading"/>
        <w:spacing w:before="220"/>
        <w:rPr>
          <w:b/>
          <w:bCs/>
        </w:rPr>
      </w:pPr>
      <w:r>
        <w:rPr>
          <w:b/>
          <w:bCs/>
        </w:rPr>
        <w:t>Subdivision 1 — Display and reporting of prescribed information</w:t>
      </w:r>
    </w:p>
    <w:p>
      <w:pPr>
        <w:pStyle w:val="Heading5"/>
      </w:pPr>
      <w:bookmarkStart w:id="456" w:name="_Toc504466601"/>
      <w:r>
        <w:rPr>
          <w:rStyle w:val="CharSectno"/>
        </w:rPr>
        <w:t>173</w:t>
      </w:r>
      <w:r>
        <w:t>.</w:t>
      </w:r>
      <w:r>
        <w:tab/>
        <w:t>Prescribed information to be displayed</w:t>
      </w:r>
      <w:bookmarkEnd w:id="456"/>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Footnotesection"/>
      </w:pPr>
      <w:r>
        <w:tab/>
        <w:t>[Regulation 173 amended in 3 Nov 2017 p. 5483</w:t>
      </w:r>
      <w:r>
        <w:noBreakHyphen/>
        <w:t>4.]</w:t>
      </w:r>
    </w:p>
    <w:p>
      <w:pPr>
        <w:pStyle w:val="Heading5"/>
      </w:pPr>
      <w:bookmarkStart w:id="457" w:name="_Toc504466602"/>
      <w:r>
        <w:rPr>
          <w:rStyle w:val="CharSectno"/>
        </w:rPr>
        <w:t>174</w:t>
      </w:r>
      <w:r>
        <w:t>.</w:t>
      </w:r>
      <w:r>
        <w:tab/>
        <w:t>Time to notify certain circumstances to Regulatory Authority</w:t>
      </w:r>
      <w:bookmarkEnd w:id="457"/>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458" w:name="_Toc504466603"/>
      <w:r>
        <w:rPr>
          <w:rStyle w:val="CharSectno"/>
        </w:rPr>
        <w:t>175</w:t>
      </w:r>
      <w:r>
        <w:t>.</w:t>
      </w:r>
      <w:r>
        <w:tab/>
        <w:t>Prescribed information to be notified to Regulatory Authority</w:t>
      </w:r>
      <w:bookmarkEnd w:id="458"/>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[Regulation 175 amended in Gazette 13 Dec 2013 p.</w:t>
      </w:r>
      <w:r>
        <w:rPr>
          <w:sz w:val="19"/>
        </w:rPr>
        <w:t> </w:t>
      </w:r>
      <w:r>
        <w:t>6166.]</w:t>
      </w:r>
    </w:p>
    <w:p>
      <w:pPr>
        <w:pStyle w:val="Heading5"/>
      </w:pPr>
      <w:bookmarkStart w:id="459" w:name="_Toc504466604"/>
      <w:r>
        <w:rPr>
          <w:rStyle w:val="CharSectno"/>
        </w:rPr>
        <w:t>176</w:t>
      </w:r>
      <w:r>
        <w:t>.</w:t>
      </w:r>
      <w:r>
        <w:tab/>
        <w:t>Time to notify certain information to Regulatory Authority</w:t>
      </w:r>
      <w:bookmarkEnd w:id="459"/>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in Gazette 13 Dec 2013 p.</w:t>
      </w:r>
      <w:r>
        <w:rPr>
          <w:sz w:val="19"/>
        </w:rPr>
        <w:t> </w:t>
      </w:r>
      <w:r>
        <w:t>6166.]</w:t>
      </w:r>
    </w:p>
    <w:p>
      <w:pPr>
        <w:pStyle w:val="MiscellaneousHeading"/>
        <w:outlineLvl w:val="0"/>
        <w:rPr>
          <w:b/>
          <w:bCs/>
        </w:rPr>
      </w:pPr>
      <w:r>
        <w:rPr>
          <w:b/>
          <w:bCs/>
        </w:rPr>
        <w:t>Subdivision 2 — Prescribed records</w:t>
      </w:r>
    </w:p>
    <w:p>
      <w:pPr>
        <w:pStyle w:val="Heading5"/>
      </w:pPr>
      <w:bookmarkStart w:id="460" w:name="_Toc504466605"/>
      <w:r>
        <w:rPr>
          <w:rStyle w:val="CharSectno"/>
        </w:rPr>
        <w:t>177</w:t>
      </w:r>
      <w:r>
        <w:t>.</w:t>
      </w:r>
      <w:r>
        <w:tab/>
        <w:t>Prescribed enrolment and other documents to be kept by approved provider</w:t>
      </w:r>
      <w:bookmarkEnd w:id="460"/>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Footnotesection"/>
      </w:pPr>
      <w:r>
        <w:tab/>
        <w:t>[Regulation 177 amended in Gazette 5 Mar 2013 p. 1108; 13 Dec 2013 p.</w:t>
      </w:r>
      <w:r>
        <w:rPr>
          <w:sz w:val="19"/>
        </w:rPr>
        <w:t> </w:t>
      </w:r>
      <w:r>
        <w:t>6166</w:t>
      </w:r>
      <w:r>
        <w:noBreakHyphen/>
        <w:t>7.]</w:t>
      </w:r>
    </w:p>
    <w:p>
      <w:pPr>
        <w:pStyle w:val="Heading5"/>
      </w:pPr>
      <w:bookmarkStart w:id="461" w:name="_Toc504466606"/>
      <w:r>
        <w:rPr>
          <w:rStyle w:val="CharSectno"/>
        </w:rPr>
        <w:t>178</w:t>
      </w:r>
      <w:r>
        <w:t>.</w:t>
      </w:r>
      <w:r>
        <w:tab/>
        <w:t>Prescribed enrolment and other documents to be kept by family day care educator</w:t>
      </w:r>
      <w:bookmarkEnd w:id="461"/>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462" w:name="_Toc504466607"/>
      <w:r>
        <w:rPr>
          <w:rStyle w:val="CharSectno"/>
        </w:rPr>
        <w:t>179</w:t>
      </w:r>
      <w:r>
        <w:t>.</w:t>
      </w:r>
      <w:r>
        <w:tab/>
        <w:t>Family day care educator to provide documents on leaving service</w:t>
      </w:r>
      <w:bookmarkEnd w:id="462"/>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463" w:name="_Toc504466608"/>
      <w:r>
        <w:rPr>
          <w:rStyle w:val="CharSectno"/>
        </w:rPr>
        <w:t>180</w:t>
      </w:r>
      <w:r>
        <w:t>.</w:t>
      </w:r>
      <w:r>
        <w:tab/>
        <w:t>Evidence of prescribed insurance</w:t>
      </w:r>
      <w:bookmarkEnd w:id="463"/>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464" w:name="_Toc504466609"/>
      <w:r>
        <w:rPr>
          <w:rStyle w:val="CharSectno"/>
        </w:rPr>
        <w:t>181</w:t>
      </w:r>
      <w:r>
        <w:t>.</w:t>
      </w:r>
      <w:r>
        <w:tab/>
        <w:t>Confidentiality of records kept by approved provider</w:t>
      </w:r>
      <w:bookmarkEnd w:id="464"/>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465" w:name="_Toc504466610"/>
      <w:r>
        <w:rPr>
          <w:rStyle w:val="CharSectno"/>
        </w:rPr>
        <w:t>182</w:t>
      </w:r>
      <w:r>
        <w:t>.</w:t>
      </w:r>
      <w:r>
        <w:tab/>
        <w:t>Confidentiality of records kept by family day care educator</w:t>
      </w:r>
      <w:bookmarkEnd w:id="465"/>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466" w:name="_Toc504466611"/>
      <w:r>
        <w:rPr>
          <w:rStyle w:val="CharSectno"/>
        </w:rPr>
        <w:t>183</w:t>
      </w:r>
      <w:r>
        <w:t>.</w:t>
      </w:r>
      <w:r>
        <w:tab/>
        <w:t>Storage of records and other documents</w:t>
      </w:r>
      <w:bookmarkEnd w:id="466"/>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67" w:name="_Toc504466612"/>
      <w:r>
        <w:rPr>
          <w:rStyle w:val="CharSectno"/>
        </w:rPr>
        <w:t>184</w:t>
      </w:r>
      <w:r>
        <w:t>.</w:t>
      </w:r>
      <w:r>
        <w:tab/>
        <w:t>Storage of records after service approval transferred</w:t>
      </w:r>
      <w:bookmarkEnd w:id="467"/>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468" w:name="_Toc504466613"/>
      <w:r>
        <w:rPr>
          <w:rStyle w:val="CharSectno"/>
        </w:rPr>
        <w:t>185</w:t>
      </w:r>
      <w:r>
        <w:t>.</w:t>
      </w:r>
      <w:r>
        <w:tab/>
        <w:t>Law and regulations to be available</w:t>
      </w:r>
      <w:bookmarkEnd w:id="468"/>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in Gazette 28 Nov 2014 p. 4408.]</w:t>
      </w:r>
    </w:p>
    <w:p>
      <w:pPr>
        <w:pStyle w:val="Heading2"/>
      </w:pPr>
      <w:bookmarkStart w:id="469" w:name="_Toc425346337"/>
      <w:bookmarkStart w:id="470" w:name="_Toc425413996"/>
      <w:bookmarkStart w:id="471" w:name="_Toc497395217"/>
      <w:bookmarkStart w:id="472" w:name="_Toc504466191"/>
      <w:bookmarkStart w:id="473" w:name="_Toc504466614"/>
      <w:r>
        <w:rPr>
          <w:rStyle w:val="CharPartNo"/>
          <w:szCs w:val="34"/>
        </w:rPr>
        <w:t>Chapter 5</w:t>
      </w:r>
      <w:r>
        <w:t> — </w:t>
      </w:r>
      <w:r>
        <w:rPr>
          <w:rStyle w:val="CharPartText"/>
        </w:rPr>
        <w:t>Review, enforcement and compliance</w:t>
      </w:r>
      <w:bookmarkEnd w:id="469"/>
      <w:bookmarkEnd w:id="470"/>
      <w:bookmarkEnd w:id="471"/>
      <w:bookmarkEnd w:id="472"/>
      <w:bookmarkEnd w:id="473"/>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474" w:name="_Toc425346338"/>
      <w:bookmarkStart w:id="475" w:name="_Toc425413997"/>
      <w:bookmarkStart w:id="476" w:name="_Toc497395218"/>
      <w:bookmarkStart w:id="477" w:name="_Toc504466192"/>
      <w:bookmarkStart w:id="478" w:name="_Toc504466615"/>
      <w:r>
        <w:rPr>
          <w:rStyle w:val="CharDivNo"/>
        </w:rPr>
        <w:t>Part 5.1</w:t>
      </w:r>
      <w:r>
        <w:t> — </w:t>
      </w:r>
      <w:r>
        <w:rPr>
          <w:rStyle w:val="CharDivText"/>
        </w:rPr>
        <w:t>Internal review</w:t>
      </w:r>
      <w:bookmarkEnd w:id="474"/>
      <w:bookmarkEnd w:id="475"/>
      <w:bookmarkEnd w:id="476"/>
      <w:bookmarkEnd w:id="477"/>
      <w:bookmarkEnd w:id="478"/>
    </w:p>
    <w:p>
      <w:pPr>
        <w:pStyle w:val="Heading5"/>
      </w:pPr>
      <w:bookmarkStart w:id="479" w:name="_Toc504466616"/>
      <w:r>
        <w:rPr>
          <w:rStyle w:val="CharSectno"/>
        </w:rPr>
        <w:t>186</w:t>
      </w:r>
      <w:r>
        <w:t>.</w:t>
      </w:r>
      <w:r>
        <w:tab/>
        <w:t>Application for internal review of reviewable decision</w:t>
      </w:r>
      <w:bookmarkEnd w:id="479"/>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480" w:name="_Toc425346340"/>
      <w:bookmarkStart w:id="481" w:name="_Toc425413999"/>
      <w:bookmarkStart w:id="482" w:name="_Toc497395220"/>
      <w:bookmarkStart w:id="483" w:name="_Toc504466194"/>
      <w:bookmarkStart w:id="484" w:name="_Toc504466617"/>
      <w:r>
        <w:rPr>
          <w:rStyle w:val="CharDivNo"/>
        </w:rPr>
        <w:t>Part 5.2</w:t>
      </w:r>
      <w:r>
        <w:t> — </w:t>
      </w:r>
      <w:r>
        <w:rPr>
          <w:rStyle w:val="CharDivText"/>
        </w:rPr>
        <w:t>Enforcement and compliance</w:t>
      </w:r>
      <w:bookmarkEnd w:id="480"/>
      <w:bookmarkEnd w:id="481"/>
      <w:bookmarkEnd w:id="482"/>
      <w:bookmarkEnd w:id="483"/>
      <w:bookmarkEnd w:id="484"/>
    </w:p>
    <w:p>
      <w:pPr>
        <w:pStyle w:val="Heading5"/>
      </w:pPr>
      <w:bookmarkStart w:id="485" w:name="_Toc504466618"/>
      <w:r>
        <w:rPr>
          <w:rStyle w:val="CharSectno"/>
        </w:rPr>
        <w:t>187</w:t>
      </w:r>
      <w:r>
        <w:t>.</w:t>
      </w:r>
      <w:r>
        <w:tab/>
        <w:t>Prescribed form of identity card</w:t>
      </w:r>
      <w:bookmarkEnd w:id="485"/>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486" w:name="_Toc504466619"/>
      <w:r>
        <w:rPr>
          <w:rStyle w:val="CharSectno"/>
        </w:rPr>
        <w:t>188</w:t>
      </w:r>
      <w:r>
        <w:t>.</w:t>
      </w:r>
      <w:r>
        <w:tab/>
        <w:t>Compliance directions</w:t>
      </w:r>
      <w:bookmarkEnd w:id="486"/>
      <w:r>
        <w:t xml:space="preserve"> </w:t>
      </w:r>
    </w:p>
    <w:p>
      <w:pPr>
        <w:pStyle w:val="Subsection"/>
      </w:pPr>
      <w:r>
        <w:tab/>
      </w:r>
      <w:r>
        <w:tab/>
        <w:t>The provisions of the regulations set out in Schedule 3 are prescribed for the purposes of section 176 of the Law.</w:t>
      </w:r>
    </w:p>
    <w:p>
      <w:pPr>
        <w:pStyle w:val="Heading5"/>
      </w:pPr>
      <w:bookmarkStart w:id="487" w:name="_Toc504466620"/>
      <w:r>
        <w:rPr>
          <w:rStyle w:val="CharSectno"/>
        </w:rPr>
        <w:t>189</w:t>
      </w:r>
      <w:r>
        <w:t>.</w:t>
      </w:r>
      <w:r>
        <w:tab/>
        <w:t>Application to cancel prohibition notice</w:t>
      </w:r>
      <w:bookmarkEnd w:id="487"/>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488" w:name="_Toc504466621"/>
      <w:r>
        <w:rPr>
          <w:rStyle w:val="CharSectno"/>
        </w:rPr>
        <w:t>190</w:t>
      </w:r>
      <w:r>
        <w:t>.</w:t>
      </w:r>
      <w:r>
        <w:tab/>
        <w:t>Infringement offences</w:t>
      </w:r>
      <w:bookmarkEnd w:id="488"/>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489" w:name="_Toc504466622"/>
      <w:r>
        <w:rPr>
          <w:rStyle w:val="CharSectno"/>
        </w:rPr>
        <w:t>191</w:t>
      </w:r>
      <w:r>
        <w:t>.</w:t>
      </w:r>
      <w:r>
        <w:tab/>
        <w:t>False or misleading information or documents</w:t>
      </w:r>
      <w:bookmarkEnd w:id="489"/>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490" w:name="_Toc425346346"/>
      <w:bookmarkStart w:id="491" w:name="_Toc425414005"/>
      <w:bookmarkStart w:id="492" w:name="_Toc497395226"/>
      <w:bookmarkStart w:id="493" w:name="_Toc504466200"/>
      <w:bookmarkStart w:id="494" w:name="_Toc504466623"/>
      <w:r>
        <w:rPr>
          <w:rStyle w:val="CharPartNo"/>
        </w:rPr>
        <w:t>Chapter 6</w:t>
      </w:r>
      <w:r>
        <w:t> — </w:t>
      </w:r>
      <w:r>
        <w:rPr>
          <w:rStyle w:val="CharPartText"/>
        </w:rPr>
        <w:t>Administration</w:t>
      </w:r>
      <w:bookmarkEnd w:id="490"/>
      <w:bookmarkEnd w:id="491"/>
      <w:bookmarkEnd w:id="492"/>
      <w:bookmarkEnd w:id="493"/>
      <w:bookmarkEnd w:id="494"/>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495" w:name="_Toc425346347"/>
      <w:bookmarkStart w:id="496" w:name="_Toc425414006"/>
      <w:bookmarkStart w:id="497" w:name="_Toc497395227"/>
      <w:bookmarkStart w:id="498" w:name="_Toc504466201"/>
      <w:bookmarkStart w:id="499" w:name="_Toc504466624"/>
      <w:r>
        <w:rPr>
          <w:rStyle w:val="CharDivNo"/>
        </w:rPr>
        <w:t>Part 6.1</w:t>
      </w:r>
      <w:r>
        <w:t> — </w:t>
      </w:r>
      <w:r>
        <w:rPr>
          <w:rStyle w:val="CharDivText"/>
        </w:rPr>
        <w:t>Australian Children’s Education and Care Quality Authority</w:t>
      </w:r>
      <w:bookmarkEnd w:id="495"/>
      <w:bookmarkEnd w:id="496"/>
      <w:bookmarkEnd w:id="497"/>
      <w:bookmarkEnd w:id="498"/>
      <w:bookmarkEnd w:id="499"/>
    </w:p>
    <w:p>
      <w:pPr>
        <w:pStyle w:val="Heading5"/>
      </w:pPr>
      <w:bookmarkStart w:id="500" w:name="_Toc504466625"/>
      <w:r>
        <w:rPr>
          <w:rStyle w:val="CharSectno"/>
        </w:rPr>
        <w:t>192</w:t>
      </w:r>
      <w:r>
        <w:t>.</w:t>
      </w:r>
      <w:r>
        <w:tab/>
        <w:t>Co</w:t>
      </w:r>
      <w:r>
        <w:noBreakHyphen/>
        <w:t>operation with prescribed classes of body</w:t>
      </w:r>
      <w:bookmarkEnd w:id="500"/>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501" w:name="_Toc504466626"/>
      <w:r>
        <w:rPr>
          <w:rStyle w:val="CharSectno"/>
        </w:rPr>
        <w:t>193</w:t>
      </w:r>
      <w:r>
        <w:t>.</w:t>
      </w:r>
      <w:r>
        <w:tab/>
        <w:t>Allocating, transferring or reimbursing money to a participating jurisdiction</w:t>
      </w:r>
      <w:bookmarkEnd w:id="501"/>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502" w:name="_Toc504466627"/>
      <w:r>
        <w:rPr>
          <w:rStyle w:val="CharSectno"/>
        </w:rPr>
        <w:t>194</w:t>
      </w:r>
      <w:r>
        <w:t>.</w:t>
      </w:r>
      <w:r>
        <w:tab/>
        <w:t>Investment of Authority Fund</w:t>
      </w:r>
      <w:bookmarkEnd w:id="502"/>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503" w:name="_Toc425346351"/>
      <w:bookmarkStart w:id="504" w:name="_Toc425414010"/>
      <w:bookmarkStart w:id="505" w:name="_Toc497395231"/>
      <w:bookmarkStart w:id="506" w:name="_Toc504466205"/>
      <w:bookmarkStart w:id="507" w:name="_Toc504466628"/>
      <w:r>
        <w:rPr>
          <w:rStyle w:val="CharDivNo"/>
        </w:rPr>
        <w:t>Part 6.2</w:t>
      </w:r>
      <w:r>
        <w:t> — </w:t>
      </w:r>
      <w:r>
        <w:rPr>
          <w:rStyle w:val="CharDivText"/>
        </w:rPr>
        <w:t>Information, records and privacy — National Authority and Regulatory Authorities</w:t>
      </w:r>
      <w:bookmarkEnd w:id="503"/>
      <w:bookmarkEnd w:id="504"/>
      <w:bookmarkEnd w:id="505"/>
      <w:bookmarkEnd w:id="506"/>
      <w:bookmarkEnd w:id="507"/>
    </w:p>
    <w:p>
      <w:pPr>
        <w:pStyle w:val="Heading4"/>
      </w:pPr>
      <w:bookmarkStart w:id="508" w:name="_Toc425346352"/>
      <w:bookmarkStart w:id="509" w:name="_Toc425414011"/>
      <w:bookmarkStart w:id="510" w:name="_Toc497395232"/>
      <w:bookmarkStart w:id="511" w:name="_Toc504466206"/>
      <w:bookmarkStart w:id="512" w:name="_Toc504466629"/>
      <w:r>
        <w:t xml:space="preserve">Division 1 — Application of Commonwealth </w:t>
      </w:r>
      <w:r>
        <w:rPr>
          <w:i/>
        </w:rPr>
        <w:t>Privacy Act 1988</w:t>
      </w:r>
      <w:bookmarkEnd w:id="508"/>
      <w:bookmarkEnd w:id="509"/>
      <w:bookmarkEnd w:id="510"/>
      <w:bookmarkEnd w:id="511"/>
      <w:bookmarkEnd w:id="512"/>
    </w:p>
    <w:p>
      <w:pPr>
        <w:pStyle w:val="Heading5"/>
      </w:pPr>
      <w:bookmarkStart w:id="513" w:name="_Toc504466630"/>
      <w:r>
        <w:rPr>
          <w:rStyle w:val="CharSectno"/>
        </w:rPr>
        <w:t>195</w:t>
      </w:r>
      <w:r>
        <w:t>.</w:t>
      </w:r>
      <w:r>
        <w:tab/>
        <w:t xml:space="preserve">Application of Commonwealth </w:t>
      </w:r>
      <w:r>
        <w:rPr>
          <w:i/>
        </w:rPr>
        <w:t>Privacy Act 1988</w:t>
      </w:r>
      <w:bookmarkEnd w:id="513"/>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514" w:name="_Toc504466631"/>
      <w:r>
        <w:rPr>
          <w:rStyle w:val="CharSectno"/>
        </w:rPr>
        <w:t>196</w:t>
      </w:r>
      <w:r>
        <w:t>.</w:t>
      </w:r>
      <w:r>
        <w:tab/>
        <w:t>Modifications relating to National Education and Care Services Privacy Commissioner and staff</w:t>
      </w:r>
      <w:bookmarkEnd w:id="514"/>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515" w:name="_Toc504466632"/>
      <w:r>
        <w:rPr>
          <w:rStyle w:val="CharSectno"/>
        </w:rPr>
        <w:t>197</w:t>
      </w:r>
      <w:r>
        <w:t>.</w:t>
      </w:r>
      <w:r>
        <w:tab/>
        <w:t>Modifications about financial matters</w:t>
      </w:r>
      <w:bookmarkEnd w:id="515"/>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16" w:name="_Toc504466633"/>
      <w:r>
        <w:rPr>
          <w:rStyle w:val="CharSectno"/>
        </w:rPr>
        <w:t>198</w:t>
      </w:r>
      <w:r>
        <w:t>.</w:t>
      </w:r>
      <w:r>
        <w:tab/>
        <w:t>Modifications about annual report</w:t>
      </w:r>
      <w:bookmarkEnd w:id="516"/>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517" w:name="_Toc504466634"/>
      <w:r>
        <w:rPr>
          <w:rStyle w:val="CharSectno"/>
        </w:rPr>
        <w:t>199</w:t>
      </w:r>
      <w:r>
        <w:t>.</w:t>
      </w:r>
      <w:r>
        <w:tab/>
        <w:t>Modifications relating to National Authority and Regulatory Authorities</w:t>
      </w:r>
      <w:bookmarkEnd w:id="517"/>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518" w:name="_Toc504466635"/>
      <w:r>
        <w:rPr>
          <w:rStyle w:val="CharSectno"/>
        </w:rPr>
        <w:t>200</w:t>
      </w:r>
      <w:r>
        <w:t>.</w:t>
      </w:r>
      <w:r>
        <w:tab/>
        <w:t>Modifications relating to determinations</w:t>
      </w:r>
      <w:bookmarkEnd w:id="518"/>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519" w:name="_Toc504466636"/>
      <w:r>
        <w:rPr>
          <w:rStyle w:val="CharSectno"/>
        </w:rPr>
        <w:t>201</w:t>
      </w:r>
      <w:r>
        <w:t>.</w:t>
      </w:r>
      <w:r>
        <w:tab/>
        <w:t>Miscellaneous modifications</w:t>
      </w:r>
      <w:bookmarkEnd w:id="519"/>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520" w:name="_Toc504466637"/>
      <w:r>
        <w:rPr>
          <w:rStyle w:val="CharSectno"/>
        </w:rPr>
        <w:t>202</w:t>
      </w:r>
      <w:r>
        <w:t>.</w:t>
      </w:r>
      <w:r>
        <w:tab/>
        <w:t>Relevant administrative tribunal</w:t>
      </w:r>
      <w:bookmarkEnd w:id="520"/>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21" w:name="_Toc504466638"/>
      <w:r>
        <w:rPr>
          <w:rStyle w:val="CharSectno"/>
        </w:rPr>
        <w:t>203</w:t>
      </w:r>
      <w:r>
        <w:t>.</w:t>
      </w:r>
      <w:r>
        <w:tab/>
        <w:t>Regulations</w:t>
      </w:r>
      <w:bookmarkEnd w:id="521"/>
      <w:r>
        <w:t xml:space="preserve"> </w:t>
      </w:r>
    </w:p>
    <w:p>
      <w:pPr>
        <w:pStyle w:val="Subsection"/>
      </w:pPr>
      <w:r>
        <w:tab/>
      </w:r>
      <w:r>
        <w:tab/>
        <w:t>The regulations made under the Privacy Act do not apply.</w:t>
      </w:r>
    </w:p>
    <w:p>
      <w:pPr>
        <w:pStyle w:val="Heading4"/>
      </w:pPr>
      <w:bookmarkStart w:id="522" w:name="_Toc425346362"/>
      <w:bookmarkStart w:id="523" w:name="_Toc425414021"/>
      <w:bookmarkStart w:id="524" w:name="_Toc497395242"/>
      <w:bookmarkStart w:id="525" w:name="_Toc504466216"/>
      <w:bookmarkStart w:id="526" w:name="_Toc504466639"/>
      <w:r>
        <w:t xml:space="preserve">Division 2 — Application of Commonwealth </w:t>
      </w:r>
      <w:r>
        <w:rPr>
          <w:i/>
        </w:rPr>
        <w:t>Freedom of Information Act 1982</w:t>
      </w:r>
      <w:bookmarkEnd w:id="522"/>
      <w:bookmarkEnd w:id="523"/>
      <w:bookmarkEnd w:id="524"/>
      <w:bookmarkEnd w:id="525"/>
      <w:bookmarkEnd w:id="526"/>
    </w:p>
    <w:p>
      <w:pPr>
        <w:pStyle w:val="Heading5"/>
      </w:pPr>
      <w:bookmarkStart w:id="527" w:name="_Toc504466640"/>
      <w:r>
        <w:rPr>
          <w:rStyle w:val="CharSectno"/>
        </w:rPr>
        <w:t>204</w:t>
      </w:r>
      <w:r>
        <w:t>.</w:t>
      </w:r>
      <w:r>
        <w:tab/>
        <w:t>Application of Commonwealth</w:t>
      </w:r>
      <w:r>
        <w:rPr>
          <w:i/>
        </w:rPr>
        <w:t xml:space="preserve"> Freedom of Information Act 1982</w:t>
      </w:r>
      <w:bookmarkEnd w:id="527"/>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528" w:name="_Toc504466641"/>
      <w:r>
        <w:rPr>
          <w:rStyle w:val="CharSectno"/>
        </w:rPr>
        <w:t>205</w:t>
      </w:r>
      <w:r>
        <w:t>.</w:t>
      </w:r>
      <w:r>
        <w:tab/>
        <w:t>Modifications relating to National Education and Care Services Freedom of Information Commissioner and staff</w:t>
      </w:r>
      <w:bookmarkEnd w:id="528"/>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529" w:name="_Toc504466642"/>
      <w:r>
        <w:rPr>
          <w:rStyle w:val="CharSectno"/>
        </w:rPr>
        <w:t>206</w:t>
      </w:r>
      <w:r>
        <w:t>.</w:t>
      </w:r>
      <w:r>
        <w:tab/>
        <w:t>Modifications about financial matters</w:t>
      </w:r>
      <w:bookmarkEnd w:id="529"/>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30" w:name="_Toc504466643"/>
      <w:r>
        <w:rPr>
          <w:rStyle w:val="CharSectno"/>
        </w:rPr>
        <w:t>207</w:t>
      </w:r>
      <w:r>
        <w:t>.</w:t>
      </w:r>
      <w:r>
        <w:tab/>
        <w:t>Modifications about annual report</w:t>
      </w:r>
      <w:bookmarkEnd w:id="530"/>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531" w:name="_Toc504466644"/>
      <w:r>
        <w:rPr>
          <w:rStyle w:val="CharSectno"/>
        </w:rPr>
        <w:t>208</w:t>
      </w:r>
      <w:r>
        <w:t>.</w:t>
      </w:r>
      <w:r>
        <w:tab/>
        <w:t>Modifications relating to National Authority and Regulatory Authorities</w:t>
      </w:r>
      <w:bookmarkEnd w:id="531"/>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in Gazette 13 Dec 2013 p.</w:t>
      </w:r>
      <w:r>
        <w:rPr>
          <w:sz w:val="19"/>
        </w:rPr>
        <w:t> </w:t>
      </w:r>
      <w:r>
        <w:t>6167; 3 Nov 2017 p. 5484.]</w:t>
      </w:r>
    </w:p>
    <w:p>
      <w:pPr>
        <w:pStyle w:val="Heading5"/>
      </w:pPr>
      <w:bookmarkStart w:id="532" w:name="_Toc504466645"/>
      <w:r>
        <w:rPr>
          <w:rStyle w:val="CharSectno"/>
        </w:rPr>
        <w:t>209</w:t>
      </w:r>
      <w:r>
        <w:t>.</w:t>
      </w:r>
      <w:r>
        <w:tab/>
        <w:t>Miscellaneous modifications</w:t>
      </w:r>
      <w:bookmarkEnd w:id="532"/>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533" w:name="_Toc504466646"/>
      <w:r>
        <w:rPr>
          <w:rStyle w:val="CharSectno"/>
        </w:rPr>
        <w:t>210</w:t>
      </w:r>
      <w:r>
        <w:t>.</w:t>
      </w:r>
      <w:r>
        <w:tab/>
        <w:t>Relevant administrative tribunal</w:t>
      </w:r>
      <w:bookmarkEnd w:id="533"/>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34" w:name="_Toc504466647"/>
      <w:r>
        <w:rPr>
          <w:rStyle w:val="CharSectno"/>
        </w:rPr>
        <w:t>211</w:t>
      </w:r>
      <w:r>
        <w:t>.</w:t>
      </w:r>
      <w:r>
        <w:tab/>
        <w:t>Regulations</w:t>
      </w:r>
      <w:bookmarkEnd w:id="534"/>
      <w:r>
        <w:t xml:space="preserve"> </w:t>
      </w:r>
    </w:p>
    <w:p>
      <w:pPr>
        <w:pStyle w:val="Subsection"/>
      </w:pPr>
      <w:r>
        <w:tab/>
      </w:r>
      <w:r>
        <w:tab/>
        <w:t>The regulations made under the FOI Act, other than the provisions providing for fees and charges, do not apply.</w:t>
      </w:r>
    </w:p>
    <w:p>
      <w:pPr>
        <w:pStyle w:val="Heading4"/>
        <w:rPr>
          <w:i/>
        </w:rPr>
      </w:pPr>
      <w:bookmarkStart w:id="535" w:name="_Toc425346371"/>
      <w:bookmarkStart w:id="536" w:name="_Toc425414030"/>
      <w:bookmarkStart w:id="537" w:name="_Toc497395251"/>
      <w:bookmarkStart w:id="538" w:name="_Toc504466225"/>
      <w:bookmarkStart w:id="539" w:name="_Toc504466648"/>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535"/>
      <w:bookmarkEnd w:id="536"/>
      <w:bookmarkEnd w:id="537"/>
      <w:bookmarkEnd w:id="538"/>
      <w:bookmarkEnd w:id="539"/>
    </w:p>
    <w:p>
      <w:pPr>
        <w:pStyle w:val="Heading5"/>
      </w:pPr>
      <w:bookmarkStart w:id="540" w:name="_Toc504466649"/>
      <w:r>
        <w:rPr>
          <w:rStyle w:val="CharSectno"/>
        </w:rPr>
        <w:t>212</w:t>
      </w:r>
      <w:r>
        <w:t>.</w:t>
      </w:r>
      <w:r>
        <w:tab/>
        <w:t>Application of State Records Act</w:t>
      </w:r>
      <w:bookmarkEnd w:id="540"/>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541" w:name="_Toc504466650"/>
      <w:r>
        <w:rPr>
          <w:rStyle w:val="CharSectno"/>
        </w:rPr>
        <w:t>213</w:t>
      </w:r>
      <w:r>
        <w:t>.</w:t>
      </w:r>
      <w:r>
        <w:tab/>
        <w:t>Modifications relating to State Records Authority and its Board and Director</w:t>
      </w:r>
      <w:bookmarkEnd w:id="541"/>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542" w:name="_Toc504466651"/>
      <w:r>
        <w:rPr>
          <w:rStyle w:val="CharSectno"/>
        </w:rPr>
        <w:t>214</w:t>
      </w:r>
      <w:r>
        <w:t>.</w:t>
      </w:r>
      <w:r>
        <w:tab/>
        <w:t>Modifications relating to National Authority</w:t>
      </w:r>
      <w:bookmarkEnd w:id="542"/>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543" w:name="_Toc504466652"/>
      <w:r>
        <w:rPr>
          <w:rStyle w:val="CharSectno"/>
        </w:rPr>
        <w:t>215</w:t>
      </w:r>
      <w:r>
        <w:t>.</w:t>
      </w:r>
      <w:r>
        <w:tab/>
        <w:t>Modifications relating to Ministerial Council</w:t>
      </w:r>
      <w:bookmarkEnd w:id="543"/>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544" w:name="_Toc504466653"/>
      <w:r>
        <w:rPr>
          <w:rStyle w:val="CharSectno"/>
        </w:rPr>
        <w:t>216</w:t>
      </w:r>
      <w:r>
        <w:t>.</w:t>
      </w:r>
      <w:r>
        <w:tab/>
        <w:t>Miscellaneous modifications</w:t>
      </w:r>
      <w:bookmarkEnd w:id="544"/>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(via)</w:t>
      </w:r>
      <w:r>
        <w:tab/>
        <w:t xml:space="preserve">the Public Sector Commissioner, but only if the divulging of information to, or the production of any document or other thing to, the Public Sector Commissioner is for the purposes of the Public Sector Commissioner’s functions under the </w:t>
      </w:r>
      <w:r>
        <w:rPr>
          <w:i/>
        </w:rPr>
        <w:t>Corruption, Crime and Misconduct Act 2003</w:t>
      </w:r>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in Gazette 26 Jun 2015 p. 2272.]</w:t>
      </w:r>
    </w:p>
    <w:p>
      <w:pPr>
        <w:pStyle w:val="Heading5"/>
      </w:pPr>
      <w:bookmarkStart w:id="545" w:name="_Toc504466654"/>
      <w:r>
        <w:rPr>
          <w:rStyle w:val="CharSectno"/>
        </w:rPr>
        <w:t>217</w:t>
      </w:r>
      <w:r>
        <w:t>.</w:t>
      </w:r>
      <w:r>
        <w:tab/>
        <w:t>Regulations</w:t>
      </w:r>
      <w:bookmarkEnd w:id="545"/>
      <w:r>
        <w:t xml:space="preserve"> </w:t>
      </w:r>
    </w:p>
    <w:p>
      <w:pPr>
        <w:pStyle w:val="Subsection"/>
      </w:pPr>
      <w:r>
        <w:tab/>
      </w:r>
      <w:r>
        <w:tab/>
        <w:t>The regulations made under the State Records Act do not apply.</w:t>
      </w:r>
    </w:p>
    <w:p>
      <w:pPr>
        <w:pStyle w:val="Heading4"/>
      </w:pPr>
      <w:bookmarkStart w:id="546" w:name="_Toc425346378"/>
      <w:bookmarkStart w:id="547" w:name="_Toc425414037"/>
      <w:bookmarkStart w:id="548" w:name="_Toc497395258"/>
      <w:bookmarkStart w:id="549" w:name="_Toc504466232"/>
      <w:bookmarkStart w:id="550" w:name="_Toc504466655"/>
      <w:r>
        <w:t xml:space="preserve">Division 4 — Application of Commonwealth </w:t>
      </w:r>
      <w:r>
        <w:rPr>
          <w:i/>
        </w:rPr>
        <w:t>Ombudsman Act 1976</w:t>
      </w:r>
      <w:bookmarkEnd w:id="546"/>
      <w:bookmarkEnd w:id="547"/>
      <w:bookmarkEnd w:id="548"/>
      <w:bookmarkEnd w:id="549"/>
      <w:bookmarkEnd w:id="550"/>
    </w:p>
    <w:p>
      <w:pPr>
        <w:pStyle w:val="Heading5"/>
      </w:pPr>
      <w:bookmarkStart w:id="551" w:name="_Toc504466656"/>
      <w:r>
        <w:rPr>
          <w:rStyle w:val="CharSectno"/>
        </w:rPr>
        <w:t>218</w:t>
      </w:r>
      <w:r>
        <w:t>.</w:t>
      </w:r>
      <w:r>
        <w:tab/>
        <w:t>Application of Commonwealth Ombudsman Act</w:t>
      </w:r>
      <w:bookmarkEnd w:id="551"/>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552" w:name="_Toc504466657"/>
      <w:r>
        <w:rPr>
          <w:rStyle w:val="CharSectno"/>
        </w:rPr>
        <w:t>219</w:t>
      </w:r>
      <w:r>
        <w:t>.</w:t>
      </w:r>
      <w:r>
        <w:tab/>
        <w:t>Modifications relating to Education and Care Services Ombudsman and staff</w:t>
      </w:r>
      <w:bookmarkEnd w:id="552"/>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in Gazette 3 Nov 2017 p. 5484.]</w:t>
      </w:r>
    </w:p>
    <w:p>
      <w:pPr>
        <w:pStyle w:val="Heading5"/>
      </w:pPr>
      <w:bookmarkStart w:id="553" w:name="_Toc504466658"/>
      <w:r>
        <w:rPr>
          <w:rStyle w:val="CharSectno"/>
        </w:rPr>
        <w:t>220</w:t>
      </w:r>
      <w:r>
        <w:t>.</w:t>
      </w:r>
      <w:r>
        <w:tab/>
        <w:t>Modifications about financial matters</w:t>
      </w:r>
      <w:bookmarkEnd w:id="553"/>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554" w:name="_Toc504466659"/>
      <w:r>
        <w:rPr>
          <w:rStyle w:val="CharSectno"/>
        </w:rPr>
        <w:t>221</w:t>
      </w:r>
      <w:r>
        <w:t>.</w:t>
      </w:r>
      <w:r>
        <w:tab/>
        <w:t>Modifications about annual report</w:t>
      </w:r>
      <w:bookmarkEnd w:id="554"/>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555" w:name="_Toc504466660"/>
      <w:r>
        <w:rPr>
          <w:rStyle w:val="CharSectno"/>
        </w:rPr>
        <w:t>222</w:t>
      </w:r>
      <w:r>
        <w:t>.</w:t>
      </w:r>
      <w:r>
        <w:tab/>
        <w:t>Modifications relating to National Authority and Regulatory Authorities</w:t>
      </w:r>
      <w:bookmarkEnd w:id="555"/>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556" w:name="_Toc504466661"/>
      <w:r>
        <w:rPr>
          <w:rStyle w:val="CharSectno"/>
        </w:rPr>
        <w:t>223</w:t>
      </w:r>
      <w:r>
        <w:t>.</w:t>
      </w:r>
      <w:r>
        <w:tab/>
        <w:t>Miscellaneous modifications</w:t>
      </w:r>
      <w:bookmarkEnd w:id="556"/>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557" w:name="_Toc504466662"/>
      <w:r>
        <w:rPr>
          <w:rStyle w:val="CharSectno"/>
        </w:rPr>
        <w:t>224</w:t>
      </w:r>
      <w:r>
        <w:t>.</w:t>
      </w:r>
      <w:r>
        <w:tab/>
        <w:t>Relevant administrative tribunal</w:t>
      </w:r>
      <w:bookmarkEnd w:id="557"/>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spacing w:before="60"/>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58" w:name="_Toc504466663"/>
      <w:r>
        <w:rPr>
          <w:rStyle w:val="CharSectno"/>
        </w:rPr>
        <w:t>225</w:t>
      </w:r>
      <w:r>
        <w:t>.</w:t>
      </w:r>
      <w:r>
        <w:tab/>
        <w:t>Regulations</w:t>
      </w:r>
      <w:bookmarkEnd w:id="558"/>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559" w:name="_Toc425346387"/>
      <w:bookmarkStart w:id="560" w:name="_Toc425414046"/>
      <w:bookmarkStart w:id="561" w:name="_Toc497395267"/>
      <w:bookmarkStart w:id="562" w:name="_Toc504466241"/>
      <w:bookmarkStart w:id="563" w:name="_Toc504466664"/>
      <w:r>
        <w:t>Division 5 — Publication of information</w:t>
      </w:r>
      <w:bookmarkEnd w:id="559"/>
      <w:bookmarkEnd w:id="560"/>
      <w:bookmarkEnd w:id="561"/>
      <w:bookmarkEnd w:id="562"/>
      <w:bookmarkEnd w:id="563"/>
    </w:p>
    <w:p>
      <w:pPr>
        <w:pStyle w:val="Heading5"/>
      </w:pPr>
      <w:bookmarkStart w:id="564" w:name="_Toc504466665"/>
      <w:r>
        <w:rPr>
          <w:rStyle w:val="CharSectno"/>
        </w:rPr>
        <w:t>226</w:t>
      </w:r>
      <w:r>
        <w:t>.</w:t>
      </w:r>
      <w:r>
        <w:tab/>
        <w:t>Publication of information</w:t>
      </w:r>
      <w:bookmarkEnd w:id="564"/>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565" w:name="_Toc504466666"/>
      <w:r>
        <w:rPr>
          <w:rStyle w:val="CharSectno"/>
        </w:rPr>
        <w:t>227</w:t>
      </w:r>
      <w:r>
        <w:t>.</w:t>
      </w:r>
      <w:r>
        <w:tab/>
        <w:t>Compliance and enforcement information</w:t>
      </w:r>
      <w:bookmarkEnd w:id="565"/>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spacing w:before="52"/>
      </w:pPr>
      <w:r>
        <w:tab/>
        <w:t>(iv)</w:t>
      </w:r>
      <w:r>
        <w:tab/>
        <w:t>for an individual, the name of the individual and the individual’s supervisor certificate number, if relevant;</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pPr>
      <w:r>
        <w:tab/>
        <w:t>2.</w:t>
      </w:r>
      <w:r>
        <w:tab/>
        <w:t>Section 270(6) of the Law further restricts the publication of identifying information.</w:t>
      </w:r>
    </w:p>
    <w:p>
      <w:pPr>
        <w:pStyle w:val="Footnotesection"/>
      </w:pPr>
      <w:r>
        <w:tab/>
        <w:t>[Regulation 227 amended in Gazette 5 Mar 2013 p. 1108</w:t>
      </w:r>
      <w:r>
        <w:noBreakHyphen/>
        <w:t>9; 13 Dec 2013 p.</w:t>
      </w:r>
      <w:r>
        <w:rPr>
          <w:sz w:val="19"/>
        </w:rPr>
        <w:t> </w:t>
      </w:r>
      <w:r>
        <w:t>6167</w:t>
      </w:r>
      <w:r>
        <w:noBreakHyphen/>
        <w:t>8.]</w:t>
      </w:r>
    </w:p>
    <w:p>
      <w:pPr>
        <w:pStyle w:val="Heading5"/>
      </w:pPr>
      <w:bookmarkStart w:id="566" w:name="_Toc504466667"/>
      <w:r>
        <w:rPr>
          <w:rStyle w:val="CharSectno"/>
        </w:rPr>
        <w:t>228</w:t>
      </w:r>
      <w:r>
        <w:t>.</w:t>
      </w:r>
      <w:r>
        <w:tab/>
        <w:t>Timing of publication where internal or external review of enforcement action is available</w:t>
      </w:r>
      <w:bookmarkEnd w:id="566"/>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567" w:name="_Toc425346391"/>
      <w:bookmarkStart w:id="568" w:name="_Toc425414050"/>
      <w:bookmarkStart w:id="569" w:name="_Toc497395271"/>
      <w:bookmarkStart w:id="570" w:name="_Toc504466245"/>
      <w:bookmarkStart w:id="571" w:name="_Toc504466668"/>
      <w:r>
        <w:t>Division 6 — Registers</w:t>
      </w:r>
      <w:bookmarkEnd w:id="567"/>
      <w:bookmarkEnd w:id="568"/>
      <w:bookmarkEnd w:id="569"/>
      <w:bookmarkEnd w:id="570"/>
      <w:bookmarkEnd w:id="571"/>
    </w:p>
    <w:p>
      <w:pPr>
        <w:pStyle w:val="Heading5"/>
      </w:pPr>
      <w:bookmarkStart w:id="572" w:name="_Toc504466669"/>
      <w:r>
        <w:rPr>
          <w:rStyle w:val="CharSectno"/>
        </w:rPr>
        <w:t>229</w:t>
      </w:r>
      <w:r>
        <w:t>.</w:t>
      </w:r>
      <w:r>
        <w:tab/>
        <w:t>Register of approved providers</w:t>
      </w:r>
      <w:bookmarkEnd w:id="572"/>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573" w:name="_Toc504466670"/>
      <w:r>
        <w:rPr>
          <w:rStyle w:val="CharSectno"/>
        </w:rPr>
        <w:t>230</w:t>
      </w:r>
      <w:r>
        <w:t>.</w:t>
      </w:r>
      <w:r>
        <w:tab/>
        <w:t>Register of approved education and care services</w:t>
      </w:r>
      <w:bookmarkEnd w:id="573"/>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574" w:name="_Toc504466671"/>
      <w:r>
        <w:rPr>
          <w:rStyle w:val="CharSectno"/>
        </w:rPr>
        <w:t>231</w:t>
      </w:r>
      <w:r>
        <w:t>.</w:t>
      </w:r>
      <w:r>
        <w:tab/>
        <w:t>Register of certified supervisors</w:t>
      </w:r>
      <w:bookmarkEnd w:id="574"/>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if applicable, 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Footnotesection"/>
      </w:pPr>
      <w:r>
        <w:tab/>
        <w:t>[Regulation 231 amended in Gazette 28 Nov 2014 p. 4408.]</w:t>
      </w:r>
    </w:p>
    <w:p>
      <w:pPr>
        <w:pStyle w:val="Heading3"/>
      </w:pPr>
      <w:bookmarkStart w:id="575" w:name="_Toc425346395"/>
      <w:bookmarkStart w:id="576" w:name="_Toc425414054"/>
      <w:bookmarkStart w:id="577" w:name="_Toc497395275"/>
      <w:bookmarkStart w:id="578" w:name="_Toc504466249"/>
      <w:bookmarkStart w:id="579" w:name="_Toc504466672"/>
      <w:r>
        <w:rPr>
          <w:rStyle w:val="CharDivNo"/>
        </w:rPr>
        <w:t>Part 6.3</w:t>
      </w:r>
      <w:r>
        <w:t> — </w:t>
      </w:r>
      <w:r>
        <w:rPr>
          <w:rStyle w:val="CharDivText"/>
        </w:rPr>
        <w:t>Fees</w:t>
      </w:r>
      <w:bookmarkEnd w:id="575"/>
      <w:bookmarkEnd w:id="576"/>
      <w:bookmarkEnd w:id="577"/>
      <w:bookmarkEnd w:id="578"/>
      <w:bookmarkEnd w:id="579"/>
    </w:p>
    <w:p>
      <w:pPr>
        <w:pStyle w:val="Heading5"/>
      </w:pPr>
      <w:bookmarkStart w:id="580" w:name="_Toc504466673"/>
      <w:r>
        <w:rPr>
          <w:rStyle w:val="CharSectno"/>
        </w:rPr>
        <w:t>232</w:t>
      </w:r>
      <w:r>
        <w:t>.</w:t>
      </w:r>
      <w:r>
        <w:tab/>
        <w:t>Prescribed fees</w:t>
      </w:r>
      <w:bookmarkEnd w:id="580"/>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581" w:name="_Toc504466674"/>
      <w:r>
        <w:rPr>
          <w:rStyle w:val="CharSectno"/>
        </w:rPr>
        <w:t>233</w:t>
      </w:r>
      <w:r>
        <w:t>.</w:t>
      </w:r>
      <w:r>
        <w:tab/>
        <w:t>Late payment fees (annual fees)</w:t>
      </w:r>
      <w:bookmarkEnd w:id="581"/>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582" w:name="_Toc504466675"/>
      <w:r>
        <w:rPr>
          <w:rStyle w:val="CharSectno"/>
        </w:rPr>
        <w:t>234</w:t>
      </w:r>
      <w:r>
        <w:t>.</w:t>
      </w:r>
      <w:r>
        <w:tab/>
        <w:t>Waiver, reduction, deferral and refund of fees</w:t>
      </w:r>
      <w:bookmarkEnd w:id="582"/>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583" w:name="_Toc504466676"/>
      <w:r>
        <w:rPr>
          <w:rStyle w:val="CharSectno"/>
        </w:rPr>
        <w:t>235</w:t>
      </w:r>
      <w:r>
        <w:t>.</w:t>
      </w:r>
      <w:r>
        <w:tab/>
        <w:t>Indexation of fees</w:t>
      </w:r>
      <w:bookmarkEnd w:id="583"/>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7pt" o:ole="">
            <v:imagedata r:id="rId22" o:title=""/>
          </v:shape>
          <o:OLEObject Type="Embed" ProgID="Equation.3" ShapeID="_x0000_i1025" DrawAspect="Content" ObjectID="_1644031406" r:id="rId23"/>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584" w:name="_Toc504466677"/>
      <w:r>
        <w:rPr>
          <w:rStyle w:val="CharSectno"/>
        </w:rPr>
        <w:t>236</w:t>
      </w:r>
      <w:r>
        <w:t>.</w:t>
      </w:r>
      <w:r>
        <w:tab/>
        <w:t>Publication of indexed fees</w:t>
      </w:r>
      <w:bookmarkEnd w:id="584"/>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585" w:name="_Toc425346401"/>
      <w:bookmarkStart w:id="586" w:name="_Toc425414060"/>
      <w:bookmarkStart w:id="587" w:name="_Toc497395281"/>
      <w:bookmarkStart w:id="588" w:name="_Toc504466255"/>
      <w:bookmarkStart w:id="589" w:name="_Toc504466678"/>
      <w:r>
        <w:rPr>
          <w:rStyle w:val="CharDivNo"/>
        </w:rPr>
        <w:t>Part 6.4</w:t>
      </w:r>
      <w:r>
        <w:t> — </w:t>
      </w:r>
      <w:r>
        <w:rPr>
          <w:rStyle w:val="CharDivText"/>
        </w:rPr>
        <w:t>Delegations</w:t>
      </w:r>
      <w:bookmarkEnd w:id="585"/>
      <w:bookmarkEnd w:id="586"/>
      <w:bookmarkEnd w:id="587"/>
      <w:bookmarkEnd w:id="588"/>
      <w:bookmarkEnd w:id="589"/>
    </w:p>
    <w:p>
      <w:pPr>
        <w:pStyle w:val="Heading5"/>
      </w:pPr>
      <w:bookmarkStart w:id="590" w:name="_Toc504466679"/>
      <w:r>
        <w:rPr>
          <w:rStyle w:val="CharSectno"/>
        </w:rPr>
        <w:t>237</w:t>
      </w:r>
      <w:r>
        <w:t>.</w:t>
      </w:r>
      <w:r>
        <w:tab/>
        <w:t>Delegation</w:t>
      </w:r>
      <w:bookmarkEnd w:id="590"/>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591" w:name="_Toc425346403"/>
      <w:bookmarkStart w:id="592" w:name="_Toc425414062"/>
      <w:bookmarkStart w:id="593" w:name="_Toc497395283"/>
      <w:bookmarkStart w:id="594" w:name="_Toc504466257"/>
      <w:bookmarkStart w:id="595" w:name="_Toc504466680"/>
      <w:r>
        <w:rPr>
          <w:rStyle w:val="CharPartNo"/>
        </w:rPr>
        <w:t>Chapter 7</w:t>
      </w:r>
      <w:r>
        <w:t> — </w:t>
      </w:r>
      <w:r>
        <w:rPr>
          <w:rStyle w:val="CharPartText"/>
        </w:rPr>
        <w:t>Jurisdiction</w:t>
      </w:r>
      <w:r>
        <w:rPr>
          <w:rStyle w:val="CharPartText"/>
        </w:rPr>
        <w:noBreakHyphen/>
        <w:t>specific and transitional and saving provisions</w:t>
      </w:r>
      <w:bookmarkEnd w:id="591"/>
      <w:bookmarkEnd w:id="592"/>
      <w:bookmarkEnd w:id="593"/>
      <w:bookmarkEnd w:id="594"/>
      <w:bookmarkEnd w:id="595"/>
    </w:p>
    <w:p>
      <w:pPr>
        <w:pStyle w:val="MiscellaneousBody"/>
      </w:pPr>
      <w:r>
        <w:t>This Chapter contains transitional and saving provisions and provisions that relate to specific jurisdictions.</w:t>
      </w:r>
    </w:p>
    <w:p>
      <w:pPr>
        <w:pStyle w:val="MiscellaneousBody"/>
        <w:spacing w:before="140"/>
      </w:pPr>
      <w:r>
        <w:rPr>
          <w:b/>
        </w:rPr>
        <w:t>Part 7.1</w:t>
      </w:r>
      <w:r>
        <w:t xml:space="preserve"> contains general transitional and saving provisions.</w:t>
      </w:r>
    </w:p>
    <w:p>
      <w:pPr>
        <w:pStyle w:val="MiscellaneousBody"/>
        <w:spacing w:before="140"/>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spacing w:before="140"/>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spacing w:before="140"/>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spacing w:before="140"/>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spacing w:before="140"/>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spacing w:before="140"/>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spacing w:before="140"/>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spacing w:before="140"/>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PermNoteHeading"/>
      </w:pPr>
      <w:r>
        <w:tab/>
        <w:t>Note for this Chapter:</w:t>
      </w:r>
    </w:p>
    <w:p>
      <w:pPr>
        <w:pStyle w:val="PermNoteText"/>
      </w:pPr>
      <w:r>
        <w:tab/>
      </w:r>
      <w:r>
        <w:tab/>
        <w:t>The national regulations made by the Ministerial Council include provisions as Parts 7.2-7.8.</w:t>
      </w:r>
    </w:p>
    <w:p>
      <w:pPr>
        <w:pStyle w:val="Heading3"/>
      </w:pPr>
      <w:bookmarkStart w:id="596" w:name="_Toc425346404"/>
      <w:bookmarkStart w:id="597" w:name="_Toc425414063"/>
      <w:bookmarkStart w:id="598" w:name="_Toc497395284"/>
      <w:bookmarkStart w:id="599" w:name="_Toc504466258"/>
      <w:bookmarkStart w:id="600" w:name="_Toc504466681"/>
      <w:r>
        <w:rPr>
          <w:rStyle w:val="CharDivNo"/>
        </w:rPr>
        <w:t>Part 7.1</w:t>
      </w:r>
      <w:r>
        <w:t> — </w:t>
      </w:r>
      <w:r>
        <w:rPr>
          <w:rStyle w:val="CharDivText"/>
        </w:rPr>
        <w:t>General transitional and saving provisions</w:t>
      </w:r>
      <w:bookmarkEnd w:id="596"/>
      <w:bookmarkEnd w:id="597"/>
      <w:bookmarkEnd w:id="598"/>
      <w:bookmarkEnd w:id="599"/>
      <w:bookmarkEnd w:id="600"/>
    </w:p>
    <w:p>
      <w:pPr>
        <w:pStyle w:val="Heading4"/>
      </w:pPr>
      <w:bookmarkStart w:id="601" w:name="_Toc425346405"/>
      <w:bookmarkStart w:id="602" w:name="_Toc425414064"/>
      <w:bookmarkStart w:id="603" w:name="_Toc497395285"/>
      <w:bookmarkStart w:id="604" w:name="_Toc504466259"/>
      <w:bookmarkStart w:id="605" w:name="_Toc504466682"/>
      <w:r>
        <w:t>Division 1 — Quality improvement plans</w:t>
      </w:r>
      <w:bookmarkEnd w:id="601"/>
      <w:bookmarkEnd w:id="602"/>
      <w:bookmarkEnd w:id="603"/>
      <w:bookmarkEnd w:id="604"/>
      <w:bookmarkEnd w:id="605"/>
    </w:p>
    <w:p>
      <w:pPr>
        <w:pStyle w:val="Heading5"/>
      </w:pPr>
      <w:bookmarkStart w:id="606" w:name="_Toc504466683"/>
      <w:r>
        <w:rPr>
          <w:rStyle w:val="CharSectno"/>
        </w:rPr>
        <w:t>238</w:t>
      </w:r>
      <w:r>
        <w:t>.</w:t>
      </w:r>
      <w:r>
        <w:tab/>
        <w:t>Quality improvement plans</w:t>
      </w:r>
      <w:bookmarkEnd w:id="606"/>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PermNoteHeading"/>
      </w:pPr>
      <w:r>
        <w:tab/>
        <w:t>Note for this regulation:</w:t>
      </w:r>
    </w:p>
    <w:p>
      <w:pPr>
        <w:pStyle w:val="PermNoteText"/>
      </w:pPr>
      <w:r>
        <w:tab/>
      </w:r>
      <w:r>
        <w:tab/>
        <w:t>This regulation differs from regulation 238 of the national regulations made by the Ministerial Council.</w:t>
      </w:r>
    </w:p>
    <w:p>
      <w:pPr>
        <w:pStyle w:val="Heading4"/>
      </w:pPr>
      <w:bookmarkStart w:id="607" w:name="_Toc425346407"/>
      <w:bookmarkStart w:id="608" w:name="_Toc425414066"/>
      <w:bookmarkStart w:id="609" w:name="_Toc497395287"/>
      <w:bookmarkStart w:id="610" w:name="_Toc504466261"/>
      <w:bookmarkStart w:id="611" w:name="_Toc504466684"/>
      <w:r>
        <w:t>Division 1A — Prescribed classes of persons for grant of supervisor certificate</w:t>
      </w:r>
      <w:bookmarkEnd w:id="607"/>
      <w:bookmarkEnd w:id="608"/>
      <w:bookmarkEnd w:id="609"/>
      <w:bookmarkEnd w:id="610"/>
      <w:bookmarkEnd w:id="611"/>
    </w:p>
    <w:p>
      <w:pPr>
        <w:pStyle w:val="Footnoteheading"/>
      </w:pPr>
      <w:r>
        <w:tab/>
        <w:t>[Heading inserted in Gazette 28 Nov 2014 p. 4409.]</w:t>
      </w:r>
    </w:p>
    <w:p>
      <w:pPr>
        <w:pStyle w:val="Heading5"/>
      </w:pPr>
      <w:bookmarkStart w:id="612" w:name="_Toc504466685"/>
      <w:r>
        <w:rPr>
          <w:rStyle w:val="CharSectno"/>
        </w:rPr>
        <w:t>238A</w:t>
      </w:r>
      <w:r>
        <w:t>.</w:t>
      </w:r>
      <w:r>
        <w:tab/>
        <w:t>Prescribed classes of persons for grant of supervisor certificate</w:t>
      </w:r>
      <w:bookmarkEnd w:id="612"/>
    </w:p>
    <w:p>
      <w:pPr>
        <w:pStyle w:val="PermNoteHeading"/>
      </w:pPr>
      <w:r>
        <w:tab/>
        <w:t>Note for this regulation:</w:t>
      </w:r>
    </w:p>
    <w:p>
      <w:pPr>
        <w:pStyle w:val="PermNoteText"/>
      </w:pPr>
      <w:r>
        <w:tab/>
      </w:r>
      <w:r>
        <w:tab/>
        <w:t>Regulation 238A of the national regulations made by the Ministerial Council does not apply as a law of WA.</w:t>
      </w:r>
    </w:p>
    <w:p>
      <w:pPr>
        <w:pStyle w:val="Footnotesection"/>
      </w:pPr>
      <w:r>
        <w:tab/>
        <w:t>[Regulation 238A inserted in Gazette 28 Nov 2014 p. 4409.]</w:t>
      </w:r>
    </w:p>
    <w:p>
      <w:pPr>
        <w:pStyle w:val="Heading4"/>
      </w:pPr>
      <w:bookmarkStart w:id="613" w:name="_Toc425346409"/>
      <w:bookmarkStart w:id="614" w:name="_Toc425414068"/>
      <w:bookmarkStart w:id="615" w:name="_Toc497395289"/>
      <w:bookmarkStart w:id="616" w:name="_Toc504466263"/>
      <w:bookmarkStart w:id="617" w:name="_Toc504466686"/>
      <w:r>
        <w:t>Division 2 — Staffing arrangements</w:t>
      </w:r>
      <w:bookmarkEnd w:id="613"/>
      <w:bookmarkEnd w:id="614"/>
      <w:bookmarkEnd w:id="615"/>
      <w:bookmarkEnd w:id="616"/>
      <w:bookmarkEnd w:id="617"/>
    </w:p>
    <w:p>
      <w:pPr>
        <w:pStyle w:val="Heading5"/>
      </w:pPr>
      <w:bookmarkStart w:id="618" w:name="_Toc504466687"/>
      <w:r>
        <w:rPr>
          <w:rStyle w:val="CharSectno"/>
        </w:rPr>
        <w:t>239</w:t>
      </w:r>
      <w:r>
        <w:t>.</w:t>
      </w:r>
      <w:r>
        <w:tab/>
        <w:t>Centre</w:t>
      </w:r>
      <w:r>
        <w:noBreakHyphen/>
        <w:t>based service offering a preschool program in a composite class in a school</w:t>
      </w:r>
      <w:bookmarkEnd w:id="618"/>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619" w:name="_Toc504466688"/>
      <w:r>
        <w:rPr>
          <w:rStyle w:val="CharSectno"/>
        </w:rPr>
        <w:t>239A</w:t>
      </w:r>
      <w:r>
        <w:t>.</w:t>
      </w:r>
      <w:r>
        <w:tab/>
        <w:t>Centre</w:t>
      </w:r>
      <w:r>
        <w:noBreakHyphen/>
        <w:t>based services in remote and very remote areas — attendance of early childhood teachers</w:t>
      </w:r>
      <w:bookmarkEnd w:id="619"/>
    </w:p>
    <w:p>
      <w:pPr>
        <w:pStyle w:val="Subsection"/>
      </w:pPr>
      <w:r>
        <w:tab/>
        <w:t>(1)</w:t>
      </w:r>
      <w:r>
        <w:tab/>
        <w:t>This regulation applies until 1 January 2020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 133 or 134 for attendance of an early childhood teacher if the service has access to an early childhood teacher working with the service at least 20 per cent of the time that the service provides education and care.</w:t>
      </w:r>
    </w:p>
    <w:p>
      <w:pPr>
        <w:pStyle w:val="Subsection"/>
      </w:pPr>
      <w:r>
        <w:tab/>
        <w:t>(3)</w:t>
      </w:r>
      <w:r>
        <w:tab/>
        <w:t>To comply with subregulation (2), the early childhood teacher may be working with the service by means of information communication technology.</w:t>
      </w:r>
    </w:p>
    <w:p>
      <w:pPr>
        <w:pStyle w:val="Subsection"/>
      </w:pPr>
      <w:r>
        <w:tab/>
        <w:t>(4)</w:t>
      </w:r>
      <w:r>
        <w:tab/>
        <w:t>For the purposes of this regulation, the period that an early childhood teacher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in Gazette 28 Nov 2014 p. 4409</w:t>
      </w:r>
      <w:r>
        <w:noBreakHyphen/>
        <w:t>10; amended in Gazette 3 Nov 2017 p. 5484.]</w:t>
      </w:r>
    </w:p>
    <w:p>
      <w:pPr>
        <w:pStyle w:val="Heading5"/>
      </w:pPr>
      <w:bookmarkStart w:id="620" w:name="_Toc504466689"/>
      <w:r>
        <w:rPr>
          <w:rStyle w:val="CharSectno"/>
        </w:rPr>
        <w:t>240</w:t>
      </w:r>
      <w:r>
        <w:t>.</w:t>
      </w:r>
      <w:r>
        <w:tab/>
        <w:t>Qualifications for educators — centre</w:t>
      </w:r>
      <w:r>
        <w:noBreakHyphen/>
        <w:t>based service</w:t>
      </w:r>
      <w:bookmarkEnd w:id="620"/>
      <w:r>
        <w:t xml:space="preserve"> </w:t>
      </w:r>
    </w:p>
    <w:p>
      <w:pPr>
        <w:pStyle w:val="Subsection"/>
      </w:pPr>
      <w:r>
        <w:tab/>
        <w:t>(1)</w:t>
      </w:r>
      <w:r>
        <w:tab/>
        <w:t>This regulation applies to a centre</w:t>
      </w:r>
      <w:r>
        <w:noBreakHyphen/>
        <w:t xml:space="preserve">based service — </w:t>
      </w:r>
    </w:p>
    <w:p>
      <w:pPr>
        <w:pStyle w:val="Indenta"/>
      </w:pPr>
      <w:r>
        <w:tab/>
        <w:t>(a)</w:t>
      </w:r>
      <w:r>
        <w:tab/>
        <w:t>if the service is located in a remote area or a very remote area, until 1 January 2020; or</w:t>
      </w:r>
    </w:p>
    <w:p>
      <w:pPr>
        <w:pStyle w:val="Indenta"/>
      </w:pPr>
      <w:r>
        <w:tab/>
        <w:t>(b)</w:t>
      </w:r>
      <w:r>
        <w:tab/>
        <w:t>otherwise, until 31 December 2015.</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in Gazette 28 Nov 2014 p. 4410; 3 Nov 2017 p. 5485.]</w:t>
      </w:r>
    </w:p>
    <w:p>
      <w:pPr>
        <w:pStyle w:val="Heading5"/>
      </w:pPr>
      <w:bookmarkStart w:id="621" w:name="_Toc504466690"/>
      <w:r>
        <w:rPr>
          <w:rStyle w:val="CharSectno"/>
        </w:rPr>
        <w:t>241</w:t>
      </w:r>
      <w:r>
        <w:t>.</w:t>
      </w:r>
      <w:r>
        <w:tab/>
        <w:t>Persons taken to hold an approved early childhood teaching qualification</w:t>
      </w:r>
      <w:bookmarkEnd w:id="621"/>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in Gazette 13 Dec 2013 p.</w:t>
      </w:r>
      <w:r>
        <w:rPr>
          <w:sz w:val="19"/>
        </w:rPr>
        <w:t> </w:t>
      </w:r>
      <w:r>
        <w:t>6169; 28 Nov 2014 p. 4410.]</w:t>
      </w:r>
    </w:p>
    <w:p>
      <w:pPr>
        <w:pStyle w:val="Heading5"/>
        <w:spacing w:before="260"/>
      </w:pPr>
      <w:bookmarkStart w:id="622" w:name="_Toc504466691"/>
      <w:r>
        <w:rPr>
          <w:rStyle w:val="CharSectno"/>
        </w:rPr>
        <w:t>242</w:t>
      </w:r>
      <w:r>
        <w:t>.</w:t>
      </w:r>
      <w:r>
        <w:tab/>
        <w:t>Persons taken to be early childhood teachers</w:t>
      </w:r>
      <w:bookmarkEnd w:id="622"/>
      <w:r>
        <w:t xml:space="preserve"> </w:t>
      </w:r>
    </w:p>
    <w:p>
      <w:pPr>
        <w:pStyle w:val="Subsection"/>
        <w:spacing w:before="180"/>
      </w:pPr>
      <w:r>
        <w:tab/>
        <w:t>(1)</w:t>
      </w:r>
      <w:r>
        <w:tab/>
        <w:t>This regulation applies on and after 1 January 2014 and before 1 January 2020.</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in Gazette 13 Dec 2013 p.</w:t>
      </w:r>
      <w:r>
        <w:rPr>
          <w:sz w:val="19"/>
        </w:rPr>
        <w:t> </w:t>
      </w:r>
      <w:r>
        <w:t>6169; 28 Nov 2014 p. 4410; 3 Nov 2017 p. 5485.]</w:t>
      </w:r>
    </w:p>
    <w:p>
      <w:pPr>
        <w:pStyle w:val="Heading5"/>
      </w:pPr>
      <w:bookmarkStart w:id="623" w:name="_Toc504466692"/>
      <w:r>
        <w:rPr>
          <w:rStyle w:val="CharSectno"/>
        </w:rPr>
        <w:t>243</w:t>
      </w:r>
      <w:r>
        <w:t>.</w:t>
      </w:r>
      <w:r>
        <w:tab/>
        <w:t>Persons taken to hold an approved diploma level education and care qualification</w:t>
      </w:r>
      <w:bookmarkEnd w:id="623"/>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Footnotesection"/>
      </w:pPr>
      <w:r>
        <w:tab/>
        <w:t>[Regulation 243 amended in Gazette 28 Nov 2014 p. 4410</w:t>
      </w:r>
      <w:r>
        <w:noBreakHyphen/>
        <w:t>11.]</w:t>
      </w:r>
    </w:p>
    <w:p>
      <w:pPr>
        <w:pStyle w:val="Heading5"/>
      </w:pPr>
      <w:bookmarkStart w:id="624" w:name="_Toc504466693"/>
      <w:r>
        <w:rPr>
          <w:rStyle w:val="CharSectno"/>
        </w:rPr>
        <w:t>243A</w:t>
      </w:r>
      <w:r>
        <w:t>.</w:t>
      </w:r>
      <w:r>
        <w:tab/>
        <w:t>Persons taken to hold an approved diploma level education and care qualification for regulation 128 in Queensland</w:t>
      </w:r>
      <w:bookmarkEnd w:id="624"/>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in Gazette 13 Dec 2013 p.</w:t>
      </w:r>
      <w:r>
        <w:rPr>
          <w:sz w:val="19"/>
        </w:rPr>
        <w:t> </w:t>
      </w:r>
      <w:r>
        <w:t>6169.]</w:t>
      </w:r>
    </w:p>
    <w:p>
      <w:pPr>
        <w:pStyle w:val="Heading5"/>
      </w:pPr>
      <w:bookmarkStart w:id="625" w:name="_Toc504466694"/>
      <w:r>
        <w:rPr>
          <w:rStyle w:val="CharSectno"/>
        </w:rPr>
        <w:t>244</w:t>
      </w:r>
      <w:r>
        <w:t>.</w:t>
      </w:r>
      <w:r>
        <w:tab/>
        <w:t>Persons taken to hold an approved certificate III level education and care qualification</w:t>
      </w:r>
      <w:bookmarkEnd w:id="625"/>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Footnotesection"/>
      </w:pPr>
      <w:r>
        <w:tab/>
        <w:t>[Regulation 244 amended in Gazette 28 Nov 2014 p. 4411.]</w:t>
      </w:r>
    </w:p>
    <w:p>
      <w:pPr>
        <w:pStyle w:val="Heading5"/>
      </w:pPr>
      <w:bookmarkStart w:id="626" w:name="_Toc504466695"/>
      <w:r>
        <w:rPr>
          <w:rStyle w:val="CharSectno"/>
        </w:rPr>
        <w:t>245</w:t>
      </w:r>
      <w:r>
        <w:t>.</w:t>
      </w:r>
      <w:r>
        <w:tab/>
        <w:t>Person taken to hold approved first aid qualification</w:t>
      </w:r>
      <w:bookmarkEnd w:id="626"/>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PermNoteHeading"/>
      </w:pPr>
      <w:r>
        <w:tab/>
        <w:t>Note for this regulation:</w:t>
      </w:r>
    </w:p>
    <w:p>
      <w:pPr>
        <w:pStyle w:val="PermNoteText"/>
      </w:pPr>
      <w:r>
        <w:tab/>
      </w:r>
      <w:r>
        <w:tab/>
        <w:t>This regulation differs from regulation 245 of the national regulations made by the Ministerial Council.</w:t>
      </w:r>
    </w:p>
    <w:p>
      <w:pPr>
        <w:pStyle w:val="Heading5"/>
      </w:pPr>
      <w:bookmarkStart w:id="627" w:name="_Toc504466696"/>
      <w:r>
        <w:rPr>
          <w:rStyle w:val="CharSectno"/>
        </w:rPr>
        <w:t>246</w:t>
      </w:r>
      <w:r>
        <w:t>.</w:t>
      </w:r>
      <w:r>
        <w:tab/>
        <w:t>Anaphylaxis training</w:t>
      </w:r>
      <w:bookmarkEnd w:id="627"/>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PermNoteHeading"/>
      </w:pPr>
      <w:r>
        <w:tab/>
        <w:t>Note for this regulation:</w:t>
      </w:r>
    </w:p>
    <w:p>
      <w:pPr>
        <w:pStyle w:val="PermNoteText"/>
      </w:pPr>
      <w:r>
        <w:tab/>
      </w:r>
      <w:r>
        <w:tab/>
        <w:t>This regulation differs from regulation 246 of the national regulations made by the Ministerial Council.</w:t>
      </w:r>
    </w:p>
    <w:p>
      <w:pPr>
        <w:pStyle w:val="Heading5"/>
      </w:pPr>
      <w:bookmarkStart w:id="628" w:name="_Toc504466697"/>
      <w:r>
        <w:rPr>
          <w:rStyle w:val="CharSectno"/>
        </w:rPr>
        <w:t>247</w:t>
      </w:r>
      <w:r>
        <w:t>.</w:t>
      </w:r>
      <w:r>
        <w:tab/>
        <w:t>Asthma management training</w:t>
      </w:r>
      <w:bookmarkEnd w:id="628"/>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PermNoteHeading"/>
      </w:pPr>
      <w:r>
        <w:tab/>
        <w:t>Note for this regulation:</w:t>
      </w:r>
    </w:p>
    <w:p>
      <w:pPr>
        <w:pStyle w:val="PermNoteText"/>
      </w:pPr>
      <w:r>
        <w:tab/>
      </w:r>
      <w:r>
        <w:tab/>
        <w:t>This regulation differs from regulation 247 of the national regulations made by the Ministerial Council.</w:t>
      </w:r>
    </w:p>
    <w:p>
      <w:pPr>
        <w:pStyle w:val="Heading4"/>
      </w:pPr>
      <w:bookmarkStart w:id="629" w:name="_Toc425346421"/>
      <w:bookmarkStart w:id="630" w:name="_Toc425414080"/>
      <w:bookmarkStart w:id="631" w:name="_Toc497395301"/>
      <w:bookmarkStart w:id="632" w:name="_Toc504466275"/>
      <w:bookmarkStart w:id="633" w:name="_Toc504466698"/>
      <w:r>
        <w:t>Division 3 — Physical environment</w:t>
      </w:r>
      <w:bookmarkEnd w:id="629"/>
      <w:bookmarkEnd w:id="630"/>
      <w:bookmarkEnd w:id="631"/>
      <w:bookmarkEnd w:id="632"/>
      <w:bookmarkEnd w:id="633"/>
    </w:p>
    <w:p>
      <w:pPr>
        <w:pStyle w:val="Heading5"/>
      </w:pPr>
      <w:bookmarkStart w:id="634" w:name="_Toc504466699"/>
      <w:r>
        <w:rPr>
          <w:rStyle w:val="CharSectno"/>
        </w:rPr>
        <w:t>248</w:t>
      </w:r>
      <w:r>
        <w:t>.</w:t>
      </w:r>
      <w:r>
        <w:tab/>
        <w:t>Centre</w:t>
      </w:r>
      <w:r>
        <w:noBreakHyphen/>
        <w:t>based service offering a preschool program in a composite class in a school</w:t>
      </w:r>
      <w:bookmarkEnd w:id="634"/>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635" w:name="_Toc504466700"/>
      <w:r>
        <w:rPr>
          <w:rStyle w:val="CharSectno"/>
        </w:rPr>
        <w:t>249</w:t>
      </w:r>
      <w:r>
        <w:t>.</w:t>
      </w:r>
      <w:r>
        <w:tab/>
        <w:t>Declared approved services (other than declared approved family day care services)</w:t>
      </w:r>
      <w:bookmarkEnd w:id="635"/>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 for this regulation:</w:t>
      </w:r>
    </w:p>
    <w:p>
      <w:pPr>
        <w:pStyle w:val="PermNoteText"/>
      </w:pPr>
      <w:r>
        <w:tab/>
      </w:r>
      <w:r>
        <w:tab/>
        <w:t>See also Division 7.</w:t>
      </w:r>
    </w:p>
    <w:p>
      <w:pPr>
        <w:pStyle w:val="Heading5"/>
      </w:pPr>
      <w:bookmarkStart w:id="636" w:name="_Toc504466701"/>
      <w:r>
        <w:rPr>
          <w:rStyle w:val="CharSectno"/>
        </w:rPr>
        <w:t>250</w:t>
      </w:r>
      <w:r>
        <w:t>.</w:t>
      </w:r>
      <w:r>
        <w:tab/>
        <w:t>Declared approved family day care services</w:t>
      </w:r>
      <w:bookmarkEnd w:id="636"/>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637" w:name="_Toc504466702"/>
      <w:r>
        <w:rPr>
          <w:rStyle w:val="CharSectno"/>
        </w:rPr>
        <w:t>251</w:t>
      </w:r>
      <w:r>
        <w:t>.</w:t>
      </w:r>
      <w:r>
        <w:tab/>
        <w:t>Declared out of scope services</w:t>
      </w:r>
      <w:bookmarkEnd w:id="637"/>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638" w:name="_Toc425346426"/>
      <w:bookmarkStart w:id="639" w:name="_Toc425414085"/>
      <w:bookmarkStart w:id="640" w:name="_Toc497395306"/>
      <w:bookmarkStart w:id="641" w:name="_Toc504466280"/>
      <w:bookmarkStart w:id="642" w:name="_Toc504466703"/>
      <w:r>
        <w:t>Division 4 — Information retention and sharing</w:t>
      </w:r>
      <w:bookmarkEnd w:id="638"/>
      <w:bookmarkEnd w:id="639"/>
      <w:bookmarkEnd w:id="640"/>
      <w:bookmarkEnd w:id="641"/>
      <w:bookmarkEnd w:id="642"/>
    </w:p>
    <w:p>
      <w:pPr>
        <w:pStyle w:val="Heading5"/>
      </w:pPr>
      <w:bookmarkStart w:id="643" w:name="_Toc504466704"/>
      <w:r>
        <w:rPr>
          <w:rStyle w:val="CharSectno"/>
        </w:rPr>
        <w:t>252</w:t>
      </w:r>
      <w:r>
        <w:t>.</w:t>
      </w:r>
      <w:r>
        <w:tab/>
        <w:t>Information held by Regulatory Authority or regulatory body</w:t>
      </w:r>
      <w:bookmarkEnd w:id="643"/>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644" w:name="_Toc504466705"/>
      <w:r>
        <w:rPr>
          <w:rStyle w:val="CharSectno"/>
        </w:rPr>
        <w:t>253</w:t>
      </w:r>
      <w:r>
        <w:t>.</w:t>
      </w:r>
      <w:r>
        <w:tab/>
        <w:t>Information kept by approved provider</w:t>
      </w:r>
      <w:bookmarkEnd w:id="644"/>
    </w:p>
    <w:p>
      <w:pPr>
        <w:pStyle w:val="Subsection"/>
      </w:pPr>
      <w:r>
        <w:tab/>
      </w:r>
      <w:r>
        <w:tab/>
        <w:t>For the purposes of section 322(3) of the Law, the documents must be kept in accordance with regulation 183.</w:t>
      </w:r>
    </w:p>
    <w:p>
      <w:pPr>
        <w:pStyle w:val="Heading4"/>
      </w:pPr>
      <w:bookmarkStart w:id="645" w:name="_Toc425346429"/>
      <w:bookmarkStart w:id="646" w:name="_Toc425414088"/>
      <w:bookmarkStart w:id="647" w:name="_Toc497395309"/>
      <w:bookmarkStart w:id="648" w:name="_Toc504466283"/>
      <w:bookmarkStart w:id="649" w:name="_Toc504466706"/>
      <w:r>
        <w:t>Division 5 — Declared approved learning frameworks</w:t>
      </w:r>
      <w:bookmarkEnd w:id="645"/>
      <w:bookmarkEnd w:id="646"/>
      <w:bookmarkEnd w:id="647"/>
      <w:bookmarkEnd w:id="648"/>
      <w:bookmarkEnd w:id="649"/>
    </w:p>
    <w:p>
      <w:pPr>
        <w:pStyle w:val="Heading5"/>
      </w:pPr>
      <w:bookmarkStart w:id="650" w:name="_Toc504466707"/>
      <w:r>
        <w:rPr>
          <w:rStyle w:val="CharSectno"/>
        </w:rPr>
        <w:t>254</w:t>
      </w:r>
      <w:r>
        <w:t>.</w:t>
      </w:r>
      <w:r>
        <w:tab/>
        <w:t>Declared approved learning frameworks</w:t>
      </w:r>
      <w:bookmarkEnd w:id="650"/>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bookmarkStart w:id="651" w:name="_Toc425346431"/>
      <w:bookmarkStart w:id="652" w:name="_Toc425414090"/>
      <w:r>
        <w:tab/>
        <w:t>[Regulation 254 amended in Gazette 3 Nov 2017 p. 5485.]</w:t>
      </w:r>
    </w:p>
    <w:p>
      <w:pPr>
        <w:pStyle w:val="Heading4"/>
      </w:pPr>
      <w:bookmarkStart w:id="653" w:name="_Toc497395311"/>
      <w:bookmarkStart w:id="654" w:name="_Toc504466285"/>
      <w:bookmarkStart w:id="655" w:name="_Toc504466708"/>
      <w:r>
        <w:t>Division 6 — Fees</w:t>
      </w:r>
      <w:bookmarkEnd w:id="651"/>
      <w:bookmarkEnd w:id="652"/>
      <w:bookmarkEnd w:id="653"/>
      <w:bookmarkEnd w:id="654"/>
      <w:bookmarkEnd w:id="655"/>
    </w:p>
    <w:p>
      <w:pPr>
        <w:pStyle w:val="Heading5"/>
      </w:pPr>
      <w:bookmarkStart w:id="656" w:name="_Toc504466709"/>
      <w:r>
        <w:rPr>
          <w:rStyle w:val="CharSectno"/>
        </w:rPr>
        <w:t>255</w:t>
      </w:r>
      <w:r>
        <w:t>.</w:t>
      </w:r>
      <w:r>
        <w:tab/>
        <w:t>Fees for application for provider approval for declared out of scope service</w:t>
      </w:r>
      <w:bookmarkEnd w:id="656"/>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657" w:name="_Toc425346433"/>
      <w:bookmarkStart w:id="658" w:name="_Toc425414092"/>
      <w:bookmarkStart w:id="659" w:name="_Toc497395313"/>
      <w:bookmarkStart w:id="660" w:name="_Toc504466287"/>
      <w:bookmarkStart w:id="661" w:name="_Toc504466710"/>
      <w:r>
        <w:t>Division 7 — General provisions relating to exemptions</w:t>
      </w:r>
      <w:bookmarkEnd w:id="657"/>
      <w:bookmarkEnd w:id="658"/>
      <w:bookmarkEnd w:id="659"/>
      <w:bookmarkEnd w:id="660"/>
      <w:bookmarkEnd w:id="661"/>
    </w:p>
    <w:p>
      <w:pPr>
        <w:pStyle w:val="Heading5"/>
      </w:pPr>
      <w:bookmarkStart w:id="662" w:name="_Toc504466711"/>
      <w:r>
        <w:rPr>
          <w:rStyle w:val="CharSectno"/>
        </w:rPr>
        <w:t>256</w:t>
      </w:r>
      <w:r>
        <w:t>.</w:t>
      </w:r>
      <w:r>
        <w:tab/>
        <w:t>Publication where service taken to comply with regulations</w:t>
      </w:r>
      <w:bookmarkEnd w:id="662"/>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663" w:name="_Toc504466712"/>
      <w:r>
        <w:rPr>
          <w:rStyle w:val="CharSectno"/>
        </w:rPr>
        <w:t>257</w:t>
      </w:r>
      <w:r>
        <w:t>.</w:t>
      </w:r>
      <w:r>
        <w:tab/>
        <w:t>Application for removal of exemption</w:t>
      </w:r>
      <w:bookmarkEnd w:id="663"/>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rPr>
          <w:rStyle w:val="CharDivText"/>
        </w:rPr>
      </w:pPr>
      <w:bookmarkStart w:id="664" w:name="_Toc425346436"/>
      <w:bookmarkStart w:id="665" w:name="_Toc425414095"/>
      <w:bookmarkStart w:id="666" w:name="_Toc497395316"/>
      <w:bookmarkStart w:id="667" w:name="_Toc504466290"/>
      <w:bookmarkStart w:id="668" w:name="_Toc504466713"/>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664"/>
      <w:bookmarkEnd w:id="665"/>
      <w:bookmarkEnd w:id="666"/>
      <w:bookmarkEnd w:id="667"/>
      <w:bookmarkEnd w:id="668"/>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669" w:name="_Toc425346437"/>
      <w:bookmarkStart w:id="670" w:name="_Toc425414096"/>
      <w:bookmarkStart w:id="671" w:name="_Toc497395317"/>
      <w:bookmarkStart w:id="672" w:name="_Toc504466291"/>
      <w:bookmarkStart w:id="673" w:name="_Toc504466714"/>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669"/>
      <w:bookmarkEnd w:id="670"/>
      <w:bookmarkEnd w:id="671"/>
      <w:bookmarkEnd w:id="672"/>
      <w:bookmarkEnd w:id="673"/>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674" w:name="_Toc425346438"/>
      <w:bookmarkStart w:id="675" w:name="_Toc425414097"/>
      <w:bookmarkStart w:id="676" w:name="_Toc497395318"/>
      <w:bookmarkStart w:id="677" w:name="_Toc504466292"/>
      <w:bookmarkStart w:id="678" w:name="_Toc504466715"/>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674"/>
      <w:bookmarkEnd w:id="675"/>
      <w:bookmarkEnd w:id="676"/>
      <w:bookmarkEnd w:id="677"/>
      <w:bookmarkEnd w:id="678"/>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679" w:name="_Toc425346439"/>
      <w:bookmarkStart w:id="680" w:name="_Toc425414098"/>
      <w:bookmarkStart w:id="681" w:name="_Toc497395319"/>
      <w:bookmarkStart w:id="682" w:name="_Toc504466293"/>
      <w:bookmarkStart w:id="683" w:name="_Toc504466716"/>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679"/>
      <w:bookmarkEnd w:id="680"/>
      <w:bookmarkEnd w:id="681"/>
      <w:bookmarkEnd w:id="682"/>
      <w:bookmarkEnd w:id="683"/>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684" w:name="_Toc425346440"/>
      <w:bookmarkStart w:id="685" w:name="_Toc425414099"/>
      <w:bookmarkStart w:id="686" w:name="_Toc497395320"/>
      <w:bookmarkStart w:id="687" w:name="_Toc504466294"/>
      <w:bookmarkStart w:id="688" w:name="_Toc504466717"/>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684"/>
      <w:bookmarkEnd w:id="685"/>
      <w:bookmarkEnd w:id="686"/>
      <w:bookmarkEnd w:id="687"/>
      <w:bookmarkEnd w:id="688"/>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689" w:name="_Toc425346441"/>
      <w:bookmarkStart w:id="690" w:name="_Toc425414100"/>
      <w:bookmarkStart w:id="691" w:name="_Toc497395321"/>
      <w:bookmarkStart w:id="692" w:name="_Toc504466295"/>
      <w:bookmarkStart w:id="693" w:name="_Toc504466718"/>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689"/>
      <w:bookmarkEnd w:id="690"/>
      <w:bookmarkEnd w:id="691"/>
      <w:bookmarkEnd w:id="692"/>
      <w:bookmarkEnd w:id="693"/>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694" w:name="_Toc425346442"/>
      <w:bookmarkStart w:id="695" w:name="_Toc425414101"/>
      <w:bookmarkStart w:id="696" w:name="_Toc497395322"/>
      <w:bookmarkStart w:id="697" w:name="_Toc504466296"/>
      <w:bookmarkStart w:id="698" w:name="_Toc504466719"/>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694"/>
      <w:bookmarkEnd w:id="695"/>
      <w:bookmarkEnd w:id="696"/>
      <w:bookmarkEnd w:id="697"/>
      <w:bookmarkEnd w:id="698"/>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699" w:name="_Toc425346443"/>
      <w:bookmarkStart w:id="700" w:name="_Toc425414102"/>
      <w:bookmarkStart w:id="701" w:name="_Toc497395323"/>
      <w:bookmarkStart w:id="702" w:name="_Toc504466297"/>
      <w:bookmarkStart w:id="703" w:name="_Toc504466720"/>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699"/>
      <w:bookmarkEnd w:id="700"/>
      <w:bookmarkEnd w:id="701"/>
      <w:bookmarkEnd w:id="702"/>
      <w:bookmarkEnd w:id="703"/>
    </w:p>
    <w:p>
      <w:pPr>
        <w:pStyle w:val="Heading4"/>
        <w:spacing w:before="220"/>
      </w:pPr>
      <w:bookmarkStart w:id="704" w:name="_Toc425346444"/>
      <w:bookmarkStart w:id="705" w:name="_Toc425414103"/>
      <w:bookmarkStart w:id="706" w:name="_Toc497395324"/>
      <w:bookmarkStart w:id="707" w:name="_Toc504466298"/>
      <w:bookmarkStart w:id="708" w:name="_Toc504466721"/>
      <w:r>
        <w:t>Division 1 — Application of Part 7.9</w:t>
      </w:r>
      <w:bookmarkEnd w:id="704"/>
      <w:bookmarkEnd w:id="705"/>
      <w:bookmarkEnd w:id="706"/>
      <w:bookmarkEnd w:id="707"/>
      <w:bookmarkEnd w:id="708"/>
    </w:p>
    <w:p>
      <w:pPr>
        <w:pStyle w:val="Heading5"/>
        <w:spacing w:before="210"/>
      </w:pPr>
      <w:bookmarkStart w:id="709" w:name="_Toc504466722"/>
      <w:r>
        <w:rPr>
          <w:rStyle w:val="CharSectno"/>
        </w:rPr>
        <w:t>367</w:t>
      </w:r>
      <w:r>
        <w:t>.</w:t>
      </w:r>
      <w:r>
        <w:tab/>
        <w:t>Application of Part 7.9</w:t>
      </w:r>
      <w:bookmarkEnd w:id="709"/>
      <w:r>
        <w:t xml:space="preserve"> </w:t>
      </w:r>
    </w:p>
    <w:p>
      <w:pPr>
        <w:pStyle w:val="Subsection"/>
        <w:spacing w:before="140"/>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710" w:name="_Toc504466723"/>
      <w:r>
        <w:rPr>
          <w:rStyle w:val="CharSectno"/>
        </w:rPr>
        <w:t>368</w:t>
      </w:r>
      <w:r>
        <w:t>.</w:t>
      </w:r>
      <w:r>
        <w:tab/>
        <w:t>Definitions</w:t>
      </w:r>
      <w:bookmarkEnd w:id="710"/>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711" w:name="_Toc425346447"/>
      <w:bookmarkStart w:id="712" w:name="_Toc425414106"/>
      <w:bookmarkStart w:id="713" w:name="_Toc497395327"/>
      <w:bookmarkStart w:id="714" w:name="_Toc504466301"/>
      <w:bookmarkStart w:id="715" w:name="_Toc504466724"/>
      <w:r>
        <w:t>Division 1A — Exceeding National Quality Standard</w:t>
      </w:r>
      <w:bookmarkEnd w:id="711"/>
      <w:bookmarkEnd w:id="712"/>
      <w:bookmarkEnd w:id="713"/>
      <w:bookmarkEnd w:id="714"/>
      <w:bookmarkEnd w:id="715"/>
    </w:p>
    <w:p>
      <w:pPr>
        <w:pStyle w:val="Footnoteheading"/>
      </w:pPr>
      <w:r>
        <w:tab/>
        <w:t>[Heading inserted in Gazette 28 Nov 2014 p. 4411.]</w:t>
      </w:r>
    </w:p>
    <w:p>
      <w:pPr>
        <w:pStyle w:val="Heading5"/>
      </w:pPr>
      <w:bookmarkStart w:id="716" w:name="_Toc504466725"/>
      <w:r>
        <w:rPr>
          <w:rStyle w:val="CharSectno"/>
        </w:rPr>
        <w:t>368A</w:t>
      </w:r>
      <w:r>
        <w:t>.</w:t>
      </w:r>
      <w:r>
        <w:tab/>
        <w:t>Exceeding National Quality Standard: educational program and practice quality area</w:t>
      </w:r>
      <w:bookmarkEnd w:id="716"/>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in Gazette 6 Jun 2014 p. 1788; amended in Gazette 28 Nov 2014 p. 4411.]</w:t>
      </w:r>
    </w:p>
    <w:p>
      <w:pPr>
        <w:pStyle w:val="Heading4"/>
      </w:pPr>
      <w:bookmarkStart w:id="717" w:name="_Toc425346449"/>
      <w:bookmarkStart w:id="718" w:name="_Toc425414108"/>
      <w:bookmarkStart w:id="719" w:name="_Toc497395329"/>
      <w:bookmarkStart w:id="720" w:name="_Toc504466303"/>
      <w:bookmarkStart w:id="721" w:name="_Toc504466726"/>
      <w:r>
        <w:t>Division 2 — Minimum number of educators and qualifications required — children over preschool age</w:t>
      </w:r>
      <w:bookmarkEnd w:id="717"/>
      <w:bookmarkEnd w:id="718"/>
      <w:bookmarkEnd w:id="719"/>
      <w:bookmarkEnd w:id="720"/>
      <w:bookmarkEnd w:id="721"/>
    </w:p>
    <w:p>
      <w:pPr>
        <w:pStyle w:val="Heading5"/>
      </w:pPr>
      <w:bookmarkStart w:id="722" w:name="_Toc504466727"/>
      <w:r>
        <w:rPr>
          <w:rStyle w:val="CharSectno"/>
        </w:rPr>
        <w:t>369</w:t>
      </w:r>
      <w:r>
        <w:t>.</w:t>
      </w:r>
      <w:r>
        <w:tab/>
        <w:t>Educator to child ratios — children over preschool age</w:t>
      </w:r>
      <w:bookmarkEnd w:id="722"/>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723" w:name="_Toc504466728"/>
      <w:r>
        <w:rPr>
          <w:rStyle w:val="CharSectno"/>
        </w:rPr>
        <w:t>370</w:t>
      </w:r>
      <w:r>
        <w:t>.</w:t>
      </w:r>
      <w:r>
        <w:tab/>
        <w:t>General qualification requirements for educators — children over preschool age</w:t>
      </w:r>
      <w:bookmarkEnd w:id="723"/>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724" w:name="_Toc425346452"/>
      <w:bookmarkStart w:id="725" w:name="_Toc425414111"/>
      <w:bookmarkStart w:id="726" w:name="_Toc497395332"/>
      <w:bookmarkStart w:id="727" w:name="_Toc504466306"/>
      <w:bookmarkStart w:id="728" w:name="_Toc504466729"/>
      <w:r>
        <w:t>Division 3 — Minimum number of educators and qualifications required — centre</w:t>
      </w:r>
      <w:r>
        <w:noBreakHyphen/>
        <w:t>based services — children preschool age or under</w:t>
      </w:r>
      <w:bookmarkEnd w:id="724"/>
      <w:bookmarkEnd w:id="725"/>
      <w:bookmarkEnd w:id="726"/>
      <w:bookmarkEnd w:id="727"/>
      <w:bookmarkEnd w:id="728"/>
    </w:p>
    <w:p>
      <w:pPr>
        <w:pStyle w:val="Heading5"/>
      </w:pPr>
      <w:bookmarkStart w:id="729" w:name="_Toc504466730"/>
      <w:r>
        <w:rPr>
          <w:rStyle w:val="CharSectno"/>
        </w:rPr>
        <w:t>371</w:t>
      </w:r>
      <w:r>
        <w:t>.</w:t>
      </w:r>
      <w:r>
        <w:tab/>
        <w:t>Educator to child ratio — children preschool age or under who are 36 months of age or over (other than for a pre</w:t>
      </w:r>
      <w:r>
        <w:noBreakHyphen/>
        <w:t>kindergarten programme or kindergarten programme)</w:t>
      </w:r>
      <w:bookmarkEnd w:id="729"/>
      <w:r>
        <w:t xml:space="preserve"> </w:t>
      </w:r>
    </w:p>
    <w:p>
      <w:pPr>
        <w:pStyle w:val="PermNoteHeading"/>
      </w:pPr>
      <w:r>
        <w:tab/>
        <w:t>Note for this regulation:</w:t>
      </w:r>
    </w:p>
    <w:p>
      <w:pPr>
        <w:pStyle w:val="PermNoteText"/>
      </w:pPr>
      <w:r>
        <w:tab/>
      </w:r>
      <w:r>
        <w:tab/>
        <w:t>Regulation 371 of the national regulations made by the Ministerial Council does not apply as a law of WA.</w:t>
      </w:r>
    </w:p>
    <w:p>
      <w:pPr>
        <w:pStyle w:val="Heading5"/>
      </w:pPr>
      <w:bookmarkStart w:id="730" w:name="_Toc504466731"/>
      <w:r>
        <w:rPr>
          <w:rStyle w:val="CharSectno"/>
        </w:rPr>
        <w:t>372</w:t>
      </w:r>
      <w:r>
        <w:t>.</w:t>
      </w:r>
      <w:r>
        <w:tab/>
        <w:t>Educator to child ratio — pre</w:t>
      </w:r>
      <w:r>
        <w:noBreakHyphen/>
        <w:t>kindergarten programme or kindergarten programme provided by a school</w:t>
      </w:r>
      <w:bookmarkEnd w:id="730"/>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731" w:name="_Toc504466732"/>
      <w:r>
        <w:rPr>
          <w:rStyle w:val="CharSectno"/>
        </w:rPr>
        <w:t>373</w:t>
      </w:r>
      <w:r>
        <w:t>.</w:t>
      </w:r>
      <w:r>
        <w:tab/>
        <w:t>Early childhood teachers — pre</w:t>
      </w:r>
      <w:r>
        <w:noBreakHyphen/>
        <w:t>kindergarten programme or kindergarten programme provided by a school</w:t>
      </w:r>
      <w:bookmarkEnd w:id="731"/>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732" w:name="_Toc425346456"/>
      <w:bookmarkStart w:id="733" w:name="_Toc425414115"/>
      <w:bookmarkStart w:id="734" w:name="_Toc497395336"/>
      <w:bookmarkStart w:id="735" w:name="_Toc504466310"/>
      <w:bookmarkStart w:id="736" w:name="_Toc504466733"/>
      <w:r>
        <w:t>Division 4 — Transitional provisions — staffing arrangements</w:t>
      </w:r>
      <w:bookmarkEnd w:id="732"/>
      <w:bookmarkEnd w:id="733"/>
      <w:bookmarkEnd w:id="734"/>
      <w:bookmarkEnd w:id="735"/>
      <w:bookmarkEnd w:id="736"/>
    </w:p>
    <w:p>
      <w:pPr>
        <w:pStyle w:val="MiscellaneousHeading"/>
        <w:rPr>
          <w:b/>
          <w:bCs/>
        </w:rPr>
      </w:pPr>
      <w:r>
        <w:rPr>
          <w:b/>
          <w:bCs/>
        </w:rPr>
        <w:t>Subdivision 1 — Centre</w:t>
      </w:r>
      <w:r>
        <w:rPr>
          <w:b/>
          <w:bCs/>
        </w:rPr>
        <w:noBreakHyphen/>
        <w:t>based services</w:t>
      </w:r>
    </w:p>
    <w:p>
      <w:pPr>
        <w:pStyle w:val="Heading5"/>
      </w:pPr>
      <w:bookmarkStart w:id="737" w:name="_Toc504466734"/>
      <w:r>
        <w:rPr>
          <w:rStyle w:val="CharSectno"/>
        </w:rPr>
        <w:t>374</w:t>
      </w:r>
      <w:r>
        <w:t>.</w:t>
      </w:r>
      <w:r>
        <w:tab/>
        <w:t>Educator to child ratio — pre</w:t>
      </w:r>
      <w:r>
        <w:noBreakHyphen/>
        <w:t>kindergarten programme or kindergarten programme provided by a school</w:t>
      </w:r>
      <w:bookmarkEnd w:id="737"/>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Ednotesection"/>
      </w:pPr>
      <w:r>
        <w:t>[</w:t>
      </w:r>
      <w:r>
        <w:rPr>
          <w:b/>
        </w:rPr>
        <w:t>374A.</w:t>
      </w:r>
      <w:r>
        <w:tab/>
        <w:t>Deleted in Gazette 3 Jul 2015 p. 2668.]</w:t>
      </w:r>
    </w:p>
    <w:p>
      <w:pPr>
        <w:pStyle w:val="Heading5"/>
        <w:spacing w:before="200"/>
      </w:pPr>
      <w:bookmarkStart w:id="738" w:name="_Toc504466735"/>
      <w:r>
        <w:rPr>
          <w:rStyle w:val="CharSectno"/>
        </w:rPr>
        <w:t>375</w:t>
      </w:r>
      <w:r>
        <w:t>.</w:t>
      </w:r>
      <w:r>
        <w:tab/>
        <w:t>Qualifications for educators — children aged 24 months or under (other than for a pre</w:t>
      </w:r>
      <w:r>
        <w:noBreakHyphen/>
        <w:t>kindergarten programme or kindergarten programme)</w:t>
      </w:r>
      <w:bookmarkEnd w:id="738"/>
    </w:p>
    <w:p>
      <w:pPr>
        <w:pStyle w:val="Subsection"/>
        <w:spacing w:before="120"/>
      </w:pPr>
      <w:r>
        <w:tab/>
        <w:t>(1)</w:t>
      </w:r>
      <w:r>
        <w:tab/>
        <w:t>This regulation applies to a centre</w:t>
      </w:r>
      <w:r>
        <w:noBreakHyphen/>
        <w:t>based service until 31 December 2013.</w:t>
      </w:r>
    </w:p>
    <w:p>
      <w:pPr>
        <w:pStyle w:val="Subsection"/>
        <w:spacing w:before="120"/>
      </w:pPr>
      <w:r>
        <w:tab/>
        <w:t>(2)</w:t>
      </w:r>
      <w:r>
        <w:tab/>
        <w:t>This regulation does not apply to a pre</w:t>
      </w:r>
      <w:r>
        <w:noBreakHyphen/>
        <w:t>kindergarten programme or a kindergarten programme provided by a school.</w:t>
      </w:r>
    </w:p>
    <w:p>
      <w:pPr>
        <w:pStyle w:val="Subsection"/>
        <w:spacing w:before="120"/>
      </w:pPr>
      <w:r>
        <w:tab/>
        <w:t>(3)</w:t>
      </w:r>
      <w:r>
        <w:tab/>
        <w:t>One of every 3 educators required to meet the educator to child ratio for children aged 24 months or under at a centre</w:t>
      </w:r>
      <w:r>
        <w:noBreakHyphen/>
        <w:t xml:space="preserve">based service must — </w:t>
      </w:r>
    </w:p>
    <w:p>
      <w:pPr>
        <w:pStyle w:val="Indenta"/>
        <w:spacing w:before="60"/>
      </w:pPr>
      <w:r>
        <w:tab/>
        <w:t>(a)</w:t>
      </w:r>
      <w:r>
        <w:tab/>
        <w:t xml:space="preserve">hold — </w:t>
      </w:r>
    </w:p>
    <w:p>
      <w:pPr>
        <w:pStyle w:val="Indenti"/>
        <w:spacing w:before="60"/>
      </w:pPr>
      <w:r>
        <w:tab/>
        <w:t>(i)</w:t>
      </w:r>
      <w:r>
        <w:tab/>
        <w:t>an approved diploma level education and care qualification; or</w:t>
      </w:r>
    </w:p>
    <w:p>
      <w:pPr>
        <w:pStyle w:val="Indenti"/>
        <w:spacing w:before="60"/>
      </w:pPr>
      <w:r>
        <w:tab/>
        <w:t>(ii)</w:t>
      </w:r>
      <w:r>
        <w:tab/>
        <w:t>a qualification published under regulation 137(2) in the list of former qualifications approved as diploma level education and care qualifications;</w:t>
      </w:r>
    </w:p>
    <w:p>
      <w:pPr>
        <w:pStyle w:val="Indenta"/>
        <w:spacing w:before="60"/>
      </w:pPr>
      <w:r>
        <w:tab/>
      </w:r>
      <w:r>
        <w:tab/>
        <w:t>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739" w:name="_Toc504466736"/>
      <w:r>
        <w:rPr>
          <w:rStyle w:val="CharSectno"/>
        </w:rPr>
        <w:t>376</w:t>
      </w:r>
      <w:r>
        <w:t>.</w:t>
      </w:r>
      <w:r>
        <w:tab/>
        <w:t>Qualifications for educators — children aged more than 24 months but less than 36 months (other than for a pre</w:t>
      </w:r>
      <w:r>
        <w:noBreakHyphen/>
        <w:t>kindergarten programme or kindergarten programme)</w:t>
      </w:r>
      <w:bookmarkEnd w:id="739"/>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740" w:name="_Toc504466737"/>
      <w:r>
        <w:rPr>
          <w:rStyle w:val="CharSectno"/>
        </w:rPr>
        <w:t>377</w:t>
      </w:r>
      <w:r>
        <w:t>.</w:t>
      </w:r>
      <w:r>
        <w:tab/>
        <w:t>Qualifications for educators — children preschool age or under who are 36 months of age or over (other than a pre</w:t>
      </w:r>
      <w:r>
        <w:noBreakHyphen/>
        <w:t>kindergarten programme or kindergarten programme)</w:t>
      </w:r>
      <w:bookmarkEnd w:id="740"/>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741" w:name="_Toc504466738"/>
      <w:r>
        <w:rPr>
          <w:rStyle w:val="CharSectno"/>
        </w:rPr>
        <w:t>378</w:t>
      </w:r>
      <w:r>
        <w:t>.</w:t>
      </w:r>
      <w:r>
        <w:tab/>
        <w:t>Qualifications for educators — pre</w:t>
      </w:r>
      <w:r>
        <w:noBreakHyphen/>
        <w:t>kindergarten programme or kindergarten programme provided by a school</w:t>
      </w:r>
      <w:bookmarkEnd w:id="741"/>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742" w:name="_Toc504466739"/>
      <w:r>
        <w:rPr>
          <w:rStyle w:val="CharSectno"/>
        </w:rPr>
        <w:t>379</w:t>
      </w:r>
      <w:r>
        <w:t>.</w:t>
      </w:r>
      <w:r>
        <w:tab/>
        <w:t>Educators required to be early childhood teachers</w:t>
      </w:r>
      <w:bookmarkEnd w:id="742"/>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in Gazette 13 Dec 2013 p.</w:t>
      </w:r>
      <w:r>
        <w:rPr>
          <w:sz w:val="19"/>
        </w:rPr>
        <w:t> </w:t>
      </w:r>
      <w:r>
        <w:t>6170.]</w:t>
      </w:r>
    </w:p>
    <w:p>
      <w:pPr>
        <w:pStyle w:val="MiscellaneousHeading"/>
        <w:spacing w:before="280"/>
        <w:outlineLvl w:val="0"/>
        <w:rPr>
          <w:b/>
          <w:bCs/>
        </w:rPr>
      </w:pPr>
      <w:r>
        <w:rPr>
          <w:b/>
          <w:bCs/>
        </w:rPr>
        <w:t>Subdivision 2 — Family day care services</w:t>
      </w:r>
    </w:p>
    <w:p>
      <w:pPr>
        <w:pStyle w:val="Heading5"/>
      </w:pPr>
      <w:bookmarkStart w:id="743" w:name="_Toc504466740"/>
      <w:r>
        <w:rPr>
          <w:rStyle w:val="CharSectno"/>
        </w:rPr>
        <w:t>380</w:t>
      </w:r>
      <w:r>
        <w:t>.</w:t>
      </w:r>
      <w:r>
        <w:tab/>
        <w:t>Number of children who can be educated and cared for — family day care educator</w:t>
      </w:r>
      <w:bookmarkEnd w:id="743"/>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keepNext/>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744" w:name="_Toc504466741"/>
      <w:r>
        <w:rPr>
          <w:rStyle w:val="CharSectno"/>
        </w:rPr>
        <w:t>381</w:t>
      </w:r>
      <w:r>
        <w:t>.</w:t>
      </w:r>
      <w:r>
        <w:tab/>
        <w:t>Qualifications for family day care educators</w:t>
      </w:r>
      <w:bookmarkEnd w:id="744"/>
      <w:r>
        <w:t xml:space="preserve"> </w:t>
      </w:r>
    </w:p>
    <w:p>
      <w:pPr>
        <w:pStyle w:val="Subsection"/>
      </w:pPr>
      <w:r>
        <w:tab/>
      </w:r>
      <w:r>
        <w:tab/>
        <w:t>The qualification requirements in regulation 127 do not apply to family day care educators before 1 January 2014.</w:t>
      </w:r>
    </w:p>
    <w:p>
      <w:pPr>
        <w:pStyle w:val="Heading5"/>
      </w:pPr>
      <w:bookmarkStart w:id="745" w:name="_Toc504466742"/>
      <w:r>
        <w:rPr>
          <w:rStyle w:val="CharSectno"/>
        </w:rPr>
        <w:t>382</w:t>
      </w:r>
      <w:r>
        <w:t>.</w:t>
      </w:r>
      <w:r>
        <w:tab/>
        <w:t>Qualifications for family day care co</w:t>
      </w:r>
      <w:r>
        <w:noBreakHyphen/>
        <w:t>ordinators</w:t>
      </w:r>
      <w:bookmarkEnd w:id="745"/>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746" w:name="_Toc425346466"/>
      <w:bookmarkStart w:id="747" w:name="_Toc425414125"/>
      <w:bookmarkStart w:id="748" w:name="_Toc497395346"/>
      <w:bookmarkStart w:id="749" w:name="_Toc504466320"/>
      <w:bookmarkStart w:id="750" w:name="_Toc504466743"/>
      <w:r>
        <w:t>Division 5 — Saving provision — physical environment</w:t>
      </w:r>
      <w:bookmarkEnd w:id="746"/>
      <w:bookmarkEnd w:id="747"/>
      <w:bookmarkEnd w:id="748"/>
      <w:bookmarkEnd w:id="749"/>
      <w:bookmarkEnd w:id="750"/>
    </w:p>
    <w:p>
      <w:pPr>
        <w:pStyle w:val="Heading5"/>
      </w:pPr>
      <w:bookmarkStart w:id="751" w:name="_Toc504466744"/>
      <w:r>
        <w:rPr>
          <w:rStyle w:val="CharSectno"/>
        </w:rPr>
        <w:t>383</w:t>
      </w:r>
      <w:r>
        <w:t>.</w:t>
      </w:r>
      <w:r>
        <w:tab/>
        <w:t>Saving provision — education and care services provided by a school</w:t>
      </w:r>
      <w:bookmarkEnd w:id="751"/>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752" w:name="_Toc425346468"/>
      <w:bookmarkStart w:id="753" w:name="_Toc425414127"/>
      <w:bookmarkStart w:id="754" w:name="_Toc497395348"/>
      <w:bookmarkStart w:id="755" w:name="_Toc504466322"/>
      <w:bookmarkStart w:id="756" w:name="_Toc504466745"/>
      <w:r>
        <w:t>Division 6 — Other transitional matters</w:t>
      </w:r>
      <w:bookmarkEnd w:id="752"/>
      <w:bookmarkEnd w:id="753"/>
      <w:bookmarkEnd w:id="754"/>
      <w:bookmarkEnd w:id="755"/>
      <w:bookmarkEnd w:id="756"/>
    </w:p>
    <w:p>
      <w:pPr>
        <w:pStyle w:val="Heading5"/>
      </w:pPr>
      <w:bookmarkStart w:id="757" w:name="_Toc504466746"/>
      <w:r>
        <w:rPr>
          <w:rStyle w:val="CharSectno"/>
        </w:rPr>
        <w:t>384</w:t>
      </w:r>
      <w:r>
        <w:t>.</w:t>
      </w:r>
      <w:r>
        <w:tab/>
        <w:t>Monetary orders under former education and care services law</w:t>
      </w:r>
      <w:bookmarkEnd w:id="757"/>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758" w:name="_Toc504466747"/>
      <w:r>
        <w:rPr>
          <w:rStyle w:val="CharSectno"/>
        </w:rPr>
        <w:t>385</w:t>
      </w:r>
      <w:r>
        <w:t>.</w:t>
      </w:r>
      <w:r>
        <w:tab/>
        <w:t>Proceedings under former education and care services law</w:t>
      </w:r>
      <w:bookmarkEnd w:id="758"/>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in Gazette 5 Mar 2013 p. 1109.]</w:t>
      </w:r>
    </w:p>
    <w:p>
      <w:pPr>
        <w:sectPr>
          <w:headerReference w:type="even" r:id="rId24"/>
          <w:headerReference w:type="default" r:id="rId25"/>
          <w:footerReference w:type="even" r:id="rId26"/>
          <w:headerReference w:type="first" r:id="rId27"/>
          <w:pgSz w:w="11907" w:h="16840" w:code="9"/>
          <w:pgMar w:top="2376" w:right="2404" w:bottom="3544" w:left="2404" w:header="709" w:footer="3380" w:gutter="0"/>
          <w:pgNumType w:start="1"/>
          <w:cols w:space="720"/>
          <w:noEndnote/>
          <w:titlePg/>
          <w:docGrid w:linePitch="326"/>
        </w:sectPr>
      </w:pPr>
    </w:p>
    <w:p>
      <w:pPr>
        <w:pStyle w:val="yScheduleHeading"/>
        <w:outlineLvl w:val="0"/>
        <w:rPr>
          <w:rStyle w:val="CharSchText"/>
        </w:rPr>
      </w:pPr>
      <w:bookmarkStart w:id="759" w:name="_Toc425346471"/>
      <w:bookmarkStart w:id="760" w:name="_Toc425414130"/>
      <w:bookmarkStart w:id="761" w:name="_Toc497395351"/>
      <w:bookmarkStart w:id="762" w:name="_Toc504466325"/>
      <w:bookmarkStart w:id="763" w:name="_Toc504466748"/>
      <w:r>
        <w:rPr>
          <w:rStyle w:val="CharSchNo"/>
        </w:rPr>
        <w:t>Schedule 1</w:t>
      </w:r>
      <w:r>
        <w:rPr>
          <w:rStyle w:val="CharSDivNo"/>
        </w:rPr>
        <w:t> </w:t>
      </w:r>
      <w:r>
        <w:t>—</w:t>
      </w:r>
      <w:r>
        <w:rPr>
          <w:rStyle w:val="CharSDivText"/>
        </w:rPr>
        <w:t> </w:t>
      </w:r>
      <w:r>
        <w:rPr>
          <w:rStyle w:val="CharSchText"/>
        </w:rPr>
        <w:t>National Quality Standard</w:t>
      </w:r>
      <w:bookmarkEnd w:id="759"/>
      <w:bookmarkEnd w:id="760"/>
      <w:bookmarkEnd w:id="761"/>
      <w:bookmarkEnd w:id="762"/>
      <w:bookmarkEnd w:id="763"/>
    </w:p>
    <w:p>
      <w:pPr>
        <w:pStyle w:val="yMiscellaneousBody"/>
        <w:tabs>
          <w:tab w:val="left" w:pos="851"/>
        </w:tabs>
        <w:rPr>
          <w:rFonts w:ascii="Arial" w:hAnsi="Arial" w:cs="Arial"/>
          <w:sz w:val="18"/>
          <w:szCs w:val="18"/>
        </w:rPr>
      </w:pPr>
      <w:bookmarkStart w:id="764" w:name="_Toc425346472"/>
      <w:bookmarkStart w:id="765" w:name="_Toc425414131"/>
      <w:r>
        <w:rPr>
          <w:rFonts w:ascii="Arial" w:hAnsi="Arial" w:cs="Arial"/>
          <w:sz w:val="18"/>
          <w:szCs w:val="18"/>
        </w:rPr>
        <w:tab/>
        <w:t>Notes for this Schedule: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National Quality Standard is used to assess education and care services to determine rating levels under Part 5 of the Law.</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766" w:name="_Toc497395352"/>
      <w:bookmarkStart w:id="767" w:name="_Toc504466326"/>
      <w:bookmarkStart w:id="768" w:name="_Toc504466749"/>
      <w:r>
        <w:t>Quality area 1 — Educational program and practice</w:t>
      </w:r>
      <w:bookmarkEnd w:id="764"/>
      <w:bookmarkEnd w:id="765"/>
      <w:bookmarkEnd w:id="766"/>
      <w:bookmarkEnd w:id="767"/>
      <w:bookmarkEnd w:id="768"/>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spacing w:before="120"/>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spacing w:before="120"/>
        <w:ind w:left="284"/>
      </w:pPr>
      <w:r>
        <w:rPr>
          <w:b/>
        </w:rPr>
        <w:t>Element 1.1.2</w:t>
      </w:r>
      <w:r>
        <w:t xml:space="preserve"> Each child’s current knowledge, ideas, culture, abilities and interests are the foundation of the program.</w:t>
      </w:r>
    </w:p>
    <w:p>
      <w:pPr>
        <w:pStyle w:val="yMiscellaneousBody"/>
        <w:spacing w:before="120"/>
        <w:ind w:left="284"/>
      </w:pPr>
      <w:r>
        <w:rPr>
          <w:b/>
        </w:rPr>
        <w:t>Element 1.1.3</w:t>
      </w:r>
      <w:r>
        <w:t xml:space="preserve"> The program, including routines, is organised in ways that maximise opportunities for each child’s learning.</w:t>
      </w:r>
    </w:p>
    <w:p>
      <w:pPr>
        <w:pStyle w:val="yMiscellaneousBody"/>
        <w:spacing w:before="120"/>
        <w:ind w:left="284"/>
      </w:pPr>
      <w:r>
        <w:rPr>
          <w:b/>
        </w:rPr>
        <w:t>Element 1.1.4</w:t>
      </w:r>
      <w:r>
        <w:t xml:space="preserve"> The documentation about each child’s program and progress is available to families.</w:t>
      </w:r>
    </w:p>
    <w:p>
      <w:pPr>
        <w:pStyle w:val="yMiscellaneousBody"/>
        <w:spacing w:before="120"/>
        <w:ind w:left="284"/>
      </w:pPr>
      <w:r>
        <w:rPr>
          <w:b/>
        </w:rPr>
        <w:t>Element 1.1.5</w:t>
      </w:r>
      <w:r>
        <w:t xml:space="preserve"> Every child is supported to participate in the program.</w:t>
      </w:r>
    </w:p>
    <w:p>
      <w:pPr>
        <w:pStyle w:val="yMiscellaneousBody"/>
        <w:spacing w:before="120"/>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spacing w:before="120"/>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769" w:name="_Toc425346473"/>
      <w:bookmarkStart w:id="770" w:name="_Toc425414132"/>
      <w:bookmarkStart w:id="771" w:name="_Toc497395353"/>
      <w:bookmarkStart w:id="772" w:name="_Toc504466327"/>
      <w:bookmarkStart w:id="773" w:name="_Toc504466750"/>
      <w:r>
        <w:t>Quality area 2 — Children’s health and safety</w:t>
      </w:r>
      <w:bookmarkEnd w:id="769"/>
      <w:bookmarkEnd w:id="770"/>
      <w:bookmarkEnd w:id="771"/>
      <w:bookmarkEnd w:id="772"/>
      <w:bookmarkEnd w:id="773"/>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keepNext/>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774" w:name="_Toc425346474"/>
      <w:bookmarkStart w:id="775" w:name="_Toc425414133"/>
      <w:bookmarkStart w:id="776" w:name="_Toc497395354"/>
      <w:bookmarkStart w:id="777" w:name="_Toc504466328"/>
      <w:bookmarkStart w:id="778" w:name="_Toc504466751"/>
      <w:r>
        <w:t>Quality area 3 — Physical environment</w:t>
      </w:r>
      <w:bookmarkEnd w:id="774"/>
      <w:bookmarkEnd w:id="775"/>
      <w:bookmarkEnd w:id="776"/>
      <w:bookmarkEnd w:id="777"/>
      <w:bookmarkEnd w:id="778"/>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spacing w:before="120"/>
        <w:ind w:left="284"/>
      </w:pPr>
      <w:r>
        <w:rPr>
          <w:b/>
        </w:rPr>
        <w:t>Element 3.3.1</w:t>
      </w:r>
      <w:r>
        <w:t xml:space="preserve"> Sustainable practices are embedded in service operations.</w:t>
      </w:r>
    </w:p>
    <w:p>
      <w:pPr>
        <w:pStyle w:val="yMiscellaneousBody"/>
        <w:spacing w:before="120"/>
        <w:ind w:left="284"/>
      </w:pPr>
      <w:r>
        <w:rPr>
          <w:b/>
        </w:rPr>
        <w:t>Element 3.3.2</w:t>
      </w:r>
      <w:r>
        <w:t xml:space="preserve"> Children are supported to become environmentally responsible and show respect for the environment.</w:t>
      </w:r>
    </w:p>
    <w:p>
      <w:pPr>
        <w:pStyle w:val="yHeading4"/>
      </w:pPr>
      <w:bookmarkStart w:id="779" w:name="_Toc425346475"/>
      <w:bookmarkStart w:id="780" w:name="_Toc425414134"/>
      <w:bookmarkStart w:id="781" w:name="_Toc497395355"/>
      <w:bookmarkStart w:id="782" w:name="_Toc504466329"/>
      <w:bookmarkStart w:id="783" w:name="_Toc504466752"/>
      <w:r>
        <w:t>Quality area 4 — Staffing arrangements</w:t>
      </w:r>
      <w:bookmarkEnd w:id="779"/>
      <w:bookmarkEnd w:id="780"/>
      <w:bookmarkEnd w:id="781"/>
      <w:bookmarkEnd w:id="782"/>
      <w:bookmarkEnd w:id="783"/>
    </w:p>
    <w:p>
      <w:pPr>
        <w:pStyle w:val="yMiscellaneousBody"/>
        <w:spacing w:before="140"/>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spacing w:before="140"/>
      </w:pPr>
      <w:r>
        <w:rPr>
          <w:b/>
        </w:rPr>
        <w:t>Standard 4.1</w:t>
      </w:r>
      <w:r>
        <w:t xml:space="preserve"> Staffing arrangements enhance children’s learning and development and ensure their safety and wellbeing. </w:t>
      </w:r>
    </w:p>
    <w:p>
      <w:pPr>
        <w:pStyle w:val="yMiscellaneousBody"/>
        <w:spacing w:before="120"/>
        <w:ind w:left="284"/>
      </w:pPr>
      <w:r>
        <w:rPr>
          <w:b/>
        </w:rPr>
        <w:t>Element 4.1.1</w:t>
      </w:r>
      <w:r>
        <w:t xml:space="preserve"> Educator</w:t>
      </w:r>
      <w:r>
        <w:noBreakHyphen/>
        <w:t>to</w:t>
      </w:r>
      <w:r>
        <w:noBreakHyphen/>
        <w:t>child ratios and qualification requirements are maintained at all times.</w:t>
      </w:r>
    </w:p>
    <w:p>
      <w:pPr>
        <w:pStyle w:val="yMiscellaneousBody"/>
        <w:spacing w:before="140"/>
      </w:pPr>
      <w:r>
        <w:rPr>
          <w:b/>
        </w:rPr>
        <w:t>Standard 4.2</w:t>
      </w:r>
      <w:r>
        <w:t xml:space="preserve"> Educators, co</w:t>
      </w:r>
      <w:r>
        <w:noBreakHyphen/>
        <w:t xml:space="preserve">ordinators and staff members are respectful and ethical. </w:t>
      </w:r>
    </w:p>
    <w:p>
      <w:pPr>
        <w:pStyle w:val="yMiscellaneousBody"/>
        <w:spacing w:before="120"/>
        <w:ind w:left="284"/>
      </w:pPr>
      <w:r>
        <w:rPr>
          <w:b/>
        </w:rPr>
        <w:t>Element 4.2.1</w:t>
      </w:r>
      <w:r>
        <w:t xml:space="preserve"> Professional standards guide practice, interactions and relationships.</w:t>
      </w:r>
    </w:p>
    <w:p>
      <w:pPr>
        <w:pStyle w:val="yMiscellaneousBody"/>
        <w:spacing w:before="120"/>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spacing w:before="120"/>
        <w:ind w:left="284"/>
      </w:pPr>
      <w:r>
        <w:rPr>
          <w:b/>
        </w:rPr>
        <w:t>Element 4.2.3</w:t>
      </w:r>
      <w:r>
        <w:t xml:space="preserve"> Interactions convey mutual respect, equity and recognition of each other’s strengths and skills.</w:t>
      </w:r>
    </w:p>
    <w:p>
      <w:pPr>
        <w:pStyle w:val="yHeading4"/>
      </w:pPr>
      <w:bookmarkStart w:id="784" w:name="_Toc425346476"/>
      <w:bookmarkStart w:id="785" w:name="_Toc425414135"/>
      <w:bookmarkStart w:id="786" w:name="_Toc497395356"/>
      <w:bookmarkStart w:id="787" w:name="_Toc504466330"/>
      <w:bookmarkStart w:id="788" w:name="_Toc504466753"/>
      <w:r>
        <w:t>Quality area 5 — Relationships with children</w:t>
      </w:r>
      <w:bookmarkEnd w:id="784"/>
      <w:bookmarkEnd w:id="785"/>
      <w:bookmarkEnd w:id="786"/>
      <w:bookmarkEnd w:id="787"/>
      <w:bookmarkEnd w:id="788"/>
    </w:p>
    <w:p>
      <w:pPr>
        <w:pStyle w:val="yMiscellaneousBody"/>
        <w:spacing w:before="140"/>
      </w:pPr>
      <w:r>
        <w:t>Relationships that are responsive, respectful and promote children’s sense of security and belonging free them to explore the environment and engage in learning.</w:t>
      </w:r>
    </w:p>
    <w:p>
      <w:pPr>
        <w:pStyle w:val="yMiscellaneousBody"/>
        <w:spacing w:before="140"/>
      </w:pPr>
      <w:r>
        <w:rPr>
          <w:b/>
        </w:rPr>
        <w:t>Standard 5.1</w:t>
      </w:r>
      <w:r>
        <w:t xml:space="preserve"> Respectful and equitable relationships are developed and maintained with each child. </w:t>
      </w:r>
    </w:p>
    <w:p>
      <w:pPr>
        <w:pStyle w:val="yMiscellaneousBody"/>
        <w:spacing w:before="120"/>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789" w:name="_Toc425346477"/>
      <w:bookmarkStart w:id="790" w:name="_Toc425414136"/>
      <w:bookmarkStart w:id="791" w:name="_Toc497395357"/>
      <w:bookmarkStart w:id="792" w:name="_Toc504466331"/>
      <w:bookmarkStart w:id="793" w:name="_Toc504466754"/>
      <w:r>
        <w:t>Quality area 6 — Collaborative partnerships with families and communities</w:t>
      </w:r>
      <w:bookmarkEnd w:id="789"/>
      <w:bookmarkEnd w:id="790"/>
      <w:bookmarkEnd w:id="791"/>
      <w:bookmarkEnd w:id="792"/>
      <w:bookmarkEnd w:id="793"/>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794" w:name="_Toc425346478"/>
      <w:bookmarkStart w:id="795" w:name="_Toc425414137"/>
      <w:bookmarkStart w:id="796" w:name="_Toc497395358"/>
      <w:bookmarkStart w:id="797" w:name="_Toc504466332"/>
      <w:bookmarkStart w:id="798" w:name="_Toc504466755"/>
      <w:r>
        <w:t>Quality area 7 — Leadership and service management</w:t>
      </w:r>
      <w:bookmarkEnd w:id="794"/>
      <w:bookmarkEnd w:id="795"/>
      <w:bookmarkEnd w:id="796"/>
      <w:bookmarkEnd w:id="797"/>
      <w:bookmarkEnd w:id="798"/>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keepNext/>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outlineLvl w:val="0"/>
      </w:pPr>
      <w:bookmarkStart w:id="799" w:name="_Toc425346479"/>
      <w:bookmarkStart w:id="800" w:name="_Toc425414138"/>
      <w:bookmarkStart w:id="801" w:name="_Toc497395359"/>
      <w:bookmarkStart w:id="802" w:name="_Toc504466333"/>
      <w:bookmarkStart w:id="803" w:name="_Toc504466756"/>
      <w:r>
        <w:rPr>
          <w:rStyle w:val="CharSchNo"/>
        </w:rPr>
        <w:t>Schedule 2</w:t>
      </w:r>
      <w:r>
        <w:t> — </w:t>
      </w:r>
      <w:r>
        <w:rPr>
          <w:rStyle w:val="CharSchText"/>
        </w:rPr>
        <w:t>Prescribed fees</w:t>
      </w:r>
      <w:bookmarkEnd w:id="799"/>
      <w:bookmarkEnd w:id="800"/>
      <w:bookmarkEnd w:id="801"/>
      <w:bookmarkEnd w:id="802"/>
      <w:bookmarkEnd w:id="803"/>
    </w:p>
    <w:p>
      <w:pPr>
        <w:pStyle w:val="yHeading3"/>
        <w:spacing w:after="240"/>
      </w:pPr>
      <w:bookmarkStart w:id="804" w:name="_Toc425346480"/>
      <w:bookmarkStart w:id="805" w:name="_Toc425414139"/>
      <w:bookmarkStart w:id="806" w:name="_Toc497395360"/>
      <w:bookmarkStart w:id="807" w:name="_Toc504466334"/>
      <w:bookmarkStart w:id="808" w:name="_Toc504466757"/>
      <w:r>
        <w:rPr>
          <w:rStyle w:val="CharSDivNo"/>
        </w:rPr>
        <w:t>Part 1</w:t>
      </w:r>
      <w:r>
        <w:t> — </w:t>
      </w:r>
      <w:r>
        <w:rPr>
          <w:rStyle w:val="CharSDivText"/>
        </w:rPr>
        <w:t>Fees relating to provider approvals, service approvals and ratings</w:t>
      </w:r>
      <w:bookmarkEnd w:id="804"/>
      <w:bookmarkEnd w:id="805"/>
      <w:bookmarkEnd w:id="806"/>
      <w:bookmarkEnd w:id="807"/>
      <w:bookmarkEnd w:id="808"/>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5 or fewer family day care educators $185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809" w:name="_Toc425346481"/>
      <w:bookmarkStart w:id="810" w:name="_Toc425414140"/>
      <w:bookmarkStart w:id="811" w:name="_Toc497395361"/>
      <w:bookmarkStart w:id="812" w:name="_Toc504466335"/>
      <w:bookmarkStart w:id="813" w:name="_Toc504466758"/>
      <w:r>
        <w:rPr>
          <w:rStyle w:val="CharSDivNo"/>
        </w:rPr>
        <w:t>Part 2</w:t>
      </w:r>
      <w:r>
        <w:t> — </w:t>
      </w:r>
      <w:r>
        <w:rPr>
          <w:rStyle w:val="CharSDivText"/>
        </w:rPr>
        <w:t>Other fees</w:t>
      </w:r>
      <w:bookmarkEnd w:id="809"/>
      <w:bookmarkEnd w:id="810"/>
      <w:bookmarkEnd w:id="811"/>
      <w:bookmarkEnd w:id="812"/>
      <w:bookmarkEnd w:id="813"/>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814" w:name="_Toc425346482"/>
      <w:bookmarkStart w:id="815" w:name="_Toc425414141"/>
      <w:bookmarkStart w:id="816" w:name="_Toc497395362"/>
      <w:bookmarkStart w:id="817" w:name="_Toc504466336"/>
      <w:bookmarkStart w:id="818" w:name="_Toc504466759"/>
      <w:r>
        <w:rPr>
          <w:rStyle w:val="CharSchNo"/>
        </w:rPr>
        <w:t>Schedule 3</w:t>
      </w:r>
      <w:r>
        <w:rPr>
          <w:rStyle w:val="CharSDivNo"/>
        </w:rPr>
        <w:t> </w:t>
      </w:r>
      <w:r>
        <w:t>—</w:t>
      </w:r>
      <w:r>
        <w:rPr>
          <w:rStyle w:val="CharSDivText"/>
        </w:rPr>
        <w:t> </w:t>
      </w:r>
      <w:r>
        <w:rPr>
          <w:rStyle w:val="CharSchText"/>
        </w:rPr>
        <w:t>Compliance directions — prescribed provisions</w:t>
      </w:r>
      <w:bookmarkEnd w:id="814"/>
      <w:bookmarkEnd w:id="815"/>
      <w:bookmarkEnd w:id="816"/>
      <w:bookmarkEnd w:id="817"/>
      <w:bookmarkEnd w:id="818"/>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outlineLvl w:val="0"/>
      </w:pPr>
      <w:bookmarkStart w:id="820" w:name="_Toc425346483"/>
      <w:bookmarkStart w:id="821" w:name="_Toc425414142"/>
      <w:bookmarkStart w:id="822" w:name="_Toc497395363"/>
      <w:bookmarkStart w:id="823" w:name="_Toc504466337"/>
      <w:bookmarkStart w:id="824" w:name="_Toc504466760"/>
      <w:r>
        <w:rPr>
          <w:rStyle w:val="CharSchNo"/>
        </w:rPr>
        <w:t>Schedule 4</w:t>
      </w:r>
      <w:r>
        <w:t> — </w:t>
      </w:r>
      <w:r>
        <w:rPr>
          <w:rStyle w:val="CharSchText"/>
        </w:rPr>
        <w:t>Prescribed forms</w:t>
      </w:r>
      <w:bookmarkEnd w:id="820"/>
      <w:bookmarkEnd w:id="821"/>
      <w:bookmarkEnd w:id="822"/>
      <w:bookmarkEnd w:id="823"/>
      <w:bookmarkEnd w:id="824"/>
    </w:p>
    <w:p>
      <w:pPr>
        <w:pStyle w:val="yShoulderClause"/>
      </w:pPr>
      <w:r>
        <w:t>Regulation 190(2)(d)</w:t>
      </w:r>
    </w:p>
    <w:p>
      <w:pPr>
        <w:pStyle w:val="yFootnoteheading"/>
      </w:pPr>
      <w:r>
        <w:tab/>
        <w:t>[Heading amended in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nHeading2"/>
      </w:pPr>
      <w:bookmarkStart w:id="825" w:name="_Toc425346484"/>
      <w:bookmarkStart w:id="826" w:name="_Toc425414143"/>
      <w:bookmarkStart w:id="827" w:name="_Toc497395364"/>
      <w:bookmarkStart w:id="828" w:name="_Toc504466338"/>
      <w:bookmarkStart w:id="829" w:name="_Toc504466761"/>
      <w:r>
        <w:t>Notes</w:t>
      </w:r>
      <w:bookmarkEnd w:id="825"/>
      <w:bookmarkEnd w:id="826"/>
      <w:bookmarkEnd w:id="827"/>
      <w:bookmarkEnd w:id="828"/>
      <w:bookmarkEnd w:id="829"/>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Regulations 2012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30" w:name="_Toc504466762"/>
      <w:r>
        <w:t>Compilation table</w:t>
      </w:r>
      <w:bookmarkEnd w:id="83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4"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8"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4"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4"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4" w:type="dxa"/>
            <w:tcBorders>
              <w:top w:val="nil"/>
              <w:bottom w:val="nil"/>
            </w:tcBorders>
            <w:shd w:val="clear" w:color="auto" w:fill="auto"/>
          </w:tcPr>
          <w:p>
            <w:pPr>
              <w:pStyle w:val="nTable"/>
              <w:spacing w:after="40"/>
              <w:rPr>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 xml:space="preserve">Regulations other than r. 1 and 2: 1 Jul 2015 (see r. 2(b)(ii) and </w:t>
            </w:r>
            <w:r>
              <w:rPr>
                <w:rFonts w:ascii="Times" w:hAnsi="Times"/>
                <w:bCs/>
                <w:i/>
                <w:snapToGrid w:val="0"/>
                <w:spacing w:val="-2"/>
              </w:rPr>
              <w:t>Gazette</w:t>
            </w:r>
            <w:r>
              <w:rPr>
                <w:rFonts w:ascii="Times" w:hAnsi="Times"/>
                <w:bCs/>
                <w:snapToGrid w:val="0"/>
                <w:spacing w:val="-2"/>
              </w:rPr>
              <w:t xml:space="preserve"> 26 Jun 2015 p. 2235)</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Jul 2015</w:t>
            </w:r>
            <w:r>
              <w:rPr>
                <w:rFonts w:ascii="Times" w:hAnsi="Times"/>
                <w:bCs/>
                <w:snapToGrid w:val="0"/>
                <w:spacing w:val="-2"/>
              </w:rPr>
              <w:t xml:space="preserve"> (see r. 2(a));</w:t>
            </w:r>
            <w:r>
              <w:rPr>
                <w:rFonts w:ascii="Times" w:hAnsi="Times"/>
                <w:bCs/>
                <w:snapToGrid w:val="0"/>
                <w:spacing w:val="-2"/>
              </w:rPr>
              <w:br/>
              <w:t>Regulations other than r. 1 and 2: 1 Aug 2015 (see r. 2(b))</w:t>
            </w:r>
          </w:p>
        </w:tc>
      </w:tr>
      <w:tr>
        <w:tc>
          <w:tcPr>
            <w:tcW w:w="3118" w:type="dxa"/>
            <w:tcBorders>
              <w:top w:val="nil"/>
              <w:bottom w:val="single" w:sz="4" w:space="0" w:color="auto"/>
            </w:tcBorders>
            <w:shd w:val="clear" w:color="auto" w:fill="auto"/>
          </w:tcPr>
          <w:p>
            <w:pPr>
              <w:pStyle w:val="nTable"/>
              <w:keepNext/>
              <w:spacing w:after="40"/>
              <w:rPr>
                <w:i/>
              </w:rPr>
            </w:pPr>
            <w:r>
              <w:rPr>
                <w:i/>
              </w:rPr>
              <w:t>Education and Care Services National Amendment Regulations 2017</w:t>
            </w:r>
          </w:p>
        </w:tc>
        <w:tc>
          <w:tcPr>
            <w:tcW w:w="1276" w:type="dxa"/>
            <w:tcBorders>
              <w:top w:val="nil"/>
              <w:bottom w:val="single" w:sz="4" w:space="0" w:color="auto"/>
            </w:tcBorders>
            <w:shd w:val="clear" w:color="auto" w:fill="auto"/>
          </w:tcPr>
          <w:p>
            <w:pPr>
              <w:pStyle w:val="nTable"/>
              <w:keepNext/>
              <w:spacing w:after="40"/>
            </w:pPr>
            <w:r>
              <w:t>3 Nov 2017 p. 5481</w:t>
            </w:r>
            <w:r>
              <w:noBreakHyphen/>
              <w:t>5</w:t>
            </w:r>
          </w:p>
        </w:tc>
        <w:tc>
          <w:tcPr>
            <w:tcW w:w="2694" w:type="dxa"/>
            <w:tcBorders>
              <w:top w:val="nil"/>
              <w:bottom w:val="single" w:sz="4" w:space="0" w:color="auto"/>
            </w:tcBorders>
            <w:shd w:val="clear" w:color="auto" w:fill="auto"/>
          </w:tcPr>
          <w:p>
            <w:pPr>
              <w:pStyle w:val="nTable"/>
              <w:keepNext/>
              <w:spacing w:after="40"/>
              <w:rPr>
                <w:rFonts w:ascii="Times" w:hAnsi="Times"/>
                <w:bCs/>
                <w:snapToGrid w:val="0"/>
                <w:spacing w:val="-2"/>
              </w:rPr>
            </w:pPr>
            <w:r>
              <w:rPr>
                <w:rFonts w:ascii="Times" w:hAnsi="Times"/>
                <w:bCs/>
                <w:snapToGrid w:val="0"/>
                <w:spacing w:val="-2"/>
              </w:rPr>
              <w:t xml:space="preserve">r. 1 and 2: </w:t>
            </w:r>
            <w:r>
              <w:t>3 Nov 2017</w:t>
            </w:r>
            <w:r>
              <w:rPr>
                <w:rFonts w:ascii="Times" w:hAnsi="Times"/>
                <w:bCs/>
                <w:snapToGrid w:val="0"/>
                <w:spacing w:val="-2"/>
              </w:rPr>
              <w:t xml:space="preserve"> (see r. 2(a));</w:t>
            </w:r>
            <w:r>
              <w:rPr>
                <w:rFonts w:ascii="Times" w:hAnsi="Times"/>
                <w:bCs/>
                <w:snapToGrid w:val="0"/>
                <w:spacing w:val="-2"/>
              </w:rPr>
              <w:br/>
              <w:t>Regulations other than r. 1 and 2: 4 Nov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1" w:name="_Toc504466763"/>
      <w:r>
        <w:t>Provisions that have not come into operation</w:t>
      </w:r>
      <w:bookmarkEnd w:id="8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Education and Care Services National Amendment Regulations 2018</w:t>
            </w:r>
            <w:r>
              <w:t xml:space="preserve"> r. 3</w:t>
            </w:r>
            <w:r>
              <w:noBreakHyphen/>
              <w:t>7</w:t>
            </w:r>
            <w:r>
              <w:rPr>
                <w:vertAlign w:val="superscript"/>
              </w:rPr>
              <w:t> 3</w:t>
            </w:r>
          </w:p>
        </w:tc>
        <w:tc>
          <w:tcPr>
            <w:tcW w:w="1276" w:type="dxa"/>
          </w:tcPr>
          <w:p>
            <w:pPr>
              <w:pStyle w:val="nTable"/>
              <w:spacing w:after="40"/>
            </w:pPr>
            <w:r>
              <w:t>23 Jan 2018 p. 247</w:t>
            </w:r>
            <w:r>
              <w:noBreakHyphen/>
              <w:t>58</w:t>
            </w:r>
          </w:p>
        </w:tc>
        <w:tc>
          <w:tcPr>
            <w:tcW w:w="2693" w:type="dxa"/>
          </w:tcPr>
          <w:p>
            <w:pPr>
              <w:pStyle w:val="nTable"/>
              <w:spacing w:after="40"/>
            </w:pPr>
            <w:r>
              <w:t>1 Feb 2018 (see r. 2(b)(i))</w:t>
            </w:r>
          </w:p>
        </w:tc>
      </w:tr>
    </w:tbl>
    <w:p>
      <w:pPr>
        <w:pStyle w:val="nSubsection"/>
        <w:rPr>
          <w:vertAlign w:val="superscript"/>
        </w:rPr>
      </w:pPr>
    </w:p>
    <w:p>
      <w:pPr>
        <w:pStyle w:val="nSubsection"/>
      </w:pPr>
      <w:r>
        <w:rPr>
          <w:vertAlign w:val="superscript"/>
        </w:rPr>
        <w:t>2</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Pr>
        <w:pStyle w:val="nSubsection"/>
      </w:pPr>
      <w:r>
        <w:rPr>
          <w:vertAlign w:val="superscript"/>
        </w:rPr>
        <w:t>3</w:t>
      </w:r>
      <w:r>
        <w:tab/>
        <w:t xml:space="preserve">On the date as at which this compilation was prepared, the </w:t>
      </w:r>
      <w:r>
        <w:rPr>
          <w:i/>
        </w:rPr>
        <w:t>Education and Care Services National Amendment Regulations 2018</w:t>
      </w:r>
      <w:r>
        <w:t xml:space="preserve"> r. 3</w:t>
      </w:r>
      <w:r>
        <w:noBreakHyphen/>
        <w:t>7</w:t>
      </w:r>
      <w:r>
        <w:rPr>
          <w:vertAlign w:val="superscript"/>
        </w:rPr>
        <w:t xml:space="preserve"> </w:t>
      </w:r>
      <w:r>
        <w:t>had not come into operation.  They read as follows:</w:t>
      </w:r>
    </w:p>
    <w:p>
      <w:pPr>
        <w:pStyle w:val="BlankOpen"/>
      </w:pPr>
    </w:p>
    <w:p>
      <w:pPr>
        <w:pStyle w:val="nzHeading5"/>
        <w:rPr>
          <w:snapToGrid w:val="0"/>
        </w:rPr>
      </w:pPr>
      <w:bookmarkStart w:id="832" w:name="_Toc501634553"/>
      <w:bookmarkStart w:id="833" w:name="_Toc501638533"/>
      <w:r>
        <w:rPr>
          <w:rStyle w:val="CharSectno"/>
        </w:rPr>
        <w:t>3</w:t>
      </w:r>
      <w:r>
        <w:rPr>
          <w:snapToGrid w:val="0"/>
        </w:rPr>
        <w:t>.</w:t>
      </w:r>
      <w:r>
        <w:rPr>
          <w:snapToGrid w:val="0"/>
        </w:rPr>
        <w:tab/>
        <w:t>Regulations amended</w:t>
      </w:r>
      <w:bookmarkEnd w:id="832"/>
      <w:bookmarkEnd w:id="833"/>
    </w:p>
    <w:p>
      <w:pPr>
        <w:pStyle w:val="nzSubsection"/>
      </w:pPr>
      <w:r>
        <w:tab/>
      </w:r>
      <w:r>
        <w:tab/>
        <w:t xml:space="preserve">These </w:t>
      </w:r>
      <w:r>
        <w:rPr>
          <w:spacing w:val="-2"/>
        </w:rPr>
        <w:t>regulations amend</w:t>
      </w:r>
      <w:r>
        <w:t xml:space="preserve"> the </w:t>
      </w:r>
      <w:r>
        <w:rPr>
          <w:i/>
        </w:rPr>
        <w:t>Education and Care Services National Regulations 2012</w:t>
      </w:r>
      <w:r>
        <w:t>.</w:t>
      </w:r>
    </w:p>
    <w:p>
      <w:pPr>
        <w:pStyle w:val="nzHeading5"/>
      </w:pPr>
      <w:bookmarkStart w:id="834" w:name="_Toc501634554"/>
      <w:bookmarkStart w:id="835" w:name="_Toc501638534"/>
      <w:r>
        <w:rPr>
          <w:rStyle w:val="CharSectno"/>
        </w:rPr>
        <w:t>4</w:t>
      </w:r>
      <w:r>
        <w:t>.</w:t>
      </w:r>
      <w:r>
        <w:tab/>
        <w:t>Regulation 59 amended</w:t>
      </w:r>
      <w:bookmarkEnd w:id="834"/>
      <w:bookmarkEnd w:id="835"/>
      <w:r>
        <w:t xml:space="preserve"> </w:t>
      </w:r>
    </w:p>
    <w:p>
      <w:pPr>
        <w:pStyle w:val="nzSubsection"/>
      </w:pPr>
      <w:r>
        <w:tab/>
      </w:r>
      <w:r>
        <w:tab/>
        <w:t>In regulation 59(1) delete “an unacceptable” and insert:</w:t>
      </w:r>
    </w:p>
    <w:p>
      <w:pPr>
        <w:pStyle w:val="BlankOpen"/>
      </w:pPr>
    </w:p>
    <w:p>
      <w:pPr>
        <w:pStyle w:val="nzSubsection"/>
      </w:pPr>
      <w:r>
        <w:tab/>
      </w:r>
      <w:r>
        <w:tab/>
        <w:t>a significant</w:t>
      </w:r>
    </w:p>
    <w:p>
      <w:pPr>
        <w:pStyle w:val="BlankClose"/>
      </w:pPr>
    </w:p>
    <w:p>
      <w:pPr>
        <w:pStyle w:val="nzHeading5"/>
      </w:pPr>
      <w:bookmarkStart w:id="836" w:name="_Toc501634555"/>
      <w:bookmarkStart w:id="837" w:name="_Toc501638535"/>
      <w:r>
        <w:rPr>
          <w:rStyle w:val="CharSectno"/>
        </w:rPr>
        <w:t>5</w:t>
      </w:r>
      <w:r>
        <w:t>.</w:t>
      </w:r>
      <w:r>
        <w:tab/>
        <w:t>Chapter 7 Parts 7.10 and 7.11 inserted</w:t>
      </w:r>
      <w:bookmarkEnd w:id="836"/>
      <w:bookmarkEnd w:id="837"/>
      <w:r>
        <w:t xml:space="preserve"> </w:t>
      </w:r>
    </w:p>
    <w:p>
      <w:pPr>
        <w:pStyle w:val="nzSubsection"/>
      </w:pPr>
      <w:r>
        <w:tab/>
      </w:r>
      <w:r>
        <w:tab/>
        <w:t>At the end of Chapter 7 insert:</w:t>
      </w:r>
    </w:p>
    <w:p>
      <w:pPr>
        <w:pStyle w:val="BlankOpen"/>
      </w:pPr>
    </w:p>
    <w:p>
      <w:pPr>
        <w:pStyle w:val="nzHeading2"/>
      </w:pPr>
      <w:bookmarkStart w:id="838" w:name="_Toc501619992"/>
      <w:bookmarkStart w:id="839" w:name="_Toc501620018"/>
      <w:bookmarkStart w:id="840" w:name="_Toc501621309"/>
      <w:bookmarkStart w:id="841" w:name="_Toc501621420"/>
      <w:bookmarkStart w:id="842" w:name="_Toc501634556"/>
      <w:bookmarkStart w:id="843" w:name="_Toc501638536"/>
      <w:r>
        <w:t>Part 7.10</w:t>
      </w:r>
      <w:r>
        <w:rPr>
          <w:b w:val="0"/>
        </w:rPr>
        <w:t> </w:t>
      </w:r>
      <w:r>
        <w:t>—</w:t>
      </w:r>
      <w:r>
        <w:rPr>
          <w:b w:val="0"/>
        </w:rPr>
        <w:t> </w:t>
      </w:r>
      <w:r>
        <w:t>Transitional and savings provisions</w:t>
      </w:r>
      <w:bookmarkEnd w:id="838"/>
      <w:bookmarkEnd w:id="839"/>
      <w:bookmarkEnd w:id="840"/>
      <w:bookmarkEnd w:id="841"/>
      <w:bookmarkEnd w:id="842"/>
      <w:bookmarkEnd w:id="843"/>
    </w:p>
    <w:p>
      <w:pPr>
        <w:pStyle w:val="nzPermNoteHeading"/>
      </w:pPr>
      <w:r>
        <w:tab/>
        <w:t>Note for this Part:</w:t>
      </w:r>
    </w:p>
    <w:p>
      <w:pPr>
        <w:pStyle w:val="nzPermNoteText"/>
        <w:ind w:left="1701" w:hanging="1134"/>
      </w:pPr>
      <w:r>
        <w:tab/>
      </w:r>
      <w:r>
        <w:tab/>
        <w:t>The national regulations made by the Ministerial Council include provisions as Part 7.10 which are not relevant to Western Australia.</w:t>
      </w:r>
    </w:p>
    <w:p>
      <w:pPr>
        <w:pStyle w:val="nzHeading2"/>
      </w:pPr>
      <w:bookmarkStart w:id="844" w:name="_Toc501619993"/>
      <w:bookmarkStart w:id="845" w:name="_Toc501620019"/>
      <w:bookmarkStart w:id="846" w:name="_Toc501621310"/>
      <w:bookmarkStart w:id="847" w:name="_Toc501621421"/>
      <w:bookmarkStart w:id="848" w:name="_Toc501634557"/>
      <w:bookmarkStart w:id="849" w:name="_Toc501638537"/>
      <w:r>
        <w:t xml:space="preserve">Part 7.11 — Transitional and savings provisions for </w:t>
      </w:r>
      <w:r>
        <w:rPr>
          <w:i/>
        </w:rPr>
        <w:t>Education and Care Services National Amendment Regulations 2018</w:t>
      </w:r>
      <w:bookmarkEnd w:id="844"/>
      <w:bookmarkEnd w:id="845"/>
      <w:bookmarkEnd w:id="846"/>
      <w:bookmarkEnd w:id="847"/>
      <w:bookmarkEnd w:id="848"/>
      <w:bookmarkEnd w:id="849"/>
    </w:p>
    <w:p>
      <w:pPr>
        <w:pStyle w:val="nzHeading5"/>
      </w:pPr>
      <w:bookmarkStart w:id="850" w:name="_Toc501634558"/>
      <w:bookmarkStart w:id="851" w:name="_Toc501638538"/>
      <w:r>
        <w:t>395.</w:t>
      </w:r>
      <w:r>
        <w:tab/>
        <w:t>Definition</w:t>
      </w:r>
      <w:bookmarkEnd w:id="850"/>
      <w:bookmarkEnd w:id="851"/>
    </w:p>
    <w:p>
      <w:pPr>
        <w:pStyle w:val="nzSubsection"/>
      </w:pPr>
      <w:r>
        <w:tab/>
        <w:t>(1)</w:t>
      </w:r>
      <w:r>
        <w:tab/>
        <w:t xml:space="preserve">In this Part — </w:t>
      </w:r>
    </w:p>
    <w:p>
      <w:pPr>
        <w:pStyle w:val="nzDefstart"/>
      </w:pPr>
      <w:r>
        <w:tab/>
      </w:r>
      <w:r>
        <w:rPr>
          <w:rStyle w:val="CharDefText"/>
        </w:rPr>
        <w:t>commencement day</w:t>
      </w:r>
      <w:r>
        <w:t xml:space="preserve"> means 1 February 2018.</w:t>
      </w:r>
    </w:p>
    <w:p>
      <w:pPr>
        <w:pStyle w:val="nz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nzHeading5"/>
      </w:pPr>
      <w:bookmarkStart w:id="852" w:name="_Toc501634559"/>
      <w:bookmarkStart w:id="853" w:name="_Toc501638539"/>
      <w:r>
        <w:t>396.</w:t>
      </w:r>
      <w:r>
        <w:tab/>
        <w:t>Quality improvement plan held prior to commencement day</w:t>
      </w:r>
      <w:bookmarkEnd w:id="852"/>
      <w:bookmarkEnd w:id="853"/>
    </w:p>
    <w:p>
      <w:pPr>
        <w:pStyle w:val="nz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nzIndenta"/>
      </w:pPr>
      <w:r>
        <w:tab/>
        <w:t>(a)</w:t>
      </w:r>
      <w:r>
        <w:tab/>
        <w:t>the approved provider for the service next reviews and revises the plan under regulation 56(1)(a);</w:t>
      </w:r>
    </w:p>
    <w:p>
      <w:pPr>
        <w:pStyle w:val="nzIndenta"/>
      </w:pPr>
      <w:r>
        <w:tab/>
        <w:t>(b)</w:t>
      </w:r>
      <w:r>
        <w:tab/>
        <w:t>the approved provider for the service reviews and revises the plan at the direction of the Regulatory Authority under regulation 56(1)(b).</w:t>
      </w:r>
    </w:p>
    <w:p>
      <w:pPr>
        <w:pStyle w:val="nzHeading5"/>
      </w:pPr>
      <w:bookmarkStart w:id="854" w:name="_Toc501634560"/>
      <w:bookmarkStart w:id="855" w:name="_Toc501638540"/>
      <w:r>
        <w:t>397.</w:t>
      </w:r>
      <w:r>
        <w:tab/>
        <w:t>Assessments commenced prior to commencement day</w:t>
      </w:r>
      <w:bookmarkEnd w:id="854"/>
      <w:bookmarkEnd w:id="855"/>
    </w:p>
    <w:p>
      <w:pPr>
        <w:pStyle w:val="nzSubsection"/>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nzHeading5"/>
      </w:pPr>
      <w:bookmarkStart w:id="856" w:name="_Toc501634561"/>
      <w:bookmarkStart w:id="857" w:name="_Toc501638541"/>
      <w:r>
        <w:t>398.</w:t>
      </w:r>
      <w:r>
        <w:tab/>
        <w:t>Reassessment or partial reassessment commenced prior to commencement day</w:t>
      </w:r>
      <w:bookmarkEnd w:id="856"/>
      <w:bookmarkEnd w:id="857"/>
    </w:p>
    <w:p>
      <w:pPr>
        <w:pStyle w:val="nzSubsection"/>
      </w:pPr>
      <w:r>
        <w:tab/>
        <w:t>(1)</w:t>
      </w:r>
      <w:r>
        <w:tab/>
        <w:t xml:space="preserve">This regulation applies to an approved education and care service if, immediately before the commencement day — </w:t>
      </w:r>
    </w:p>
    <w:p>
      <w:pPr>
        <w:pStyle w:val="nz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nz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nz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nzHeading5"/>
      </w:pPr>
      <w:bookmarkStart w:id="858" w:name="_Toc501634562"/>
      <w:bookmarkStart w:id="859" w:name="_Toc501638542"/>
      <w:r>
        <w:t>399.</w:t>
      </w:r>
      <w:r>
        <w:tab/>
        <w:t>Partial reassessment between the commencement day and the relevant day</w:t>
      </w:r>
      <w:bookmarkEnd w:id="858"/>
      <w:bookmarkEnd w:id="859"/>
    </w:p>
    <w:p>
      <w:pPr>
        <w:pStyle w:val="nz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nz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nzSubsection"/>
      </w:pPr>
      <w:r>
        <w:tab/>
        <w:t>(3)</w:t>
      </w:r>
      <w:r>
        <w:tab/>
        <w:t xml:space="preserve">In this regulation — </w:t>
      </w:r>
    </w:p>
    <w:p>
      <w:pPr>
        <w:pStyle w:val="nzDefstart"/>
      </w:pPr>
      <w:r>
        <w:rPr>
          <w:rStyle w:val="CharDefText"/>
        </w:rPr>
        <w:tab/>
        <w:t>relevant day</w:t>
      </w:r>
      <w:r>
        <w:t xml:space="preserve"> means — </w:t>
      </w:r>
    </w:p>
    <w:p>
      <w:pPr>
        <w:pStyle w:val="nzDefpara"/>
      </w:pPr>
      <w:r>
        <w:tab/>
        <w:t>(a)</w:t>
      </w:r>
      <w:r>
        <w:tab/>
        <w:t>in relation to an approved education and care service that was assessed and rated before the commencement day, the day that is 6 months after the commencement day; or</w:t>
      </w:r>
    </w:p>
    <w:p>
      <w:pPr>
        <w:pStyle w:val="nz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nzHeading5"/>
      </w:pPr>
      <w:bookmarkStart w:id="860" w:name="_Toc501634563"/>
      <w:bookmarkStart w:id="861" w:name="_Toc501638543"/>
      <w:r>
        <w:t>400.</w:t>
      </w:r>
      <w:r>
        <w:tab/>
        <w:t>Suspension of initial assessment or reassessment commenced prior to commencement day</w:t>
      </w:r>
      <w:bookmarkEnd w:id="860"/>
      <w:bookmarkEnd w:id="861"/>
    </w:p>
    <w:p>
      <w:pPr>
        <w:pStyle w:val="nzSubsection"/>
      </w:pPr>
      <w:r>
        <w:tab/>
        <w:t>(1)</w:t>
      </w:r>
      <w:r>
        <w:tab/>
        <w:t xml:space="preserve">This regulation applies to an approved education and care service if — </w:t>
      </w:r>
    </w:p>
    <w:p>
      <w:pPr>
        <w:pStyle w:val="nzIndenta"/>
      </w:pPr>
      <w:r>
        <w:tab/>
        <w:t>(a)</w:t>
      </w:r>
      <w:r>
        <w:tab/>
        <w:t xml:space="preserve">before the commencement day, the Regulatory Authority had commenced — </w:t>
      </w:r>
    </w:p>
    <w:p>
      <w:pPr>
        <w:pStyle w:val="nzIndenti"/>
      </w:pPr>
      <w:r>
        <w:tab/>
        <w:t>(i)</w:t>
      </w:r>
      <w:r>
        <w:tab/>
        <w:t>an assessment of the service under section 133(1) of the Law; or</w:t>
      </w:r>
    </w:p>
    <w:p>
      <w:pPr>
        <w:pStyle w:val="nzIndenti"/>
      </w:pPr>
      <w:r>
        <w:tab/>
        <w:t>(ii)</w:t>
      </w:r>
      <w:r>
        <w:tab/>
        <w:t>a reassessment and re</w:t>
      </w:r>
      <w:r>
        <w:noBreakHyphen/>
        <w:t xml:space="preserve">rating of the service under section 138 or on an application under section 139 of the Law; </w:t>
      </w:r>
    </w:p>
    <w:p>
      <w:pPr>
        <w:pStyle w:val="nzIndenta"/>
      </w:pPr>
      <w:r>
        <w:tab/>
      </w:r>
      <w:r>
        <w:tab/>
        <w:t>and</w:t>
      </w:r>
    </w:p>
    <w:p>
      <w:pPr>
        <w:pStyle w:val="nzIndenta"/>
      </w:pPr>
      <w:r>
        <w:tab/>
        <w:t>(b)</w:t>
      </w:r>
      <w:r>
        <w:tab/>
        <w:t>the assessment or reassessment and re</w:t>
      </w:r>
      <w:r>
        <w:noBreakHyphen/>
        <w:t>rating was suspended under section 137(1) of the Law, whether that suspension occurred before, on or after the commencement day; and</w:t>
      </w:r>
    </w:p>
    <w:p>
      <w:pPr>
        <w:pStyle w:val="nzIndenta"/>
      </w:pPr>
      <w:r>
        <w:tab/>
        <w:t>(c)</w:t>
      </w:r>
      <w:r>
        <w:tab/>
        <w:t>the suspension is lifted on or after the commencement day.</w:t>
      </w:r>
    </w:p>
    <w:p>
      <w:pPr>
        <w:pStyle w:val="nzSubsection"/>
      </w:pPr>
      <w:r>
        <w:tab/>
        <w:t>(2)</w:t>
      </w:r>
      <w:r>
        <w:tab/>
        <w:t>The Regulatory Authority must, on and after the commencement day, assess or reassess the approved education and care service against the National Quality Standard as in force on and after the commencement day.</w:t>
      </w:r>
    </w:p>
    <w:p>
      <w:pPr>
        <w:pStyle w:val="nzHeading5"/>
      </w:pPr>
      <w:bookmarkStart w:id="862" w:name="_Toc501634564"/>
      <w:bookmarkStart w:id="863" w:name="_Toc501638544"/>
      <w:r>
        <w:t>401.</w:t>
      </w:r>
      <w:r>
        <w:tab/>
        <w:t>Suspension of partial reassessment commenced prior to commencement day</w:t>
      </w:r>
      <w:bookmarkEnd w:id="862"/>
      <w:bookmarkEnd w:id="863"/>
    </w:p>
    <w:p>
      <w:pPr>
        <w:pStyle w:val="nzSubsection"/>
      </w:pPr>
      <w:r>
        <w:tab/>
        <w:t>(1)</w:t>
      </w:r>
      <w:r>
        <w:tab/>
        <w:t xml:space="preserve">This regulation applies to an approved education and care service if — </w:t>
      </w:r>
    </w:p>
    <w:p>
      <w:pPr>
        <w:pStyle w:val="nzIndenta"/>
      </w:pPr>
      <w:r>
        <w:tab/>
        <w:t>(a)</w:t>
      </w:r>
      <w:r>
        <w:tab/>
        <w:t>the Regulatory Authority had commenced conducting a reassessment and re</w:t>
      </w:r>
      <w:r>
        <w:noBreakHyphen/>
        <w:t>rating of an aspect or element of the service before the commencement day; and</w:t>
      </w:r>
    </w:p>
    <w:p>
      <w:pPr>
        <w:pStyle w:val="nzIndenta"/>
      </w:pPr>
      <w:r>
        <w:tab/>
        <w:t>(b)</w:t>
      </w:r>
      <w:r>
        <w:tab/>
        <w:t>the reassessment and re</w:t>
      </w:r>
      <w:r>
        <w:noBreakHyphen/>
        <w:t>rating was suspended under section 137(1) of the Law, whether that suspension occurred before, on or after the commencement day; and</w:t>
      </w:r>
    </w:p>
    <w:p>
      <w:pPr>
        <w:pStyle w:val="nzIndenta"/>
      </w:pPr>
      <w:r>
        <w:tab/>
        <w:t>(c)</w:t>
      </w:r>
      <w:r>
        <w:tab/>
        <w:t>the suspension is lifted on or after the commencement day.</w:t>
      </w:r>
    </w:p>
    <w:p>
      <w:pPr>
        <w:pStyle w:val="nzSubsection"/>
      </w:pPr>
      <w:r>
        <w:tab/>
        <w:t>(2)</w:t>
      </w:r>
      <w:r>
        <w:tab/>
        <w:t>The Regulatory Authority must, on and after the commencement day, continue to conduct a reassessment against the National Quality Standard as in force immediately before the commencement day.</w:t>
      </w:r>
    </w:p>
    <w:p>
      <w:pPr>
        <w:pStyle w:val="nzHeading5"/>
      </w:pPr>
      <w:bookmarkStart w:id="864" w:name="_Toc501634565"/>
      <w:bookmarkStart w:id="865" w:name="_Toc501638545"/>
      <w:r>
        <w:t>402.</w:t>
      </w:r>
      <w:r>
        <w:tab/>
        <w:t>Prescribed provisional rating level held prior to commencement day</w:t>
      </w:r>
      <w:bookmarkEnd w:id="864"/>
      <w:bookmarkEnd w:id="865"/>
    </w:p>
    <w:p>
      <w:pPr>
        <w:pStyle w:val="nzSubsection"/>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nzHeading5"/>
      </w:pPr>
      <w:bookmarkStart w:id="866" w:name="_Toc501634566"/>
      <w:bookmarkStart w:id="867" w:name="_Toc501638546"/>
      <w:r>
        <w:t>403.</w:t>
      </w:r>
      <w:r>
        <w:tab/>
        <w:t>Prescribed rating level held prior to commencement day</w:t>
      </w:r>
      <w:bookmarkEnd w:id="866"/>
      <w:bookmarkEnd w:id="867"/>
    </w:p>
    <w:p>
      <w:pPr>
        <w:pStyle w:val="nz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nzIndenta"/>
      </w:pPr>
      <w:r>
        <w:tab/>
        <w:t>(a)</w:t>
      </w:r>
      <w:r>
        <w:tab/>
        <w:t>is assessed under section 133(1) of the Law and rated under section 135 of the Law; or</w:t>
      </w:r>
    </w:p>
    <w:p>
      <w:pPr>
        <w:pStyle w:val="nzIndenta"/>
      </w:pPr>
      <w:r>
        <w:tab/>
        <w:t>(b)</w:t>
      </w:r>
      <w:r>
        <w:tab/>
        <w:t>is reassessed and re</w:t>
      </w:r>
      <w:r>
        <w:noBreakHyphen/>
        <w:t>rated under section 138 of the Law or on an application under section 139 of the Law; or</w:t>
      </w:r>
    </w:p>
    <w:p>
      <w:pPr>
        <w:pStyle w:val="nzIndenta"/>
      </w:pPr>
      <w:r>
        <w:tab/>
        <w:t>(c)</w:t>
      </w:r>
      <w:r>
        <w:tab/>
        <w:t>is awarded the highest rating level under section 155 of the Law.</w:t>
      </w:r>
    </w:p>
    <w:p>
      <w:pPr>
        <w:pStyle w:val="BlankClose"/>
      </w:pPr>
    </w:p>
    <w:p>
      <w:pPr>
        <w:pStyle w:val="nzHeading5"/>
      </w:pPr>
      <w:bookmarkStart w:id="868" w:name="_Toc501634567"/>
      <w:bookmarkStart w:id="869" w:name="_Toc501638547"/>
      <w:r>
        <w:rPr>
          <w:rStyle w:val="CharSectno"/>
        </w:rPr>
        <w:t>6</w:t>
      </w:r>
      <w:r>
        <w:t>.</w:t>
      </w:r>
      <w:r>
        <w:tab/>
        <w:t>Schedule 1 replaced</w:t>
      </w:r>
      <w:bookmarkEnd w:id="868"/>
      <w:bookmarkEnd w:id="869"/>
      <w:r>
        <w:t xml:space="preserve"> </w:t>
      </w:r>
    </w:p>
    <w:p>
      <w:pPr>
        <w:pStyle w:val="nzSubsection"/>
      </w:pPr>
      <w:r>
        <w:tab/>
      </w:r>
      <w:r>
        <w:tab/>
        <w:t>Delete Schedule 1 and insert:</w:t>
      </w:r>
    </w:p>
    <w:p>
      <w:pPr>
        <w:pStyle w:val="BlankOpen"/>
      </w:pPr>
    </w:p>
    <w:p>
      <w:pPr>
        <w:pStyle w:val="nzHeading2"/>
        <w:rPr>
          <w:rStyle w:val="CharSchText"/>
        </w:rPr>
      </w:pPr>
      <w:bookmarkStart w:id="870" w:name="_Toc501620004"/>
      <w:bookmarkStart w:id="871" w:name="_Toc501620030"/>
      <w:bookmarkStart w:id="872" w:name="_Toc501621321"/>
      <w:bookmarkStart w:id="873" w:name="_Toc501621432"/>
      <w:bookmarkStart w:id="874" w:name="_Toc501634568"/>
      <w:bookmarkStart w:id="875" w:name="_Toc501638548"/>
      <w:r>
        <w:t>Schedule 1 — </w:t>
      </w:r>
      <w:r>
        <w:rPr>
          <w:rStyle w:val="CharSchText"/>
        </w:rPr>
        <w:t>National Quality Standard</w:t>
      </w:r>
      <w:bookmarkEnd w:id="870"/>
      <w:bookmarkEnd w:id="871"/>
      <w:bookmarkEnd w:id="872"/>
      <w:bookmarkEnd w:id="873"/>
      <w:bookmarkEnd w:id="874"/>
      <w:bookmarkEnd w:id="875"/>
    </w:p>
    <w:p>
      <w:pPr>
        <w:pStyle w:val="nzPermNoteHeading"/>
      </w:pPr>
      <w:r>
        <w:tab/>
        <w:t>Notes for this Schedule:</w:t>
      </w:r>
    </w:p>
    <w:p>
      <w:pPr>
        <w:pStyle w:val="nzPermNoteText"/>
        <w:ind w:left="1843"/>
      </w:pPr>
      <w:r>
        <w:tab/>
        <w:t>1.</w:t>
      </w:r>
      <w:r>
        <w:tab/>
        <w:t>The National Quality Standard is used to assess education and care services to determine rating levels under Part 5 of the Law.</w:t>
      </w:r>
    </w:p>
    <w:p>
      <w:pPr>
        <w:pStyle w:val="nzPermNoteText"/>
        <w:ind w:left="1843"/>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nzPermNoteText"/>
        <w:ind w:left="1843"/>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nzHeading3"/>
        <w:ind w:left="1330"/>
        <w:jc w:val="left"/>
      </w:pPr>
      <w:bookmarkStart w:id="876" w:name="_Toc501620005"/>
      <w:bookmarkStart w:id="877" w:name="_Toc501620031"/>
      <w:bookmarkStart w:id="878" w:name="_Toc501621322"/>
      <w:bookmarkStart w:id="879" w:name="_Toc501621433"/>
      <w:bookmarkStart w:id="880" w:name="_Toc501634569"/>
      <w:bookmarkStart w:id="881" w:name="_Toc501638549"/>
      <w:r>
        <w:t>Quality area 1 —  Educational program and practice</w:t>
      </w:r>
      <w:bookmarkEnd w:id="876"/>
      <w:bookmarkEnd w:id="877"/>
      <w:bookmarkEnd w:id="878"/>
      <w:bookmarkEnd w:id="879"/>
      <w:bookmarkEnd w:id="880"/>
      <w:bookmarkEnd w:id="881"/>
    </w:p>
    <w:p>
      <w:pPr>
        <w:pStyle w:val="nzMiscellaneousBody"/>
        <w:ind w:left="1330"/>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nzHeading3"/>
        <w:ind w:left="1330"/>
        <w:jc w:val="left"/>
        <w:rPr>
          <w:sz w:val="20"/>
        </w:rPr>
      </w:pPr>
      <w:r>
        <w:rPr>
          <w:sz w:val="20"/>
        </w:rPr>
        <w:t>Standard 1.1 — Program</w:t>
      </w:r>
    </w:p>
    <w:p>
      <w:pPr>
        <w:pStyle w:val="nzMiscellaneousBody"/>
        <w:ind w:left="1330"/>
      </w:pPr>
      <w:r>
        <w:t>The educational program enhances each child’s learning and development.</w:t>
      </w:r>
    </w:p>
    <w:p>
      <w:pPr>
        <w:pStyle w:val="nzHeading3"/>
        <w:ind w:left="1330"/>
        <w:jc w:val="left"/>
        <w:rPr>
          <w:sz w:val="20"/>
        </w:rPr>
      </w:pPr>
      <w:r>
        <w:rPr>
          <w:sz w:val="20"/>
        </w:rPr>
        <w:t>Element 1.1.1 — Approved learning framework</w:t>
      </w:r>
    </w:p>
    <w:p>
      <w:pPr>
        <w:pStyle w:val="nzMiscellaneousBody"/>
        <w:ind w:left="1330"/>
      </w:pPr>
      <w:r>
        <w:t>Curriculum decision</w:t>
      </w:r>
      <w:r>
        <w:noBreakHyphen/>
        <w:t>making contributes to each child’s learning and development outcomes in relation to that child’s identity, connection with community, wellbeing, conﬁdence as learners and effectiveness as communicators.</w:t>
      </w:r>
    </w:p>
    <w:p>
      <w:pPr>
        <w:pStyle w:val="nzHeading3"/>
        <w:ind w:left="1330"/>
        <w:jc w:val="left"/>
        <w:rPr>
          <w:sz w:val="20"/>
        </w:rPr>
      </w:pPr>
      <w:r>
        <w:rPr>
          <w:sz w:val="20"/>
        </w:rPr>
        <w:t>Element 1.1.2 — Child</w:t>
      </w:r>
      <w:r>
        <w:rPr>
          <w:sz w:val="20"/>
        </w:rPr>
        <w:noBreakHyphen/>
        <w:t>centred</w:t>
      </w:r>
    </w:p>
    <w:p>
      <w:pPr>
        <w:pStyle w:val="nzMiscellaneousBody"/>
        <w:ind w:left="1330"/>
      </w:pPr>
      <w:r>
        <w:t>Each child’s current knowledge, strengths, ideas, culture, abilities and interests are the foundation of the program.</w:t>
      </w:r>
    </w:p>
    <w:p>
      <w:pPr>
        <w:pStyle w:val="nzHeading3"/>
        <w:ind w:left="1330"/>
        <w:jc w:val="left"/>
        <w:rPr>
          <w:sz w:val="20"/>
        </w:rPr>
      </w:pPr>
      <w:r>
        <w:rPr>
          <w:sz w:val="20"/>
        </w:rPr>
        <w:t>Element 1.1.3 — Program learning opportunities</w:t>
      </w:r>
    </w:p>
    <w:p>
      <w:pPr>
        <w:pStyle w:val="nzMiscellaneousBody"/>
        <w:ind w:left="1330"/>
      </w:pPr>
      <w:r>
        <w:t>All aspects of the program, including routines, are organised in ways that maximise opportunities for each child’s learning.</w:t>
      </w:r>
    </w:p>
    <w:p>
      <w:pPr>
        <w:pStyle w:val="nzHeading3"/>
        <w:ind w:left="1330"/>
        <w:jc w:val="left"/>
        <w:rPr>
          <w:sz w:val="20"/>
        </w:rPr>
      </w:pPr>
      <w:r>
        <w:rPr>
          <w:sz w:val="20"/>
        </w:rPr>
        <w:t>Standard 1.2 — Practice</w:t>
      </w:r>
    </w:p>
    <w:p>
      <w:pPr>
        <w:pStyle w:val="nzMiscellaneousBody"/>
        <w:ind w:left="1330"/>
      </w:pPr>
      <w:r>
        <w:t>Educators facilitate and extend each child’s learning and development.</w:t>
      </w:r>
    </w:p>
    <w:p>
      <w:pPr>
        <w:pStyle w:val="nzHeading3"/>
        <w:ind w:left="1330"/>
        <w:jc w:val="left"/>
        <w:rPr>
          <w:sz w:val="20"/>
        </w:rPr>
      </w:pPr>
      <w:r>
        <w:rPr>
          <w:sz w:val="20"/>
        </w:rPr>
        <w:t>Element 1.2.1 — Intentional teaching</w:t>
      </w:r>
    </w:p>
    <w:p>
      <w:pPr>
        <w:pStyle w:val="nzMiscellaneousBody"/>
        <w:ind w:left="1330"/>
      </w:pPr>
      <w:r>
        <w:t>Educators are deliberate, purposeful, and thoughtful in their decisions and actions.</w:t>
      </w:r>
    </w:p>
    <w:p>
      <w:pPr>
        <w:pStyle w:val="nzHeading3"/>
        <w:ind w:left="1330"/>
        <w:jc w:val="left"/>
        <w:rPr>
          <w:sz w:val="20"/>
        </w:rPr>
      </w:pPr>
      <w:r>
        <w:rPr>
          <w:sz w:val="20"/>
        </w:rPr>
        <w:t>Element 1.2.2 — Responsive teaching and scaffolding</w:t>
      </w:r>
    </w:p>
    <w:p>
      <w:pPr>
        <w:pStyle w:val="nzMiscellaneousBody"/>
        <w:ind w:left="1330"/>
      </w:pPr>
      <w:r>
        <w:t>Educators respond to children’s ideas and play and extend children’s learning through open</w:t>
      </w:r>
      <w:r>
        <w:noBreakHyphen/>
        <w:t>ended questions, interactions and feedback.</w:t>
      </w:r>
    </w:p>
    <w:p>
      <w:pPr>
        <w:pStyle w:val="nzHeading3"/>
        <w:ind w:left="1330"/>
        <w:jc w:val="left"/>
        <w:rPr>
          <w:sz w:val="20"/>
        </w:rPr>
      </w:pPr>
      <w:r>
        <w:rPr>
          <w:sz w:val="20"/>
        </w:rPr>
        <w:t>Element 1.2.3 — Child</w:t>
      </w:r>
      <w:r>
        <w:rPr>
          <w:sz w:val="20"/>
        </w:rPr>
        <w:noBreakHyphen/>
        <w:t>directed learning</w:t>
      </w:r>
    </w:p>
    <w:p>
      <w:pPr>
        <w:pStyle w:val="nzMiscellaneousBody"/>
        <w:ind w:left="1330"/>
      </w:pPr>
      <w:r>
        <w:t>Each child’s agency is promoted, enabling them to make choices and decisions and inﬂuence events and their world.</w:t>
      </w:r>
    </w:p>
    <w:p>
      <w:pPr>
        <w:pStyle w:val="nzHeading3"/>
        <w:ind w:left="1330"/>
        <w:jc w:val="left"/>
        <w:rPr>
          <w:sz w:val="20"/>
        </w:rPr>
      </w:pPr>
      <w:r>
        <w:rPr>
          <w:sz w:val="20"/>
        </w:rPr>
        <w:t>Standard 1.3 — Assessment and planning</w:t>
      </w:r>
    </w:p>
    <w:p>
      <w:pPr>
        <w:pStyle w:val="nzMiscellaneousBody"/>
        <w:ind w:left="1330"/>
      </w:pPr>
      <w:r>
        <w:t>Educators and co</w:t>
      </w:r>
      <w:r>
        <w:noBreakHyphen/>
        <w:t>ordinators take a planned and reflective approach to implementing the program for each child.</w:t>
      </w:r>
    </w:p>
    <w:p>
      <w:pPr>
        <w:pStyle w:val="nzHeading3"/>
        <w:ind w:left="1330"/>
        <w:jc w:val="left"/>
        <w:rPr>
          <w:sz w:val="20"/>
        </w:rPr>
      </w:pPr>
      <w:r>
        <w:rPr>
          <w:sz w:val="20"/>
        </w:rPr>
        <w:t>Element 1.3.1 — Assessment and planning cycle</w:t>
      </w:r>
    </w:p>
    <w:p>
      <w:pPr>
        <w:pStyle w:val="nzMiscellaneousBody"/>
        <w:ind w:left="1330"/>
      </w:pPr>
      <w:r>
        <w:t>Each child’s learning and development is assessed or evaluated as part of an ongoing cycle of observation, analysing, learning, documentation, planning, implementation and reflection.</w:t>
      </w:r>
    </w:p>
    <w:p>
      <w:pPr>
        <w:pStyle w:val="nzHeading3"/>
        <w:ind w:left="1330"/>
        <w:jc w:val="left"/>
        <w:rPr>
          <w:sz w:val="20"/>
        </w:rPr>
      </w:pPr>
      <w:r>
        <w:rPr>
          <w:sz w:val="20"/>
        </w:rPr>
        <w:t>Element 1.3.2 — Critical reflection</w:t>
      </w:r>
    </w:p>
    <w:p>
      <w:pPr>
        <w:pStyle w:val="nzMiscellaneousBody"/>
        <w:ind w:left="1330"/>
      </w:pPr>
      <w:r>
        <w:t>Critical reﬂection on children’s learning and development, both as individuals and in groups, drives program planning and implementation.</w:t>
      </w:r>
    </w:p>
    <w:p>
      <w:pPr>
        <w:pStyle w:val="nzHeading3"/>
        <w:ind w:left="1330"/>
        <w:jc w:val="left"/>
        <w:rPr>
          <w:sz w:val="20"/>
        </w:rPr>
      </w:pPr>
      <w:r>
        <w:rPr>
          <w:sz w:val="20"/>
        </w:rPr>
        <w:t>Element 1.3.3 — Information for families</w:t>
      </w:r>
    </w:p>
    <w:p>
      <w:pPr>
        <w:pStyle w:val="nzMiscellaneousBody"/>
        <w:ind w:left="1330"/>
      </w:pPr>
      <w:r>
        <w:t>Families are informed about the program and their child’s progress.</w:t>
      </w:r>
    </w:p>
    <w:p>
      <w:pPr>
        <w:pStyle w:val="nzHeading3"/>
        <w:ind w:left="1330"/>
        <w:jc w:val="left"/>
      </w:pPr>
      <w:bookmarkStart w:id="882" w:name="_Toc501620006"/>
      <w:bookmarkStart w:id="883" w:name="_Toc501620032"/>
      <w:bookmarkStart w:id="884" w:name="_Toc501621323"/>
      <w:bookmarkStart w:id="885" w:name="_Toc501621434"/>
      <w:bookmarkStart w:id="886" w:name="_Toc501634570"/>
      <w:bookmarkStart w:id="887" w:name="_Toc501638550"/>
      <w:r>
        <w:t>Quality area 2 — Children’s health and safety</w:t>
      </w:r>
      <w:bookmarkEnd w:id="882"/>
      <w:bookmarkEnd w:id="883"/>
      <w:bookmarkEnd w:id="884"/>
      <w:bookmarkEnd w:id="885"/>
      <w:bookmarkEnd w:id="886"/>
      <w:bookmarkEnd w:id="887"/>
    </w:p>
    <w:p>
      <w:pPr>
        <w:pStyle w:val="nzMiscellaneousBody"/>
        <w:ind w:left="1330"/>
      </w:pPr>
      <w:r>
        <w:t>Every child’s health and wellbeing is safeguarded and promoted.</w:t>
      </w:r>
    </w:p>
    <w:p>
      <w:pPr>
        <w:pStyle w:val="nzHeading3"/>
        <w:ind w:left="1330"/>
        <w:jc w:val="left"/>
        <w:rPr>
          <w:sz w:val="20"/>
        </w:rPr>
      </w:pPr>
      <w:r>
        <w:rPr>
          <w:sz w:val="20"/>
        </w:rPr>
        <w:t>Standard 2.1 — Health</w:t>
      </w:r>
    </w:p>
    <w:p>
      <w:pPr>
        <w:pStyle w:val="nzMiscellaneousBody"/>
        <w:ind w:left="1330"/>
      </w:pPr>
      <w:r>
        <w:t>Each child’s health and physical activity is supported and promoted.</w:t>
      </w:r>
    </w:p>
    <w:p>
      <w:pPr>
        <w:pStyle w:val="nzHeading3"/>
        <w:ind w:left="1330"/>
        <w:jc w:val="left"/>
        <w:rPr>
          <w:sz w:val="20"/>
        </w:rPr>
      </w:pPr>
      <w:r>
        <w:rPr>
          <w:sz w:val="20"/>
        </w:rPr>
        <w:t>Element 2.1.1 — Wellbeing and comfort</w:t>
      </w:r>
    </w:p>
    <w:p>
      <w:pPr>
        <w:pStyle w:val="nzMiscellaneousBody"/>
        <w:ind w:left="1330"/>
      </w:pPr>
      <w:r>
        <w:t>Each child’s wellbeing and comfort is provided for, including appropriate opportunities to meet each child’s need for sleep, rest and relaxation.</w:t>
      </w:r>
    </w:p>
    <w:p>
      <w:pPr>
        <w:pStyle w:val="nzHeading3"/>
        <w:ind w:left="1330"/>
        <w:jc w:val="left"/>
        <w:rPr>
          <w:sz w:val="20"/>
        </w:rPr>
      </w:pPr>
      <w:r>
        <w:rPr>
          <w:sz w:val="20"/>
        </w:rPr>
        <w:t>Element 2.1.2 — Health practices and procedures</w:t>
      </w:r>
    </w:p>
    <w:p>
      <w:pPr>
        <w:pStyle w:val="nzMiscellaneousBody"/>
        <w:ind w:left="1330"/>
      </w:pPr>
      <w:r>
        <w:t>Effective illness and injury management and hygiene practices are promoted and implemented.</w:t>
      </w:r>
    </w:p>
    <w:p>
      <w:pPr>
        <w:pStyle w:val="nzHeading3"/>
        <w:ind w:left="1330"/>
        <w:jc w:val="left"/>
        <w:rPr>
          <w:sz w:val="20"/>
        </w:rPr>
      </w:pPr>
      <w:r>
        <w:rPr>
          <w:sz w:val="20"/>
        </w:rPr>
        <w:t>Element 2.1.3 — Healthy lifestyle</w:t>
      </w:r>
    </w:p>
    <w:p>
      <w:pPr>
        <w:pStyle w:val="nzMiscellaneousBody"/>
        <w:ind w:left="1330"/>
      </w:pPr>
      <w:r>
        <w:t>Healthy eating and physical activity are promoted and appropriate for each child.</w:t>
      </w:r>
    </w:p>
    <w:p>
      <w:pPr>
        <w:pStyle w:val="nzHeading3"/>
        <w:ind w:left="1330"/>
        <w:jc w:val="left"/>
        <w:rPr>
          <w:sz w:val="20"/>
        </w:rPr>
      </w:pPr>
      <w:r>
        <w:rPr>
          <w:sz w:val="20"/>
        </w:rPr>
        <w:t>Standard 2.2 — Safety</w:t>
      </w:r>
    </w:p>
    <w:p>
      <w:pPr>
        <w:pStyle w:val="nzMiscellaneousBody"/>
        <w:ind w:left="1330"/>
      </w:pPr>
      <w:r>
        <w:t>Each child is protected.</w:t>
      </w:r>
    </w:p>
    <w:p>
      <w:pPr>
        <w:pStyle w:val="nzHeading3"/>
        <w:ind w:left="1330"/>
        <w:jc w:val="left"/>
        <w:rPr>
          <w:sz w:val="20"/>
        </w:rPr>
      </w:pPr>
      <w:r>
        <w:rPr>
          <w:sz w:val="20"/>
        </w:rPr>
        <w:t>Element 2.2.1 — Supervision</w:t>
      </w:r>
    </w:p>
    <w:p>
      <w:pPr>
        <w:pStyle w:val="nzMiscellaneousBody"/>
        <w:ind w:left="1330"/>
      </w:pPr>
      <w:r>
        <w:t>At all times, reasonable precautions and adequate supervision ensure children are protected from harm and hazard.</w:t>
      </w:r>
    </w:p>
    <w:p>
      <w:pPr>
        <w:pStyle w:val="nzHeading3"/>
        <w:ind w:left="1330"/>
        <w:jc w:val="left"/>
        <w:rPr>
          <w:sz w:val="20"/>
        </w:rPr>
      </w:pPr>
      <w:r>
        <w:rPr>
          <w:sz w:val="20"/>
        </w:rPr>
        <w:t>Element 2.2.2 — Incident and emergency management</w:t>
      </w:r>
    </w:p>
    <w:p>
      <w:pPr>
        <w:pStyle w:val="nzMiscellaneousBody"/>
        <w:ind w:left="1330"/>
      </w:pPr>
      <w:r>
        <w:t>Plans to effectively manage incidents and emergencies are developed in consultation with relevant authorities, practised and implemented.</w:t>
      </w:r>
    </w:p>
    <w:p>
      <w:pPr>
        <w:pStyle w:val="nzHeading3"/>
        <w:ind w:left="1330"/>
        <w:jc w:val="left"/>
        <w:rPr>
          <w:sz w:val="20"/>
        </w:rPr>
      </w:pPr>
      <w:r>
        <w:rPr>
          <w:sz w:val="20"/>
        </w:rPr>
        <w:t>Element 2.2.3 — Child protection</w:t>
      </w:r>
    </w:p>
    <w:p>
      <w:pPr>
        <w:pStyle w:val="nzMiscellaneousBody"/>
        <w:ind w:left="1330"/>
      </w:pPr>
      <w:r>
        <w:t>Management, educators and staff are aware of their roles and responsibilities to identify and respond to every child at risk of abuse or neglect.</w:t>
      </w:r>
    </w:p>
    <w:p>
      <w:pPr>
        <w:pStyle w:val="nzHeading3"/>
        <w:ind w:left="1330"/>
        <w:jc w:val="left"/>
      </w:pPr>
      <w:bookmarkStart w:id="888" w:name="_Toc501620007"/>
      <w:bookmarkStart w:id="889" w:name="_Toc501620033"/>
      <w:bookmarkStart w:id="890" w:name="_Toc501621324"/>
      <w:bookmarkStart w:id="891" w:name="_Toc501621435"/>
      <w:bookmarkStart w:id="892" w:name="_Toc501634571"/>
      <w:bookmarkStart w:id="893" w:name="_Toc501638551"/>
      <w:r>
        <w:t>Quality area 3 — Physical environment</w:t>
      </w:r>
      <w:bookmarkEnd w:id="888"/>
      <w:bookmarkEnd w:id="889"/>
      <w:bookmarkEnd w:id="890"/>
      <w:bookmarkEnd w:id="891"/>
      <w:bookmarkEnd w:id="892"/>
      <w:bookmarkEnd w:id="893"/>
    </w:p>
    <w:p>
      <w:pPr>
        <w:pStyle w:val="nzMiscellaneousBody"/>
        <w:ind w:left="1330"/>
      </w:pPr>
      <w:r>
        <w:t>The physical environment is safe, suitable and provides a rich and diverse range of experiences which promote children’s learning and development.</w:t>
      </w:r>
    </w:p>
    <w:p>
      <w:pPr>
        <w:pStyle w:val="nzHeading3"/>
        <w:ind w:left="1330"/>
        <w:jc w:val="left"/>
        <w:rPr>
          <w:sz w:val="20"/>
        </w:rPr>
      </w:pPr>
      <w:r>
        <w:rPr>
          <w:sz w:val="20"/>
        </w:rPr>
        <w:t>Standard 3.1 — Design</w:t>
      </w:r>
    </w:p>
    <w:p>
      <w:pPr>
        <w:pStyle w:val="nzMiscellaneousBody"/>
        <w:ind w:left="1330"/>
      </w:pPr>
      <w:r>
        <w:t>The design and location of the premises is appropriate for the operation of a service.</w:t>
      </w:r>
    </w:p>
    <w:p>
      <w:pPr>
        <w:pStyle w:val="nzHeading3"/>
        <w:ind w:left="1330"/>
        <w:jc w:val="left"/>
        <w:rPr>
          <w:sz w:val="20"/>
        </w:rPr>
      </w:pPr>
      <w:r>
        <w:rPr>
          <w:sz w:val="20"/>
        </w:rPr>
        <w:t>Element 3.1.1 — Fit for purpose</w:t>
      </w:r>
    </w:p>
    <w:p>
      <w:pPr>
        <w:pStyle w:val="nzMiscellaneousBody"/>
        <w:ind w:left="1330"/>
      </w:pPr>
      <w:r>
        <w:t>Outdoor and indoor spaces, buildings, ﬁxtures and ﬁttings are suitable for their purpose, including supporting the access of every child.</w:t>
      </w:r>
    </w:p>
    <w:p>
      <w:pPr>
        <w:pStyle w:val="nzHeading3"/>
        <w:ind w:left="1330"/>
        <w:jc w:val="left"/>
        <w:rPr>
          <w:sz w:val="20"/>
        </w:rPr>
      </w:pPr>
      <w:r>
        <w:rPr>
          <w:sz w:val="20"/>
        </w:rPr>
        <w:t>Element 3.1.2 — Upkeep</w:t>
      </w:r>
    </w:p>
    <w:p>
      <w:pPr>
        <w:pStyle w:val="nzMiscellaneousBody"/>
        <w:ind w:left="1330"/>
      </w:pPr>
      <w:r>
        <w:t>Premises, furniture and equipment are safe, clean and well maintained.</w:t>
      </w:r>
    </w:p>
    <w:p>
      <w:pPr>
        <w:pStyle w:val="nzHeading3"/>
        <w:ind w:left="1330"/>
        <w:jc w:val="left"/>
        <w:rPr>
          <w:sz w:val="20"/>
        </w:rPr>
      </w:pPr>
      <w:r>
        <w:rPr>
          <w:sz w:val="20"/>
        </w:rPr>
        <w:t>Standard 3.2 — Use</w:t>
      </w:r>
    </w:p>
    <w:p>
      <w:pPr>
        <w:pStyle w:val="nzMiscellaneousBody"/>
        <w:ind w:left="1330"/>
      </w:pPr>
      <w:r>
        <w:t>The service environment is inclusive, promotes competence and supports exploration and play</w:t>
      </w:r>
      <w:r>
        <w:noBreakHyphen/>
        <w:t>based learning.</w:t>
      </w:r>
    </w:p>
    <w:p>
      <w:pPr>
        <w:pStyle w:val="nzHeading3"/>
        <w:ind w:left="1330"/>
        <w:jc w:val="left"/>
        <w:rPr>
          <w:sz w:val="20"/>
        </w:rPr>
      </w:pPr>
      <w:r>
        <w:rPr>
          <w:sz w:val="20"/>
        </w:rPr>
        <w:t>Element 3.2.1 — Inclusive environment</w:t>
      </w:r>
    </w:p>
    <w:p>
      <w:pPr>
        <w:pStyle w:val="nzMiscellaneousBody"/>
        <w:ind w:left="1330"/>
      </w:pPr>
      <w:r>
        <w:t>Outdoor and indoor spaces are organised and adapted to support every child’s participation and to engage every child in quality experiences in both built and natural environments.</w:t>
      </w:r>
    </w:p>
    <w:p>
      <w:pPr>
        <w:pStyle w:val="nzHeading3"/>
        <w:ind w:left="1330"/>
        <w:jc w:val="left"/>
        <w:rPr>
          <w:sz w:val="20"/>
        </w:rPr>
      </w:pPr>
      <w:r>
        <w:rPr>
          <w:sz w:val="20"/>
        </w:rPr>
        <w:t>Element 3.2.2 — Resources support play</w:t>
      </w:r>
      <w:r>
        <w:rPr>
          <w:sz w:val="20"/>
        </w:rPr>
        <w:noBreakHyphen/>
        <w:t>based learning</w:t>
      </w:r>
    </w:p>
    <w:p>
      <w:pPr>
        <w:pStyle w:val="nzMiscellaneousBody"/>
        <w:ind w:left="1330"/>
      </w:pPr>
      <w:r>
        <w:t>Resources, materials and equipment allow for multiple uses, are sufficient in number, and enable every child to engage in play</w:t>
      </w:r>
      <w:r>
        <w:noBreakHyphen/>
        <w:t>based learning.</w:t>
      </w:r>
    </w:p>
    <w:p>
      <w:pPr>
        <w:pStyle w:val="nzHeading3"/>
        <w:ind w:left="1330"/>
        <w:jc w:val="left"/>
        <w:rPr>
          <w:sz w:val="20"/>
        </w:rPr>
      </w:pPr>
      <w:r>
        <w:rPr>
          <w:sz w:val="20"/>
        </w:rPr>
        <w:t>Element 3.2.3 — Environmentally responsible</w:t>
      </w:r>
    </w:p>
    <w:p>
      <w:pPr>
        <w:pStyle w:val="nzMiscellaneousBody"/>
        <w:ind w:left="1330"/>
      </w:pPr>
      <w:r>
        <w:t>The service cares for the environment and supports children to become environmentally responsible.</w:t>
      </w:r>
    </w:p>
    <w:p>
      <w:pPr>
        <w:pStyle w:val="nzHeading3"/>
        <w:ind w:left="1330"/>
        <w:jc w:val="left"/>
      </w:pPr>
      <w:bookmarkStart w:id="894" w:name="_Toc501620008"/>
      <w:bookmarkStart w:id="895" w:name="_Toc501620034"/>
      <w:bookmarkStart w:id="896" w:name="_Toc501621325"/>
      <w:bookmarkStart w:id="897" w:name="_Toc501621436"/>
      <w:bookmarkStart w:id="898" w:name="_Toc501634572"/>
      <w:bookmarkStart w:id="899" w:name="_Toc501638552"/>
      <w:r>
        <w:t>Quality area 4 — Staffing arrangements</w:t>
      </w:r>
      <w:bookmarkEnd w:id="894"/>
      <w:bookmarkEnd w:id="895"/>
      <w:bookmarkEnd w:id="896"/>
      <w:bookmarkEnd w:id="897"/>
      <w:bookmarkEnd w:id="898"/>
      <w:bookmarkEnd w:id="899"/>
    </w:p>
    <w:p>
      <w:pPr>
        <w:pStyle w:val="nzMiscellaneousBody"/>
        <w:ind w:left="1330"/>
      </w:pPr>
      <w:r>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nzHeading3"/>
        <w:ind w:left="1330"/>
        <w:jc w:val="left"/>
        <w:rPr>
          <w:sz w:val="20"/>
        </w:rPr>
      </w:pPr>
      <w:r>
        <w:rPr>
          <w:sz w:val="20"/>
        </w:rPr>
        <w:t>Standard 4.1 — Staffing arrangements</w:t>
      </w:r>
    </w:p>
    <w:p>
      <w:pPr>
        <w:pStyle w:val="nzMiscellaneousBody"/>
        <w:ind w:left="1330"/>
      </w:pPr>
      <w:r>
        <w:t>Staffing arrangements enhance children’s learning and development.</w:t>
      </w:r>
    </w:p>
    <w:p>
      <w:pPr>
        <w:pStyle w:val="nzHeading3"/>
        <w:ind w:left="1330"/>
        <w:jc w:val="left"/>
        <w:rPr>
          <w:sz w:val="20"/>
        </w:rPr>
      </w:pPr>
      <w:r>
        <w:rPr>
          <w:sz w:val="20"/>
        </w:rPr>
        <w:t>Element 4.1.1 — Organisation of educators</w:t>
      </w:r>
    </w:p>
    <w:p>
      <w:pPr>
        <w:pStyle w:val="nzMiscellaneousBody"/>
        <w:ind w:left="1330"/>
      </w:pPr>
      <w:r>
        <w:t>The organisation of educators across the service supports children’s learning and development.</w:t>
      </w:r>
    </w:p>
    <w:p>
      <w:pPr>
        <w:pStyle w:val="nzHeading3"/>
        <w:ind w:left="1330"/>
        <w:jc w:val="left"/>
        <w:rPr>
          <w:sz w:val="20"/>
        </w:rPr>
      </w:pPr>
      <w:r>
        <w:rPr>
          <w:sz w:val="20"/>
        </w:rPr>
        <w:t>Element 4.1.2 — Continuity of staff</w:t>
      </w:r>
    </w:p>
    <w:p>
      <w:pPr>
        <w:pStyle w:val="nzMiscellaneousBody"/>
        <w:ind w:left="1330"/>
      </w:pPr>
      <w:r>
        <w:t>Every effort is made for children to experience continuity of educators at the service.</w:t>
      </w:r>
    </w:p>
    <w:p>
      <w:pPr>
        <w:pStyle w:val="nzHeading3"/>
        <w:ind w:left="1330"/>
        <w:jc w:val="left"/>
        <w:rPr>
          <w:sz w:val="20"/>
        </w:rPr>
      </w:pPr>
      <w:r>
        <w:rPr>
          <w:sz w:val="20"/>
        </w:rPr>
        <w:t>Standard 4.2 — Professionalism</w:t>
      </w:r>
    </w:p>
    <w:p>
      <w:pPr>
        <w:pStyle w:val="nzMiscellaneousBody"/>
        <w:ind w:left="1330"/>
      </w:pPr>
      <w:r>
        <w:t>Management, educators and staff are collaborative, respectful and ethical.</w:t>
      </w:r>
    </w:p>
    <w:p>
      <w:pPr>
        <w:pStyle w:val="nzHeading3"/>
        <w:ind w:left="1330"/>
        <w:jc w:val="left"/>
        <w:rPr>
          <w:sz w:val="20"/>
        </w:rPr>
      </w:pPr>
      <w:r>
        <w:rPr>
          <w:sz w:val="20"/>
        </w:rPr>
        <w:t>Element 4.2.1 — Professional collaboration</w:t>
      </w:r>
    </w:p>
    <w:p>
      <w:pPr>
        <w:pStyle w:val="nzMiscellaneousBody"/>
        <w:ind w:left="1330"/>
      </w:pPr>
      <w:r>
        <w:t>Management, educators and staff work with mutual respect and collaboratively, and challenge and learn from each other, recognising each other’s strengths and skills.</w:t>
      </w:r>
    </w:p>
    <w:p>
      <w:pPr>
        <w:pStyle w:val="nzHeading3"/>
        <w:ind w:left="1330"/>
        <w:jc w:val="left"/>
        <w:rPr>
          <w:sz w:val="20"/>
        </w:rPr>
      </w:pPr>
      <w:r>
        <w:rPr>
          <w:sz w:val="20"/>
        </w:rPr>
        <w:t>Element 4.2.2 — Professional standards</w:t>
      </w:r>
    </w:p>
    <w:p>
      <w:pPr>
        <w:pStyle w:val="nzMiscellaneousBody"/>
        <w:ind w:left="1330"/>
      </w:pPr>
      <w:r>
        <w:t>Professional standards guide practice, interactions and relationships.</w:t>
      </w:r>
    </w:p>
    <w:p>
      <w:pPr>
        <w:pStyle w:val="nzHeading3"/>
        <w:ind w:left="1330"/>
        <w:jc w:val="left"/>
      </w:pPr>
      <w:bookmarkStart w:id="900" w:name="_Toc501620009"/>
      <w:bookmarkStart w:id="901" w:name="_Toc501620035"/>
      <w:bookmarkStart w:id="902" w:name="_Toc501621326"/>
      <w:bookmarkStart w:id="903" w:name="_Toc501621437"/>
      <w:bookmarkStart w:id="904" w:name="_Toc501634573"/>
      <w:bookmarkStart w:id="905" w:name="_Toc501638553"/>
      <w:r>
        <w:t>Quality area 5 — Relationships with children</w:t>
      </w:r>
      <w:bookmarkEnd w:id="900"/>
      <w:bookmarkEnd w:id="901"/>
      <w:bookmarkEnd w:id="902"/>
      <w:bookmarkEnd w:id="903"/>
      <w:bookmarkEnd w:id="904"/>
      <w:bookmarkEnd w:id="905"/>
    </w:p>
    <w:p>
      <w:pPr>
        <w:pStyle w:val="nzMiscellaneousBody"/>
        <w:ind w:left="1330"/>
      </w:pPr>
      <w:r>
        <w:t>Relationships that are responsive, respectful and promote children’s sense of security and belonging free them to explore the environment and engage in learning.</w:t>
      </w:r>
    </w:p>
    <w:p>
      <w:pPr>
        <w:pStyle w:val="nzHeading3"/>
        <w:ind w:left="1330"/>
        <w:jc w:val="left"/>
        <w:rPr>
          <w:sz w:val="20"/>
        </w:rPr>
      </w:pPr>
      <w:r>
        <w:rPr>
          <w:sz w:val="20"/>
        </w:rPr>
        <w:t>Standard 5.1 — Relationships between educators and children</w:t>
      </w:r>
    </w:p>
    <w:p>
      <w:pPr>
        <w:pStyle w:val="nzMiscellaneousBody"/>
        <w:ind w:left="1330"/>
      </w:pPr>
      <w:r>
        <w:t>Respectful and equitable relationships are maintained with each child.</w:t>
      </w:r>
    </w:p>
    <w:p>
      <w:pPr>
        <w:pStyle w:val="nzHeading3"/>
        <w:ind w:left="1330"/>
        <w:jc w:val="left"/>
        <w:rPr>
          <w:sz w:val="20"/>
        </w:rPr>
      </w:pPr>
      <w:r>
        <w:rPr>
          <w:sz w:val="20"/>
        </w:rPr>
        <w:t>Element 5.1.1 — Positive educator to child interactions</w:t>
      </w:r>
    </w:p>
    <w:p>
      <w:pPr>
        <w:pStyle w:val="nzMiscellaneousBody"/>
        <w:ind w:left="1330"/>
      </w:pPr>
      <w:r>
        <w:t>Responsive and meaningful interactions build trusting relationships which engage and support each child to feel secure, conﬁdent and included.</w:t>
      </w:r>
    </w:p>
    <w:p>
      <w:pPr>
        <w:pStyle w:val="nzHeading3"/>
        <w:ind w:left="1330"/>
        <w:jc w:val="left"/>
        <w:rPr>
          <w:sz w:val="20"/>
        </w:rPr>
      </w:pPr>
      <w:r>
        <w:rPr>
          <w:sz w:val="20"/>
        </w:rPr>
        <w:t>Element 5.1.2 — Dignity and rights of the child</w:t>
      </w:r>
    </w:p>
    <w:p>
      <w:pPr>
        <w:pStyle w:val="nzMiscellaneousBody"/>
        <w:ind w:left="1330"/>
      </w:pPr>
      <w:r>
        <w:t>The dignity and rights of every child are maintained.</w:t>
      </w:r>
    </w:p>
    <w:p>
      <w:pPr>
        <w:pStyle w:val="nzHeading3"/>
        <w:ind w:left="1330"/>
        <w:jc w:val="left"/>
        <w:rPr>
          <w:sz w:val="20"/>
        </w:rPr>
      </w:pPr>
      <w:r>
        <w:rPr>
          <w:sz w:val="20"/>
        </w:rPr>
        <w:t>Standard 5.2 — Relationships between children</w:t>
      </w:r>
    </w:p>
    <w:p>
      <w:pPr>
        <w:pStyle w:val="nzMiscellaneousBody"/>
        <w:ind w:left="1330"/>
      </w:pPr>
      <w:r>
        <w:t>Each child is supported to build and maintain sensitive and responsive relationships.</w:t>
      </w:r>
    </w:p>
    <w:p>
      <w:pPr>
        <w:pStyle w:val="nzHeading3"/>
        <w:ind w:left="1330"/>
        <w:jc w:val="left"/>
        <w:rPr>
          <w:sz w:val="20"/>
        </w:rPr>
      </w:pPr>
      <w:r>
        <w:rPr>
          <w:sz w:val="20"/>
        </w:rPr>
        <w:t>Element 5.2.1 — Collaborative learning</w:t>
      </w:r>
    </w:p>
    <w:p>
      <w:pPr>
        <w:pStyle w:val="nzMiscellaneousBody"/>
        <w:ind w:left="1330"/>
      </w:pPr>
      <w:r>
        <w:t>Children are supported to collaborate, learn from and help each other.</w:t>
      </w:r>
    </w:p>
    <w:p>
      <w:pPr>
        <w:pStyle w:val="nzHeading3"/>
        <w:ind w:left="1330"/>
        <w:jc w:val="left"/>
        <w:rPr>
          <w:sz w:val="20"/>
        </w:rPr>
      </w:pPr>
      <w:r>
        <w:rPr>
          <w:sz w:val="20"/>
        </w:rPr>
        <w:t>Element 5.2.2 — Self</w:t>
      </w:r>
      <w:r>
        <w:rPr>
          <w:sz w:val="20"/>
        </w:rPr>
        <w:noBreakHyphen/>
        <w:t>regulation</w:t>
      </w:r>
    </w:p>
    <w:p>
      <w:pPr>
        <w:pStyle w:val="nzMiscellaneousBody"/>
        <w:ind w:left="1330"/>
      </w:pPr>
      <w:r>
        <w:t>Each child is supported to regulate their own behaviour, respond appropriately to the behaviour of others and communicate effectively to resolve conﬂicts.</w:t>
      </w:r>
    </w:p>
    <w:p>
      <w:pPr>
        <w:pStyle w:val="nzHeading3"/>
        <w:ind w:left="1330"/>
        <w:jc w:val="left"/>
      </w:pPr>
      <w:bookmarkStart w:id="906" w:name="_Toc501620010"/>
      <w:bookmarkStart w:id="907" w:name="_Toc501620036"/>
      <w:bookmarkStart w:id="908" w:name="_Toc501621327"/>
      <w:bookmarkStart w:id="909" w:name="_Toc501621438"/>
      <w:bookmarkStart w:id="910" w:name="_Toc501634574"/>
      <w:bookmarkStart w:id="911" w:name="_Toc501638554"/>
      <w:r>
        <w:t>Quality area 6 — Collaborative partnerships with families and communities</w:t>
      </w:r>
      <w:bookmarkEnd w:id="906"/>
      <w:bookmarkEnd w:id="907"/>
      <w:bookmarkEnd w:id="908"/>
      <w:bookmarkEnd w:id="909"/>
      <w:bookmarkEnd w:id="910"/>
      <w:bookmarkEnd w:id="911"/>
    </w:p>
    <w:p>
      <w:pPr>
        <w:pStyle w:val="nzMiscellaneousBody"/>
        <w:ind w:left="1330"/>
      </w:pPr>
      <w:r>
        <w:t>Collaborative relationships with families are fundamental to achieve quality outcomes for children. Community partnerships that focus on active communication, consultation and collaboration also contribute to children’s learning and wellbeing.</w:t>
      </w:r>
    </w:p>
    <w:p>
      <w:pPr>
        <w:pStyle w:val="nzHeading3"/>
        <w:ind w:left="1330"/>
        <w:jc w:val="left"/>
        <w:rPr>
          <w:sz w:val="20"/>
        </w:rPr>
      </w:pPr>
      <w:r>
        <w:rPr>
          <w:sz w:val="20"/>
        </w:rPr>
        <w:t>Standard 6.1 — Supportive relationships with families</w:t>
      </w:r>
    </w:p>
    <w:p>
      <w:pPr>
        <w:pStyle w:val="nzMiscellaneousBody"/>
        <w:ind w:left="1330"/>
      </w:pPr>
      <w:r>
        <w:t>Respectful relationships with families are developed and maintained and families are supported in their parenting role.</w:t>
      </w:r>
    </w:p>
    <w:p>
      <w:pPr>
        <w:pStyle w:val="nzHeading3"/>
        <w:ind w:left="1330"/>
        <w:jc w:val="left"/>
        <w:rPr>
          <w:sz w:val="20"/>
        </w:rPr>
      </w:pPr>
      <w:r>
        <w:rPr>
          <w:sz w:val="20"/>
        </w:rPr>
        <w:t>Element 6.1.1 — Engagement with the service</w:t>
      </w:r>
    </w:p>
    <w:p>
      <w:pPr>
        <w:pStyle w:val="nzMiscellaneousBody"/>
        <w:ind w:left="1330"/>
      </w:pPr>
      <w:r>
        <w:t>Families are supported from enrolment to be involved in the service and contribute to service decisions.</w:t>
      </w:r>
    </w:p>
    <w:p>
      <w:pPr>
        <w:pStyle w:val="nzHeading3"/>
        <w:ind w:left="1330"/>
        <w:jc w:val="left"/>
        <w:rPr>
          <w:sz w:val="20"/>
        </w:rPr>
      </w:pPr>
      <w:r>
        <w:rPr>
          <w:sz w:val="20"/>
        </w:rPr>
        <w:t>Element 6.1.2 — Parent views are respected</w:t>
      </w:r>
    </w:p>
    <w:p>
      <w:pPr>
        <w:pStyle w:val="nzMiscellaneousBody"/>
        <w:ind w:left="1330"/>
      </w:pPr>
      <w:r>
        <w:t>The expertise, culture, values and beliefs of families are respected and families share in decision</w:t>
      </w:r>
      <w:r>
        <w:noBreakHyphen/>
        <w:t>making about their child’s learning and wellbeing.</w:t>
      </w:r>
    </w:p>
    <w:p>
      <w:pPr>
        <w:pStyle w:val="nzHeading3"/>
        <w:ind w:left="1330"/>
        <w:jc w:val="left"/>
        <w:rPr>
          <w:sz w:val="20"/>
        </w:rPr>
      </w:pPr>
      <w:r>
        <w:rPr>
          <w:sz w:val="20"/>
        </w:rPr>
        <w:t>Element 6.1.3 — Families are supported</w:t>
      </w:r>
    </w:p>
    <w:p>
      <w:pPr>
        <w:pStyle w:val="nzMiscellaneousBody"/>
        <w:ind w:left="1330"/>
      </w:pPr>
      <w:r>
        <w:t>Current information is available to families about the service and relevant community services and resources to support parenting and family wellbeing.</w:t>
      </w:r>
    </w:p>
    <w:p>
      <w:pPr>
        <w:pStyle w:val="nzHeading3"/>
        <w:ind w:left="1330"/>
        <w:jc w:val="left"/>
        <w:rPr>
          <w:sz w:val="20"/>
        </w:rPr>
      </w:pPr>
      <w:r>
        <w:rPr>
          <w:sz w:val="20"/>
        </w:rPr>
        <w:t>Standard 6.2 — Collaborative partnerships</w:t>
      </w:r>
    </w:p>
    <w:p>
      <w:pPr>
        <w:pStyle w:val="nzMiscellaneousBody"/>
        <w:ind w:left="1330"/>
      </w:pPr>
      <w:r>
        <w:t>Collaborative partnerships enhance children’s inclusion, learning and wellbeing.</w:t>
      </w:r>
    </w:p>
    <w:p>
      <w:pPr>
        <w:pStyle w:val="nzHeading3"/>
        <w:ind w:left="1330"/>
        <w:jc w:val="left"/>
        <w:rPr>
          <w:sz w:val="20"/>
        </w:rPr>
      </w:pPr>
      <w:r>
        <w:rPr>
          <w:sz w:val="20"/>
        </w:rPr>
        <w:t>Element 6.2.1 — Transitions</w:t>
      </w:r>
    </w:p>
    <w:p>
      <w:pPr>
        <w:pStyle w:val="nzMiscellaneousBody"/>
        <w:ind w:left="1330"/>
      </w:pPr>
      <w:r>
        <w:t>Continuity of learning and transitions for each child are supported by sharing information and clarifying responsibilities.</w:t>
      </w:r>
    </w:p>
    <w:p>
      <w:pPr>
        <w:pStyle w:val="nzHeading3"/>
        <w:ind w:left="1330"/>
        <w:jc w:val="left"/>
        <w:rPr>
          <w:sz w:val="20"/>
        </w:rPr>
      </w:pPr>
      <w:r>
        <w:rPr>
          <w:sz w:val="20"/>
        </w:rPr>
        <w:t>Element 6.2.2 — Access and participation</w:t>
      </w:r>
    </w:p>
    <w:p>
      <w:pPr>
        <w:pStyle w:val="nzMiscellaneousBody"/>
        <w:ind w:left="1330"/>
      </w:pPr>
      <w:r>
        <w:t>Effective partnerships support children’s access, inclusion and participation in the program.</w:t>
      </w:r>
    </w:p>
    <w:p>
      <w:pPr>
        <w:pStyle w:val="nzHeading3"/>
        <w:ind w:left="1330"/>
        <w:jc w:val="left"/>
        <w:rPr>
          <w:sz w:val="20"/>
        </w:rPr>
      </w:pPr>
      <w:r>
        <w:rPr>
          <w:sz w:val="20"/>
        </w:rPr>
        <w:t>Element 6.2.3 — Community engagement</w:t>
      </w:r>
    </w:p>
    <w:p>
      <w:pPr>
        <w:pStyle w:val="nzMiscellaneousBody"/>
        <w:ind w:left="1330"/>
      </w:pPr>
      <w:r>
        <w:t>The service builds relationships and engages with its community.</w:t>
      </w:r>
    </w:p>
    <w:p>
      <w:pPr>
        <w:pStyle w:val="nzHeading3"/>
        <w:ind w:left="1330"/>
        <w:jc w:val="left"/>
      </w:pPr>
      <w:bookmarkStart w:id="912" w:name="_Toc501620011"/>
      <w:bookmarkStart w:id="913" w:name="_Toc501620037"/>
      <w:bookmarkStart w:id="914" w:name="_Toc501621328"/>
      <w:bookmarkStart w:id="915" w:name="_Toc501621439"/>
      <w:bookmarkStart w:id="916" w:name="_Toc501634575"/>
      <w:bookmarkStart w:id="917" w:name="_Toc501638555"/>
      <w:r>
        <w:t>Quality area 7 — Governance and leadership</w:t>
      </w:r>
      <w:bookmarkEnd w:id="912"/>
      <w:bookmarkEnd w:id="913"/>
      <w:bookmarkEnd w:id="914"/>
      <w:bookmarkEnd w:id="915"/>
      <w:bookmarkEnd w:id="916"/>
      <w:bookmarkEnd w:id="917"/>
    </w:p>
    <w:p>
      <w:pPr>
        <w:pStyle w:val="nzMiscellaneousBody"/>
        <w:ind w:left="1330"/>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nzHeading3"/>
        <w:ind w:left="1330"/>
        <w:jc w:val="left"/>
        <w:rPr>
          <w:sz w:val="20"/>
        </w:rPr>
      </w:pPr>
      <w:r>
        <w:rPr>
          <w:sz w:val="20"/>
        </w:rPr>
        <w:t>Standard 7.1 — Governance</w:t>
      </w:r>
    </w:p>
    <w:p>
      <w:pPr>
        <w:pStyle w:val="nzMiscellaneousBody"/>
        <w:ind w:left="1330"/>
      </w:pPr>
      <w:r>
        <w:t>Governance supports the operation of a quality service.</w:t>
      </w:r>
    </w:p>
    <w:p>
      <w:pPr>
        <w:pStyle w:val="nzHeading3"/>
        <w:ind w:left="1330"/>
        <w:jc w:val="left"/>
        <w:rPr>
          <w:sz w:val="20"/>
        </w:rPr>
      </w:pPr>
      <w:r>
        <w:rPr>
          <w:sz w:val="20"/>
        </w:rPr>
        <w:t>Element 7.1.1 — Service philosophy and purpose</w:t>
      </w:r>
    </w:p>
    <w:p>
      <w:pPr>
        <w:pStyle w:val="nzMiscellaneousBody"/>
        <w:ind w:left="1330"/>
      </w:pPr>
      <w:r>
        <w:t>A statement of philosophy guides all aspects of the service’s operations.</w:t>
      </w:r>
    </w:p>
    <w:p>
      <w:pPr>
        <w:pStyle w:val="nzHeading3"/>
        <w:ind w:left="1330"/>
        <w:jc w:val="left"/>
        <w:rPr>
          <w:sz w:val="20"/>
        </w:rPr>
      </w:pPr>
      <w:r>
        <w:rPr>
          <w:sz w:val="20"/>
        </w:rPr>
        <w:t>Element 7.1.2 — Management systems</w:t>
      </w:r>
    </w:p>
    <w:p>
      <w:pPr>
        <w:pStyle w:val="nzMiscellaneousBody"/>
        <w:ind w:left="1330"/>
      </w:pPr>
      <w:r>
        <w:t>Systems are in place to manage risk and enable the effective management and operation of a quality service.</w:t>
      </w:r>
    </w:p>
    <w:p>
      <w:pPr>
        <w:pStyle w:val="nzHeading3"/>
        <w:ind w:left="1330"/>
        <w:jc w:val="left"/>
        <w:rPr>
          <w:sz w:val="20"/>
        </w:rPr>
      </w:pPr>
      <w:r>
        <w:rPr>
          <w:sz w:val="20"/>
        </w:rPr>
        <w:t>Element 7.1.3 — Roles and responsibilities</w:t>
      </w:r>
    </w:p>
    <w:p>
      <w:pPr>
        <w:pStyle w:val="nzMiscellaneousBody"/>
        <w:ind w:left="1330"/>
      </w:pPr>
      <w:r>
        <w:t>Roles and responsibilities are clearly defined and understood, and support effective decision</w:t>
      </w:r>
      <w:r>
        <w:noBreakHyphen/>
        <w:t>making and operation of the service.</w:t>
      </w:r>
    </w:p>
    <w:p>
      <w:pPr>
        <w:pStyle w:val="nzHeading3"/>
        <w:ind w:left="1330"/>
        <w:jc w:val="left"/>
        <w:rPr>
          <w:sz w:val="20"/>
        </w:rPr>
      </w:pPr>
      <w:r>
        <w:rPr>
          <w:sz w:val="20"/>
        </w:rPr>
        <w:t>Standard 7.2 — Leadership</w:t>
      </w:r>
    </w:p>
    <w:p>
      <w:pPr>
        <w:pStyle w:val="nzMiscellaneousBody"/>
        <w:ind w:left="1330"/>
      </w:pPr>
      <w:r>
        <w:t>Effective leadership builds and promotes a positive organisational culture and professional learning community.</w:t>
      </w:r>
    </w:p>
    <w:p>
      <w:pPr>
        <w:pStyle w:val="nzHeading3"/>
        <w:ind w:left="1330"/>
        <w:jc w:val="left"/>
        <w:rPr>
          <w:sz w:val="20"/>
        </w:rPr>
      </w:pPr>
      <w:r>
        <w:rPr>
          <w:sz w:val="20"/>
        </w:rPr>
        <w:t>Element 7.2.1 — Continuous improvement</w:t>
      </w:r>
    </w:p>
    <w:p>
      <w:pPr>
        <w:pStyle w:val="nzMiscellaneousBody"/>
        <w:ind w:left="1330"/>
      </w:pPr>
      <w:r>
        <w:t>There is an effective self</w:t>
      </w:r>
      <w:r>
        <w:noBreakHyphen/>
        <w:t>assessment and quality improvement process in place.</w:t>
      </w:r>
    </w:p>
    <w:p>
      <w:pPr>
        <w:pStyle w:val="nzHeading3"/>
        <w:ind w:left="1330"/>
        <w:jc w:val="left"/>
        <w:rPr>
          <w:sz w:val="20"/>
        </w:rPr>
      </w:pPr>
      <w:r>
        <w:rPr>
          <w:sz w:val="20"/>
        </w:rPr>
        <w:t>Element 7.2.2 — Educational leadership</w:t>
      </w:r>
    </w:p>
    <w:p>
      <w:pPr>
        <w:pStyle w:val="nzMiscellaneousBody"/>
        <w:ind w:left="1330"/>
      </w:pPr>
      <w:r>
        <w:t>The educational leader is supported and leads the development and implementation of the educational program and assessment and planning cycle.</w:t>
      </w:r>
    </w:p>
    <w:p>
      <w:pPr>
        <w:pStyle w:val="nzHeading3"/>
        <w:ind w:left="1330"/>
        <w:jc w:val="left"/>
        <w:rPr>
          <w:sz w:val="20"/>
        </w:rPr>
      </w:pPr>
      <w:r>
        <w:rPr>
          <w:sz w:val="20"/>
        </w:rPr>
        <w:t>Element 7.2.3 — Development of professionals</w:t>
      </w:r>
    </w:p>
    <w:p>
      <w:pPr>
        <w:pStyle w:val="nzMiscellaneousBody"/>
        <w:ind w:left="1330"/>
      </w:pPr>
      <w:r>
        <w:t>Educators’, co</w:t>
      </w:r>
      <w:r>
        <w:noBreakHyphen/>
        <w:t>ordinators’ and staff members’ performance is regularly evaluated and individual plans are in place to support learning and development.</w:t>
      </w:r>
    </w:p>
    <w:p>
      <w:pPr>
        <w:pStyle w:val="BlankClose"/>
      </w:pPr>
    </w:p>
    <w:p>
      <w:pPr>
        <w:pStyle w:val="nzHeading5"/>
      </w:pPr>
      <w:bookmarkStart w:id="918" w:name="_Toc501634576"/>
      <w:bookmarkStart w:id="919" w:name="_Toc501638556"/>
      <w:r>
        <w:rPr>
          <w:rStyle w:val="CharSectno"/>
        </w:rPr>
        <w:t>7</w:t>
      </w:r>
      <w:r>
        <w:t>.</w:t>
      </w:r>
      <w:r>
        <w:tab/>
        <w:t>Schedule 2 amended</w:t>
      </w:r>
      <w:bookmarkEnd w:id="918"/>
      <w:bookmarkEnd w:id="919"/>
      <w:r>
        <w:t xml:space="preserve"> </w:t>
      </w:r>
    </w:p>
    <w:p>
      <w:pPr>
        <w:pStyle w:val="nzSubsection"/>
      </w:pPr>
      <w:r>
        <w:tab/>
      </w:r>
      <w:r>
        <w:tab/>
        <w:t xml:space="preserve">In Schedule 2 Part 1 delete: </w:t>
      </w:r>
    </w:p>
    <w:p>
      <w:pPr>
        <w:pStyle w:val="DeleteOpen"/>
      </w:pPr>
    </w:p>
    <w:tbl>
      <w:tblPr>
        <w:tblW w:w="7088" w:type="dxa"/>
        <w:tblInd w:w="3" w:type="dxa"/>
        <w:tblLayout w:type="fixed"/>
        <w:tblCellMar>
          <w:left w:w="0" w:type="dxa"/>
          <w:right w:w="0" w:type="dxa"/>
        </w:tblCellMar>
        <w:tblLook w:val="0000" w:firstRow="0" w:lastRow="0" w:firstColumn="0" w:lastColumn="0" w:noHBand="0" w:noVBand="0"/>
      </w:tblPr>
      <w:tblGrid>
        <w:gridCol w:w="1610"/>
        <w:gridCol w:w="1794"/>
        <w:gridCol w:w="1843"/>
        <w:gridCol w:w="1841"/>
      </w:tblGrid>
      <w:tr>
        <w:tc>
          <w:tcPr>
            <w:tcW w:w="1610"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794"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610"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794"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610"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794"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610"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794"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610"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794"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610"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794"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DeleteClose"/>
      </w:pPr>
    </w:p>
    <w:p>
      <w:pPr>
        <w:pStyle w:val="nzSubsection"/>
      </w:pPr>
      <w:r>
        <w:tab/>
      </w:r>
      <w:r>
        <w:tab/>
        <w:t>and insert:</w:t>
      </w:r>
    </w:p>
    <w:p>
      <w:pPr>
        <w:pStyle w:val="BlankOpen"/>
      </w:pP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c>
          <w:tcPr>
            <w:tcW w:w="1562" w:type="dxa"/>
            <w:tcBorders>
              <w:top w:val="single" w:sz="2" w:space="0" w:color="auto"/>
              <w:left w:val="single" w:sz="2" w:space="0" w:color="auto"/>
              <w:bottom w:val="single" w:sz="2" w:space="0" w:color="auto"/>
              <w:right w:val="single" w:sz="2" w:space="0" w:color="auto"/>
            </w:tcBorders>
          </w:tcPr>
          <w:p>
            <w:pPr>
              <w:pStyle w:val="yTableNAm"/>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pPr>
            <w:r>
              <w:rPr>
                <w:sz w:val="20"/>
              </w:rPr>
              <w:t>24 or fewer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5 or fewer family day care educators nil</w:t>
            </w:r>
          </w:p>
        </w:tc>
      </w:tr>
      <w:tr>
        <w:tc>
          <w:tcPr>
            <w:tcW w:w="1562" w:type="dxa"/>
            <w:tcBorders>
              <w:top w:val="single" w:sz="2" w:space="0" w:color="auto"/>
              <w:left w:val="single" w:sz="2" w:space="0" w:color="auto"/>
              <w:bottom w:val="single" w:sz="2" w:space="0" w:color="auto"/>
              <w:right w:val="single" w:sz="2" w:space="0" w:color="auto"/>
            </w:tcBorders>
          </w:tcPr>
          <w:p>
            <w:pPr>
              <w:pStyle w:val="zyTableNAm"/>
              <w:rPr>
                <w:sz w:val="20"/>
              </w:rPr>
            </w:pPr>
          </w:p>
        </w:tc>
        <w:tc>
          <w:tcPr>
            <w:tcW w:w="1842" w:type="dxa"/>
            <w:tcBorders>
              <w:top w:val="single" w:sz="2" w:space="0" w:color="auto"/>
              <w:left w:val="single" w:sz="2" w:space="0" w:color="auto"/>
              <w:bottom w:val="single" w:sz="2" w:space="0" w:color="auto"/>
              <w:right w:val="single" w:sz="2" w:space="0" w:color="auto"/>
            </w:tcBorders>
          </w:tcPr>
          <w:p>
            <w:pPr>
              <w:pStyle w:val="zyTableNAm"/>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pPr>
            <w:r>
              <w:rPr>
                <w:sz w:val="20"/>
              </w:rPr>
              <w:t>25 to 80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6 to 20 family day care educators nil</w:t>
            </w:r>
          </w:p>
        </w:tc>
      </w:tr>
      <w:tr>
        <w:tc>
          <w:tcPr>
            <w:tcW w:w="1562" w:type="dxa"/>
            <w:tcBorders>
              <w:top w:val="single" w:sz="2" w:space="0" w:color="auto"/>
              <w:left w:val="single" w:sz="2" w:space="0" w:color="auto"/>
              <w:bottom w:val="single" w:sz="2" w:space="0" w:color="auto"/>
              <w:right w:val="single" w:sz="2" w:space="0" w:color="auto"/>
            </w:tcBorders>
          </w:tcPr>
          <w:p>
            <w:pPr>
              <w:pStyle w:val="zyTableNAm"/>
              <w:rPr>
                <w:sz w:val="20"/>
              </w:rPr>
            </w:pPr>
          </w:p>
        </w:tc>
        <w:tc>
          <w:tcPr>
            <w:tcW w:w="1842" w:type="dxa"/>
            <w:tcBorders>
              <w:top w:val="single" w:sz="2" w:space="0" w:color="auto"/>
              <w:left w:val="single" w:sz="2" w:space="0" w:color="auto"/>
              <w:bottom w:val="single" w:sz="2" w:space="0" w:color="auto"/>
              <w:right w:val="single" w:sz="2" w:space="0" w:color="auto"/>
            </w:tcBorders>
          </w:tcPr>
          <w:p>
            <w:pPr>
              <w:pStyle w:val="zyTableNAm"/>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pPr>
            <w:r>
              <w:rPr>
                <w:sz w:val="20"/>
              </w:rPr>
              <w:t>81 or more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21 or more family day care educators nil</w:t>
            </w:r>
          </w:p>
        </w:tc>
      </w:tr>
      <w:tr>
        <w:tc>
          <w:tcPr>
            <w:tcW w:w="1562" w:type="dxa"/>
            <w:tcBorders>
              <w:top w:val="single" w:sz="2" w:space="0" w:color="auto"/>
              <w:left w:val="single" w:sz="2" w:space="0" w:color="auto"/>
              <w:bottom w:val="single" w:sz="2" w:space="0" w:color="auto"/>
              <w:right w:val="single" w:sz="2" w:space="0" w:color="auto"/>
            </w:tcBorders>
          </w:tcPr>
          <w:p>
            <w:pPr>
              <w:pStyle w:val="yTableNAm"/>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pPr>
            <w:r>
              <w:rPr>
                <w:sz w:val="20"/>
              </w:rPr>
              <w:t>24 or fewer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5 or fewer family day care educators nil</w:t>
            </w:r>
          </w:p>
        </w:tc>
      </w:tr>
      <w:tr>
        <w:tc>
          <w:tcPr>
            <w:tcW w:w="1562" w:type="dxa"/>
            <w:tcBorders>
              <w:top w:val="single" w:sz="2" w:space="0" w:color="auto"/>
              <w:left w:val="single" w:sz="2" w:space="0" w:color="auto"/>
              <w:bottom w:val="single" w:sz="2" w:space="0" w:color="auto"/>
              <w:right w:val="single" w:sz="2" w:space="0" w:color="auto"/>
            </w:tcBorders>
          </w:tcPr>
          <w:p>
            <w:pPr>
              <w:pStyle w:val="zyTableNAm"/>
              <w:rPr>
                <w:sz w:val="20"/>
              </w:rPr>
            </w:pPr>
          </w:p>
        </w:tc>
        <w:tc>
          <w:tcPr>
            <w:tcW w:w="1842" w:type="dxa"/>
            <w:tcBorders>
              <w:top w:val="single" w:sz="2" w:space="0" w:color="auto"/>
              <w:left w:val="single" w:sz="2" w:space="0" w:color="auto"/>
              <w:bottom w:val="single" w:sz="2" w:space="0" w:color="auto"/>
              <w:right w:val="single" w:sz="2" w:space="0" w:color="auto"/>
            </w:tcBorders>
          </w:tcPr>
          <w:p>
            <w:pPr>
              <w:pStyle w:val="zyTableNAm"/>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pPr>
            <w:r>
              <w:rPr>
                <w:sz w:val="20"/>
              </w:rPr>
              <w:t>25 to 80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6 to 20 family day care educators nil</w:t>
            </w:r>
          </w:p>
        </w:tc>
      </w:tr>
      <w:tr>
        <w:tc>
          <w:tcPr>
            <w:tcW w:w="1562" w:type="dxa"/>
            <w:tcBorders>
              <w:top w:val="single" w:sz="2" w:space="0" w:color="auto"/>
              <w:left w:val="single" w:sz="2" w:space="0" w:color="auto"/>
              <w:bottom w:val="single" w:sz="2" w:space="0" w:color="auto"/>
              <w:right w:val="single" w:sz="2" w:space="0" w:color="auto"/>
            </w:tcBorders>
          </w:tcPr>
          <w:p>
            <w:pPr>
              <w:pStyle w:val="zyTableNAm"/>
              <w:rPr>
                <w:sz w:val="20"/>
              </w:rPr>
            </w:pPr>
          </w:p>
        </w:tc>
        <w:tc>
          <w:tcPr>
            <w:tcW w:w="1842" w:type="dxa"/>
            <w:tcBorders>
              <w:top w:val="single" w:sz="2" w:space="0" w:color="auto"/>
              <w:left w:val="single" w:sz="2" w:space="0" w:color="auto"/>
              <w:bottom w:val="single" w:sz="2" w:space="0" w:color="auto"/>
              <w:right w:val="single" w:sz="2" w:space="0" w:color="auto"/>
            </w:tcBorders>
          </w:tcPr>
          <w:p>
            <w:pPr>
              <w:pStyle w:val="zyTableNAm"/>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pPr>
            <w:r>
              <w:rPr>
                <w:sz w:val="20"/>
              </w:rPr>
              <w:t>81 or more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21 or more family day care educators nil</w:t>
            </w:r>
          </w:p>
        </w:tc>
      </w:tr>
    </w:tbl>
    <w:p>
      <w:pPr>
        <w:pStyle w:val="BlankClose"/>
      </w:pPr>
    </w:p>
    <w:p/>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921" w:name="_Toc425346486"/>
      <w:bookmarkStart w:id="922" w:name="_Toc425414145"/>
      <w:bookmarkStart w:id="923" w:name="_Toc497395366"/>
      <w:bookmarkStart w:id="924" w:name="_Toc504466341"/>
      <w:bookmarkStart w:id="925" w:name="_Toc504466764"/>
      <w:r>
        <w:rPr>
          <w:sz w:val="28"/>
        </w:rPr>
        <w:t>Defined terms</w:t>
      </w:r>
      <w:bookmarkEnd w:id="921"/>
      <w:bookmarkEnd w:id="922"/>
      <w:bookmarkEnd w:id="923"/>
      <w:bookmarkEnd w:id="924"/>
      <w:bookmarkEnd w:id="9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agency</w:t>
      </w:r>
      <w:r>
        <w:tab/>
        <w:t>Sch. 1</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intentional teaching</w:t>
      </w:r>
      <w:r>
        <w:tab/>
        <w:t>Sch. 1</w:t>
      </w:r>
    </w:p>
    <w:p>
      <w:pPr>
        <w:pStyle w:val="DefinedTerms"/>
      </w:pPr>
      <w:r>
        <w:t>kindergarten programme</w:t>
      </w:r>
      <w:r>
        <w:tab/>
        <w:t>368</w:t>
      </w:r>
    </w:p>
    <w:p>
      <w:pPr>
        <w:pStyle w:val="DefinedTerms"/>
      </w:pPr>
      <w:r>
        <w:t>lunch period</w:t>
      </w:r>
      <w:r>
        <w:tab/>
        <w:t>374A(1)</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relevant administrative tribunal</w:t>
      </w:r>
      <w:r>
        <w:tab/>
        <w:t>210</w:t>
      </w:r>
    </w:p>
    <w:p>
      <w:pPr>
        <w:pStyle w:val="DefinedTerms"/>
      </w:pPr>
      <w:r>
        <w:t>relevant regulation</w:t>
      </w:r>
      <w:r>
        <w:tab/>
        <w:t>242(3)</w:t>
      </w:r>
    </w:p>
    <w:p>
      <w:pPr>
        <w:pStyle w:val="DefinedTerms"/>
      </w:pPr>
      <w:r>
        <w:t>relevant year</w:t>
      </w:r>
      <w:r>
        <w:tab/>
        <w:t>235(2)</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safety screening clearance</w:t>
      </w:r>
      <w:r>
        <w:tab/>
        <w:t>4(1)</w:t>
      </w:r>
    </w:p>
    <w:p>
      <w:pPr>
        <w:pStyle w:val="DefinedTerms"/>
      </w:pPr>
      <w:r>
        <w:t>scaffold</w:t>
      </w:r>
      <w:r>
        <w:tab/>
        <w:t>Sch. 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Jan 2018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19" w:name="Schedule"/>
    <w:bookmarkEnd w:id="8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0" w:name="Compilation"/>
    <w:bookmarkEnd w:id="92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26" w:name="DefinedTerms"/>
    <w:bookmarkEnd w:id="92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7" w:name="Coversheet"/>
    <w:bookmarkEnd w:id="9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03706"/>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A88E8-1016-4141-972D-62FD4A84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276</Pages>
  <Words>63180</Words>
  <Characters>330436</Characters>
  <Application>Microsoft Office Word</Application>
  <DocSecurity>0</DocSecurity>
  <Lines>9441</Lines>
  <Paragraphs>5319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2012 - 01-g0-00</dc:title>
  <dc:subject/>
  <dc:creator/>
  <cp:keywords/>
  <dc:description/>
  <cp:lastModifiedBy>svcMRProcess</cp:lastModifiedBy>
  <cp:revision>4</cp:revision>
  <cp:lastPrinted>2014-09-02T00:22:00Z</cp:lastPrinted>
  <dcterms:created xsi:type="dcterms:W3CDTF">2020-02-23T22:37:00Z</dcterms:created>
  <dcterms:modified xsi:type="dcterms:W3CDTF">2020-02-23T22:37:00Z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23 Jan 2018</vt:lpwstr>
  </property>
  <property fmtid="{D5CDD505-2E9C-101B-9397-08002B2CF9AE}" pid="7" name="Suffix">
    <vt:lpwstr>01-g0-00</vt:lpwstr>
  </property>
  <property fmtid="{D5CDD505-2E9C-101B-9397-08002B2CF9AE}" pid="8" name="CommencementDate">
    <vt:lpwstr>20180123</vt:lpwstr>
  </property>
</Properties>
</file>