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 and Emergency Services Act 1998</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 and Emergency Services Regulations 1998</w:t>
      </w:r>
      <w:r>
        <w:rPr>
          <w:sz w:val="48"/>
        </w:rPr>
        <w:fldChar w:fldCharType="end"/>
      </w:r>
    </w:p>
    <w:p>
      <w:pPr>
        <w:pStyle w:val="ReprintNo"/>
      </w:pPr>
      <w:r>
        <w:t>Reprint 3:  The regulations as at 23 February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8E560D" w:rsidRDefault="008E560D">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8E560D" w:rsidRDefault="008E560D">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8E560D" w:rsidRDefault="008E560D">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8E560D" w:rsidRDefault="008E560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February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Fire and Emergency Services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_Toc504383649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_Toc504383650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Emergency Services Levy</w:t>
      </w:r>
    </w:p>
    <w:p>
      <w:pPr>
        <w:pStyle w:val="TOC8"/>
        <w:rPr>
          <w:rFonts w:asciiTheme="minorHAnsi" w:eastAsiaTheme="minorEastAsia" w:hAnsiTheme="minorHAnsi" w:cstheme="minorBidi"/>
          <w:szCs w:val="22"/>
        </w:rPr>
      </w:pPr>
      <w:r>
        <w:t>3.</w:t>
      </w:r>
      <w:r>
        <w:tab/>
        <w:t>Term used: Western Australian Municipal Association</w:t>
      </w:r>
      <w:r>
        <w:tab/>
      </w:r>
      <w:r>
        <w:fldChar w:fldCharType="begin"/>
      </w:r>
      <w:r>
        <w:instrText xml:space="preserve"> PAGEREF _Toc504383652 \h </w:instrText>
      </w:r>
      <w:r>
        <w:fldChar w:fldCharType="separate"/>
      </w:r>
      <w:r>
        <w:t>2</w:t>
      </w:r>
      <w:r>
        <w:fldChar w:fldCharType="end"/>
      </w:r>
    </w:p>
    <w:p>
      <w:pPr>
        <w:pStyle w:val="TOC8"/>
        <w:rPr>
          <w:rFonts w:asciiTheme="minorHAnsi" w:eastAsiaTheme="minorEastAsia" w:hAnsiTheme="minorHAnsi" w:cstheme="minorBidi"/>
          <w:szCs w:val="22"/>
        </w:rPr>
      </w:pPr>
      <w:r>
        <w:t>5.</w:t>
      </w:r>
      <w:r>
        <w:tab/>
        <w:t>Land exempt from emergency services levy (Act s. 36D(a))</w:t>
      </w:r>
      <w:r>
        <w:tab/>
      </w:r>
      <w:r>
        <w:fldChar w:fldCharType="begin"/>
      </w:r>
      <w:r>
        <w:instrText xml:space="preserve"> PAGEREF _Toc504383653 \h </w:instrText>
      </w:r>
      <w:r>
        <w:fldChar w:fldCharType="separate"/>
      </w:r>
      <w:r>
        <w:t>2</w:t>
      </w:r>
      <w:r>
        <w:fldChar w:fldCharType="end"/>
      </w:r>
    </w:p>
    <w:p>
      <w:pPr>
        <w:pStyle w:val="TOC8"/>
        <w:rPr>
          <w:rFonts w:asciiTheme="minorHAnsi" w:eastAsiaTheme="minorEastAsia" w:hAnsiTheme="minorHAnsi" w:cstheme="minorBidi"/>
          <w:szCs w:val="22"/>
        </w:rPr>
      </w:pPr>
      <w:r>
        <w:t>6.</w:t>
      </w:r>
      <w:r>
        <w:tab/>
        <w:t>Emergency services categories prescribed (Act s. 36F(1))</w:t>
      </w:r>
      <w:r>
        <w:tab/>
      </w:r>
      <w:r>
        <w:fldChar w:fldCharType="begin"/>
      </w:r>
      <w:r>
        <w:instrText xml:space="preserve"> PAGEREF _Toc504383654 \h </w:instrText>
      </w:r>
      <w:r>
        <w:fldChar w:fldCharType="separate"/>
      </w:r>
      <w:r>
        <w:t>3</w:t>
      </w:r>
      <w:r>
        <w:fldChar w:fldCharType="end"/>
      </w:r>
    </w:p>
    <w:p>
      <w:pPr>
        <w:pStyle w:val="TOC8"/>
        <w:rPr>
          <w:rFonts w:asciiTheme="minorHAnsi" w:eastAsiaTheme="minorEastAsia" w:hAnsiTheme="minorHAnsi" w:cstheme="minorBidi"/>
          <w:szCs w:val="22"/>
        </w:rPr>
      </w:pPr>
      <w:r>
        <w:t>7.</w:t>
      </w:r>
      <w:r>
        <w:tab/>
        <w:t>Matter prescribed for Minister to have regard to (Act s. 36G(5))</w:t>
      </w:r>
      <w:r>
        <w:tab/>
      </w:r>
      <w:r>
        <w:fldChar w:fldCharType="begin"/>
      </w:r>
      <w:r>
        <w:instrText xml:space="preserve"> PAGEREF _Toc504383655 \h </w:instrText>
      </w:r>
      <w:r>
        <w:fldChar w:fldCharType="separate"/>
      </w:r>
      <w:r>
        <w:t>4</w:t>
      </w:r>
      <w:r>
        <w:fldChar w:fldCharType="end"/>
      </w:r>
    </w:p>
    <w:p>
      <w:pPr>
        <w:pStyle w:val="TOC8"/>
        <w:rPr>
          <w:rFonts w:asciiTheme="minorHAnsi" w:eastAsiaTheme="minorEastAsia" w:hAnsiTheme="minorHAnsi" w:cstheme="minorBidi"/>
          <w:szCs w:val="22"/>
        </w:rPr>
      </w:pPr>
      <w:r>
        <w:t>8.</w:t>
      </w:r>
      <w:r>
        <w:tab/>
        <w:t>Matters prescribed for assessment notices (Act s. 36J(2)(b))</w:t>
      </w:r>
      <w:r>
        <w:tab/>
      </w:r>
      <w:r>
        <w:fldChar w:fldCharType="begin"/>
      </w:r>
      <w:r>
        <w:instrText xml:space="preserve"> PAGEREF _Toc504383656 \h </w:instrText>
      </w:r>
      <w:r>
        <w:fldChar w:fldCharType="separate"/>
      </w:r>
      <w:r>
        <w:t>5</w:t>
      </w:r>
      <w:r>
        <w:fldChar w:fldCharType="end"/>
      </w:r>
    </w:p>
    <w:p>
      <w:pPr>
        <w:pStyle w:val="TOC8"/>
        <w:rPr>
          <w:rFonts w:asciiTheme="minorHAnsi" w:eastAsiaTheme="minorEastAsia" w:hAnsiTheme="minorHAnsi" w:cstheme="minorBidi"/>
          <w:szCs w:val="22"/>
        </w:rPr>
      </w:pPr>
      <w:r>
        <w:t>9.</w:t>
      </w:r>
      <w:r>
        <w:tab/>
        <w:t>Local governments to assess levy on land owned by State etc. in some cases (Act s. 36L(1)(a))</w:t>
      </w:r>
      <w:r>
        <w:tab/>
      </w:r>
      <w:r>
        <w:fldChar w:fldCharType="begin"/>
      </w:r>
      <w:r>
        <w:instrText xml:space="preserve"> PAGEREF _Toc504383657 \h </w:instrText>
      </w:r>
      <w:r>
        <w:fldChar w:fldCharType="separate"/>
      </w:r>
      <w:r>
        <w:t>7</w:t>
      </w:r>
      <w:r>
        <w:fldChar w:fldCharType="end"/>
      </w:r>
    </w:p>
    <w:p>
      <w:pPr>
        <w:pStyle w:val="TOC8"/>
        <w:rPr>
          <w:rFonts w:asciiTheme="minorHAnsi" w:eastAsiaTheme="minorEastAsia" w:hAnsiTheme="minorHAnsi" w:cstheme="minorBidi"/>
          <w:szCs w:val="22"/>
        </w:rPr>
      </w:pPr>
      <w:r>
        <w:t>10.</w:t>
      </w:r>
      <w:r>
        <w:tab/>
        <w:t>Interest rate prescribed (Act s. 36ZH(3)(c))</w:t>
      </w:r>
      <w:r>
        <w:tab/>
      </w:r>
      <w:r>
        <w:fldChar w:fldCharType="begin"/>
      </w:r>
      <w:r>
        <w:instrText xml:space="preserve"> PAGEREF _Toc504383658 \h </w:instrText>
      </w:r>
      <w:r>
        <w:fldChar w:fldCharType="separate"/>
      </w:r>
      <w:r>
        <w:t>7</w:t>
      </w:r>
      <w:r>
        <w:fldChar w:fldCharType="end"/>
      </w:r>
    </w:p>
    <w:p>
      <w:pPr>
        <w:pStyle w:val="TOC8"/>
        <w:rPr>
          <w:rFonts w:asciiTheme="minorHAnsi" w:eastAsiaTheme="minorEastAsia" w:hAnsiTheme="minorHAnsi" w:cstheme="minorBidi"/>
          <w:szCs w:val="22"/>
        </w:rPr>
      </w:pPr>
      <w:r>
        <w:t>11.</w:t>
      </w:r>
      <w:r>
        <w:tab/>
        <w:t>Interest rate prescribed (Act s. 36ZJ(3))</w:t>
      </w:r>
      <w:r>
        <w:tab/>
      </w:r>
      <w:r>
        <w:fldChar w:fldCharType="begin"/>
      </w:r>
      <w:r>
        <w:instrText xml:space="preserve"> PAGEREF _Toc504383659 \h </w:instrText>
      </w:r>
      <w:r>
        <w:fldChar w:fldCharType="separate"/>
      </w:r>
      <w:r>
        <w:t>8</w:t>
      </w:r>
      <w:r>
        <w:fldChar w:fldCharType="end"/>
      </w:r>
    </w:p>
    <w:p>
      <w:pPr>
        <w:pStyle w:val="TOC8"/>
        <w:rPr>
          <w:rFonts w:asciiTheme="minorHAnsi" w:eastAsiaTheme="minorEastAsia" w:hAnsiTheme="minorHAnsi" w:cstheme="minorBidi"/>
          <w:szCs w:val="22"/>
        </w:rPr>
      </w:pPr>
      <w:r>
        <w:t>12A.</w:t>
      </w:r>
      <w:r>
        <w:tab/>
        <w:t>False alarm fee prescribed (Act s. 36ZL(1)(d)(i))</w:t>
      </w:r>
      <w:r>
        <w:tab/>
      </w:r>
      <w:r>
        <w:fldChar w:fldCharType="begin"/>
      </w:r>
      <w:r>
        <w:instrText xml:space="preserve"> PAGEREF _Toc504383660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Shutting off services</w:t>
      </w:r>
    </w:p>
    <w:p>
      <w:pPr>
        <w:pStyle w:val="TOC8"/>
        <w:rPr>
          <w:rFonts w:asciiTheme="minorHAnsi" w:eastAsiaTheme="minorEastAsia" w:hAnsiTheme="minorHAnsi" w:cstheme="minorBidi"/>
          <w:szCs w:val="22"/>
        </w:rPr>
      </w:pPr>
      <w:r>
        <w:t>12.</w:t>
      </w:r>
      <w:r>
        <w:tab/>
        <w:t>Shutting off etc. gas, electricity and water (Act s. 18B, 18G and 18L)</w:t>
      </w:r>
      <w:r>
        <w:tab/>
      </w:r>
      <w:r>
        <w:fldChar w:fldCharType="begin"/>
      </w:r>
      <w:r>
        <w:instrText xml:space="preserve"> PAGEREF _Toc504383662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SES Units, VMRS Groups and FES Units</w:t>
      </w:r>
    </w:p>
    <w:p>
      <w:pPr>
        <w:pStyle w:val="TOC8"/>
        <w:rPr>
          <w:rFonts w:asciiTheme="minorHAnsi" w:eastAsiaTheme="minorEastAsia" w:hAnsiTheme="minorHAnsi" w:cstheme="minorBidi"/>
          <w:szCs w:val="22"/>
        </w:rPr>
      </w:pPr>
      <w:r>
        <w:t>13.</w:t>
      </w:r>
      <w:r>
        <w:tab/>
        <w:t>SES Unit members, content of register of (Act s. 18D(a))</w:t>
      </w:r>
      <w:r>
        <w:tab/>
      </w:r>
      <w:r>
        <w:fldChar w:fldCharType="begin"/>
      </w:r>
      <w:r>
        <w:instrText xml:space="preserve"> PAGEREF _Toc504383664 \h </w:instrText>
      </w:r>
      <w:r>
        <w:fldChar w:fldCharType="separate"/>
      </w:r>
      <w:r>
        <w:t>11</w:t>
      </w:r>
      <w:r>
        <w:fldChar w:fldCharType="end"/>
      </w:r>
    </w:p>
    <w:p>
      <w:pPr>
        <w:pStyle w:val="TOC8"/>
        <w:rPr>
          <w:rFonts w:asciiTheme="minorHAnsi" w:eastAsiaTheme="minorEastAsia" w:hAnsiTheme="minorHAnsi" w:cstheme="minorBidi"/>
          <w:szCs w:val="22"/>
        </w:rPr>
      </w:pPr>
      <w:r>
        <w:t>14.</w:t>
      </w:r>
      <w:r>
        <w:tab/>
        <w:t>VMRS Group members, content of register of (Act s. 18I(a))</w:t>
      </w:r>
      <w:r>
        <w:tab/>
      </w:r>
      <w:r>
        <w:fldChar w:fldCharType="begin"/>
      </w:r>
      <w:r>
        <w:instrText xml:space="preserve"> PAGEREF _Toc504383665 \h </w:instrText>
      </w:r>
      <w:r>
        <w:fldChar w:fldCharType="separate"/>
      </w:r>
      <w:r>
        <w:t>11</w:t>
      </w:r>
      <w:r>
        <w:fldChar w:fldCharType="end"/>
      </w:r>
    </w:p>
    <w:p>
      <w:pPr>
        <w:pStyle w:val="TOC8"/>
        <w:rPr>
          <w:rFonts w:asciiTheme="minorHAnsi" w:eastAsiaTheme="minorEastAsia" w:hAnsiTheme="minorHAnsi" w:cstheme="minorBidi"/>
          <w:szCs w:val="22"/>
        </w:rPr>
      </w:pPr>
      <w:r>
        <w:t>15.</w:t>
      </w:r>
      <w:r>
        <w:tab/>
        <w:t>FES Unit members, content of register of (Act s. 18N(a))</w:t>
      </w:r>
      <w:r>
        <w:tab/>
      </w:r>
      <w:r>
        <w:fldChar w:fldCharType="begin"/>
      </w:r>
      <w:r>
        <w:instrText xml:space="preserve"> PAGEREF _Toc504383666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Insurance of volunteers</w:t>
      </w:r>
    </w:p>
    <w:p>
      <w:pPr>
        <w:pStyle w:val="TOC8"/>
        <w:rPr>
          <w:rFonts w:asciiTheme="minorHAnsi" w:eastAsiaTheme="minorEastAsia" w:hAnsiTheme="minorHAnsi" w:cstheme="minorBidi"/>
          <w:szCs w:val="22"/>
        </w:rPr>
      </w:pPr>
      <w:r>
        <w:t>15A.</w:t>
      </w:r>
      <w:r>
        <w:tab/>
        <w:t>Insurance limits</w:t>
      </w:r>
      <w:r>
        <w:tab/>
      </w:r>
      <w:r>
        <w:fldChar w:fldCharType="begin"/>
      </w:r>
      <w:r>
        <w:instrText xml:space="preserve"> PAGEREF _Toc504383668 \h </w:instrText>
      </w:r>
      <w:r>
        <w:fldChar w:fldCharType="separate"/>
      </w:r>
      <w:r>
        <w:t>13</w:t>
      </w:r>
      <w:r>
        <w:fldChar w:fldCharType="end"/>
      </w:r>
    </w:p>
    <w:p>
      <w:pPr>
        <w:pStyle w:val="TOC8"/>
        <w:rPr>
          <w:rFonts w:asciiTheme="minorHAnsi" w:eastAsiaTheme="minorEastAsia" w:hAnsiTheme="minorHAnsi" w:cstheme="minorBidi"/>
          <w:szCs w:val="22"/>
        </w:rPr>
      </w:pPr>
      <w:r>
        <w:t>15B.</w:t>
      </w:r>
      <w:r>
        <w:tab/>
        <w:t>Apportionment of amounts</w:t>
      </w:r>
      <w:r>
        <w:tab/>
      </w:r>
      <w:r>
        <w:fldChar w:fldCharType="begin"/>
      </w:r>
      <w:r>
        <w:instrText xml:space="preserve"> PAGEREF _Toc504383669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16.</w:t>
      </w:r>
      <w:r>
        <w:tab/>
        <w:t>Prescribed associations (Act s. 23)</w:t>
      </w:r>
      <w:r>
        <w:tab/>
      </w:r>
      <w:r>
        <w:fldChar w:fldCharType="begin"/>
      </w:r>
      <w:r>
        <w:instrText xml:space="preserve"> PAGEREF _Toc504383671 \h </w:instrText>
      </w:r>
      <w:r>
        <w:fldChar w:fldCharType="separate"/>
      </w:r>
      <w:r>
        <w:t>15</w:t>
      </w:r>
      <w:r>
        <w:fldChar w:fldCharType="end"/>
      </w:r>
    </w:p>
    <w:p>
      <w:pPr>
        <w:pStyle w:val="TOC8"/>
        <w:rPr>
          <w:rFonts w:asciiTheme="minorHAnsi" w:eastAsiaTheme="minorEastAsia" w:hAnsiTheme="minorHAnsi" w:cstheme="minorBidi"/>
          <w:szCs w:val="22"/>
        </w:rPr>
      </w:pPr>
      <w:r>
        <w:t>16A.</w:t>
      </w:r>
      <w:r>
        <w:tab/>
        <w:t>Prescribed symbols not to be used (Act s. 38B(1))</w:t>
      </w:r>
      <w:r>
        <w:tab/>
      </w:r>
      <w:r>
        <w:fldChar w:fldCharType="begin"/>
      </w:r>
      <w:r>
        <w:instrText xml:space="preserve"> PAGEREF _Toc504383672 \h </w:instrText>
      </w:r>
      <w:r>
        <w:fldChar w:fldCharType="separate"/>
      </w:r>
      <w:r>
        <w:t>15</w:t>
      </w:r>
      <w:r>
        <w:fldChar w:fldCharType="end"/>
      </w:r>
    </w:p>
    <w:p>
      <w:pPr>
        <w:pStyle w:val="TOC8"/>
        <w:rPr>
          <w:rFonts w:asciiTheme="minorHAnsi" w:eastAsiaTheme="minorEastAsia" w:hAnsiTheme="minorHAnsi" w:cstheme="minorBidi"/>
          <w:szCs w:val="22"/>
        </w:rPr>
      </w:pPr>
      <w:r>
        <w:t>17.</w:t>
      </w:r>
      <w:r>
        <w:tab/>
        <w:t>Disclosure of information (Act s. 39(2)(d))</w:t>
      </w:r>
      <w:r>
        <w:tab/>
      </w:r>
      <w:r>
        <w:fldChar w:fldCharType="begin"/>
      </w:r>
      <w:r>
        <w:instrText xml:space="preserve"> PAGEREF _Toc504383673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_Toc504383675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February 2018</w:t>
            </w:r>
          </w:p>
        </w:tc>
      </w:tr>
    </w:tbl>
    <w:p>
      <w:pPr>
        <w:pStyle w:val="WA"/>
        <w:spacing w:before="12"/>
      </w:pPr>
      <w:r>
        <w:t>Western Australia</w:t>
      </w:r>
    </w:p>
    <w:p>
      <w:pPr>
        <w:pStyle w:val="PrincipalActReg"/>
      </w:pPr>
      <w:r>
        <w:t>Fire and Emergency Services Act 1998</w:t>
      </w:r>
    </w:p>
    <w:p>
      <w:pPr>
        <w:pStyle w:val="NameofActReg"/>
      </w:pPr>
      <w:r>
        <w:t>Fire and Emergency Services Regulations 1998</w:t>
      </w:r>
    </w:p>
    <w:p>
      <w:pPr>
        <w:pStyle w:val="Heading2"/>
        <w:pageBreakBefore w:val="0"/>
        <w:spacing w:before="240"/>
      </w:pPr>
      <w:bookmarkStart w:id="3" w:name="_Toc496088412"/>
      <w:bookmarkStart w:id="4" w:name="_Toc496089061"/>
      <w:bookmarkStart w:id="5" w:name="_Toc496089090"/>
      <w:bookmarkStart w:id="6" w:name="_Toc496089270"/>
      <w:bookmarkStart w:id="7" w:name="_Toc496103240"/>
      <w:bookmarkStart w:id="8" w:name="_Toc504383648"/>
      <w:r>
        <w:rPr>
          <w:rStyle w:val="CharPartNo"/>
        </w:rPr>
        <w:t>Part 1</w:t>
      </w:r>
      <w:r>
        <w:t> — </w:t>
      </w:r>
      <w:r>
        <w:rPr>
          <w:rStyle w:val="CharPartText"/>
        </w:rPr>
        <w:t>Preliminary</w:t>
      </w:r>
      <w:bookmarkEnd w:id="3"/>
      <w:bookmarkEnd w:id="4"/>
      <w:bookmarkEnd w:id="5"/>
      <w:bookmarkEnd w:id="6"/>
      <w:bookmarkEnd w:id="7"/>
      <w:bookmarkEnd w:id="8"/>
    </w:p>
    <w:p>
      <w:pPr>
        <w:pStyle w:val="Footnoteheading"/>
      </w:pPr>
      <w:r>
        <w:tab/>
        <w:t>[Heading inserted in Gazette 15 Sep 2017 p. 4792.]</w:t>
      </w:r>
    </w:p>
    <w:p>
      <w:pPr>
        <w:pStyle w:val="Heading5"/>
      </w:pPr>
      <w:bookmarkStart w:id="9" w:name="_Toc504383649"/>
      <w:r>
        <w:rPr>
          <w:rStyle w:val="CharSectno"/>
        </w:rPr>
        <w:t>1</w:t>
      </w:r>
      <w:r>
        <w:t>.</w:t>
      </w:r>
      <w:r>
        <w:tab/>
        <w:t>Citation</w:t>
      </w:r>
      <w:bookmarkEnd w:id="9"/>
    </w:p>
    <w:p>
      <w:pPr>
        <w:pStyle w:val="Subsection"/>
      </w:pPr>
      <w:r>
        <w:tab/>
      </w:r>
      <w:r>
        <w:tab/>
      </w:r>
      <w:bookmarkStart w:id="10" w:name="Start_Cursor"/>
      <w:bookmarkEnd w:id="10"/>
      <w:r>
        <w:rPr>
          <w:spacing w:val="-2"/>
        </w:rPr>
        <w:t>These</w:t>
      </w:r>
      <w:r>
        <w:t xml:space="preserve"> </w:t>
      </w:r>
      <w:r>
        <w:rPr>
          <w:spacing w:val="-2"/>
        </w:rPr>
        <w:t>regulations</w:t>
      </w:r>
      <w:r>
        <w:t xml:space="preserve"> may be cited as the </w:t>
      </w:r>
      <w:r>
        <w:rPr>
          <w:i/>
        </w:rPr>
        <w:t>Fire and Emergency Services Regulations 1998</w:t>
      </w:r>
      <w:r>
        <w:rPr>
          <w:rFonts w:ascii="Times" w:hAnsi="Times"/>
          <w:iCs/>
          <w:vertAlign w:val="superscript"/>
        </w:rPr>
        <w:t> 1</w:t>
      </w:r>
      <w:r>
        <w:t>.</w:t>
      </w:r>
    </w:p>
    <w:p>
      <w:pPr>
        <w:pStyle w:val="Footnotesection"/>
      </w:pPr>
      <w:r>
        <w:tab/>
        <w:t>[Regulation 1 amended in Gazette 31 Oct 2012 p. 5229.]</w:t>
      </w:r>
    </w:p>
    <w:p>
      <w:pPr>
        <w:pStyle w:val="Heading5"/>
        <w:rPr>
          <w:spacing w:val="-2"/>
        </w:rPr>
      </w:pPr>
      <w:bookmarkStart w:id="11" w:name="_Toc504383650"/>
      <w:r>
        <w:rPr>
          <w:rStyle w:val="CharSectno"/>
        </w:rPr>
        <w:t>2</w:t>
      </w:r>
      <w:r>
        <w:rPr>
          <w:spacing w:val="-2"/>
        </w:rPr>
        <w:t>.</w:t>
      </w:r>
      <w:r>
        <w:rPr>
          <w:spacing w:val="-2"/>
        </w:rPr>
        <w:tab/>
        <w:t>Commencement</w:t>
      </w:r>
      <w:bookmarkEnd w:id="11"/>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 2</w:t>
      </w:r>
      <w:r>
        <w:rPr>
          <w:spacing w:val="-2"/>
        </w:rPr>
        <w:t>.</w:t>
      </w:r>
    </w:p>
    <w:p>
      <w:pPr>
        <w:pStyle w:val="Heading2"/>
      </w:pPr>
      <w:bookmarkStart w:id="12" w:name="_Toc496088415"/>
      <w:bookmarkStart w:id="13" w:name="_Toc496089064"/>
      <w:bookmarkStart w:id="14" w:name="_Toc496089093"/>
      <w:bookmarkStart w:id="15" w:name="_Toc496089273"/>
      <w:bookmarkStart w:id="16" w:name="_Toc496103243"/>
      <w:bookmarkStart w:id="17" w:name="_Toc504383651"/>
      <w:r>
        <w:rPr>
          <w:rStyle w:val="CharPartNo"/>
        </w:rPr>
        <w:t>Part 2</w:t>
      </w:r>
      <w:r>
        <w:t> — </w:t>
      </w:r>
      <w:r>
        <w:rPr>
          <w:rStyle w:val="CharPartText"/>
        </w:rPr>
        <w:t>Emergency Services Levy</w:t>
      </w:r>
      <w:bookmarkEnd w:id="12"/>
      <w:bookmarkEnd w:id="13"/>
      <w:bookmarkEnd w:id="14"/>
      <w:bookmarkEnd w:id="15"/>
      <w:bookmarkEnd w:id="16"/>
      <w:bookmarkEnd w:id="17"/>
    </w:p>
    <w:p>
      <w:pPr>
        <w:pStyle w:val="Footnoteheading"/>
      </w:pPr>
      <w:r>
        <w:tab/>
        <w:t>[Heading inserted in Gazette 15 Sep 2017 p. 4792.]</w:t>
      </w:r>
    </w:p>
    <w:p>
      <w:pPr>
        <w:pStyle w:val="Heading5"/>
      </w:pPr>
      <w:bookmarkStart w:id="18" w:name="_Toc504383652"/>
      <w:r>
        <w:rPr>
          <w:rStyle w:val="CharSectno"/>
        </w:rPr>
        <w:t>3</w:t>
      </w:r>
      <w:r>
        <w:t>.</w:t>
      </w:r>
      <w:r>
        <w:tab/>
        <w:t>Term used: Western Australian Municipal Association</w:t>
      </w:r>
      <w:bookmarkEnd w:id="18"/>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in Gazette 31 </w:t>
      </w:r>
      <w:r>
        <w:rPr>
          <w:szCs w:val="24"/>
        </w:rPr>
        <w:t>Oct 2012 p. 5230</w:t>
      </w:r>
      <w:r>
        <w:t>.]</w:t>
      </w:r>
    </w:p>
    <w:p>
      <w:pPr>
        <w:pStyle w:val="Ednotesection"/>
        <w:rPr>
          <w:rStyle w:val="CharSectno"/>
        </w:rPr>
      </w:pPr>
      <w:r>
        <w:t>[</w:t>
      </w:r>
      <w:r>
        <w:rPr>
          <w:b/>
        </w:rPr>
        <w:t>4, 4A.</w:t>
      </w:r>
      <w:r>
        <w:rPr>
          <w:b/>
        </w:rPr>
        <w:tab/>
      </w:r>
      <w:r>
        <w:t>Deleted in Gazette 31 </w:t>
      </w:r>
      <w:r>
        <w:rPr>
          <w:szCs w:val="24"/>
        </w:rPr>
        <w:t>Oct 2012 p. 5230</w:t>
      </w:r>
      <w:r>
        <w:t>.]</w:t>
      </w:r>
    </w:p>
    <w:p>
      <w:pPr>
        <w:pStyle w:val="Heading5"/>
      </w:pPr>
      <w:bookmarkStart w:id="19" w:name="_Toc504383653"/>
      <w:r>
        <w:rPr>
          <w:rStyle w:val="CharSectno"/>
        </w:rPr>
        <w:t>5</w:t>
      </w:r>
      <w:r>
        <w:t>.</w:t>
      </w:r>
      <w:r>
        <w:tab/>
        <w:t>Land exempt from emergency services levy (Act s. 36D(a))</w:t>
      </w:r>
      <w:bookmarkEnd w:id="19"/>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3</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rPr>
          <w:i/>
        </w:rP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keepNext/>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in Gazette 16 May 2003 p. 1697</w:t>
      </w:r>
      <w:r>
        <w:noBreakHyphen/>
        <w:t>8; amended in Gazette 10 Jun 2008 p. 2487; 31 </w:t>
      </w:r>
      <w:r>
        <w:rPr>
          <w:szCs w:val="24"/>
        </w:rPr>
        <w:t>Oct 2012 p. 5231</w:t>
      </w:r>
      <w:r>
        <w:t>.]</w:t>
      </w:r>
    </w:p>
    <w:p>
      <w:pPr>
        <w:pStyle w:val="Heading5"/>
      </w:pPr>
      <w:bookmarkStart w:id="20" w:name="_Toc504383654"/>
      <w:r>
        <w:rPr>
          <w:rStyle w:val="CharSectno"/>
        </w:rPr>
        <w:t>6</w:t>
      </w:r>
      <w:r>
        <w:t>.</w:t>
      </w:r>
      <w:r>
        <w:tab/>
        <w:t>Emergency services categories prescribed (Act s. 36F(1))</w:t>
      </w:r>
      <w:bookmarkEnd w:id="20"/>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pPr>
        <w:pStyle w:val="Subsection"/>
      </w:pPr>
      <w:r>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in Gazette 16 May 2003 p. 1698</w:t>
      </w:r>
      <w:r>
        <w:noBreakHyphen/>
        <w:t>9; amended in Gazette 13 Jun 2003 p. 2117; 27 Jun 2003 p. 2388; 31 </w:t>
      </w:r>
      <w:r>
        <w:rPr>
          <w:szCs w:val="24"/>
        </w:rPr>
        <w:t>Oct 2012 p. 5230</w:t>
      </w:r>
      <w:r>
        <w:t>.]</w:t>
      </w:r>
    </w:p>
    <w:p>
      <w:pPr>
        <w:pStyle w:val="Heading5"/>
      </w:pPr>
      <w:bookmarkStart w:id="21" w:name="_Toc504383655"/>
      <w:r>
        <w:rPr>
          <w:rStyle w:val="CharSectno"/>
        </w:rPr>
        <w:t>7</w:t>
      </w:r>
      <w:r>
        <w:t>.</w:t>
      </w:r>
      <w:r>
        <w:tab/>
        <w:t>Matter prescribed for Minister to have regard to (Act s. 36G(5))</w:t>
      </w:r>
      <w:bookmarkEnd w:id="21"/>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in Gazette 16 May 2003 p. 1699; amended in Gazette 31 </w:t>
      </w:r>
      <w:r>
        <w:rPr>
          <w:szCs w:val="24"/>
        </w:rPr>
        <w:t>Oct 2012 p. 5231</w:t>
      </w:r>
      <w:r>
        <w:t>.]</w:t>
      </w:r>
    </w:p>
    <w:p>
      <w:pPr>
        <w:pStyle w:val="Heading5"/>
      </w:pPr>
      <w:bookmarkStart w:id="22" w:name="_Toc504383656"/>
      <w:r>
        <w:rPr>
          <w:rStyle w:val="CharSectno"/>
        </w:rPr>
        <w:t>8</w:t>
      </w:r>
      <w:r>
        <w:t>.</w:t>
      </w:r>
      <w:r>
        <w:tab/>
        <w:t>Matters prescribed for assessment notices (Act s. 36J(2)(b))</w:t>
      </w:r>
      <w:bookmarkEnd w:id="22"/>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in Gazette 16 May 2003 p. 1699</w:t>
      </w:r>
      <w:r>
        <w:noBreakHyphen/>
        <w:t>700; amended in Gazette 30 Dec 2004 p. 6973.]</w:t>
      </w:r>
    </w:p>
    <w:p>
      <w:pPr>
        <w:pStyle w:val="Heading5"/>
      </w:pPr>
      <w:bookmarkStart w:id="23" w:name="_Toc504383657"/>
      <w:r>
        <w:rPr>
          <w:rStyle w:val="CharSectno"/>
        </w:rPr>
        <w:t>9</w:t>
      </w:r>
      <w:r>
        <w:t>.</w:t>
      </w:r>
      <w:r>
        <w:tab/>
        <w:t>Local governments to assess levy on land owned by State etc. in some cases (Act s. 36L(1)(a))</w:t>
      </w:r>
      <w:bookmarkEnd w:id="23"/>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in Gazette 16 May 2003 p. 1700</w:t>
      </w:r>
      <w:r>
        <w:noBreakHyphen/>
        <w:t>1; amended in Gazette 31 </w:t>
      </w:r>
      <w:r>
        <w:rPr>
          <w:szCs w:val="24"/>
        </w:rPr>
        <w:t>Oct 2012 p. 5231</w:t>
      </w:r>
      <w:r>
        <w:t>.]</w:t>
      </w:r>
    </w:p>
    <w:p>
      <w:pPr>
        <w:pStyle w:val="Heading5"/>
      </w:pPr>
      <w:bookmarkStart w:id="24" w:name="_Toc504383658"/>
      <w:r>
        <w:rPr>
          <w:rStyle w:val="CharSectno"/>
        </w:rPr>
        <w:t>10</w:t>
      </w:r>
      <w:r>
        <w:t>.</w:t>
      </w:r>
      <w:r>
        <w:tab/>
        <w:t>Interest rate prescribed (Act s. 36ZH(3)(c))</w:t>
      </w:r>
      <w:bookmarkEnd w:id="24"/>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in Gazette 16 May 2003 p. 1701; amended in Gazette 30 Dec 2004 p. 6973.]</w:t>
      </w:r>
    </w:p>
    <w:p>
      <w:pPr>
        <w:pStyle w:val="Heading5"/>
      </w:pPr>
      <w:bookmarkStart w:id="25" w:name="_Toc504383659"/>
      <w:r>
        <w:rPr>
          <w:rStyle w:val="CharSectno"/>
        </w:rPr>
        <w:t>11</w:t>
      </w:r>
      <w:r>
        <w:t>.</w:t>
      </w:r>
      <w:r>
        <w:tab/>
        <w:t>Interest rate prescribed (Act s. 36ZJ(3))</w:t>
      </w:r>
      <w:bookmarkEnd w:id="25"/>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in Gazette 16 May 2003 p. 1701.]</w:t>
      </w:r>
    </w:p>
    <w:p>
      <w:pPr>
        <w:pStyle w:val="Heading5"/>
      </w:pPr>
      <w:bookmarkStart w:id="26" w:name="_Toc504383660"/>
      <w:r>
        <w:rPr>
          <w:rStyle w:val="CharSectno"/>
        </w:rPr>
        <w:t>12A</w:t>
      </w:r>
      <w:r>
        <w:t>.</w:t>
      </w:r>
      <w:r>
        <w:tab/>
        <w:t>False alarm fee prescribed (Act s. 36ZL(1)(d)(i))</w:t>
      </w:r>
      <w:bookmarkEnd w:id="26"/>
    </w:p>
    <w:p>
      <w:pPr>
        <w:pStyle w:val="Subsection"/>
      </w:pPr>
      <w:r>
        <w:tab/>
      </w:r>
      <w:r>
        <w:tab/>
        <w:t>For the purposes of section 36ZL(1)(d)(i) of the Act, the fee for an attendance, in response to a false alarm, by a permanent fire brigade or a volunteer fire brigade is $750.00.</w:t>
      </w:r>
    </w:p>
    <w:p>
      <w:pPr>
        <w:pStyle w:val="Footnotesection"/>
      </w:pPr>
      <w:r>
        <w:tab/>
        <w:t>[Regulation 12A inserted in Gazette 2 Jun 2015 p. 1940.]</w:t>
      </w:r>
    </w:p>
    <w:p>
      <w:pPr>
        <w:pStyle w:val="Heading2"/>
      </w:pPr>
      <w:bookmarkStart w:id="27" w:name="_Toc496088425"/>
      <w:bookmarkStart w:id="28" w:name="_Toc496089074"/>
      <w:bookmarkStart w:id="29" w:name="_Toc496089103"/>
      <w:bookmarkStart w:id="30" w:name="_Toc496089283"/>
      <w:bookmarkStart w:id="31" w:name="_Toc496103253"/>
      <w:bookmarkStart w:id="32" w:name="_Toc504383661"/>
      <w:r>
        <w:rPr>
          <w:rStyle w:val="CharPartNo"/>
        </w:rPr>
        <w:t>Part 3</w:t>
      </w:r>
      <w:r>
        <w:t> — </w:t>
      </w:r>
      <w:r>
        <w:rPr>
          <w:rStyle w:val="CharPartText"/>
        </w:rPr>
        <w:t>Shutting off services</w:t>
      </w:r>
      <w:bookmarkEnd w:id="27"/>
      <w:bookmarkEnd w:id="28"/>
      <w:bookmarkEnd w:id="29"/>
      <w:bookmarkEnd w:id="30"/>
      <w:bookmarkEnd w:id="31"/>
      <w:bookmarkEnd w:id="32"/>
    </w:p>
    <w:p>
      <w:pPr>
        <w:pStyle w:val="Footnoteheading"/>
      </w:pPr>
      <w:r>
        <w:tab/>
        <w:t>[Heading inserted in Gazette 15 Sep 2017 p. 4792.]</w:t>
      </w:r>
    </w:p>
    <w:p>
      <w:pPr>
        <w:pStyle w:val="Heading5"/>
      </w:pPr>
      <w:bookmarkStart w:id="33" w:name="_Toc504383662"/>
      <w:r>
        <w:rPr>
          <w:rStyle w:val="CharSectno"/>
        </w:rPr>
        <w:t>12</w:t>
      </w:r>
      <w:r>
        <w:t>.</w:t>
      </w:r>
      <w:r>
        <w:tab/>
        <w:t>Shutting off etc. gas, electricity and water (Act s. 18B, 18G and 18L)</w:t>
      </w:r>
      <w:bookmarkEnd w:id="33"/>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keepNext/>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in Gazette 3 Oct 2003 p. 4353</w:t>
      </w:r>
      <w:r>
        <w:noBreakHyphen/>
        <w:t>4; amended in Gazette 31 </w:t>
      </w:r>
      <w:r>
        <w:rPr>
          <w:szCs w:val="24"/>
        </w:rPr>
        <w:t>Oct 2012 p. 5230</w:t>
      </w:r>
      <w:r>
        <w:noBreakHyphen/>
        <w:t>2.]</w:t>
      </w:r>
    </w:p>
    <w:p>
      <w:pPr>
        <w:pStyle w:val="Heading2"/>
      </w:pPr>
      <w:bookmarkStart w:id="34" w:name="_Toc496088427"/>
      <w:bookmarkStart w:id="35" w:name="_Toc496089076"/>
      <w:bookmarkStart w:id="36" w:name="_Toc496089105"/>
      <w:bookmarkStart w:id="37" w:name="_Toc496089285"/>
      <w:bookmarkStart w:id="38" w:name="_Toc496103255"/>
      <w:bookmarkStart w:id="39" w:name="_Toc504383663"/>
      <w:r>
        <w:rPr>
          <w:rStyle w:val="CharPartNo"/>
        </w:rPr>
        <w:t>Part 4</w:t>
      </w:r>
      <w:r>
        <w:t> — </w:t>
      </w:r>
      <w:r>
        <w:rPr>
          <w:rStyle w:val="CharPartText"/>
        </w:rPr>
        <w:t>SES Units, VMRS Groups and FES Units</w:t>
      </w:r>
      <w:bookmarkEnd w:id="34"/>
      <w:bookmarkEnd w:id="35"/>
      <w:bookmarkEnd w:id="36"/>
      <w:bookmarkEnd w:id="37"/>
      <w:bookmarkEnd w:id="38"/>
      <w:bookmarkEnd w:id="39"/>
    </w:p>
    <w:p>
      <w:pPr>
        <w:pStyle w:val="Footnoteheading"/>
      </w:pPr>
      <w:r>
        <w:tab/>
        <w:t>[Heading inserted in Gazette 15 Sep 2017 p. 4793.]</w:t>
      </w:r>
    </w:p>
    <w:p>
      <w:pPr>
        <w:pStyle w:val="Heading5"/>
      </w:pPr>
      <w:bookmarkStart w:id="40" w:name="_Toc504383664"/>
      <w:r>
        <w:rPr>
          <w:rStyle w:val="CharSectno"/>
        </w:rPr>
        <w:t>13</w:t>
      </w:r>
      <w:r>
        <w:t>.</w:t>
      </w:r>
      <w:r>
        <w:tab/>
        <w:t>SES Unit members, content of register of (Act s. 18D(a))</w:t>
      </w:r>
      <w:bookmarkEnd w:id="40"/>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in Gazette 3 Oct 2003 p. 4354.]</w:t>
      </w:r>
    </w:p>
    <w:p>
      <w:pPr>
        <w:pStyle w:val="Heading5"/>
      </w:pPr>
      <w:bookmarkStart w:id="41" w:name="_Toc504383665"/>
      <w:r>
        <w:rPr>
          <w:rStyle w:val="CharSectno"/>
        </w:rPr>
        <w:t>14</w:t>
      </w:r>
      <w:r>
        <w:t>.</w:t>
      </w:r>
      <w:r>
        <w:tab/>
        <w:t>VMRS Group members, content of register of (Act s. 18I(a))</w:t>
      </w:r>
      <w:bookmarkEnd w:id="41"/>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in Gazette 3 Oct 2003 p. 4355.]</w:t>
      </w:r>
    </w:p>
    <w:p>
      <w:pPr>
        <w:pStyle w:val="Heading5"/>
      </w:pPr>
      <w:bookmarkStart w:id="42" w:name="_Toc504383666"/>
      <w:r>
        <w:rPr>
          <w:rStyle w:val="CharSectno"/>
        </w:rPr>
        <w:t>15</w:t>
      </w:r>
      <w:r>
        <w:t>.</w:t>
      </w:r>
      <w:r>
        <w:tab/>
        <w:t>FES Unit members, content of register of (Act s. 18N(a))</w:t>
      </w:r>
      <w:bookmarkEnd w:id="42"/>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in Gazette 3 Oct 2003 p. 4355; amended in Gazette 31 </w:t>
      </w:r>
      <w:r>
        <w:rPr>
          <w:szCs w:val="24"/>
        </w:rPr>
        <w:t>Oct 2012 p. 5231</w:t>
      </w:r>
      <w:r>
        <w:t>.]</w:t>
      </w:r>
    </w:p>
    <w:p>
      <w:pPr>
        <w:pStyle w:val="Heading2"/>
      </w:pPr>
      <w:bookmarkStart w:id="43" w:name="_Toc496088431"/>
      <w:bookmarkStart w:id="44" w:name="_Toc496089080"/>
      <w:bookmarkStart w:id="45" w:name="_Toc496089109"/>
      <w:bookmarkStart w:id="46" w:name="_Toc496089289"/>
      <w:bookmarkStart w:id="47" w:name="_Toc496103259"/>
      <w:bookmarkStart w:id="48" w:name="_Toc504383667"/>
      <w:r>
        <w:rPr>
          <w:rStyle w:val="CharPartNo"/>
        </w:rPr>
        <w:t>Part 5</w:t>
      </w:r>
      <w:r>
        <w:t> — </w:t>
      </w:r>
      <w:r>
        <w:rPr>
          <w:rStyle w:val="CharPartText"/>
        </w:rPr>
        <w:t>Insurance of volunteers</w:t>
      </w:r>
      <w:bookmarkEnd w:id="43"/>
      <w:bookmarkEnd w:id="44"/>
      <w:bookmarkEnd w:id="45"/>
      <w:bookmarkEnd w:id="46"/>
      <w:bookmarkEnd w:id="47"/>
      <w:bookmarkEnd w:id="48"/>
    </w:p>
    <w:p>
      <w:pPr>
        <w:pStyle w:val="Footnoteheading"/>
      </w:pPr>
      <w:r>
        <w:tab/>
        <w:t>[Heading inserted in Gazette 15 Sep 2017 p. 4793.]</w:t>
      </w:r>
    </w:p>
    <w:p>
      <w:pPr>
        <w:pStyle w:val="Heading5"/>
      </w:pPr>
      <w:bookmarkStart w:id="49" w:name="_Toc504383668"/>
      <w:r>
        <w:rPr>
          <w:rStyle w:val="CharSectno"/>
        </w:rPr>
        <w:t>15A</w:t>
      </w:r>
      <w:r>
        <w:t>.</w:t>
      </w:r>
      <w:r>
        <w:tab/>
        <w:t>Insurance limits</w:t>
      </w:r>
      <w:bookmarkEnd w:id="49"/>
    </w:p>
    <w:p>
      <w:pPr>
        <w:pStyle w:val="Subsection"/>
      </w:pPr>
      <w:r>
        <w:tab/>
      </w:r>
      <w:r>
        <w:tab/>
        <w:t xml:space="preserve">The amount of compensation for which a responsible agency is required by section 36ZQ(4) of the Act to insure is limited as follows — </w:t>
      </w:r>
    </w:p>
    <w:p>
      <w:pPr>
        <w:pStyle w:val="Indenta"/>
      </w:pPr>
      <w:r>
        <w:tab/>
        <w:t>(a)</w:t>
      </w:r>
      <w:r>
        <w:tab/>
        <w:t>for loss caused at any one incident to any money or negotiable instrument the personal property of any one volunteer: a limit of $250 in total;</w:t>
      </w:r>
    </w:p>
    <w:p>
      <w:pPr>
        <w:pStyle w:val="Indenta"/>
      </w:pPr>
      <w:r>
        <w:tab/>
        <w:t>(b)</w:t>
      </w:r>
      <w:r>
        <w:tab/>
        <w:t>for loss or damage caused at any one incident to any watch or jewellery the personal property of any one volunteer: a limit of $2 000 for each item or set of items;</w:t>
      </w:r>
    </w:p>
    <w:p>
      <w:pPr>
        <w:pStyle w:val="Indenta"/>
      </w:pPr>
      <w:r>
        <w:tab/>
        <w:t>(c)</w:t>
      </w:r>
      <w:r>
        <w:tab/>
        <w:t>for loss or damage caused at one or more incidents in any period of 12 months to anything (other than vehicles, appliances, equipment or apparatus) that is the personal property of any one volunteer: a limit of $10 000 in total.</w:t>
      </w:r>
    </w:p>
    <w:p>
      <w:pPr>
        <w:pStyle w:val="Footnotesection"/>
      </w:pPr>
      <w:r>
        <w:tab/>
        <w:t>[Regulation 15A inserted in Gazette 15 Sep 2017 p. 4793.]</w:t>
      </w:r>
    </w:p>
    <w:p>
      <w:pPr>
        <w:pStyle w:val="Heading5"/>
      </w:pPr>
      <w:bookmarkStart w:id="50" w:name="_Toc504383669"/>
      <w:r>
        <w:rPr>
          <w:rStyle w:val="CharSectno"/>
        </w:rPr>
        <w:t>15B</w:t>
      </w:r>
      <w:r>
        <w:t>.</w:t>
      </w:r>
      <w:r>
        <w:tab/>
        <w:t>Apportionment of amounts</w:t>
      </w:r>
      <w:bookmarkEnd w:id="50"/>
    </w:p>
    <w:p>
      <w:pPr>
        <w:pStyle w:val="Subsection"/>
      </w:pPr>
      <w:r>
        <w:tab/>
        <w:t>(1)</w:t>
      </w:r>
      <w:r>
        <w:tab/>
        <w:t xml:space="preserve">If an amount payable needs to be apportioned between persons under section 36ZW(3) of the Act, the apportionment is to be made according to the respective financial losses of support from the injured volunteer suffered by those persons — </w:t>
      </w:r>
    </w:p>
    <w:p>
      <w:pPr>
        <w:pStyle w:val="Indenta"/>
      </w:pPr>
      <w:r>
        <w:tab/>
        <w:t>(a)</w:t>
      </w:r>
      <w:r>
        <w:tab/>
        <w:t xml:space="preserve">as agreed between those persons; or </w:t>
      </w:r>
    </w:p>
    <w:p>
      <w:pPr>
        <w:pStyle w:val="Indenta"/>
      </w:pPr>
      <w:r>
        <w:tab/>
        <w:t>(b)</w:t>
      </w:r>
      <w:r>
        <w:tab/>
        <w:t>as determined under subregulation (3).</w:t>
      </w:r>
    </w:p>
    <w:p>
      <w:pPr>
        <w:pStyle w:val="Subsection"/>
      </w:pPr>
      <w:r>
        <w:tab/>
        <w:t>(2)</w:t>
      </w:r>
      <w:r>
        <w:tab/>
        <w:t>If the persons cannot agree on the apportionment, one or more of them may apply in writing to the FES Commissioner for the apportionment to be determined.</w:t>
      </w:r>
    </w:p>
    <w:p>
      <w:pPr>
        <w:pStyle w:val="Subsection"/>
        <w:keepNext/>
      </w:pPr>
      <w:r>
        <w:tab/>
        <w:t>(3)</w:t>
      </w:r>
      <w:r>
        <w:tab/>
        <w:t xml:space="preserve">If an application is made under subregulation (2), the apportionment must be determined — </w:t>
      </w:r>
    </w:p>
    <w:p>
      <w:pPr>
        <w:pStyle w:val="Indenta"/>
      </w:pPr>
      <w:r>
        <w:tab/>
        <w:t>(a)</w:t>
      </w:r>
      <w:r>
        <w:tab/>
        <w:t>by the FES Commissioner; or</w:t>
      </w:r>
    </w:p>
    <w:p>
      <w:pPr>
        <w:pStyle w:val="Indenta"/>
      </w:pPr>
      <w:r>
        <w:tab/>
        <w:t>(b)</w:t>
      </w:r>
      <w:r>
        <w:tab/>
        <w:t>by a suitably qualified person appointed in writing by the FES Commissioner to make the determination.</w:t>
      </w:r>
    </w:p>
    <w:p>
      <w:pPr>
        <w:pStyle w:val="Footnotesection"/>
      </w:pPr>
      <w:r>
        <w:tab/>
        <w:t>[Regulation 15B inserted in Gazette 15 Sep 2017 p. 4793</w:t>
      </w:r>
      <w:r>
        <w:noBreakHyphen/>
        <w:t>4.]</w:t>
      </w:r>
    </w:p>
    <w:p>
      <w:pPr>
        <w:pStyle w:val="Heading2"/>
      </w:pPr>
      <w:bookmarkStart w:id="51" w:name="_Toc496088434"/>
      <w:bookmarkStart w:id="52" w:name="_Toc496089083"/>
      <w:bookmarkStart w:id="53" w:name="_Toc496089112"/>
      <w:bookmarkStart w:id="54" w:name="_Toc496089292"/>
      <w:bookmarkStart w:id="55" w:name="_Toc496103262"/>
      <w:bookmarkStart w:id="56" w:name="_Toc504383670"/>
      <w:r>
        <w:rPr>
          <w:rStyle w:val="CharPartNo"/>
        </w:rPr>
        <w:t>Part 6</w:t>
      </w:r>
      <w:r>
        <w:t> — </w:t>
      </w:r>
      <w:r>
        <w:rPr>
          <w:rStyle w:val="CharPartText"/>
        </w:rPr>
        <w:t>Miscellaneous</w:t>
      </w:r>
      <w:bookmarkEnd w:id="51"/>
      <w:bookmarkEnd w:id="52"/>
      <w:bookmarkEnd w:id="53"/>
      <w:bookmarkEnd w:id="54"/>
      <w:bookmarkEnd w:id="55"/>
      <w:bookmarkEnd w:id="56"/>
    </w:p>
    <w:p>
      <w:pPr>
        <w:pStyle w:val="Footnoteheading"/>
      </w:pPr>
      <w:r>
        <w:tab/>
        <w:t>[Heading inserted in Gazette 15 Sep 2017 p. 4794.]</w:t>
      </w:r>
    </w:p>
    <w:p>
      <w:pPr>
        <w:pStyle w:val="Heading5"/>
      </w:pPr>
      <w:bookmarkStart w:id="57" w:name="_Toc504383671"/>
      <w:r>
        <w:rPr>
          <w:rStyle w:val="CharSectno"/>
        </w:rPr>
        <w:t>16</w:t>
      </w:r>
      <w:r>
        <w:t>.</w:t>
      </w:r>
      <w:r>
        <w:tab/>
        <w:t>Prescribed associations (Act s. 23)</w:t>
      </w:r>
      <w:bookmarkEnd w:id="57"/>
    </w:p>
    <w:p>
      <w:pPr>
        <w:pStyle w:val="Subsection"/>
      </w:pPr>
      <w:r>
        <w:tab/>
      </w:r>
      <w:r>
        <w:tab/>
        <w:t xml:space="preserve">For the purposes of the definition of </w:t>
      </w:r>
      <w:r>
        <w:rPr>
          <w:b/>
          <w:i/>
        </w:rPr>
        <w:t>prescribed association</w:t>
      </w:r>
      <w:r>
        <w:t xml:space="preserve"> in section 23 of the Act — </w:t>
      </w:r>
    </w:p>
    <w:p>
      <w:pPr>
        <w:pStyle w:val="Indenta"/>
      </w:pPr>
      <w:r>
        <w:tab/>
        <w:t>(a)</w:t>
      </w:r>
      <w:r>
        <w:tab/>
        <w:t xml:space="preserve">the Association of Volunteer Bush Fire Brigades of W.A. Inc. is prescribed as a body that represents the bush fire brigades under the </w:t>
      </w:r>
      <w:r>
        <w:rPr>
          <w:i/>
        </w:rPr>
        <w:t>Bush Fires Act 1954</w:t>
      </w:r>
      <w:r>
        <w:t>; and</w:t>
      </w:r>
    </w:p>
    <w:p>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pPr>
        <w:pStyle w:val="Indenta"/>
      </w:pPr>
      <w:r>
        <w:tab/>
        <w:t>(c)</w:t>
      </w:r>
      <w:r>
        <w:tab/>
        <w:t>the SES Volunteer’s Association of Western Australia Inc. is prescribed as a body that represents the SES Units; and</w:t>
      </w:r>
    </w:p>
    <w:p>
      <w:pPr>
        <w:pStyle w:val="Indenta"/>
      </w:pPr>
      <w:r>
        <w:tab/>
        <w:t>(d)</w:t>
      </w:r>
      <w:r>
        <w:tab/>
        <w:t>the Volunteer Marine Rescue Western Australia Inc. is prescribed as a body that represents the VMRS Groups; and</w:t>
      </w:r>
    </w:p>
    <w:p>
      <w:pPr>
        <w:pStyle w:val="Indenta"/>
      </w:pPr>
      <w:r>
        <w:tab/>
        <w:t>(e)</w:t>
      </w:r>
      <w:r>
        <w:tab/>
        <w:t>the Emergency Services Volunteers Association Inc. is prescribed as a body that represents the FES Units.</w:t>
      </w:r>
    </w:p>
    <w:p>
      <w:pPr>
        <w:pStyle w:val="Footnotesection"/>
      </w:pPr>
      <w:r>
        <w:tab/>
        <w:t>[Regulation 16 inserted in Gazette 14 May 2013 p. 1968-9.]</w:t>
      </w:r>
    </w:p>
    <w:p>
      <w:pPr>
        <w:pStyle w:val="Heading5"/>
      </w:pPr>
      <w:bookmarkStart w:id="58" w:name="_Toc504383672"/>
      <w:r>
        <w:rPr>
          <w:rStyle w:val="CharSectno"/>
        </w:rPr>
        <w:t>16A</w:t>
      </w:r>
      <w:r>
        <w:t>.</w:t>
      </w:r>
      <w:r>
        <w:tab/>
        <w:t>Prescribed symbols not to be used (Act s. 38B(1))</w:t>
      </w:r>
      <w:bookmarkEnd w:id="58"/>
    </w:p>
    <w:p>
      <w:pPr>
        <w:pStyle w:val="Subsection"/>
      </w:pPr>
      <w:r>
        <w:tab/>
      </w:r>
      <w:r>
        <w:tab/>
        <w:t>For the purposes of section 38B(1)(c) of the Act, each of the symbols described and depicted in the Table to this regulation is prescribed.</w:t>
      </w:r>
    </w:p>
    <w:p>
      <w:pPr>
        <w:pStyle w:val="THeading"/>
        <w:ind w:left="1311"/>
      </w:pPr>
      <w:r>
        <w:t>Table</w:t>
      </w:r>
    </w:p>
    <w:tbl>
      <w:tblPr>
        <w:tblStyle w:val="TableGrid"/>
        <w:tblW w:w="0" w:type="auto"/>
        <w:tblInd w:w="1446" w:type="dxa"/>
        <w:tblLook w:val="04A0" w:firstRow="1" w:lastRow="0" w:firstColumn="1" w:lastColumn="0" w:noHBand="0" w:noVBand="1"/>
      </w:tblPr>
      <w:tblGrid>
        <w:gridCol w:w="3109"/>
        <w:gridCol w:w="2641"/>
      </w:tblGrid>
      <w:tr>
        <w:trPr>
          <w:cantSplit/>
        </w:trPr>
        <w:tc>
          <w:tcPr>
            <w:tcW w:w="3109" w:type="dxa"/>
          </w:tcPr>
          <w:p>
            <w:pPr>
              <w:pStyle w:val="TableNAm"/>
              <w:ind w:left="567" w:hanging="567"/>
            </w:pPr>
            <w:r>
              <w:t>1.</w:t>
            </w:r>
            <w:r>
              <w:tab/>
              <w:t>The Department’s logo</w:t>
            </w:r>
          </w:p>
        </w:tc>
        <w:tc>
          <w:tcPr>
            <w:tcW w:w="2641" w:type="dxa"/>
          </w:tcPr>
          <w:p>
            <w:pPr>
              <w:pStyle w:val="TableNAm"/>
              <w:jc w:val="center"/>
            </w:pPr>
            <w:r>
              <w:rPr>
                <w:noProof/>
              </w:rPr>
              <w:drawing>
                <wp:inline distT="0" distB="0" distL="0" distR="0">
                  <wp:extent cx="1196340"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196340" cy="731520"/>
                          </a:xfrm>
                          <a:prstGeom prst="rect">
                            <a:avLst/>
                          </a:prstGeom>
                        </pic:spPr>
                      </pic:pic>
                    </a:graphicData>
                  </a:graphic>
                </wp:inline>
              </w:drawing>
            </w:r>
          </w:p>
        </w:tc>
      </w:tr>
      <w:tr>
        <w:trPr>
          <w:cantSplit/>
        </w:trPr>
        <w:tc>
          <w:tcPr>
            <w:tcW w:w="3109" w:type="dxa"/>
          </w:tcPr>
          <w:p>
            <w:pPr>
              <w:pStyle w:val="TableNAm"/>
              <w:ind w:left="567" w:hanging="567"/>
            </w:pPr>
            <w:r>
              <w:t>2.</w:t>
            </w:r>
            <w:r>
              <w:tab/>
              <w:t>The Department’s arm patch or vehicle decal</w:t>
            </w:r>
          </w:p>
        </w:tc>
        <w:tc>
          <w:tcPr>
            <w:tcW w:w="2641" w:type="dxa"/>
          </w:tcPr>
          <w:p>
            <w:pPr>
              <w:pStyle w:val="TableNAm"/>
              <w:jc w:val="center"/>
            </w:pPr>
            <w:r>
              <w:rPr>
                <w:noProof/>
              </w:rPr>
              <w:drawing>
                <wp:inline distT="0" distB="0" distL="0" distR="0">
                  <wp:extent cx="990600" cy="1310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990600" cy="1310640"/>
                          </a:xfrm>
                          <a:prstGeom prst="rect">
                            <a:avLst/>
                          </a:prstGeom>
                        </pic:spPr>
                      </pic:pic>
                    </a:graphicData>
                  </a:graphic>
                </wp:inline>
              </w:drawing>
            </w:r>
          </w:p>
        </w:tc>
      </w:tr>
      <w:tr>
        <w:trPr>
          <w:cantSplit/>
        </w:trPr>
        <w:tc>
          <w:tcPr>
            <w:tcW w:w="3109" w:type="dxa"/>
          </w:tcPr>
          <w:p>
            <w:pPr>
              <w:pStyle w:val="TableNAm"/>
              <w:ind w:left="567" w:hanging="567"/>
            </w:pPr>
            <w:r>
              <w:t>3.</w:t>
            </w:r>
            <w:r>
              <w:tab/>
              <w:t>The Bush Fire Service WA logo</w:t>
            </w:r>
          </w:p>
        </w:tc>
        <w:tc>
          <w:tcPr>
            <w:tcW w:w="2641" w:type="dxa"/>
          </w:tcPr>
          <w:p>
            <w:pPr>
              <w:pStyle w:val="TableNAm"/>
              <w:jc w:val="center"/>
            </w:pPr>
            <w:r>
              <w:rPr>
                <w:noProof/>
              </w:rPr>
              <w:drawing>
                <wp:inline distT="0" distB="0" distL="0" distR="0">
                  <wp:extent cx="1272540" cy="1280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72540" cy="1280160"/>
                          </a:xfrm>
                          <a:prstGeom prst="rect">
                            <a:avLst/>
                          </a:prstGeom>
                        </pic:spPr>
                      </pic:pic>
                    </a:graphicData>
                  </a:graphic>
                </wp:inline>
              </w:drawing>
            </w:r>
          </w:p>
        </w:tc>
      </w:tr>
      <w:tr>
        <w:trPr>
          <w:cantSplit/>
        </w:trPr>
        <w:tc>
          <w:tcPr>
            <w:tcW w:w="3109" w:type="dxa"/>
          </w:tcPr>
          <w:p>
            <w:pPr>
              <w:pStyle w:val="TableNAm"/>
              <w:ind w:left="567" w:hanging="567"/>
            </w:pPr>
            <w:r>
              <w:t>4.</w:t>
            </w:r>
            <w:r>
              <w:tab/>
              <w:t>The State Emergency Service WA grid logo</w:t>
            </w:r>
          </w:p>
        </w:tc>
        <w:tc>
          <w:tcPr>
            <w:tcW w:w="2641" w:type="dxa"/>
          </w:tcPr>
          <w:p>
            <w:pPr>
              <w:pStyle w:val="TableNAm"/>
              <w:jc w:val="center"/>
            </w:pPr>
            <w:r>
              <w:rPr>
                <w:noProof/>
              </w:rPr>
              <w:drawing>
                <wp:inline distT="0" distB="0" distL="0" distR="0">
                  <wp:extent cx="1051560" cy="1211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051560" cy="1211580"/>
                          </a:xfrm>
                          <a:prstGeom prst="rect">
                            <a:avLst/>
                          </a:prstGeom>
                        </pic:spPr>
                      </pic:pic>
                    </a:graphicData>
                  </a:graphic>
                </wp:inline>
              </w:drawing>
            </w:r>
          </w:p>
        </w:tc>
      </w:tr>
      <w:tr>
        <w:trPr>
          <w:cantSplit/>
        </w:trPr>
        <w:tc>
          <w:tcPr>
            <w:tcW w:w="3109" w:type="dxa"/>
          </w:tcPr>
          <w:p>
            <w:pPr>
              <w:pStyle w:val="TableNAm"/>
              <w:ind w:left="567" w:hanging="567"/>
            </w:pPr>
            <w:r>
              <w:t>5.</w:t>
            </w:r>
            <w:r>
              <w:tab/>
              <w:t>The State Emergency Service WA roundel</w:t>
            </w:r>
          </w:p>
        </w:tc>
        <w:tc>
          <w:tcPr>
            <w:tcW w:w="2641" w:type="dxa"/>
          </w:tcPr>
          <w:p>
            <w:pPr>
              <w:pStyle w:val="TableNAm"/>
              <w:jc w:val="center"/>
            </w:pPr>
            <w:r>
              <w:rPr>
                <w:noProof/>
              </w:rPr>
              <w:drawing>
                <wp:inline distT="0" distB="0" distL="0" distR="0">
                  <wp:extent cx="1059180" cy="9906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059180" cy="990600"/>
                          </a:xfrm>
                          <a:prstGeom prst="rect">
                            <a:avLst/>
                          </a:prstGeom>
                        </pic:spPr>
                      </pic:pic>
                    </a:graphicData>
                  </a:graphic>
                </wp:inline>
              </w:drawing>
            </w:r>
          </w:p>
        </w:tc>
      </w:tr>
      <w:tr>
        <w:trPr>
          <w:cantSplit/>
        </w:trPr>
        <w:tc>
          <w:tcPr>
            <w:tcW w:w="3109" w:type="dxa"/>
          </w:tcPr>
          <w:p>
            <w:pPr>
              <w:pStyle w:val="TableNAm"/>
              <w:ind w:left="567" w:hanging="567"/>
            </w:pPr>
            <w:r>
              <w:t>6.</w:t>
            </w:r>
            <w:r>
              <w:tab/>
              <w:t>The WA Fire and Rescue Service crest</w:t>
            </w:r>
          </w:p>
        </w:tc>
        <w:tc>
          <w:tcPr>
            <w:tcW w:w="2641" w:type="dxa"/>
          </w:tcPr>
          <w:p>
            <w:pPr>
              <w:pStyle w:val="TableNAm"/>
              <w:jc w:val="center"/>
            </w:pPr>
            <w:r>
              <w:rPr>
                <w:noProof/>
              </w:rPr>
              <w:drawing>
                <wp:inline distT="0" distB="0" distL="0" distR="0">
                  <wp:extent cx="112776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127760" cy="1028700"/>
                          </a:xfrm>
                          <a:prstGeom prst="rect">
                            <a:avLst/>
                          </a:prstGeom>
                        </pic:spPr>
                      </pic:pic>
                    </a:graphicData>
                  </a:graphic>
                </wp:inline>
              </w:drawing>
            </w:r>
          </w:p>
        </w:tc>
      </w:tr>
      <w:tr>
        <w:trPr>
          <w:cantSplit/>
        </w:trPr>
        <w:tc>
          <w:tcPr>
            <w:tcW w:w="3109" w:type="dxa"/>
          </w:tcPr>
          <w:p>
            <w:pPr>
              <w:pStyle w:val="TableNAm"/>
              <w:ind w:left="567" w:hanging="567"/>
            </w:pPr>
            <w:r>
              <w:t>7.</w:t>
            </w:r>
            <w:r>
              <w:tab/>
              <w:t>The Volunteer Fire and Emergency Services WA logo</w:t>
            </w:r>
          </w:p>
        </w:tc>
        <w:tc>
          <w:tcPr>
            <w:tcW w:w="2641" w:type="dxa"/>
          </w:tcPr>
          <w:p>
            <w:pPr>
              <w:pStyle w:val="TableNAm"/>
              <w:jc w:val="center"/>
            </w:pPr>
            <w:r>
              <w:rPr>
                <w:noProof/>
              </w:rPr>
              <w:drawing>
                <wp:inline distT="0" distB="0" distL="0" distR="0">
                  <wp:extent cx="1051560" cy="1043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051560" cy="1043940"/>
                          </a:xfrm>
                          <a:prstGeom prst="rect">
                            <a:avLst/>
                          </a:prstGeom>
                        </pic:spPr>
                      </pic:pic>
                    </a:graphicData>
                  </a:graphic>
                </wp:inline>
              </w:drawing>
            </w:r>
          </w:p>
        </w:tc>
      </w:tr>
      <w:tr>
        <w:trPr>
          <w:cantSplit/>
        </w:trPr>
        <w:tc>
          <w:tcPr>
            <w:tcW w:w="3109" w:type="dxa"/>
          </w:tcPr>
          <w:p>
            <w:pPr>
              <w:pStyle w:val="TableNAm"/>
              <w:ind w:left="567" w:hanging="567"/>
            </w:pPr>
            <w:r>
              <w:t>8.</w:t>
            </w:r>
            <w:r>
              <w:tab/>
              <w:t>The Volunteer Marine Rescue Services logo</w:t>
            </w:r>
          </w:p>
        </w:tc>
        <w:tc>
          <w:tcPr>
            <w:tcW w:w="2641" w:type="dxa"/>
          </w:tcPr>
          <w:p>
            <w:pPr>
              <w:pStyle w:val="TableNAm"/>
              <w:jc w:val="center"/>
            </w:pPr>
            <w:r>
              <w:rPr>
                <w:noProof/>
              </w:rPr>
              <w:drawing>
                <wp:inline distT="0" distB="0" distL="0" distR="0">
                  <wp:extent cx="929640" cy="9601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929640" cy="960120"/>
                          </a:xfrm>
                          <a:prstGeom prst="rect">
                            <a:avLst/>
                          </a:prstGeom>
                        </pic:spPr>
                      </pic:pic>
                    </a:graphicData>
                  </a:graphic>
                </wp:inline>
              </w:drawing>
            </w:r>
          </w:p>
        </w:tc>
      </w:tr>
    </w:tbl>
    <w:p>
      <w:pPr>
        <w:pStyle w:val="Footnotesection"/>
      </w:pPr>
      <w:r>
        <w:tab/>
        <w:t>[Regulation 16A inserted in Gazette 8 Sep 2017 p. 4695</w:t>
      </w:r>
      <w:r>
        <w:noBreakHyphen/>
        <w:t>6.]</w:t>
      </w:r>
    </w:p>
    <w:p>
      <w:pPr>
        <w:pStyle w:val="Heading5"/>
      </w:pPr>
      <w:bookmarkStart w:id="59" w:name="_Toc504383673"/>
      <w:r>
        <w:rPr>
          <w:rStyle w:val="CharSectno"/>
        </w:rPr>
        <w:t>17</w:t>
      </w:r>
      <w:r>
        <w:t>.</w:t>
      </w:r>
      <w:r>
        <w:tab/>
        <w:t>Disclosure of information (Act s. 39(2)(d))</w:t>
      </w:r>
      <w:bookmarkEnd w:id="59"/>
    </w:p>
    <w:p>
      <w:pPr>
        <w:pStyle w:val="Subsection"/>
      </w:pPr>
      <w:r>
        <w:tab/>
      </w:r>
      <w:r>
        <w:tab/>
        <w:t xml:space="preserve">For the purposes of section 39(2)(d) of the Act, a person may disclose information to a police officer for any of the following purposes — </w:t>
      </w:r>
    </w:p>
    <w:p>
      <w:pPr>
        <w:pStyle w:val="Indenta"/>
      </w:pPr>
      <w:r>
        <w:tab/>
        <w:t>(a)</w:t>
      </w:r>
      <w:r>
        <w:tab/>
        <w:t>the investigation of a fire or explosion;</w:t>
      </w:r>
    </w:p>
    <w:p>
      <w:pPr>
        <w:pStyle w:val="Indenta"/>
      </w:pPr>
      <w:r>
        <w:tab/>
        <w:t>(b)</w:t>
      </w:r>
      <w:r>
        <w:tab/>
        <w:t>the investigation of a fire</w:t>
      </w:r>
      <w:r>
        <w:noBreakHyphen/>
        <w:t>related death;</w:t>
      </w:r>
    </w:p>
    <w:p>
      <w:pPr>
        <w:pStyle w:val="Indenta"/>
      </w:pPr>
      <w:r>
        <w:tab/>
        <w:t>(c)</w:t>
      </w:r>
      <w:r>
        <w:tab/>
        <w:t xml:space="preserve">the investigation of a suspected offence under any of the following provisions — </w:t>
      </w:r>
    </w:p>
    <w:p>
      <w:pPr>
        <w:pStyle w:val="Indenti"/>
      </w:pPr>
      <w:r>
        <w:tab/>
        <w:t>(i)</w:t>
      </w:r>
      <w:r>
        <w:tab/>
      </w:r>
      <w:r>
        <w:rPr>
          <w:i/>
        </w:rPr>
        <w:t>The Criminal Code</w:t>
      </w:r>
      <w:r>
        <w:t xml:space="preserve"> section 171, 444, 445A, 445, 454 or 455; </w:t>
      </w:r>
    </w:p>
    <w:p>
      <w:pPr>
        <w:pStyle w:val="Indenti"/>
      </w:pPr>
      <w:r>
        <w:tab/>
        <w:t>(ii)</w:t>
      </w:r>
      <w:r>
        <w:tab/>
        <w:t xml:space="preserve">the </w:t>
      </w:r>
      <w:r>
        <w:rPr>
          <w:i/>
        </w:rPr>
        <w:t xml:space="preserve">Bush Fires Act 1954 </w:t>
      </w:r>
      <w:r>
        <w:t>section 22B, 27B or 32.</w:t>
      </w:r>
    </w:p>
    <w:p>
      <w:pPr>
        <w:pStyle w:val="Footnotesection"/>
      </w:pPr>
      <w:r>
        <w:tab/>
        <w:t>[Regulation 17 inserted in Gazette 12 Dec 2014 p. 4712-13.]</w:t>
      </w:r>
    </w:p>
    <w:p>
      <w:pPr>
        <w:pStyle w:val="Footnotesection"/>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31"/>
          <w:headerReference w:type="default" r:id="rId32"/>
          <w:headerReference w:type="first" r:id="rId33"/>
          <w:pgSz w:w="11907" w:h="16840" w:code="9"/>
          <w:pgMar w:top="2376" w:right="2405" w:bottom="3542" w:left="2405" w:header="706" w:footer="3380" w:gutter="0"/>
          <w:pgNumType w:start="1"/>
          <w:cols w:space="720"/>
          <w:noEndnote/>
          <w:titlePg/>
          <w:docGrid w:linePitch="326"/>
        </w:sectPr>
      </w:pPr>
    </w:p>
    <w:p>
      <w:pPr>
        <w:pStyle w:val="nHeading2"/>
      </w:pPr>
      <w:bookmarkStart w:id="60" w:name="_Toc496088438"/>
      <w:bookmarkStart w:id="61" w:name="_Toc496089087"/>
      <w:bookmarkStart w:id="62" w:name="_Toc496089116"/>
      <w:bookmarkStart w:id="63" w:name="_Toc496089296"/>
      <w:bookmarkStart w:id="64" w:name="_Toc496103266"/>
      <w:bookmarkStart w:id="65" w:name="_Toc504383674"/>
      <w:r>
        <w:t>Notes</w:t>
      </w:r>
      <w:bookmarkEnd w:id="60"/>
      <w:bookmarkEnd w:id="61"/>
      <w:bookmarkEnd w:id="62"/>
      <w:bookmarkEnd w:id="63"/>
      <w:bookmarkEnd w:id="64"/>
      <w:bookmarkEnd w:id="65"/>
    </w:p>
    <w:p>
      <w:pPr>
        <w:pStyle w:val="nSubsection"/>
      </w:pPr>
      <w:r>
        <w:rPr>
          <w:vertAlign w:val="superscript"/>
        </w:rPr>
        <w:t>1</w:t>
      </w:r>
      <w:r>
        <w:tab/>
        <w:t xml:space="preserve">This reprint is a compilation as at 23 February 2018 of the </w:t>
      </w:r>
      <w:r>
        <w:rPr>
          <w:i/>
          <w:noProof/>
        </w:rPr>
        <w:t>Fire and Emergency Services Regulations 1998</w:t>
      </w:r>
      <w:r>
        <w:t xml:space="preserve"> and includes the amendments made by the other written laws referred to in the following table.  The table also contains information about any reprint.</w:t>
      </w:r>
    </w:p>
    <w:p>
      <w:pPr>
        <w:pStyle w:val="nHeading3"/>
      </w:pPr>
      <w:bookmarkStart w:id="66" w:name="_Toc504383675"/>
      <w:r>
        <w:t>Compilation table</w:t>
      </w:r>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Regulations 1998 </w:t>
            </w:r>
            <w:r>
              <w:rPr>
                <w:vertAlign w:val="superscript"/>
              </w:rPr>
              <w:t>4</w:t>
            </w:r>
          </w:p>
        </w:tc>
        <w:tc>
          <w:tcPr>
            <w:tcW w:w="1276" w:type="dxa"/>
            <w:tcBorders>
              <w:top w:val="single" w:sz="8" w:space="0" w:color="auto"/>
            </w:tcBorders>
          </w:tcPr>
          <w:p>
            <w:pPr>
              <w:pStyle w:val="nTable"/>
              <w:spacing w:after="40"/>
            </w:pPr>
            <w:r>
              <w:t>22 Dec 1998 p. 6843</w:t>
            </w:r>
            <w:r>
              <w:noBreakHyphen/>
              <w:t>4</w:t>
            </w:r>
          </w:p>
        </w:tc>
        <w:tc>
          <w:tcPr>
            <w:tcW w:w="2693" w:type="dxa"/>
            <w:tcBorders>
              <w:top w:val="single" w:sz="8" w:space="0" w:color="auto"/>
            </w:tcBorders>
          </w:tcPr>
          <w:p>
            <w:pPr>
              <w:pStyle w:val="nTable"/>
              <w:spacing w:after="40"/>
            </w:pPr>
            <w:r>
              <w:t xml:space="preserve">1 Jan 1999 (see r. 2 and </w:t>
            </w:r>
            <w:r>
              <w:rPr>
                <w:i/>
              </w:rPr>
              <w:t>Gazette</w:t>
            </w:r>
            <w:r>
              <w:t xml:space="preserve"> 22 Dec 1998 p. 6833)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2) 2003</w:t>
            </w:r>
          </w:p>
        </w:tc>
        <w:tc>
          <w:tcPr>
            <w:tcW w:w="1276" w:type="dxa"/>
          </w:tcPr>
          <w:p>
            <w:pPr>
              <w:pStyle w:val="nTable"/>
              <w:spacing w:after="40"/>
            </w:pPr>
            <w:r>
              <w:t>16 May 2003 p. 1697</w:t>
            </w:r>
            <w:r>
              <w:noBreakHyphen/>
              <w:t>701</w:t>
            </w:r>
          </w:p>
        </w:tc>
        <w:tc>
          <w:tcPr>
            <w:tcW w:w="2693" w:type="dxa"/>
          </w:tcPr>
          <w:p>
            <w:pPr>
              <w:pStyle w:val="nTable"/>
              <w:spacing w:after="40"/>
            </w:pPr>
            <w:r>
              <w:t>16 May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3) 2003</w:t>
            </w:r>
          </w:p>
        </w:tc>
        <w:tc>
          <w:tcPr>
            <w:tcW w:w="1276" w:type="dxa"/>
          </w:tcPr>
          <w:p>
            <w:pPr>
              <w:pStyle w:val="nTable"/>
              <w:spacing w:after="40"/>
            </w:pPr>
            <w:r>
              <w:t>13 Jun 2003 p. 2117</w:t>
            </w:r>
          </w:p>
        </w:tc>
        <w:tc>
          <w:tcPr>
            <w:tcW w:w="2693" w:type="dxa"/>
          </w:tcPr>
          <w:p>
            <w:pPr>
              <w:pStyle w:val="nTable"/>
              <w:spacing w:after="40"/>
            </w:pPr>
            <w:r>
              <w:t>13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4) 2003</w:t>
            </w:r>
          </w:p>
        </w:tc>
        <w:tc>
          <w:tcPr>
            <w:tcW w:w="1276" w:type="dxa"/>
          </w:tcPr>
          <w:p>
            <w:pPr>
              <w:pStyle w:val="nTable"/>
              <w:spacing w:after="40"/>
            </w:pPr>
            <w:r>
              <w:t>27 Jun 2003 p. 2387</w:t>
            </w:r>
            <w:r>
              <w:noBreakHyphen/>
              <w:t>8</w:t>
            </w:r>
          </w:p>
        </w:tc>
        <w:tc>
          <w:tcPr>
            <w:tcW w:w="2693" w:type="dxa"/>
          </w:tcPr>
          <w:p>
            <w:pPr>
              <w:pStyle w:val="nTable"/>
              <w:spacing w:after="40"/>
            </w:pPr>
            <w:r>
              <w:t>27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2003</w:t>
            </w:r>
          </w:p>
        </w:tc>
        <w:tc>
          <w:tcPr>
            <w:tcW w:w="1276" w:type="dxa"/>
          </w:tcPr>
          <w:p>
            <w:pPr>
              <w:pStyle w:val="nTable"/>
              <w:spacing w:after="40"/>
            </w:pPr>
            <w:r>
              <w:t>3 Oct 2003 p. 4351</w:t>
            </w:r>
            <w:r>
              <w:noBreakHyphen/>
              <w:t>5</w:t>
            </w:r>
          </w:p>
        </w:tc>
        <w:tc>
          <w:tcPr>
            <w:tcW w:w="2693" w:type="dxa"/>
          </w:tcPr>
          <w:p>
            <w:pPr>
              <w:pStyle w:val="nTable"/>
              <w:spacing w:after="40"/>
            </w:pPr>
            <w:r>
              <w:t>3 Oct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Dec 2004 p. 6973</w:t>
            </w:r>
          </w:p>
        </w:tc>
        <w:tc>
          <w:tcPr>
            <w:tcW w:w="2693" w:type="dxa"/>
          </w:tcPr>
          <w:p>
            <w:pPr>
              <w:pStyle w:val="nTable"/>
              <w:spacing w:after="40"/>
            </w:pPr>
            <w:r>
              <w:t xml:space="preserve">1 Jan 2005 (see r. 2 and </w:t>
            </w:r>
            <w:r>
              <w:rPr>
                <w:i/>
                <w:iCs/>
              </w:rPr>
              <w:t xml:space="preserve">Gazette </w:t>
            </w:r>
            <w:r>
              <w:t>31 Dec 2004 p. 7130)</w:t>
            </w:r>
          </w:p>
        </w:tc>
      </w:tr>
      <w:tr>
        <w:trPr>
          <w:cantSplit/>
        </w:trPr>
        <w:tc>
          <w:tcPr>
            <w:tcW w:w="7088" w:type="dxa"/>
            <w:gridSpan w:val="3"/>
          </w:tcPr>
          <w:p>
            <w:pPr>
              <w:pStyle w:val="nTable"/>
              <w:spacing w:after="40"/>
            </w:pPr>
            <w:r>
              <w:rPr>
                <w:b/>
                <w:bCs/>
              </w:rPr>
              <w:t xml:space="preserve">Reprint 1: The </w:t>
            </w:r>
            <w:r>
              <w:rPr>
                <w:b/>
                <w:bCs/>
                <w:i/>
              </w:rPr>
              <w:t xml:space="preserve">Fire and Emergency Services Authority of </w:t>
            </w:r>
            <w:smartTag w:uri="urn:schemas-microsoft-com:office:smarttags" w:element="place">
              <w:smartTag w:uri="urn:schemas-microsoft-com:office:smarttags" w:element="State">
                <w:r>
                  <w:rPr>
                    <w:b/>
                    <w:bCs/>
                    <w:i/>
                  </w:rPr>
                  <w:t>Western Australia</w:t>
                </w:r>
              </w:smartTag>
            </w:smartTag>
            <w:r>
              <w:rPr>
                <w:b/>
                <w:bCs/>
                <w:i/>
              </w:rPr>
              <w:t xml:space="preserve"> Regulations 1998</w:t>
            </w:r>
            <w:r>
              <w:rPr>
                <w:b/>
                <w:bCs/>
              </w:rPr>
              <w:t xml:space="preserve"> as at 4 Feb 2005</w:t>
            </w:r>
            <w:r>
              <w:t xml:space="preserve"> (includes amendments listed above)</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2008</w:t>
            </w:r>
          </w:p>
        </w:tc>
        <w:tc>
          <w:tcPr>
            <w:tcW w:w="1276" w:type="dxa"/>
          </w:tcPr>
          <w:p>
            <w:pPr>
              <w:pStyle w:val="nTable"/>
              <w:spacing w:after="40"/>
            </w:pPr>
            <w:r>
              <w:t>10 Jun 2008 p. 2486-7</w:t>
            </w:r>
          </w:p>
        </w:tc>
        <w:tc>
          <w:tcPr>
            <w:tcW w:w="2693" w:type="dxa"/>
          </w:tcPr>
          <w:p>
            <w:pPr>
              <w:pStyle w:val="nTable"/>
              <w:spacing w:after="40"/>
            </w:pPr>
            <w:r>
              <w:t>r. 1 and 2: 10 Jun 2008 (see r. 2(a));</w:t>
            </w:r>
            <w:r>
              <w:br/>
              <w:t>Regulations other than r. 1 and 2: 11 Jun 2008 (see r. 2(b))</w:t>
            </w:r>
          </w:p>
        </w:tc>
      </w:tr>
      <w:tr>
        <w:tc>
          <w:tcPr>
            <w:tcW w:w="3119" w:type="dxa"/>
          </w:tcPr>
          <w:p>
            <w:pPr>
              <w:pStyle w:val="nTable"/>
              <w:spacing w:after="40"/>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Amendment Regulations 2012</w:t>
            </w:r>
          </w:p>
        </w:tc>
        <w:tc>
          <w:tcPr>
            <w:tcW w:w="1276" w:type="dxa"/>
          </w:tcPr>
          <w:p>
            <w:pPr>
              <w:pStyle w:val="nTable"/>
              <w:spacing w:after="40"/>
            </w:pPr>
            <w:r>
              <w:t>31 Oct 2012 p. 5229</w:t>
            </w:r>
            <w:r>
              <w:noBreakHyphen/>
              <w:t>32</w:t>
            </w:r>
          </w:p>
        </w:tc>
        <w:tc>
          <w:tcPr>
            <w:tcW w:w="2693" w:type="dxa"/>
          </w:tcPr>
          <w:p>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c>
          <w:tcPr>
            <w:tcW w:w="7088" w:type="dxa"/>
            <w:gridSpan w:val="3"/>
            <w:shd w:val="clear" w:color="auto" w:fill="auto"/>
          </w:tcPr>
          <w:p>
            <w:pPr>
              <w:pStyle w:val="nTable"/>
              <w:spacing w:after="40"/>
              <w:rPr>
                <w:rFonts w:ascii="Times" w:hAnsi="Times"/>
                <w:snapToGrid w:val="0"/>
                <w:spacing w:val="-2"/>
              </w:rPr>
            </w:pPr>
            <w:r>
              <w:rPr>
                <w:rFonts w:ascii="Times" w:hAnsi="Times"/>
                <w:b/>
                <w:snapToGrid w:val="0"/>
                <w:spacing w:val="-2"/>
              </w:rPr>
              <w:t xml:space="preserve">Reprint 2:  The </w:t>
            </w:r>
            <w:r>
              <w:rPr>
                <w:rFonts w:ascii="Times" w:hAnsi="Times"/>
                <w:b/>
                <w:i/>
                <w:snapToGrid w:val="0"/>
                <w:spacing w:val="-2"/>
              </w:rPr>
              <w:t>Fire and Emergency Services Regulations 1998</w:t>
            </w:r>
            <w:r>
              <w:rPr>
                <w:rFonts w:ascii="Times" w:hAnsi="Times"/>
                <w:b/>
                <w:snapToGrid w:val="0"/>
                <w:spacing w:val="-2"/>
              </w:rPr>
              <w:t xml:space="preserve"> as at 7 Dec 2012</w:t>
            </w:r>
            <w:r>
              <w:rPr>
                <w:rFonts w:ascii="Times" w:hAnsi="Times"/>
                <w:b/>
                <w:snapToGrid w:val="0"/>
                <w:spacing w:val="-2"/>
              </w:rPr>
              <w:br/>
            </w:r>
            <w:r>
              <w:rPr>
                <w:rFonts w:ascii="Times" w:hAnsi="Times"/>
                <w:snapToGrid w:val="0"/>
                <w:spacing w:val="-2"/>
              </w:rPr>
              <w:t>(includes amendments listed above)</w:t>
            </w:r>
          </w:p>
        </w:tc>
      </w:tr>
      <w:tr>
        <w:tc>
          <w:tcPr>
            <w:tcW w:w="3119" w:type="dxa"/>
          </w:tcPr>
          <w:p>
            <w:pPr>
              <w:pStyle w:val="nTable"/>
              <w:keepNext/>
              <w:spacing w:after="40"/>
            </w:pPr>
            <w:r>
              <w:rPr>
                <w:i/>
              </w:rPr>
              <w:t>Fire and Emergency Services Amendment Regulations 2013</w:t>
            </w:r>
          </w:p>
        </w:tc>
        <w:tc>
          <w:tcPr>
            <w:tcW w:w="1276" w:type="dxa"/>
          </w:tcPr>
          <w:p>
            <w:pPr>
              <w:pStyle w:val="nTable"/>
              <w:keepNext/>
              <w:spacing w:after="40"/>
            </w:pPr>
            <w:r>
              <w:t>14 May 2013 p. 1968-9</w:t>
            </w:r>
          </w:p>
        </w:tc>
        <w:tc>
          <w:tcPr>
            <w:tcW w:w="2693" w:type="dxa"/>
          </w:tcPr>
          <w:p>
            <w:pPr>
              <w:pStyle w:val="nTable"/>
              <w:keepNext/>
              <w:spacing w:after="40"/>
            </w:pPr>
            <w:r>
              <w:rPr>
                <w:snapToGrid w:val="0"/>
              </w:rPr>
              <w:t>r. 1 and 2: 14 May 2013 (see r. 2(a));</w:t>
            </w:r>
            <w:r>
              <w:rPr>
                <w:snapToGrid w:val="0"/>
              </w:rPr>
              <w:br/>
              <w:t>Regulations other than r. 1 and 2: 15 May 2013 (see r. 2(b))</w:t>
            </w:r>
          </w:p>
        </w:tc>
      </w:tr>
      <w:tr>
        <w:tc>
          <w:tcPr>
            <w:tcW w:w="3119" w:type="dxa"/>
          </w:tcPr>
          <w:p>
            <w:pPr>
              <w:pStyle w:val="nTable"/>
              <w:keepNext/>
              <w:spacing w:after="40"/>
              <w:rPr>
                <w:i/>
              </w:rPr>
            </w:pPr>
            <w:r>
              <w:rPr>
                <w:i/>
              </w:rPr>
              <w:t>Fire and Emergency Services Amendment Regulations 2014</w:t>
            </w:r>
          </w:p>
        </w:tc>
        <w:tc>
          <w:tcPr>
            <w:tcW w:w="1276" w:type="dxa"/>
          </w:tcPr>
          <w:p>
            <w:pPr>
              <w:pStyle w:val="nTable"/>
              <w:keepNext/>
              <w:spacing w:after="40"/>
            </w:pPr>
            <w:r>
              <w:t>12 Dec 2014 p. 4712-13</w:t>
            </w:r>
          </w:p>
        </w:tc>
        <w:tc>
          <w:tcPr>
            <w:tcW w:w="2693" w:type="dxa"/>
          </w:tcPr>
          <w:p>
            <w:pPr>
              <w:pStyle w:val="nTable"/>
              <w:keepNext/>
              <w:spacing w:after="40"/>
              <w:rPr>
                <w:snapToGrid w:val="0"/>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9" w:type="dxa"/>
          </w:tcPr>
          <w:p>
            <w:pPr>
              <w:pStyle w:val="nTable"/>
              <w:keepNext/>
              <w:spacing w:after="40"/>
              <w:rPr>
                <w:i/>
              </w:rPr>
            </w:pPr>
            <w:r>
              <w:rPr>
                <w:i/>
              </w:rPr>
              <w:t>Fire and Emergency Services Amendment Regulations 2015</w:t>
            </w:r>
          </w:p>
        </w:tc>
        <w:tc>
          <w:tcPr>
            <w:tcW w:w="1276" w:type="dxa"/>
          </w:tcPr>
          <w:p>
            <w:pPr>
              <w:pStyle w:val="nTable"/>
              <w:keepNext/>
              <w:spacing w:after="40"/>
            </w:pPr>
            <w:r>
              <w:t>2 Jun 2015 p. 1939</w:t>
            </w:r>
            <w:r>
              <w:noBreakHyphen/>
              <w:t>40</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Regulations other than r. 1 and 2: 3 Jun 2015 (see r. 2(b))</w:t>
            </w:r>
          </w:p>
        </w:tc>
      </w:tr>
      <w:tr>
        <w:tc>
          <w:tcPr>
            <w:tcW w:w="3119" w:type="dxa"/>
          </w:tcPr>
          <w:p>
            <w:pPr>
              <w:pStyle w:val="nTable"/>
              <w:keepNext/>
              <w:spacing w:after="40"/>
              <w:rPr>
                <w:i/>
              </w:rPr>
            </w:pPr>
            <w:r>
              <w:rPr>
                <w:i/>
              </w:rPr>
              <w:t>Fire and Emergency Services Amendment Regulations 2017</w:t>
            </w:r>
          </w:p>
        </w:tc>
        <w:tc>
          <w:tcPr>
            <w:tcW w:w="1276" w:type="dxa"/>
          </w:tcPr>
          <w:p>
            <w:pPr>
              <w:pStyle w:val="nTable"/>
              <w:keepNext/>
              <w:spacing w:after="40"/>
            </w:pPr>
            <w:r>
              <w:t>8 Sep 2017 p. 4695</w:t>
            </w:r>
            <w:r>
              <w:noBreakHyphen/>
              <w:t>6</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8 Sep 2017 (see r. 2(a));</w:t>
            </w:r>
            <w:r>
              <w:rPr>
                <w:rFonts w:ascii="Times" w:hAnsi="Times"/>
                <w:bCs/>
                <w:snapToGrid w:val="0"/>
                <w:spacing w:val="-2"/>
              </w:rPr>
              <w:br/>
              <w:t>Regulations other than r. 1 and 2: 9 Sep 2017 (see r. 2(b))</w:t>
            </w:r>
          </w:p>
        </w:tc>
      </w:tr>
      <w:tr>
        <w:tc>
          <w:tcPr>
            <w:tcW w:w="3119" w:type="dxa"/>
          </w:tcPr>
          <w:p>
            <w:pPr>
              <w:pStyle w:val="nTable"/>
              <w:keepNext/>
              <w:spacing w:after="40"/>
            </w:pPr>
            <w:r>
              <w:rPr>
                <w:i/>
              </w:rPr>
              <w:t>Fire and Emergency Services Amendment Regulations (No. 2) 2017</w:t>
            </w:r>
          </w:p>
        </w:tc>
        <w:tc>
          <w:tcPr>
            <w:tcW w:w="1276" w:type="dxa"/>
          </w:tcPr>
          <w:p>
            <w:pPr>
              <w:pStyle w:val="nTable"/>
              <w:keepNext/>
              <w:spacing w:after="40"/>
            </w:pPr>
            <w:r>
              <w:t>15 Sep 2017 p. 4792</w:t>
            </w:r>
            <w:r>
              <w:noBreakHyphen/>
              <w:t>4</w:t>
            </w:r>
          </w:p>
        </w:tc>
        <w:tc>
          <w:tcPr>
            <w:tcW w:w="2693" w:type="dxa"/>
          </w:tcPr>
          <w:p>
            <w:pPr>
              <w:pStyle w:val="nTable"/>
              <w:keepNext/>
              <w:spacing w:after="40"/>
              <w:rPr>
                <w:rFonts w:ascii="Times" w:hAnsi="Times"/>
                <w:bCs/>
                <w:snapToGrid w:val="0"/>
                <w:spacing w:val="-2"/>
              </w:rPr>
            </w:pPr>
            <w:r>
              <w:rPr>
                <w:rFonts w:ascii="Times" w:hAnsi="Times"/>
                <w:bCs/>
                <w:snapToGrid w:val="0"/>
                <w:spacing w:val="-2"/>
              </w:rPr>
              <w:t xml:space="preserve">16 Sep 2017 (see r. 2 and </w:t>
            </w:r>
            <w:r>
              <w:rPr>
                <w:rFonts w:ascii="Times" w:hAnsi="Times"/>
                <w:bCs/>
                <w:i/>
                <w:snapToGrid w:val="0"/>
                <w:spacing w:val="-2"/>
              </w:rPr>
              <w:t>Gazette</w:t>
            </w:r>
            <w:r>
              <w:rPr>
                <w:rFonts w:ascii="Times" w:hAnsi="Times"/>
                <w:bCs/>
                <w:snapToGrid w:val="0"/>
                <w:spacing w:val="-2"/>
              </w:rPr>
              <w:t xml:space="preserve"> 15 Sep 2017 p. 4791)</w:t>
            </w:r>
          </w:p>
        </w:tc>
      </w:tr>
      <w:tr>
        <w:tc>
          <w:tcPr>
            <w:tcW w:w="7088" w:type="dxa"/>
            <w:gridSpan w:val="3"/>
            <w:tcBorders>
              <w:bottom w:val="single" w:sz="4" w:space="0" w:color="auto"/>
            </w:tcBorders>
          </w:tcPr>
          <w:p>
            <w:pPr>
              <w:pStyle w:val="nTable"/>
              <w:keepNext/>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Fire and Emergency Services Regulations 1998</w:t>
            </w:r>
            <w:r>
              <w:rPr>
                <w:rFonts w:ascii="Times" w:hAnsi="Times"/>
                <w:b/>
                <w:bCs/>
                <w:snapToGrid w:val="0"/>
                <w:spacing w:val="-2"/>
              </w:rPr>
              <w:t xml:space="preserve"> as at 23 Feb 2018</w:t>
            </w:r>
            <w:r>
              <w:rPr>
                <w:rFonts w:ascii="Times" w:hAnsi="Times"/>
                <w:bCs/>
                <w:snapToGrid w:val="0"/>
                <w:spacing w:val="-2"/>
              </w:rPr>
              <w:t xml:space="preserve"> (includes amendments listed above)</w:t>
            </w:r>
          </w:p>
        </w:tc>
      </w:tr>
    </w:tbl>
    <w:p>
      <w:pPr>
        <w:pStyle w:val="nSubsection"/>
        <w:keepNext/>
        <w:spacing w:before="160"/>
        <w:rPr>
          <w:i/>
          <w:iCs/>
        </w:rPr>
      </w:pPr>
      <w:r>
        <w:rPr>
          <w:vertAlign w:val="superscript"/>
        </w:rPr>
        <w:t>2</w:t>
      </w:r>
      <w:r>
        <w:tab/>
        <w:t xml:space="preserve">Formerly referred to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Subsection"/>
        <w:keepNext/>
        <w:spacing w:before="160"/>
        <w:rPr>
          <w:i/>
          <w:iCs/>
        </w:rPr>
      </w:pPr>
      <w:r>
        <w:rPr>
          <w:vertAlign w:val="superscript"/>
        </w:rPr>
        <w:t>3</w:t>
      </w:r>
      <w:r>
        <w:tab/>
        <w:t xml:space="preserve">Repealed by the </w:t>
      </w:r>
      <w:r>
        <w:rPr>
          <w:i/>
          <w:iCs/>
        </w:rPr>
        <w:t>Mining Act 1978.</w:t>
      </w:r>
    </w:p>
    <w:p>
      <w:pPr>
        <w:pStyle w:val="nSubsection"/>
        <w:keepNext/>
        <w:rPr>
          <w:snapToGrid w:val="0"/>
        </w:rPr>
      </w:pPr>
      <w:r>
        <w:rPr>
          <w:snapToGrid w:val="0"/>
          <w:vertAlign w:val="superscript"/>
        </w:rPr>
        <w:t>4</w:t>
      </w:r>
      <w:r>
        <w:rPr>
          <w:snapToGrid w:val="0"/>
        </w:rPr>
        <w:tab/>
        <w:t xml:space="preserve">Now known as the </w:t>
      </w:r>
      <w:r>
        <w:rPr>
          <w:i/>
          <w:snapToGrid w:val="0"/>
        </w:rPr>
        <w:t>Fire and Emergency Services Regulations 1998</w:t>
      </w:r>
      <w:r>
        <w:rPr>
          <w:snapToGrid w:val="0"/>
        </w:rPr>
        <w:t>; citation changed (see note under r. 1).</w:t>
      </w:r>
    </w:p>
    <w:p>
      <w:pPr>
        <w:keepNext/>
      </w:pP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68" w:name="_Toc496088440"/>
      <w:bookmarkStart w:id="69" w:name="_Toc496089089"/>
      <w:bookmarkStart w:id="70" w:name="_Toc496089118"/>
      <w:bookmarkStart w:id="71" w:name="_Toc496089298"/>
      <w:bookmarkStart w:id="72" w:name="_Toc496103268"/>
      <w:bookmarkStart w:id="73" w:name="_Toc504383676"/>
      <w:r>
        <w:rPr>
          <w:sz w:val="28"/>
        </w:rPr>
        <w:t>Defined terms</w:t>
      </w:r>
      <w:bookmarkEnd w:id="68"/>
      <w:bookmarkEnd w:id="69"/>
      <w:bookmarkEnd w:id="70"/>
      <w:bookmarkEnd w:id="71"/>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bush fire brigade</w:t>
      </w:r>
      <w:r>
        <w:tab/>
        <w:t>6(7)</w:t>
      </w:r>
    </w:p>
    <w:p>
      <w:pPr>
        <w:pStyle w:val="DefinedTerms"/>
      </w:pPr>
      <w:r>
        <w:t>contaminated</w:t>
      </w:r>
      <w:r>
        <w:tab/>
        <w:t>5(2)</w:t>
      </w:r>
    </w:p>
    <w:p>
      <w:pPr>
        <w:pStyle w:val="DefinedTerms"/>
      </w:pPr>
      <w:r>
        <w:t>permanent fire brigade</w:t>
      </w:r>
      <w:r>
        <w:tab/>
        <w:t>6(7)</w:t>
      </w:r>
    </w:p>
    <w:p>
      <w:pPr>
        <w:pStyle w:val="DefinedTerms"/>
      </w:pPr>
      <w:r>
        <w:t>private fire brigade</w:t>
      </w:r>
      <w:r>
        <w:tab/>
        <w:t>6(7)</w:t>
      </w:r>
    </w:p>
    <w:p>
      <w:pPr>
        <w:pStyle w:val="DefinedTerms"/>
      </w:pPr>
      <w:r>
        <w:t>volunteer fire brigade</w:t>
      </w:r>
      <w:r>
        <w:tab/>
        <w:t>6(7)</w:t>
      </w:r>
    </w:p>
    <w:p>
      <w:pPr>
        <w:pStyle w:val="DefinedTerms"/>
      </w:pPr>
      <w:r>
        <w:t>Western Australian Municipal Association</w:t>
      </w:r>
      <w:r>
        <w:tab/>
        <w:t>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674" cy="2451100"/>
                <wp:effectExtent l="0" t="0" r="1905" b="6350"/>
                <wp:wrapNone/>
                <wp:docPr id="4"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yI9AIAAIE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" stroked="f" strokeweight=".5pt">
                <v:textbox>
                  <w:txbxContent>
                    <w:p w:rsidR="008E560D" w:rsidRDefault="008E560D">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72D4"/>
    <w:lvl w:ilvl="0">
      <w:start w:val="1"/>
      <w:numFmt w:val="decimal"/>
      <w:lvlText w:val="%1."/>
      <w:lvlJc w:val="left"/>
      <w:pPr>
        <w:tabs>
          <w:tab w:val="num" w:pos="1492"/>
        </w:tabs>
        <w:ind w:left="1492" w:hanging="360"/>
      </w:pPr>
    </w:lvl>
  </w:abstractNum>
  <w:abstractNum w:abstractNumId="1">
    <w:nsid w:val="FFFFFF7D"/>
    <w:multiLevelType w:val="singleLevel"/>
    <w:tmpl w:val="62D86704"/>
    <w:lvl w:ilvl="0">
      <w:start w:val="1"/>
      <w:numFmt w:val="decimal"/>
      <w:lvlText w:val="%1."/>
      <w:lvlJc w:val="left"/>
      <w:pPr>
        <w:tabs>
          <w:tab w:val="num" w:pos="1209"/>
        </w:tabs>
        <w:ind w:left="1209" w:hanging="360"/>
      </w:pPr>
    </w:lvl>
  </w:abstractNum>
  <w:abstractNum w:abstractNumId="2">
    <w:nsid w:val="FFFFFF7E"/>
    <w:multiLevelType w:val="singleLevel"/>
    <w:tmpl w:val="133EB76C"/>
    <w:lvl w:ilvl="0">
      <w:start w:val="1"/>
      <w:numFmt w:val="decimal"/>
      <w:lvlText w:val="%1."/>
      <w:lvlJc w:val="left"/>
      <w:pPr>
        <w:tabs>
          <w:tab w:val="num" w:pos="926"/>
        </w:tabs>
        <w:ind w:left="926" w:hanging="360"/>
      </w:pPr>
    </w:lvl>
  </w:abstractNum>
  <w:abstractNum w:abstractNumId="3">
    <w:nsid w:val="FFFFFF7F"/>
    <w:multiLevelType w:val="singleLevel"/>
    <w:tmpl w:val="F138826E"/>
    <w:lvl w:ilvl="0">
      <w:start w:val="1"/>
      <w:numFmt w:val="decimal"/>
      <w:lvlText w:val="%1."/>
      <w:lvlJc w:val="left"/>
      <w:pPr>
        <w:tabs>
          <w:tab w:val="num" w:pos="643"/>
        </w:tabs>
        <w:ind w:left="643" w:hanging="360"/>
      </w:pPr>
    </w:lvl>
  </w:abstractNum>
  <w:abstractNum w:abstractNumId="4">
    <w:nsid w:val="FFFFFF80"/>
    <w:multiLevelType w:val="singleLevel"/>
    <w:tmpl w:val="06B4A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1417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54E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AC93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D65BB0"/>
    <w:lvl w:ilvl="0">
      <w:start w:val="1"/>
      <w:numFmt w:val="decimal"/>
      <w:lvlText w:val="%1."/>
      <w:lvlJc w:val="left"/>
      <w:pPr>
        <w:tabs>
          <w:tab w:val="num" w:pos="360"/>
        </w:tabs>
        <w:ind w:left="360" w:hanging="360"/>
      </w:pPr>
    </w:lvl>
  </w:abstractNum>
  <w:abstractNum w:abstractNumId="9">
    <w:nsid w:val="FFFFFF89"/>
    <w:multiLevelType w:val="singleLevel"/>
    <w:tmpl w:val="93FEF7C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EB810F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18110525"/>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 w:name="WAFER_20151105103702" w:val="UpdateStyles,UsedStyles"/>
    <w:docVar w:name="WAFER_20151105103702_GUID" w:val="42b05bc7-ed00-4a05-9b5e-e97b2cd4c443"/>
    <w:docVar w:name="WAFER_20170907140850" w:val="RemoveTocBookmarks,RemoveUnusedBookmarks,RemoveLanguageTags,UsedStyles,ResetPageSize"/>
    <w:docVar w:name="WAFER_20170907140850_GUID" w:val="83f90f36-5ea3-43db-916b-e562427c76e0"/>
    <w:docVar w:name="WAFER_20170914152002" w:val="RemoveTocBookmarks,RemoveUnusedBookmarks,RemoveLanguageTags,UsedStyles,ResetPageSize"/>
    <w:docVar w:name="WAFER_20170914152002_GUID" w:val="23452df9-d08b-4ae7-a4b9-6c1fbb71f4d2"/>
    <w:docVar w:name="WAFER_20171018110525" w:val="RemoveTocBookmarks,RemoveUnusedBookmarks,RemoveLanguageTags,UsedStyles,ResetPageSize,RemoveCustomizations"/>
    <w:docVar w:name="WAFER_20171018110525_GUID" w:val="6979b20b-5dc3-494d-a2fc-c316f2e26e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THeading"/>
    <w:pPr>
      <w:ind w:left="1446" w:right="142"/>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THeading"/>
    <w:pPr>
      <w:ind w:left="1446" w:right="142"/>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png"/><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png"/><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4740</Words>
  <Characters>22473</Characters>
  <Application>Microsoft Office Word</Application>
  <DocSecurity>0</DocSecurity>
  <Lines>702</Lines>
  <Paragraphs>412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1998 - 03-00-00</dc:title>
  <dc:subject/>
  <dc:creator/>
  <cp:keywords/>
  <dc:description/>
  <cp:lastModifiedBy>svcMRProcess</cp:lastModifiedBy>
  <cp:revision>4</cp:revision>
  <cp:lastPrinted>2018-02-27T01:15:00Z</cp:lastPrinted>
  <dcterms:created xsi:type="dcterms:W3CDTF">2020-03-08T16:55:00Z</dcterms:created>
  <dcterms:modified xsi:type="dcterms:W3CDTF">2020-03-08T16:55:00Z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DocumentType">
    <vt:lpwstr>Reg</vt:lpwstr>
  </property>
  <property fmtid="{D5CDD505-2E9C-101B-9397-08002B2CF9AE}" pid="4" name="OwlsUID">
    <vt:i4>792</vt:i4>
  </property>
  <property fmtid="{D5CDD505-2E9C-101B-9397-08002B2CF9AE}" pid="5" name="AsAtDate">
    <vt:lpwstr>23 Feb 2018</vt:lpwstr>
  </property>
  <property fmtid="{D5CDD505-2E9C-101B-9397-08002B2CF9AE}" pid="6" name="Suffix">
    <vt:lpwstr>03-00-00</vt:lpwstr>
  </property>
  <property fmtid="{D5CDD505-2E9C-101B-9397-08002B2CF9AE}" pid="7" name="ReprintedAsAt">
    <vt:filetime>2018-02-22T16:00:00Z</vt:filetime>
  </property>
  <property fmtid="{D5CDD505-2E9C-101B-9397-08002B2CF9AE}" pid="8" name="ReprintNo">
    <vt:lpwstr>3</vt:lpwstr>
  </property>
  <property fmtid="{D5CDD505-2E9C-101B-9397-08002B2CF9AE}" pid="9" name="CommencementDate">
    <vt:lpwstr>20180223</vt:lpwstr>
  </property>
</Properties>
</file>