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Sentence Administration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_Toc511135738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_Toc511135739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This Act to be read with </w:t>
      </w:r>
      <w:r>
        <w:rPr>
          <w:i/>
        </w:rPr>
        <w:t>Sentencing Act 1995</w:t>
      </w:r>
      <w:r>
        <w:tab/>
      </w:r>
      <w:r>
        <w:fldChar w:fldCharType="begin"/>
      </w:r>
      <w:r>
        <w:instrText xml:space="preserve"> PAGEREF _Toc511135740 \h </w:instrText>
      </w:r>
      <w:r>
        <w:fldChar w:fldCharType="separate"/>
      </w:r>
      <w:r>
        <w:t>2</w:t>
      </w:r>
      <w:r>
        <w:fldChar w:fldCharType="end"/>
      </w:r>
    </w:p>
    <w:p>
      <w:pPr>
        <w:pStyle w:val="TOC8"/>
        <w:rPr>
          <w:rFonts w:asciiTheme="minorHAnsi" w:eastAsiaTheme="minorEastAsia" w:hAnsiTheme="minorHAnsi" w:cstheme="minorBidi"/>
          <w:szCs w:val="22"/>
        </w:rPr>
      </w:pPr>
      <w:r>
        <w:t>4.</w:t>
      </w:r>
      <w:r>
        <w:tab/>
        <w:t>Terms and abbreviations used</w:t>
      </w:r>
      <w:r>
        <w:tab/>
      </w:r>
      <w:r>
        <w:fldChar w:fldCharType="begin"/>
      </w:r>
      <w:r>
        <w:instrText xml:space="preserve"> PAGEREF _Toc511135741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w:t>
      </w:r>
      <w:r>
        <w:tab/>
        <w:t>Terms used and calculations</w:t>
      </w:r>
      <w:r>
        <w:tab/>
      </w:r>
      <w:r>
        <w:fldChar w:fldCharType="begin"/>
      </w:r>
      <w:r>
        <w:instrText xml:space="preserve"> PAGEREF _Toc511135744 \h </w:instrText>
      </w:r>
      <w:r>
        <w:fldChar w:fldCharType="separate"/>
      </w:r>
      <w:r>
        <w:t>6</w:t>
      </w:r>
      <w:r>
        <w:fldChar w:fldCharType="end"/>
      </w:r>
    </w:p>
    <w:p>
      <w:pPr>
        <w:pStyle w:val="TOC8"/>
        <w:rPr>
          <w:rFonts w:asciiTheme="minorHAnsi" w:eastAsiaTheme="minorEastAsia" w:hAnsiTheme="minorHAnsi" w:cstheme="minorBidi"/>
          <w:szCs w:val="22"/>
        </w:rPr>
      </w:pPr>
      <w:r>
        <w:t>5A.</w:t>
      </w:r>
      <w:r>
        <w:tab/>
        <w:t>Release considerations about people in custody</w:t>
      </w:r>
      <w:r>
        <w:tab/>
      </w:r>
      <w:r>
        <w:fldChar w:fldCharType="begin"/>
      </w:r>
      <w:r>
        <w:instrText xml:space="preserve"> PAGEREF _Toc511135745 \h </w:instrText>
      </w:r>
      <w:r>
        <w:fldChar w:fldCharType="separate"/>
      </w:r>
      <w:r>
        <w:t>6</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Community safety paramount</w:t>
      </w:r>
      <w:r>
        <w:tab/>
      </w:r>
      <w:r>
        <w:fldChar w:fldCharType="begin"/>
      </w:r>
      <w:r>
        <w:instrText xml:space="preserve"> PAGEREF _Toc511135746 \h </w:instrText>
      </w:r>
      <w:r>
        <w:fldChar w:fldCharType="separate"/>
      </w:r>
      <w:r>
        <w:t>7</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Victim’s submission to Board</w:t>
      </w:r>
      <w:r>
        <w:tab/>
      </w:r>
      <w:r>
        <w:fldChar w:fldCharType="begin"/>
      </w:r>
      <w:r>
        <w:instrText xml:space="preserve"> PAGEREF _Toc511135747 \h </w:instrText>
      </w:r>
      <w:r>
        <w:fldChar w:fldCharType="separate"/>
      </w:r>
      <w:r>
        <w:t>7</w:t>
      </w:r>
      <w:r>
        <w:fldChar w:fldCharType="end"/>
      </w:r>
    </w:p>
    <w:p>
      <w:pPr>
        <w:pStyle w:val="TOC8"/>
        <w:rPr>
          <w:rFonts w:asciiTheme="minorHAnsi" w:eastAsiaTheme="minorEastAsia" w:hAnsiTheme="minorHAnsi" w:cstheme="minorBidi"/>
          <w:szCs w:val="22"/>
        </w:rPr>
      </w:pPr>
      <w:r>
        <w:t>5D.</w:t>
      </w:r>
      <w:r>
        <w:tab/>
        <w:t>Term used: victim of an offender or prisoner</w:t>
      </w:r>
      <w:r>
        <w:tab/>
      </w:r>
      <w:r>
        <w:fldChar w:fldCharType="begin"/>
      </w:r>
      <w:r>
        <w:instrText xml:space="preserve"> PAGEREF _Toc511135748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Matters affecting the service of terms</w:t>
      </w:r>
    </w:p>
    <w:p>
      <w:pPr>
        <w:pStyle w:val="TOC8"/>
        <w:rPr>
          <w:rFonts w:asciiTheme="minorHAnsi" w:eastAsiaTheme="minorEastAsia" w:hAnsiTheme="minorHAnsi" w:cstheme="minorBidi"/>
          <w:szCs w:val="22"/>
        </w:rPr>
      </w:pPr>
      <w:r>
        <w:t>6.</w:t>
      </w:r>
      <w:r>
        <w:tab/>
        <w:t>When a term begins</w:t>
      </w:r>
      <w:r>
        <w:tab/>
      </w:r>
      <w:r>
        <w:fldChar w:fldCharType="begin"/>
      </w:r>
      <w:r>
        <w:instrText xml:space="preserve"> PAGEREF _Toc511135750 \h </w:instrText>
      </w:r>
      <w:r>
        <w:fldChar w:fldCharType="separate"/>
      </w:r>
      <w:r>
        <w:t>9</w:t>
      </w:r>
      <w:r>
        <w:fldChar w:fldCharType="end"/>
      </w:r>
    </w:p>
    <w:p>
      <w:pPr>
        <w:pStyle w:val="TOC8"/>
        <w:rPr>
          <w:rFonts w:asciiTheme="minorHAnsi" w:eastAsiaTheme="minorEastAsia" w:hAnsiTheme="minorHAnsi" w:cstheme="minorBidi"/>
          <w:szCs w:val="22"/>
        </w:rPr>
      </w:pPr>
      <w:r>
        <w:t>7.</w:t>
      </w:r>
      <w:r>
        <w:tab/>
        <w:t>Order of service of fixed terms</w:t>
      </w:r>
      <w:r>
        <w:tab/>
      </w:r>
      <w:r>
        <w:fldChar w:fldCharType="begin"/>
      </w:r>
      <w:r>
        <w:instrText xml:space="preserve"> PAGEREF _Toc511135751 \h </w:instrText>
      </w:r>
      <w:r>
        <w:fldChar w:fldCharType="separate"/>
      </w:r>
      <w:r>
        <w:t>10</w:t>
      </w:r>
      <w:r>
        <w:fldChar w:fldCharType="end"/>
      </w:r>
    </w:p>
    <w:p>
      <w:pPr>
        <w:pStyle w:val="TOC8"/>
        <w:rPr>
          <w:rFonts w:asciiTheme="minorHAnsi" w:eastAsiaTheme="minorEastAsia" w:hAnsiTheme="minorHAnsi" w:cstheme="minorBidi"/>
          <w:szCs w:val="22"/>
        </w:rPr>
      </w:pPr>
      <w:r>
        <w:t>8.</w:t>
      </w:r>
      <w:r>
        <w:tab/>
        <w:t>Effect of not being in custody</w:t>
      </w:r>
      <w:r>
        <w:tab/>
      </w:r>
      <w:r>
        <w:fldChar w:fldCharType="begin"/>
      </w:r>
      <w:r>
        <w:instrText xml:space="preserve"> PAGEREF _Toc511135752 \h </w:instrText>
      </w:r>
      <w:r>
        <w:fldChar w:fldCharType="separate"/>
      </w:r>
      <w:r>
        <w:t>11</w:t>
      </w:r>
      <w:r>
        <w:fldChar w:fldCharType="end"/>
      </w:r>
    </w:p>
    <w:p>
      <w:pPr>
        <w:pStyle w:val="TOC8"/>
        <w:rPr>
          <w:rFonts w:asciiTheme="minorHAnsi" w:eastAsiaTheme="minorEastAsia" w:hAnsiTheme="minorHAnsi" w:cstheme="minorBidi"/>
          <w:szCs w:val="22"/>
        </w:rPr>
      </w:pPr>
      <w:r>
        <w:t>9.</w:t>
      </w:r>
      <w:r>
        <w:tab/>
        <w:t>Effect of time before an appeal</w:t>
      </w:r>
      <w:r>
        <w:tab/>
      </w:r>
      <w:r>
        <w:fldChar w:fldCharType="begin"/>
      </w:r>
      <w:r>
        <w:instrText xml:space="preserve"> PAGEREF _Toc511135753 \h </w:instrText>
      </w:r>
      <w:r>
        <w:fldChar w:fldCharType="separate"/>
      </w:r>
      <w:r>
        <w:t>12</w:t>
      </w:r>
      <w:r>
        <w:fldChar w:fldCharType="end"/>
      </w:r>
    </w:p>
    <w:p>
      <w:pPr>
        <w:pStyle w:val="TOC8"/>
        <w:rPr>
          <w:rFonts w:asciiTheme="minorHAnsi" w:eastAsiaTheme="minorEastAsia" w:hAnsiTheme="minorHAnsi" w:cstheme="minorBidi"/>
          <w:szCs w:val="22"/>
        </w:rPr>
      </w:pPr>
      <w:r>
        <w:t>10.</w:t>
      </w:r>
      <w:r>
        <w:tab/>
        <w:t>No release if prisoner in custody for another matter</w:t>
      </w:r>
      <w:r>
        <w:tab/>
      </w:r>
      <w:r>
        <w:fldChar w:fldCharType="begin"/>
      </w:r>
      <w:r>
        <w:instrText xml:space="preserve"> PAGEREF _Toc511135754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Reports about prisoners</w:t>
      </w:r>
    </w:p>
    <w:p>
      <w:pPr>
        <w:pStyle w:val="TOC8"/>
        <w:rPr>
          <w:rFonts w:asciiTheme="minorHAnsi" w:eastAsiaTheme="minorEastAsia" w:hAnsiTheme="minorHAnsi" w:cstheme="minorBidi"/>
          <w:szCs w:val="22"/>
        </w:rPr>
      </w:pPr>
      <w:r>
        <w:t>11.</w:t>
      </w:r>
      <w:r>
        <w:tab/>
        <w:t>Report to Minister about the place of custody for a person in custody during Governor’s pleasure</w:t>
      </w:r>
      <w:r>
        <w:tab/>
      </w:r>
      <w:r>
        <w:fldChar w:fldCharType="begin"/>
      </w:r>
      <w:r>
        <w:instrText xml:space="preserve"> PAGEREF _Toc511135756 \h </w:instrText>
      </w:r>
      <w:r>
        <w:fldChar w:fldCharType="separate"/>
      </w:r>
      <w:r>
        <w:t>12</w:t>
      </w:r>
      <w:r>
        <w:fldChar w:fldCharType="end"/>
      </w:r>
    </w:p>
    <w:p>
      <w:pPr>
        <w:pStyle w:val="TOC8"/>
        <w:rPr>
          <w:rFonts w:asciiTheme="minorHAnsi" w:eastAsiaTheme="minorEastAsia" w:hAnsiTheme="minorHAnsi" w:cstheme="minorBidi"/>
          <w:szCs w:val="22"/>
        </w:rPr>
      </w:pPr>
      <w:r>
        <w:t>11A.</w:t>
      </w:r>
      <w:r>
        <w:tab/>
        <w:t>Reports by CEO to Board about certain prisoners</w:t>
      </w:r>
      <w:r>
        <w:tab/>
      </w:r>
      <w:r>
        <w:fldChar w:fldCharType="begin"/>
      </w:r>
      <w:r>
        <w:instrText xml:space="preserve"> PAGEREF _Toc511135757 \h </w:instrText>
      </w:r>
      <w:r>
        <w:fldChar w:fldCharType="separate"/>
      </w:r>
      <w:r>
        <w:t>13</w:t>
      </w:r>
      <w:r>
        <w:fldChar w:fldCharType="end"/>
      </w:r>
    </w:p>
    <w:p>
      <w:pPr>
        <w:pStyle w:val="TOC8"/>
        <w:rPr>
          <w:rFonts w:asciiTheme="minorHAnsi" w:eastAsiaTheme="minorEastAsia" w:hAnsiTheme="minorHAnsi" w:cstheme="minorBidi"/>
          <w:szCs w:val="22"/>
        </w:rPr>
      </w:pPr>
      <w:r>
        <w:t>12.</w:t>
      </w:r>
      <w:r>
        <w:tab/>
        <w:t>Reports by Board to Minister about prisoners generally</w:t>
      </w:r>
      <w:r>
        <w:tab/>
      </w:r>
      <w:r>
        <w:fldChar w:fldCharType="begin"/>
      </w:r>
      <w:r>
        <w:instrText xml:space="preserve"> PAGEREF _Toc511135758 \h </w:instrText>
      </w:r>
      <w:r>
        <w:fldChar w:fldCharType="separate"/>
      </w:r>
      <w:r>
        <w:t>14</w:t>
      </w:r>
      <w:r>
        <w:fldChar w:fldCharType="end"/>
      </w:r>
    </w:p>
    <w:p>
      <w:pPr>
        <w:pStyle w:val="TOC8"/>
        <w:rPr>
          <w:rFonts w:asciiTheme="minorHAnsi" w:eastAsiaTheme="minorEastAsia" w:hAnsiTheme="minorHAnsi" w:cstheme="minorBidi"/>
          <w:szCs w:val="22"/>
        </w:rPr>
      </w:pPr>
      <w:r>
        <w:t>12A.</w:t>
      </w:r>
      <w:r>
        <w:tab/>
        <w:t>Reports by Board to Minister about Schedule 3 prisoners</w:t>
      </w:r>
      <w:r>
        <w:tab/>
      </w:r>
      <w:r>
        <w:fldChar w:fldCharType="begin"/>
      </w:r>
      <w:r>
        <w:instrText xml:space="preserve"> PAGEREF _Toc511135759 \h </w:instrText>
      </w:r>
      <w:r>
        <w:fldChar w:fldCharType="separate"/>
      </w:r>
      <w:r>
        <w:t>15</w:t>
      </w:r>
      <w:r>
        <w:fldChar w:fldCharType="end"/>
      </w:r>
    </w:p>
    <w:p>
      <w:pPr>
        <w:pStyle w:val="TOC8"/>
        <w:rPr>
          <w:rFonts w:asciiTheme="minorHAnsi" w:eastAsiaTheme="minorEastAsia" w:hAnsiTheme="minorHAnsi" w:cstheme="minorBidi"/>
          <w:szCs w:val="22"/>
        </w:rPr>
      </w:pPr>
      <w:r>
        <w:t>12B.</w:t>
      </w:r>
      <w:r>
        <w:tab/>
        <w:t>Combined reports may be given under sections 12 and 12A</w:t>
      </w:r>
      <w:r>
        <w:tab/>
      </w:r>
      <w:r>
        <w:fldChar w:fldCharType="begin"/>
      </w:r>
      <w:r>
        <w:instrText xml:space="preserve"> PAGEREF _Toc511135760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Programmes for certain prisoners</w:t>
      </w:r>
    </w:p>
    <w:p>
      <w:pPr>
        <w:pStyle w:val="TOC8"/>
        <w:rPr>
          <w:rFonts w:asciiTheme="minorHAnsi" w:eastAsiaTheme="minorEastAsia" w:hAnsiTheme="minorHAnsi" w:cstheme="minorBidi"/>
          <w:szCs w:val="22"/>
        </w:rPr>
      </w:pPr>
      <w:r>
        <w:t>13.</w:t>
      </w:r>
      <w:r>
        <w:tab/>
        <w:t>Re</w:t>
      </w:r>
      <w:r>
        <w:noBreakHyphen/>
        <w:t>socialisation programmes for Schedule 3 prisoners</w:t>
      </w:r>
      <w:r>
        <w:tab/>
      </w:r>
      <w:r>
        <w:fldChar w:fldCharType="begin"/>
      </w:r>
      <w:r>
        <w:instrText xml:space="preserve"> PAGEREF _Toc511135762 \h </w:instrText>
      </w:r>
      <w:r>
        <w:fldChar w:fldCharType="separate"/>
      </w:r>
      <w:r>
        <w:t>17</w:t>
      </w:r>
      <w:r>
        <w:fldChar w:fldCharType="end"/>
      </w:r>
    </w:p>
    <w:p>
      <w:pPr>
        <w:pStyle w:val="TOC8"/>
        <w:rPr>
          <w:rFonts w:asciiTheme="minorHAnsi" w:eastAsiaTheme="minorEastAsia" w:hAnsiTheme="minorHAnsi" w:cstheme="minorBidi"/>
          <w:szCs w:val="22"/>
        </w:rPr>
      </w:pPr>
      <w:r>
        <w:t>14.</w:t>
      </w:r>
      <w:r>
        <w:tab/>
        <w:t>Re</w:t>
      </w:r>
      <w:r>
        <w:noBreakHyphen/>
        <w:t>socialisation programmes for certain other prisoners</w:t>
      </w:r>
      <w:r>
        <w:tab/>
      </w:r>
      <w:r>
        <w:fldChar w:fldCharType="begin"/>
      </w:r>
      <w:r>
        <w:instrText xml:space="preserve"> PAGEREF _Toc511135763 \h </w:instrText>
      </w:r>
      <w:r>
        <w:fldChar w:fldCharType="separate"/>
      </w:r>
      <w:r>
        <w:t>19</w:t>
      </w:r>
      <w:r>
        <w:fldChar w:fldCharType="end"/>
      </w:r>
    </w:p>
    <w:p>
      <w:pPr>
        <w:pStyle w:val="TOC8"/>
        <w:rPr>
          <w:rFonts w:asciiTheme="minorHAnsi" w:eastAsiaTheme="minorEastAsia" w:hAnsiTheme="minorHAnsi" w:cstheme="minorBidi"/>
          <w:szCs w:val="22"/>
        </w:rPr>
      </w:pPr>
      <w:r>
        <w:t>14A.</w:t>
      </w:r>
      <w:r>
        <w:tab/>
        <w:t>Regulations as to re</w:t>
      </w:r>
      <w:r>
        <w:noBreakHyphen/>
        <w:t>socialisation programmes</w:t>
      </w:r>
      <w:r>
        <w:tab/>
      </w:r>
      <w:r>
        <w:fldChar w:fldCharType="begin"/>
      </w:r>
      <w:r>
        <w:instrText xml:space="preserve"> PAGEREF _Toc511135764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 — Parole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w:t>
      </w:r>
      <w:r>
        <w:tab/>
        <w:t>Terms used and calculations</w:t>
      </w:r>
      <w:r>
        <w:tab/>
      </w:r>
      <w:r>
        <w:fldChar w:fldCharType="begin"/>
      </w:r>
      <w:r>
        <w:instrText xml:space="preserve"> PAGEREF _Toc511135767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Reports about certain people eligible for parole</w:t>
      </w:r>
    </w:p>
    <w:p>
      <w:pPr>
        <w:pStyle w:val="TOC8"/>
        <w:rPr>
          <w:rFonts w:asciiTheme="minorHAnsi" w:eastAsiaTheme="minorEastAsia" w:hAnsiTheme="minorHAnsi" w:cstheme="minorBidi"/>
          <w:szCs w:val="22"/>
        </w:rPr>
      </w:pPr>
      <w:r>
        <w:t>17.</w:t>
      </w:r>
      <w:r>
        <w:tab/>
        <w:t>Parole term, CEO to give Board report about prisoner on</w:t>
      </w:r>
      <w:r>
        <w:tab/>
      </w:r>
      <w:r>
        <w:fldChar w:fldCharType="begin"/>
      </w:r>
      <w:r>
        <w:instrText xml:space="preserve"> PAGEREF _Toc511135769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Parole in case of parole term</w:t>
      </w:r>
    </w:p>
    <w:p>
      <w:pPr>
        <w:pStyle w:val="TOC8"/>
        <w:rPr>
          <w:rFonts w:asciiTheme="minorHAnsi" w:eastAsiaTheme="minorEastAsia" w:hAnsiTheme="minorHAnsi" w:cstheme="minorBidi"/>
          <w:szCs w:val="22"/>
        </w:rPr>
      </w:pPr>
      <w:r>
        <w:t>19.</w:t>
      </w:r>
      <w:r>
        <w:tab/>
        <w:t>Term used: prisoner</w:t>
      </w:r>
      <w:r>
        <w:tab/>
      </w:r>
      <w:r>
        <w:fldChar w:fldCharType="begin"/>
      </w:r>
      <w:r>
        <w:instrText xml:space="preserve"> PAGEREF _Toc511135771 \h </w:instrText>
      </w:r>
      <w:r>
        <w:fldChar w:fldCharType="separate"/>
      </w:r>
      <w:r>
        <w:t>22</w:t>
      </w:r>
      <w:r>
        <w:fldChar w:fldCharType="end"/>
      </w:r>
    </w:p>
    <w:p>
      <w:pPr>
        <w:pStyle w:val="TOC8"/>
        <w:rPr>
          <w:rFonts w:asciiTheme="minorHAnsi" w:eastAsiaTheme="minorEastAsia" w:hAnsiTheme="minorHAnsi" w:cstheme="minorBidi"/>
          <w:szCs w:val="22"/>
        </w:rPr>
      </w:pPr>
      <w:r>
        <w:t>20.</w:t>
      </w:r>
      <w:r>
        <w:tab/>
        <w:t>Board may parole prisoner</w:t>
      </w:r>
      <w:r>
        <w:tab/>
      </w:r>
      <w:r>
        <w:fldChar w:fldCharType="begin"/>
      </w:r>
      <w:r>
        <w:instrText xml:space="preserve"> PAGEREF _Toc511135772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Parole in case of short term</w:t>
      </w:r>
    </w:p>
    <w:p>
      <w:pPr>
        <w:pStyle w:val="TOC8"/>
        <w:rPr>
          <w:rFonts w:asciiTheme="minorHAnsi" w:eastAsiaTheme="minorEastAsia" w:hAnsiTheme="minorHAnsi" w:cstheme="minorBidi"/>
          <w:szCs w:val="22"/>
        </w:rPr>
      </w:pPr>
      <w:r>
        <w:t>22.</w:t>
      </w:r>
      <w:r>
        <w:tab/>
        <w:t>Application of Division</w:t>
      </w:r>
      <w:r>
        <w:tab/>
      </w:r>
      <w:r>
        <w:fldChar w:fldCharType="begin"/>
      </w:r>
      <w:r>
        <w:instrText xml:space="preserve"> PAGEREF _Toc511135774 \h </w:instrText>
      </w:r>
      <w:r>
        <w:fldChar w:fldCharType="separate"/>
      </w:r>
      <w:r>
        <w:t>23</w:t>
      </w:r>
      <w:r>
        <w:fldChar w:fldCharType="end"/>
      </w:r>
    </w:p>
    <w:p>
      <w:pPr>
        <w:pStyle w:val="TOC8"/>
        <w:rPr>
          <w:rFonts w:asciiTheme="minorHAnsi" w:eastAsiaTheme="minorEastAsia" w:hAnsiTheme="minorHAnsi" w:cstheme="minorBidi"/>
          <w:szCs w:val="22"/>
        </w:rPr>
      </w:pPr>
      <w:r>
        <w:t>23.</w:t>
      </w:r>
      <w:r>
        <w:tab/>
        <w:t>Board may parole prisoner</w:t>
      </w:r>
      <w:r>
        <w:tab/>
      </w:r>
      <w:r>
        <w:fldChar w:fldCharType="begin"/>
      </w:r>
      <w:r>
        <w:instrText xml:space="preserve"> PAGEREF _Toc511135775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Parole in case of life or indefinite imprisonment</w:t>
      </w:r>
    </w:p>
    <w:p>
      <w:pPr>
        <w:pStyle w:val="TOC8"/>
        <w:rPr>
          <w:rFonts w:asciiTheme="minorHAnsi" w:eastAsiaTheme="minorEastAsia" w:hAnsiTheme="minorHAnsi" w:cstheme="minorBidi"/>
          <w:szCs w:val="22"/>
        </w:rPr>
      </w:pPr>
      <w:r>
        <w:t>25.</w:t>
      </w:r>
      <w:r>
        <w:tab/>
        <w:t>Life imprisonment, Governor may parole prisoner</w:t>
      </w:r>
      <w:r>
        <w:tab/>
      </w:r>
      <w:r>
        <w:fldChar w:fldCharType="begin"/>
      </w:r>
      <w:r>
        <w:instrText xml:space="preserve"> PAGEREF _Toc511135777 \h </w:instrText>
      </w:r>
      <w:r>
        <w:fldChar w:fldCharType="separate"/>
      </w:r>
      <w:r>
        <w:t>27</w:t>
      </w:r>
      <w:r>
        <w:fldChar w:fldCharType="end"/>
      </w:r>
    </w:p>
    <w:p>
      <w:pPr>
        <w:pStyle w:val="TOC8"/>
        <w:rPr>
          <w:rFonts w:asciiTheme="minorHAnsi" w:eastAsiaTheme="minorEastAsia" w:hAnsiTheme="minorHAnsi" w:cstheme="minorBidi"/>
          <w:szCs w:val="22"/>
        </w:rPr>
      </w:pPr>
      <w:r>
        <w:t>27.</w:t>
      </w:r>
      <w:r>
        <w:tab/>
        <w:t>Indefinite imprisonment, Governor may parole prisoner</w:t>
      </w:r>
      <w:r>
        <w:tab/>
      </w:r>
      <w:r>
        <w:fldChar w:fldCharType="begin"/>
      </w:r>
      <w:r>
        <w:instrText xml:space="preserve"> PAGEREF _Toc511135778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5A — Releasing prisoners during the Governor’s pleasure</w:t>
      </w:r>
    </w:p>
    <w:p>
      <w:pPr>
        <w:pStyle w:val="TOC8"/>
        <w:rPr>
          <w:rFonts w:asciiTheme="minorHAnsi" w:eastAsiaTheme="minorEastAsia" w:hAnsiTheme="minorHAnsi" w:cstheme="minorBidi"/>
          <w:szCs w:val="22"/>
        </w:rPr>
      </w:pPr>
      <w:r>
        <w:t>27A.</w:t>
      </w:r>
      <w:r>
        <w:tab/>
        <w:t>Operation of this Division</w:t>
      </w:r>
      <w:r>
        <w:tab/>
      </w:r>
      <w:r>
        <w:fldChar w:fldCharType="begin"/>
      </w:r>
      <w:r>
        <w:instrText xml:space="preserve"> PAGEREF _Toc511135780 \h </w:instrText>
      </w:r>
      <w:r>
        <w:fldChar w:fldCharType="separate"/>
      </w:r>
      <w:r>
        <w:t>28</w:t>
      </w:r>
      <w:r>
        <w:fldChar w:fldCharType="end"/>
      </w:r>
    </w:p>
    <w:p>
      <w:pPr>
        <w:pStyle w:val="TOC8"/>
        <w:rPr>
          <w:rFonts w:asciiTheme="minorHAnsi" w:eastAsiaTheme="minorEastAsia" w:hAnsiTheme="minorHAnsi" w:cstheme="minorBidi"/>
          <w:szCs w:val="22"/>
        </w:rPr>
      </w:pPr>
      <w:r>
        <w:t>27B.</w:t>
      </w:r>
      <w:r>
        <w:tab/>
        <w:t>Release may be by parole order</w:t>
      </w:r>
      <w:r>
        <w:tab/>
      </w:r>
      <w:r>
        <w:fldChar w:fldCharType="begin"/>
      </w:r>
      <w:r>
        <w:instrText xml:space="preserve"> PAGEREF _Toc511135781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6 — Parole orders</w:t>
      </w:r>
    </w:p>
    <w:p>
      <w:pPr>
        <w:pStyle w:val="TOC8"/>
        <w:rPr>
          <w:rFonts w:asciiTheme="minorHAnsi" w:eastAsiaTheme="minorEastAsia" w:hAnsiTheme="minorHAnsi" w:cstheme="minorBidi"/>
          <w:szCs w:val="22"/>
        </w:rPr>
      </w:pPr>
      <w:r>
        <w:t>28.</w:t>
      </w:r>
      <w:r>
        <w:tab/>
        <w:t>Parole order, nature of</w:t>
      </w:r>
      <w:r>
        <w:tab/>
      </w:r>
      <w:r>
        <w:fldChar w:fldCharType="begin"/>
      </w:r>
      <w:r>
        <w:instrText xml:space="preserve"> PAGEREF _Toc511135783 \h </w:instrText>
      </w:r>
      <w:r>
        <w:fldChar w:fldCharType="separate"/>
      </w:r>
      <w:r>
        <w:t>29</w:t>
      </w:r>
      <w:r>
        <w:fldChar w:fldCharType="end"/>
      </w:r>
    </w:p>
    <w:p>
      <w:pPr>
        <w:pStyle w:val="TOC8"/>
        <w:rPr>
          <w:rFonts w:asciiTheme="minorHAnsi" w:eastAsiaTheme="minorEastAsia" w:hAnsiTheme="minorHAnsi" w:cstheme="minorBidi"/>
          <w:szCs w:val="22"/>
        </w:rPr>
      </w:pPr>
      <w:r>
        <w:t>29.</w:t>
      </w:r>
      <w:r>
        <w:tab/>
        <w:t>Parole order, standard obligations</w:t>
      </w:r>
      <w:r>
        <w:tab/>
      </w:r>
      <w:r>
        <w:fldChar w:fldCharType="begin"/>
      </w:r>
      <w:r>
        <w:instrText xml:space="preserve"> PAGEREF _Toc511135784 \h </w:instrText>
      </w:r>
      <w:r>
        <w:fldChar w:fldCharType="separate"/>
      </w:r>
      <w:r>
        <w:t>29</w:t>
      </w:r>
      <w:r>
        <w:fldChar w:fldCharType="end"/>
      </w:r>
    </w:p>
    <w:p>
      <w:pPr>
        <w:pStyle w:val="TOC8"/>
        <w:rPr>
          <w:rFonts w:asciiTheme="minorHAnsi" w:eastAsiaTheme="minorEastAsia" w:hAnsiTheme="minorHAnsi" w:cstheme="minorBidi"/>
          <w:szCs w:val="22"/>
        </w:rPr>
      </w:pPr>
      <w:r>
        <w:t>30.</w:t>
      </w:r>
      <w:r>
        <w:tab/>
        <w:t>Parole order, additional requirements</w:t>
      </w:r>
      <w:r>
        <w:tab/>
      </w:r>
      <w:r>
        <w:fldChar w:fldCharType="begin"/>
      </w:r>
      <w:r>
        <w:instrText xml:space="preserve"> PAGEREF _Toc511135785 \h </w:instrText>
      </w:r>
      <w:r>
        <w:fldChar w:fldCharType="separate"/>
      </w:r>
      <w:r>
        <w:t>29</w:t>
      </w:r>
      <w:r>
        <w:fldChar w:fldCharType="end"/>
      </w:r>
    </w:p>
    <w:p>
      <w:pPr>
        <w:pStyle w:val="TOC8"/>
        <w:rPr>
          <w:rFonts w:asciiTheme="minorHAnsi" w:eastAsiaTheme="minorEastAsia" w:hAnsiTheme="minorHAnsi" w:cstheme="minorBidi"/>
          <w:szCs w:val="22"/>
        </w:rPr>
      </w:pPr>
      <w:r>
        <w:t>31.</w:t>
      </w:r>
      <w:r>
        <w:tab/>
        <w:t>CEO to ensure parolee is supervised during supervised period</w:t>
      </w:r>
      <w:r>
        <w:tab/>
      </w:r>
      <w:r>
        <w:fldChar w:fldCharType="begin"/>
      </w:r>
      <w:r>
        <w:instrText xml:space="preserve"> PAGEREF _Toc511135786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7 — Parole orders, general provisions</w:t>
      </w:r>
    </w:p>
    <w:p>
      <w:pPr>
        <w:pStyle w:val="TOC8"/>
        <w:rPr>
          <w:rFonts w:asciiTheme="minorHAnsi" w:eastAsiaTheme="minorEastAsia" w:hAnsiTheme="minorHAnsi" w:cstheme="minorBidi"/>
          <w:szCs w:val="22"/>
        </w:rPr>
      </w:pPr>
      <w:r>
        <w:t>32.</w:t>
      </w:r>
      <w:r>
        <w:tab/>
        <w:t>Parole order may relate to more than one term</w:t>
      </w:r>
      <w:r>
        <w:tab/>
      </w:r>
      <w:r>
        <w:fldChar w:fldCharType="begin"/>
      </w:r>
      <w:r>
        <w:instrText xml:space="preserve"> PAGEREF _Toc511135788 \h </w:instrText>
      </w:r>
      <w:r>
        <w:fldChar w:fldCharType="separate"/>
      </w:r>
      <w:r>
        <w:t>31</w:t>
      </w:r>
      <w:r>
        <w:fldChar w:fldCharType="end"/>
      </w:r>
    </w:p>
    <w:p>
      <w:pPr>
        <w:pStyle w:val="TOC8"/>
        <w:rPr>
          <w:rFonts w:asciiTheme="minorHAnsi" w:eastAsiaTheme="minorEastAsia" w:hAnsiTheme="minorHAnsi" w:cstheme="minorBidi"/>
          <w:szCs w:val="22"/>
        </w:rPr>
      </w:pPr>
      <w:r>
        <w:t>33.</w:t>
      </w:r>
      <w:r>
        <w:tab/>
        <w:t>Prisoner may refuse to be released on parole</w:t>
      </w:r>
      <w:r>
        <w:tab/>
      </w:r>
      <w:r>
        <w:fldChar w:fldCharType="begin"/>
      </w:r>
      <w:r>
        <w:instrText xml:space="preserve"> PAGEREF _Toc511135789 \h </w:instrText>
      </w:r>
      <w:r>
        <w:fldChar w:fldCharType="separate"/>
      </w:r>
      <w:r>
        <w:t>32</w:t>
      </w:r>
      <w:r>
        <w:fldChar w:fldCharType="end"/>
      </w:r>
    </w:p>
    <w:p>
      <w:pPr>
        <w:pStyle w:val="TOC8"/>
        <w:rPr>
          <w:rFonts w:asciiTheme="minorHAnsi" w:eastAsiaTheme="minorEastAsia" w:hAnsiTheme="minorHAnsi" w:cstheme="minorBidi"/>
          <w:szCs w:val="22"/>
        </w:rPr>
      </w:pPr>
      <w:r>
        <w:t>34.</w:t>
      </w:r>
      <w:r>
        <w:tab/>
        <w:t>Prisoner’s acknowledgment or undertaking</w:t>
      </w:r>
      <w:r>
        <w:tab/>
      </w:r>
      <w:r>
        <w:fldChar w:fldCharType="begin"/>
      </w:r>
      <w:r>
        <w:instrText xml:space="preserve"> PAGEREF _Toc511135790 \h </w:instrText>
      </w:r>
      <w:r>
        <w:fldChar w:fldCharType="separate"/>
      </w:r>
      <w:r>
        <w:t>32</w:t>
      </w:r>
      <w:r>
        <w:fldChar w:fldCharType="end"/>
      </w:r>
    </w:p>
    <w:p>
      <w:pPr>
        <w:pStyle w:val="TOC8"/>
        <w:rPr>
          <w:rFonts w:asciiTheme="minorHAnsi" w:eastAsiaTheme="minorEastAsia" w:hAnsiTheme="minorHAnsi" w:cstheme="minorBidi"/>
          <w:szCs w:val="22"/>
        </w:rPr>
      </w:pPr>
      <w:r>
        <w:t>35.</w:t>
      </w:r>
      <w:r>
        <w:tab/>
        <w:t>Making parole order after refusal by prisoner</w:t>
      </w:r>
      <w:r>
        <w:tab/>
      </w:r>
      <w:r>
        <w:fldChar w:fldCharType="begin"/>
      </w:r>
      <w:r>
        <w:instrText xml:space="preserve"> PAGEREF _Toc511135791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8 — Amendment of parole orders</w:t>
      </w:r>
    </w:p>
    <w:p>
      <w:pPr>
        <w:pStyle w:val="TOC8"/>
        <w:rPr>
          <w:rFonts w:asciiTheme="minorHAnsi" w:eastAsiaTheme="minorEastAsia" w:hAnsiTheme="minorHAnsi" w:cstheme="minorBidi"/>
          <w:szCs w:val="22"/>
        </w:rPr>
      </w:pPr>
      <w:r>
        <w:t>36.</w:t>
      </w:r>
      <w:r>
        <w:tab/>
        <w:t>Amending before release</w:t>
      </w:r>
      <w:r>
        <w:tab/>
      </w:r>
      <w:r>
        <w:fldChar w:fldCharType="begin"/>
      </w:r>
      <w:r>
        <w:instrText xml:space="preserve"> PAGEREF _Toc511135793 \h </w:instrText>
      </w:r>
      <w:r>
        <w:fldChar w:fldCharType="separate"/>
      </w:r>
      <w:r>
        <w:t>33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Amending during parole period</w:t>
      </w:r>
      <w:r>
        <w:tab/>
      </w:r>
      <w:r>
        <w:fldChar w:fldCharType="begin"/>
      </w:r>
      <w:r>
        <w:instrText xml:space="preserve"> PAGEREF _Toc511135794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9 — Suspension of parole orders</w:t>
      </w:r>
    </w:p>
    <w:p>
      <w:pPr>
        <w:pStyle w:val="TOC8"/>
        <w:rPr>
          <w:rFonts w:asciiTheme="minorHAnsi" w:eastAsiaTheme="minorEastAsia" w:hAnsiTheme="minorHAnsi" w:cstheme="minorBidi"/>
          <w:szCs w:val="22"/>
        </w:rPr>
      </w:pPr>
      <w:r>
        <w:t>38</w:t>
      </w:r>
      <w:r>
        <w:rPr>
          <w:snapToGrid w:val="0"/>
        </w:rPr>
        <w:t>.</w:t>
      </w:r>
      <w:r>
        <w:rPr>
          <w:snapToGrid w:val="0"/>
        </w:rPr>
        <w:tab/>
        <w:t>Suspension by CEO</w:t>
      </w:r>
      <w:r>
        <w:tab/>
      </w:r>
      <w:r>
        <w:fldChar w:fldCharType="begin"/>
      </w:r>
      <w:r>
        <w:instrText xml:space="preserve"> PAGEREF _Toc511135796 \h </w:instrText>
      </w:r>
      <w:r>
        <w:fldChar w:fldCharType="separate"/>
      </w:r>
      <w:r>
        <w:t>34</w:t>
      </w:r>
      <w:r>
        <w:fldChar w:fldCharType="end"/>
      </w:r>
    </w:p>
    <w:p>
      <w:pPr>
        <w:pStyle w:val="TOC8"/>
        <w:rPr>
          <w:rFonts w:asciiTheme="minorHAnsi" w:eastAsiaTheme="minorEastAsia" w:hAnsiTheme="minorHAnsi" w:cstheme="minorBidi"/>
          <w:szCs w:val="22"/>
        </w:rPr>
      </w:pPr>
      <w:r>
        <w:t>39.</w:t>
      </w:r>
      <w:r>
        <w:tab/>
        <w:t>Suspension by Board</w:t>
      </w:r>
      <w:r>
        <w:tab/>
      </w:r>
      <w:r>
        <w:fldChar w:fldCharType="begin"/>
      </w:r>
      <w:r>
        <w:instrText xml:space="preserve"> PAGEREF _Toc511135797 \h </w:instrText>
      </w:r>
      <w:r>
        <w:fldChar w:fldCharType="separate"/>
      </w:r>
      <w:r>
        <w:t>34</w:t>
      </w:r>
      <w:r>
        <w:fldChar w:fldCharType="end"/>
      </w:r>
    </w:p>
    <w:p>
      <w:pPr>
        <w:pStyle w:val="TOC8"/>
        <w:rPr>
          <w:rFonts w:asciiTheme="minorHAnsi" w:eastAsiaTheme="minorEastAsia" w:hAnsiTheme="minorHAnsi" w:cstheme="minorBidi"/>
          <w:szCs w:val="22"/>
        </w:rPr>
      </w:pPr>
      <w:r>
        <w:t>40.</w:t>
      </w:r>
      <w:r>
        <w:tab/>
        <w:t>Period of suspension</w:t>
      </w:r>
      <w:r>
        <w:tab/>
      </w:r>
      <w:r>
        <w:fldChar w:fldCharType="begin"/>
      </w:r>
      <w:r>
        <w:instrText xml:space="preserve"> PAGEREF _Toc511135798 \h </w:instrText>
      </w:r>
      <w:r>
        <w:fldChar w:fldCharType="separate"/>
      </w:r>
      <w:r>
        <w:t>34</w:t>
      </w:r>
      <w:r>
        <w:fldChar w:fldCharType="end"/>
      </w:r>
    </w:p>
    <w:p>
      <w:pPr>
        <w:pStyle w:val="TOC8"/>
        <w:rPr>
          <w:rFonts w:asciiTheme="minorHAnsi" w:eastAsiaTheme="minorEastAsia" w:hAnsiTheme="minorHAnsi" w:cstheme="minorBidi"/>
          <w:szCs w:val="22"/>
        </w:rPr>
      </w:pPr>
      <w:r>
        <w:t>41.</w:t>
      </w:r>
      <w:r>
        <w:tab/>
        <w:t>Suspension, effect on other parole orders</w:t>
      </w:r>
      <w:r>
        <w:tab/>
      </w:r>
      <w:r>
        <w:fldChar w:fldCharType="begin"/>
      </w:r>
      <w:r>
        <w:instrText xml:space="preserve"> PAGEREF _Toc511135799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10 — Cancellation of parole orders</w:t>
      </w:r>
    </w:p>
    <w:p>
      <w:pPr>
        <w:pStyle w:val="TOC8"/>
        <w:rPr>
          <w:rFonts w:asciiTheme="minorHAnsi" w:eastAsiaTheme="minorEastAsia" w:hAnsiTheme="minorHAnsi" w:cstheme="minorBidi"/>
          <w:szCs w:val="22"/>
        </w:rPr>
      </w:pPr>
      <w:r>
        <w:t>43.</w:t>
      </w:r>
      <w:r>
        <w:tab/>
        <w:t>Cancellation before release</w:t>
      </w:r>
      <w:r>
        <w:tab/>
      </w:r>
      <w:r>
        <w:fldChar w:fldCharType="begin"/>
      </w:r>
      <w:r>
        <w:instrText xml:space="preserve"> PAGEREF _Toc511135801 \h </w:instrText>
      </w:r>
      <w:r>
        <w:fldChar w:fldCharType="separate"/>
      </w:r>
      <w:r>
        <w:t>35</w:t>
      </w:r>
      <w:r>
        <w:fldChar w:fldCharType="end"/>
      </w:r>
    </w:p>
    <w:p>
      <w:pPr>
        <w:pStyle w:val="TOC8"/>
        <w:rPr>
          <w:rFonts w:asciiTheme="minorHAnsi" w:eastAsiaTheme="minorEastAsia" w:hAnsiTheme="minorHAnsi" w:cstheme="minorBidi"/>
          <w:szCs w:val="22"/>
        </w:rPr>
      </w:pPr>
      <w:r>
        <w:t>44.</w:t>
      </w:r>
      <w:r>
        <w:tab/>
        <w:t>Cancellation after release</w:t>
      </w:r>
      <w:r>
        <w:tab/>
      </w:r>
      <w:r>
        <w:fldChar w:fldCharType="begin"/>
      </w:r>
      <w:r>
        <w:instrText xml:space="preserve"> PAGEREF _Toc511135802 \h </w:instrText>
      </w:r>
      <w:r>
        <w:fldChar w:fldCharType="separate"/>
      </w:r>
      <w:r>
        <w:t>35</w:t>
      </w:r>
      <w:r>
        <w:fldChar w:fldCharType="end"/>
      </w:r>
    </w:p>
    <w:p>
      <w:pPr>
        <w:pStyle w:val="TOC8"/>
        <w:rPr>
          <w:rFonts w:asciiTheme="minorHAnsi" w:eastAsiaTheme="minorEastAsia" w:hAnsiTheme="minorHAnsi" w:cstheme="minorBidi"/>
          <w:szCs w:val="22"/>
        </w:rPr>
      </w:pPr>
      <w:r>
        <w:t>46.</w:t>
      </w:r>
      <w:r>
        <w:tab/>
        <w:t>Cancellation, effect on other parole orders</w:t>
      </w:r>
      <w:r>
        <w:tab/>
      </w:r>
      <w:r>
        <w:fldChar w:fldCharType="begin"/>
      </w:r>
      <w:r>
        <w:instrText xml:space="preserve"> PAGEREF _Toc511135803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11 — Miscellaneous</w:t>
      </w:r>
    </w:p>
    <w:p>
      <w:pPr>
        <w:pStyle w:val="TOC8"/>
        <w:rPr>
          <w:rFonts w:asciiTheme="minorHAnsi" w:eastAsiaTheme="minorEastAsia" w:hAnsiTheme="minorHAnsi" w:cstheme="minorBidi"/>
          <w:szCs w:val="22"/>
        </w:rPr>
      </w:pPr>
      <w:r>
        <w:t>48.</w:t>
      </w:r>
      <w:r>
        <w:tab/>
        <w:t>Parole ordered by Governor, Minister to be advised of amendment, suspension or cancellation</w:t>
      </w:r>
      <w:r>
        <w:tab/>
      </w:r>
      <w:r>
        <w:fldChar w:fldCharType="begin"/>
      </w:r>
      <w:r>
        <w:instrText xml:space="preserve"> PAGEREF _Toc511135805 \h </w:instrText>
      </w:r>
      <w:r>
        <w:fldChar w:fldCharType="separate"/>
      </w:r>
      <w:r>
        <w:t>36</w:t>
      </w:r>
      <w:r>
        <w:fldChar w:fldCharType="end"/>
      </w:r>
    </w:p>
    <w:p>
      <w:pPr>
        <w:pStyle w:val="TOC8"/>
        <w:rPr>
          <w:rFonts w:asciiTheme="minorHAnsi" w:eastAsiaTheme="minorEastAsia" w:hAnsiTheme="minorHAnsi" w:cstheme="minorBidi"/>
          <w:szCs w:val="22"/>
        </w:rPr>
      </w:pPr>
      <w:r>
        <w:t>49.</w:t>
      </w:r>
      <w:r>
        <w:tab/>
        <w:t>Resolution of doubtful cases</w:t>
      </w:r>
      <w:r>
        <w:tab/>
      </w:r>
      <w:r>
        <w:fldChar w:fldCharType="begin"/>
      </w:r>
      <w:r>
        <w:instrText xml:space="preserve"> PAGEREF _Toc511135806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Re</w:t>
      </w:r>
      <w:r>
        <w:noBreakHyphen/>
        <w:t>entry release orders</w:t>
      </w:r>
    </w:p>
    <w:p>
      <w:pPr>
        <w:pStyle w:val="TOC8"/>
        <w:rPr>
          <w:rFonts w:asciiTheme="minorHAnsi" w:eastAsiaTheme="minorEastAsia" w:hAnsiTheme="minorHAnsi" w:cstheme="minorBidi"/>
          <w:szCs w:val="22"/>
        </w:rPr>
      </w:pPr>
      <w:r>
        <w:t>50.</w:t>
      </w:r>
      <w:r>
        <w:tab/>
        <w:t>Certain prisoners may apply to Board for RRO</w:t>
      </w:r>
      <w:r>
        <w:tab/>
      </w:r>
      <w:r>
        <w:fldChar w:fldCharType="begin"/>
      </w:r>
      <w:r>
        <w:instrText xml:space="preserve"> PAGEREF _Toc511135808 \h </w:instrText>
      </w:r>
      <w:r>
        <w:fldChar w:fldCharType="separate"/>
      </w:r>
      <w:r>
        <w:t>38</w:t>
      </w:r>
      <w:r>
        <w:fldChar w:fldCharType="end"/>
      </w:r>
    </w:p>
    <w:p>
      <w:pPr>
        <w:pStyle w:val="TOC8"/>
        <w:rPr>
          <w:rFonts w:asciiTheme="minorHAnsi" w:eastAsiaTheme="minorEastAsia" w:hAnsiTheme="minorHAnsi" w:cstheme="minorBidi"/>
          <w:szCs w:val="22"/>
        </w:rPr>
      </w:pPr>
      <w:r>
        <w:t>51.</w:t>
      </w:r>
      <w:r>
        <w:tab/>
        <w:t>CEO to report to Board about RRO applicants</w:t>
      </w:r>
      <w:r>
        <w:tab/>
      </w:r>
      <w:r>
        <w:fldChar w:fldCharType="begin"/>
      </w:r>
      <w:r>
        <w:instrText xml:space="preserve"> PAGEREF _Toc511135809 \h </w:instrText>
      </w:r>
      <w:r>
        <w:fldChar w:fldCharType="separate"/>
      </w:r>
      <w:r>
        <w:t>38</w:t>
      </w:r>
      <w:r>
        <w:fldChar w:fldCharType="end"/>
      </w:r>
    </w:p>
    <w:p>
      <w:pPr>
        <w:pStyle w:val="TOC8"/>
        <w:rPr>
          <w:rFonts w:asciiTheme="minorHAnsi" w:eastAsiaTheme="minorEastAsia" w:hAnsiTheme="minorHAnsi" w:cstheme="minorBidi"/>
          <w:szCs w:val="22"/>
        </w:rPr>
      </w:pPr>
      <w:r>
        <w:t>52.</w:t>
      </w:r>
      <w:r>
        <w:tab/>
        <w:t>Board may make RRO</w:t>
      </w:r>
      <w:r>
        <w:tab/>
      </w:r>
      <w:r>
        <w:fldChar w:fldCharType="begin"/>
      </w:r>
      <w:r>
        <w:instrText xml:space="preserve"> PAGEREF _Toc511135810 \h </w:instrText>
      </w:r>
      <w:r>
        <w:fldChar w:fldCharType="separate"/>
      </w:r>
      <w:r>
        <w:t>39</w:t>
      </w:r>
      <w:r>
        <w:fldChar w:fldCharType="end"/>
      </w:r>
    </w:p>
    <w:p>
      <w:pPr>
        <w:pStyle w:val="TOC8"/>
        <w:rPr>
          <w:rFonts w:asciiTheme="minorHAnsi" w:eastAsiaTheme="minorEastAsia" w:hAnsiTheme="minorHAnsi" w:cstheme="minorBidi"/>
          <w:szCs w:val="22"/>
        </w:rPr>
      </w:pPr>
      <w:r>
        <w:t>54.</w:t>
      </w:r>
      <w:r>
        <w:tab/>
        <w:t>RRO, nature of</w:t>
      </w:r>
      <w:r>
        <w:tab/>
      </w:r>
      <w:r>
        <w:fldChar w:fldCharType="begin"/>
      </w:r>
      <w:r>
        <w:instrText xml:space="preserve"> PAGEREF _Toc511135811 \h </w:instrText>
      </w:r>
      <w:r>
        <w:fldChar w:fldCharType="separate"/>
      </w:r>
      <w:r>
        <w:t>39</w:t>
      </w:r>
      <w:r>
        <w:fldChar w:fldCharType="end"/>
      </w:r>
    </w:p>
    <w:p>
      <w:pPr>
        <w:pStyle w:val="TOC8"/>
        <w:rPr>
          <w:rFonts w:asciiTheme="minorHAnsi" w:eastAsiaTheme="minorEastAsia" w:hAnsiTheme="minorHAnsi" w:cstheme="minorBidi"/>
          <w:szCs w:val="22"/>
        </w:rPr>
      </w:pPr>
      <w:r>
        <w:t>55.</w:t>
      </w:r>
      <w:r>
        <w:tab/>
        <w:t>RRO, standard obligations</w:t>
      </w:r>
      <w:r>
        <w:tab/>
      </w:r>
      <w:r>
        <w:fldChar w:fldCharType="begin"/>
      </w:r>
      <w:r>
        <w:instrText xml:space="preserve"> PAGEREF _Toc511135812 \h </w:instrText>
      </w:r>
      <w:r>
        <w:fldChar w:fldCharType="separate"/>
      </w:r>
      <w:r>
        <w:t>40</w:t>
      </w:r>
      <w:r>
        <w:fldChar w:fldCharType="end"/>
      </w:r>
    </w:p>
    <w:p>
      <w:pPr>
        <w:pStyle w:val="TOC8"/>
        <w:rPr>
          <w:rFonts w:asciiTheme="minorHAnsi" w:eastAsiaTheme="minorEastAsia" w:hAnsiTheme="minorHAnsi" w:cstheme="minorBidi"/>
          <w:szCs w:val="22"/>
        </w:rPr>
      </w:pPr>
      <w:r>
        <w:t>56.</w:t>
      </w:r>
      <w:r>
        <w:tab/>
        <w:t>RRO, primary requirements</w:t>
      </w:r>
      <w:r>
        <w:tab/>
      </w:r>
      <w:r>
        <w:fldChar w:fldCharType="begin"/>
      </w:r>
      <w:r>
        <w:instrText xml:space="preserve"> PAGEREF _Toc511135813 \h </w:instrText>
      </w:r>
      <w:r>
        <w:fldChar w:fldCharType="separate"/>
      </w:r>
      <w:r>
        <w:t>41</w:t>
      </w:r>
      <w:r>
        <w:fldChar w:fldCharType="end"/>
      </w:r>
    </w:p>
    <w:p>
      <w:pPr>
        <w:pStyle w:val="TOC8"/>
        <w:rPr>
          <w:rFonts w:asciiTheme="minorHAnsi" w:eastAsiaTheme="minorEastAsia" w:hAnsiTheme="minorHAnsi" w:cstheme="minorBidi"/>
          <w:szCs w:val="22"/>
        </w:rPr>
      </w:pPr>
      <w:r>
        <w:t>57.</w:t>
      </w:r>
      <w:r>
        <w:tab/>
        <w:t>RRO, additional requirements</w:t>
      </w:r>
      <w:r>
        <w:tab/>
      </w:r>
      <w:r>
        <w:fldChar w:fldCharType="begin"/>
      </w:r>
      <w:r>
        <w:instrText xml:space="preserve"> PAGEREF _Toc511135814 \h </w:instrText>
      </w:r>
      <w:r>
        <w:fldChar w:fldCharType="separate"/>
      </w:r>
      <w:r>
        <w:t>41</w:t>
      </w:r>
      <w:r>
        <w:fldChar w:fldCharType="end"/>
      </w:r>
    </w:p>
    <w:p>
      <w:pPr>
        <w:pStyle w:val="TOC8"/>
        <w:rPr>
          <w:rFonts w:asciiTheme="minorHAnsi" w:eastAsiaTheme="minorEastAsia" w:hAnsiTheme="minorHAnsi" w:cstheme="minorBidi"/>
          <w:szCs w:val="22"/>
        </w:rPr>
      </w:pPr>
      <w:r>
        <w:t>58.</w:t>
      </w:r>
      <w:r>
        <w:tab/>
        <w:t>Prisoner’s undertaking</w:t>
      </w:r>
      <w:r>
        <w:tab/>
      </w:r>
      <w:r>
        <w:fldChar w:fldCharType="begin"/>
      </w:r>
      <w:r>
        <w:instrText xml:space="preserve"> PAGEREF _Toc511135815 \h </w:instrText>
      </w:r>
      <w:r>
        <w:fldChar w:fldCharType="separate"/>
      </w:r>
      <w:r>
        <w:t>42</w:t>
      </w:r>
      <w:r>
        <w:fldChar w:fldCharType="end"/>
      </w:r>
    </w:p>
    <w:p>
      <w:pPr>
        <w:pStyle w:val="TOC8"/>
        <w:rPr>
          <w:rFonts w:asciiTheme="minorHAnsi" w:eastAsiaTheme="minorEastAsia" w:hAnsiTheme="minorHAnsi" w:cstheme="minorBidi"/>
          <w:szCs w:val="22"/>
        </w:rPr>
      </w:pPr>
      <w:r>
        <w:t>59.</w:t>
      </w:r>
      <w:r>
        <w:tab/>
        <w:t>CEO to ensure prisoner is supervised during RRO</w:t>
      </w:r>
      <w:r>
        <w:tab/>
      </w:r>
      <w:r>
        <w:fldChar w:fldCharType="begin"/>
      </w:r>
      <w:r>
        <w:instrText xml:space="preserve"> PAGEREF _Toc511135816 \h </w:instrText>
      </w:r>
      <w:r>
        <w:fldChar w:fldCharType="separate"/>
      </w:r>
      <w:r>
        <w:t>42</w:t>
      </w:r>
      <w:r>
        <w:fldChar w:fldCharType="end"/>
      </w:r>
    </w:p>
    <w:p>
      <w:pPr>
        <w:pStyle w:val="TOC8"/>
        <w:rPr>
          <w:rFonts w:asciiTheme="minorHAnsi" w:eastAsiaTheme="minorEastAsia" w:hAnsiTheme="minorHAnsi" w:cstheme="minorBidi"/>
          <w:szCs w:val="22"/>
        </w:rPr>
      </w:pPr>
      <w:r>
        <w:t>61.</w:t>
      </w:r>
      <w:r>
        <w:tab/>
        <w:t>Suspension by Board or CEO</w:t>
      </w:r>
      <w:r>
        <w:tab/>
      </w:r>
      <w:r>
        <w:fldChar w:fldCharType="begin"/>
      </w:r>
      <w:r>
        <w:instrText xml:space="preserve"> PAGEREF _Toc511135817 \h </w:instrText>
      </w:r>
      <w:r>
        <w:fldChar w:fldCharType="separate"/>
      </w:r>
      <w:r>
        <w:t>43</w:t>
      </w:r>
      <w:r>
        <w:fldChar w:fldCharType="end"/>
      </w:r>
    </w:p>
    <w:p>
      <w:pPr>
        <w:pStyle w:val="TOC8"/>
        <w:rPr>
          <w:rFonts w:asciiTheme="minorHAnsi" w:eastAsiaTheme="minorEastAsia" w:hAnsiTheme="minorHAnsi" w:cstheme="minorBidi"/>
          <w:szCs w:val="22"/>
        </w:rPr>
      </w:pPr>
      <w:r>
        <w:t>63.</w:t>
      </w:r>
      <w:r>
        <w:tab/>
        <w:t>Cancellation by Board</w:t>
      </w:r>
      <w:r>
        <w:tab/>
      </w:r>
      <w:r>
        <w:fldChar w:fldCharType="begin"/>
      </w:r>
      <w:r>
        <w:instrText xml:space="preserve"> PAGEREF _Toc511135818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applying to early release orders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65.</w:t>
      </w:r>
      <w:r>
        <w:tab/>
        <w:t>Period of early release order counts as time served</w:t>
      </w:r>
      <w:r>
        <w:tab/>
      </w:r>
      <w:r>
        <w:fldChar w:fldCharType="begin"/>
      </w:r>
      <w:r>
        <w:instrText xml:space="preserve"> PAGEREF _Toc511135821 \h </w:instrText>
      </w:r>
      <w:r>
        <w:fldChar w:fldCharType="separate"/>
      </w:r>
      <w:r>
        <w:t>45</w:t>
      </w:r>
      <w:r>
        <w:fldChar w:fldCharType="end"/>
      </w:r>
    </w:p>
    <w:p>
      <w:pPr>
        <w:pStyle w:val="TOC8"/>
        <w:rPr>
          <w:rFonts w:asciiTheme="minorHAnsi" w:eastAsiaTheme="minorEastAsia" w:hAnsiTheme="minorHAnsi" w:cstheme="minorBidi"/>
          <w:szCs w:val="22"/>
        </w:rPr>
      </w:pPr>
      <w:r>
        <w:t>66.</w:t>
      </w:r>
      <w:r>
        <w:tab/>
        <w:t>Prisoner under sentence until discharged</w:t>
      </w:r>
      <w:r>
        <w:tab/>
      </w:r>
      <w:r>
        <w:fldChar w:fldCharType="begin"/>
      </w:r>
      <w:r>
        <w:instrText xml:space="preserve"> PAGEREF _Toc511135822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1A — Homicide offence or homicide related offence</w:t>
      </w:r>
    </w:p>
    <w:p>
      <w:pPr>
        <w:pStyle w:val="TOC8"/>
        <w:rPr>
          <w:rFonts w:asciiTheme="minorHAnsi" w:eastAsiaTheme="minorEastAsia" w:hAnsiTheme="minorHAnsi" w:cstheme="minorBidi"/>
          <w:szCs w:val="22"/>
        </w:rPr>
      </w:pPr>
      <w:r>
        <w:t>66A.</w:t>
      </w:r>
      <w:r>
        <w:tab/>
        <w:t>Terms used</w:t>
      </w:r>
      <w:r>
        <w:tab/>
      </w:r>
      <w:r>
        <w:fldChar w:fldCharType="begin"/>
      </w:r>
      <w:r>
        <w:instrText xml:space="preserve"> PAGEREF _Toc511135824 \h </w:instrText>
      </w:r>
      <w:r>
        <w:fldChar w:fldCharType="separate"/>
      </w:r>
      <w:r>
        <w:t>45</w:t>
      </w:r>
      <w:r>
        <w:fldChar w:fldCharType="end"/>
      </w:r>
    </w:p>
    <w:p>
      <w:pPr>
        <w:pStyle w:val="TOC8"/>
        <w:rPr>
          <w:rFonts w:asciiTheme="minorHAnsi" w:eastAsiaTheme="minorEastAsia" w:hAnsiTheme="minorHAnsi" w:cstheme="minorBidi"/>
          <w:szCs w:val="22"/>
        </w:rPr>
      </w:pPr>
      <w:r>
        <w:t>66B.</w:t>
      </w:r>
      <w:r>
        <w:tab/>
        <w:t>Board not to release or recommend release unless prisoner cooperates or victim’s remains located</w:t>
      </w:r>
      <w:r>
        <w:tab/>
      </w:r>
      <w:r>
        <w:fldChar w:fldCharType="begin"/>
      </w:r>
      <w:r>
        <w:instrText xml:space="preserve"> PAGEREF _Toc511135825 \h </w:instrText>
      </w:r>
      <w:r>
        <w:fldChar w:fldCharType="separate"/>
      </w:r>
      <w:r>
        <w:t>47</w:t>
      </w:r>
      <w:r>
        <w:fldChar w:fldCharType="end"/>
      </w:r>
    </w:p>
    <w:p>
      <w:pPr>
        <w:pStyle w:val="TOC8"/>
        <w:rPr>
          <w:rFonts w:asciiTheme="minorHAnsi" w:eastAsiaTheme="minorEastAsia" w:hAnsiTheme="minorHAnsi" w:cstheme="minorBidi"/>
          <w:szCs w:val="22"/>
        </w:rPr>
      </w:pPr>
      <w:r>
        <w:t>66C.</w:t>
      </w:r>
      <w:r>
        <w:tab/>
        <w:t>Commissioner of Police report</w:t>
      </w:r>
      <w:r>
        <w:tab/>
      </w:r>
      <w:r>
        <w:fldChar w:fldCharType="begin"/>
      </w:r>
      <w:r>
        <w:instrText xml:space="preserve"> PAGEREF _Toc511135826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 — Automatic cancellation</w:t>
      </w:r>
    </w:p>
    <w:p>
      <w:pPr>
        <w:pStyle w:val="TOC8"/>
        <w:rPr>
          <w:rFonts w:asciiTheme="minorHAnsi" w:eastAsiaTheme="minorEastAsia" w:hAnsiTheme="minorHAnsi" w:cstheme="minorBidi"/>
          <w:szCs w:val="22"/>
        </w:rPr>
      </w:pPr>
      <w:r>
        <w:t>67.</w:t>
      </w:r>
      <w:r>
        <w:tab/>
        <w:t>Cancellation automatic if prisoner imprisoned for offence committed on early release order</w:t>
      </w:r>
      <w:r>
        <w:tab/>
      </w:r>
      <w:r>
        <w:fldChar w:fldCharType="begin"/>
      </w:r>
      <w:r>
        <w:instrText xml:space="preserve"> PAGEREF _Toc511135828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Consequences of suspension and cancellation</w:t>
      </w:r>
    </w:p>
    <w:p>
      <w:pPr>
        <w:pStyle w:val="TOC8"/>
        <w:rPr>
          <w:rFonts w:asciiTheme="minorHAnsi" w:eastAsiaTheme="minorEastAsia" w:hAnsiTheme="minorHAnsi" w:cstheme="minorBidi"/>
          <w:szCs w:val="22"/>
        </w:rPr>
      </w:pPr>
      <w:r>
        <w:t>68.</w:t>
      </w:r>
      <w:r>
        <w:tab/>
        <w:t>Suspension, effect of</w:t>
      </w:r>
      <w:r>
        <w:tab/>
      </w:r>
      <w:r>
        <w:fldChar w:fldCharType="begin"/>
      </w:r>
      <w:r>
        <w:instrText xml:space="preserve"> PAGEREF _Toc511135830 \h </w:instrText>
      </w:r>
      <w:r>
        <w:fldChar w:fldCharType="separate"/>
      </w:r>
      <w:r>
        <w:t>50</w:t>
      </w:r>
      <w:r>
        <w:fldChar w:fldCharType="end"/>
      </w:r>
    </w:p>
    <w:p>
      <w:pPr>
        <w:pStyle w:val="TOC8"/>
        <w:rPr>
          <w:rFonts w:asciiTheme="minorHAnsi" w:eastAsiaTheme="minorEastAsia" w:hAnsiTheme="minorHAnsi" w:cstheme="minorBidi"/>
          <w:szCs w:val="22"/>
        </w:rPr>
      </w:pPr>
      <w:r>
        <w:t>69.</w:t>
      </w:r>
      <w:r>
        <w:tab/>
        <w:t>Cancellation, effect of</w:t>
      </w:r>
      <w:r>
        <w:tab/>
      </w:r>
      <w:r>
        <w:fldChar w:fldCharType="begin"/>
      </w:r>
      <w:r>
        <w:instrText xml:space="preserve"> PAGEREF _Toc511135831 \h </w:instrText>
      </w:r>
      <w:r>
        <w:fldChar w:fldCharType="separate"/>
      </w:r>
      <w:r>
        <w:t>50</w:t>
      </w:r>
      <w:r>
        <w:fldChar w:fldCharType="end"/>
      </w:r>
    </w:p>
    <w:p>
      <w:pPr>
        <w:pStyle w:val="TOC8"/>
        <w:rPr>
          <w:rFonts w:asciiTheme="minorHAnsi" w:eastAsiaTheme="minorEastAsia" w:hAnsiTheme="minorHAnsi" w:cstheme="minorBidi"/>
          <w:szCs w:val="22"/>
        </w:rPr>
      </w:pPr>
      <w:r>
        <w:t>70.</w:t>
      </w:r>
      <w:r>
        <w:tab/>
        <w:t>Returning prisoner to custody</w:t>
      </w:r>
      <w:r>
        <w:tab/>
      </w:r>
      <w:r>
        <w:fldChar w:fldCharType="begin"/>
      </w:r>
      <w:r>
        <w:instrText xml:space="preserve"> PAGEREF _Toc511135832 \h </w:instrText>
      </w:r>
      <w:r>
        <w:fldChar w:fldCharType="separate"/>
      </w:r>
      <w:r>
        <w:t>52</w:t>
      </w:r>
      <w:r>
        <w:fldChar w:fldCharType="end"/>
      </w:r>
    </w:p>
    <w:p>
      <w:pPr>
        <w:pStyle w:val="TOC8"/>
        <w:rPr>
          <w:rFonts w:asciiTheme="minorHAnsi" w:eastAsiaTheme="minorEastAsia" w:hAnsiTheme="minorHAnsi" w:cstheme="minorBidi"/>
          <w:szCs w:val="22"/>
        </w:rPr>
      </w:pPr>
      <w:r>
        <w:t>71.</w:t>
      </w:r>
      <w:r>
        <w:tab/>
        <w:t>Clean street time counts as time served</w:t>
      </w:r>
      <w:r>
        <w:tab/>
      </w:r>
      <w:r>
        <w:fldChar w:fldCharType="begin"/>
      </w:r>
      <w:r>
        <w:instrText xml:space="preserve"> PAGEREF _Toc511135833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Re</w:t>
      </w:r>
      <w:r>
        <w:noBreakHyphen/>
        <w:t>release after cancellation</w:t>
      </w:r>
    </w:p>
    <w:p>
      <w:pPr>
        <w:pStyle w:val="TOC8"/>
        <w:rPr>
          <w:rFonts w:asciiTheme="minorHAnsi" w:eastAsiaTheme="minorEastAsia" w:hAnsiTheme="minorHAnsi" w:cstheme="minorBidi"/>
          <w:szCs w:val="22"/>
        </w:rPr>
      </w:pPr>
      <w:r>
        <w:t>72.</w:t>
      </w:r>
      <w:r>
        <w:tab/>
        <w:t>Re</w:t>
      </w:r>
      <w:r>
        <w:noBreakHyphen/>
        <w:t>release after cancellation of order made by Board</w:t>
      </w:r>
      <w:r>
        <w:tab/>
      </w:r>
      <w:r>
        <w:fldChar w:fldCharType="begin"/>
      </w:r>
      <w:r>
        <w:instrText xml:space="preserve"> PAGEREF _Toc511135835 \h </w:instrText>
      </w:r>
      <w:r>
        <w:fldChar w:fldCharType="separate"/>
      </w:r>
      <w:r>
        <w:t>54</w:t>
      </w:r>
      <w:r>
        <w:fldChar w:fldCharType="end"/>
      </w:r>
    </w:p>
    <w:p>
      <w:pPr>
        <w:pStyle w:val="TOC8"/>
        <w:rPr>
          <w:rFonts w:asciiTheme="minorHAnsi" w:eastAsiaTheme="minorEastAsia" w:hAnsiTheme="minorHAnsi" w:cstheme="minorBidi"/>
          <w:szCs w:val="22"/>
        </w:rPr>
      </w:pPr>
      <w:r>
        <w:t>73.</w:t>
      </w:r>
      <w:r>
        <w:tab/>
        <w:t>Re</w:t>
      </w:r>
      <w:r>
        <w:noBreakHyphen/>
        <w:t>release after cancellation of parole order made by Governor</w:t>
      </w:r>
      <w:r>
        <w:tab/>
      </w:r>
      <w:r>
        <w:fldChar w:fldCharType="begin"/>
      </w:r>
      <w:r>
        <w:instrText xml:space="preserve"> PAGEREF _Toc511135836 \h </w:instrText>
      </w:r>
      <w:r>
        <w:fldChar w:fldCharType="separate"/>
      </w:r>
      <w:r>
        <w:t>54</w:t>
      </w:r>
      <w:r>
        <w:fldChar w:fldCharType="end"/>
      </w:r>
    </w:p>
    <w:p>
      <w:pPr>
        <w:pStyle w:val="TOC8"/>
        <w:rPr>
          <w:rFonts w:asciiTheme="minorHAnsi" w:eastAsiaTheme="minorEastAsia" w:hAnsiTheme="minorHAnsi" w:cstheme="minorBidi"/>
          <w:szCs w:val="22"/>
        </w:rPr>
      </w:pPr>
      <w:r>
        <w:t>74.</w:t>
      </w:r>
      <w:r>
        <w:tab/>
        <w:t>Parole period under new parole order deemed to be time served</w:t>
      </w:r>
      <w:r>
        <w:tab/>
      </w:r>
      <w:r>
        <w:fldChar w:fldCharType="begin"/>
      </w:r>
      <w:r>
        <w:instrText xml:space="preserve"> PAGEREF _Toc511135837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5A — Post</w:t>
      </w:r>
      <w:r>
        <w:noBreakHyphen/>
        <w:t>sentence supervision of certain offenders</w:t>
      </w:r>
    </w:p>
    <w:p>
      <w:pPr>
        <w:pStyle w:val="TOC8"/>
        <w:rPr>
          <w:rFonts w:asciiTheme="minorHAnsi" w:eastAsiaTheme="minorEastAsia" w:hAnsiTheme="minorHAnsi" w:cstheme="minorBidi"/>
          <w:szCs w:val="22"/>
        </w:rPr>
      </w:pPr>
      <w:r>
        <w:t>74A.</w:t>
      </w:r>
      <w:r>
        <w:tab/>
        <w:t>Terms used</w:t>
      </w:r>
      <w:r>
        <w:tab/>
      </w:r>
      <w:r>
        <w:fldChar w:fldCharType="begin"/>
      </w:r>
      <w:r>
        <w:instrText xml:space="preserve"> PAGEREF _Toc511135839 \h </w:instrText>
      </w:r>
      <w:r>
        <w:fldChar w:fldCharType="separate"/>
      </w:r>
      <w:r>
        <w:t>56</w:t>
      </w:r>
      <w:r>
        <w:fldChar w:fldCharType="end"/>
      </w:r>
    </w:p>
    <w:p>
      <w:pPr>
        <w:pStyle w:val="TOC8"/>
        <w:rPr>
          <w:rFonts w:asciiTheme="minorHAnsi" w:eastAsiaTheme="minorEastAsia" w:hAnsiTheme="minorHAnsi" w:cstheme="minorBidi"/>
          <w:szCs w:val="22"/>
        </w:rPr>
      </w:pPr>
      <w:r>
        <w:t>74B.</w:t>
      </w:r>
      <w:r>
        <w:tab/>
        <w:t>PSSO considerations</w:t>
      </w:r>
      <w:r>
        <w:tab/>
      </w:r>
      <w:r>
        <w:fldChar w:fldCharType="begin"/>
      </w:r>
      <w:r>
        <w:instrText xml:space="preserve"> PAGEREF _Toc511135840 \h </w:instrText>
      </w:r>
      <w:r>
        <w:fldChar w:fldCharType="separate"/>
      </w:r>
      <w:r>
        <w:t>56</w:t>
      </w:r>
      <w:r>
        <w:fldChar w:fldCharType="end"/>
      </w:r>
    </w:p>
    <w:p>
      <w:pPr>
        <w:pStyle w:val="TOC8"/>
        <w:rPr>
          <w:rFonts w:asciiTheme="minorHAnsi" w:eastAsiaTheme="minorEastAsia" w:hAnsiTheme="minorHAnsi" w:cstheme="minorBidi"/>
          <w:szCs w:val="22"/>
        </w:rPr>
      </w:pPr>
      <w:r>
        <w:t>74C.</w:t>
      </w:r>
      <w:r>
        <w:tab/>
        <w:t>Reports by CEO to Board about prisoners</w:t>
      </w:r>
      <w:r>
        <w:tab/>
      </w:r>
      <w:r>
        <w:fldChar w:fldCharType="begin"/>
      </w:r>
      <w:r>
        <w:instrText xml:space="preserve"> PAGEREF _Toc511135841 \h </w:instrText>
      </w:r>
      <w:r>
        <w:fldChar w:fldCharType="separate"/>
      </w:r>
      <w:r>
        <w:t>57</w:t>
      </w:r>
      <w:r>
        <w:fldChar w:fldCharType="end"/>
      </w:r>
    </w:p>
    <w:p>
      <w:pPr>
        <w:pStyle w:val="TOC8"/>
        <w:rPr>
          <w:rFonts w:asciiTheme="minorHAnsi" w:eastAsiaTheme="minorEastAsia" w:hAnsiTheme="minorHAnsi" w:cstheme="minorBidi"/>
          <w:szCs w:val="22"/>
        </w:rPr>
      </w:pPr>
      <w:r>
        <w:t>74D.</w:t>
      </w:r>
      <w:r>
        <w:tab/>
        <w:t>Board may make PSSO</w:t>
      </w:r>
      <w:r>
        <w:tab/>
      </w:r>
      <w:r>
        <w:fldChar w:fldCharType="begin"/>
      </w:r>
      <w:r>
        <w:instrText xml:space="preserve"> PAGEREF _Toc511135842 \h </w:instrText>
      </w:r>
      <w:r>
        <w:fldChar w:fldCharType="separate"/>
      </w:r>
      <w:r>
        <w:t>57</w:t>
      </w:r>
      <w:r>
        <w:fldChar w:fldCharType="end"/>
      </w:r>
    </w:p>
    <w:p>
      <w:pPr>
        <w:pStyle w:val="TOC8"/>
        <w:rPr>
          <w:rFonts w:asciiTheme="minorHAnsi" w:eastAsiaTheme="minorEastAsia" w:hAnsiTheme="minorHAnsi" w:cstheme="minorBidi"/>
          <w:szCs w:val="22"/>
        </w:rPr>
      </w:pPr>
      <w:r>
        <w:t>74E.</w:t>
      </w:r>
      <w:r>
        <w:tab/>
        <w:t>Nature of PSSO</w:t>
      </w:r>
      <w:r>
        <w:tab/>
      </w:r>
      <w:r>
        <w:fldChar w:fldCharType="begin"/>
      </w:r>
      <w:r>
        <w:instrText xml:space="preserve"> PAGEREF _Toc511135843 \h </w:instrText>
      </w:r>
      <w:r>
        <w:fldChar w:fldCharType="separate"/>
      </w:r>
      <w:r>
        <w:t>58</w:t>
      </w:r>
      <w:r>
        <w:fldChar w:fldCharType="end"/>
      </w:r>
    </w:p>
    <w:p>
      <w:pPr>
        <w:pStyle w:val="TOC8"/>
        <w:rPr>
          <w:rFonts w:asciiTheme="minorHAnsi" w:eastAsiaTheme="minorEastAsia" w:hAnsiTheme="minorHAnsi" w:cstheme="minorBidi"/>
          <w:szCs w:val="22"/>
        </w:rPr>
      </w:pPr>
      <w:r>
        <w:t>74F.</w:t>
      </w:r>
      <w:r>
        <w:tab/>
        <w:t>Standard obligations of PSSO</w:t>
      </w:r>
      <w:r>
        <w:tab/>
      </w:r>
      <w:r>
        <w:fldChar w:fldCharType="begin"/>
      </w:r>
      <w:r>
        <w:instrText xml:space="preserve"> PAGEREF _Toc511135844 \h </w:instrText>
      </w:r>
      <w:r>
        <w:fldChar w:fldCharType="separate"/>
      </w:r>
      <w:r>
        <w:t>58</w:t>
      </w:r>
      <w:r>
        <w:fldChar w:fldCharType="end"/>
      </w:r>
    </w:p>
    <w:p>
      <w:pPr>
        <w:pStyle w:val="TOC8"/>
        <w:rPr>
          <w:rFonts w:asciiTheme="minorHAnsi" w:eastAsiaTheme="minorEastAsia" w:hAnsiTheme="minorHAnsi" w:cstheme="minorBidi"/>
          <w:szCs w:val="22"/>
        </w:rPr>
      </w:pPr>
      <w:r>
        <w:t>74G.</w:t>
      </w:r>
      <w:r>
        <w:tab/>
        <w:t>Additional requirements of PSSO</w:t>
      </w:r>
      <w:r>
        <w:tab/>
      </w:r>
      <w:r>
        <w:fldChar w:fldCharType="begin"/>
      </w:r>
      <w:r>
        <w:instrText xml:space="preserve"> PAGEREF _Toc511135845 \h </w:instrText>
      </w:r>
      <w:r>
        <w:fldChar w:fldCharType="separate"/>
      </w:r>
      <w:r>
        <w:t>59</w:t>
      </w:r>
      <w:r>
        <w:fldChar w:fldCharType="end"/>
      </w:r>
    </w:p>
    <w:p>
      <w:pPr>
        <w:pStyle w:val="TOC8"/>
        <w:rPr>
          <w:rFonts w:asciiTheme="minorHAnsi" w:eastAsiaTheme="minorEastAsia" w:hAnsiTheme="minorHAnsi" w:cstheme="minorBidi"/>
          <w:szCs w:val="22"/>
        </w:rPr>
      </w:pPr>
      <w:r>
        <w:t>74H.</w:t>
      </w:r>
      <w:r>
        <w:tab/>
        <w:t>CEO to ensure person subject to PSSO is supervised</w:t>
      </w:r>
      <w:r>
        <w:tab/>
      </w:r>
      <w:r>
        <w:fldChar w:fldCharType="begin"/>
      </w:r>
      <w:r>
        <w:instrText xml:space="preserve"> PAGEREF _Toc511135846 \h </w:instrText>
      </w:r>
      <w:r>
        <w:fldChar w:fldCharType="separate"/>
      </w:r>
      <w:r>
        <w:t>60</w:t>
      </w:r>
      <w:r>
        <w:fldChar w:fldCharType="end"/>
      </w:r>
    </w:p>
    <w:p>
      <w:pPr>
        <w:pStyle w:val="TOC8"/>
        <w:rPr>
          <w:rFonts w:asciiTheme="minorHAnsi" w:eastAsiaTheme="minorEastAsia" w:hAnsiTheme="minorHAnsi" w:cstheme="minorBidi"/>
          <w:szCs w:val="22"/>
        </w:rPr>
      </w:pPr>
      <w:r>
        <w:t>74I.</w:t>
      </w:r>
      <w:r>
        <w:tab/>
        <w:t>Amendment of PSSO</w:t>
      </w:r>
      <w:r>
        <w:tab/>
      </w:r>
      <w:r>
        <w:fldChar w:fldCharType="begin"/>
      </w:r>
      <w:r>
        <w:instrText xml:space="preserve"> PAGEREF _Toc511135847 \h </w:instrText>
      </w:r>
      <w:r>
        <w:fldChar w:fldCharType="separate"/>
      </w:r>
      <w:r>
        <w:t>60</w:t>
      </w:r>
      <w:r>
        <w:fldChar w:fldCharType="end"/>
      </w:r>
    </w:p>
    <w:p>
      <w:pPr>
        <w:pStyle w:val="TOC8"/>
        <w:rPr>
          <w:rFonts w:asciiTheme="minorHAnsi" w:eastAsiaTheme="minorEastAsia" w:hAnsiTheme="minorHAnsi" w:cstheme="minorBidi"/>
          <w:szCs w:val="22"/>
        </w:rPr>
      </w:pPr>
      <w:r>
        <w:t>74J.</w:t>
      </w:r>
      <w:r>
        <w:tab/>
        <w:t>Cancellation of PSSO</w:t>
      </w:r>
      <w:r>
        <w:tab/>
      </w:r>
      <w:r>
        <w:fldChar w:fldCharType="begin"/>
      </w:r>
      <w:r>
        <w:instrText xml:space="preserve"> PAGEREF _Toc511135848 \h </w:instrText>
      </w:r>
      <w:r>
        <w:fldChar w:fldCharType="separate"/>
      </w:r>
      <w:r>
        <w:t>60</w:t>
      </w:r>
      <w:r>
        <w:fldChar w:fldCharType="end"/>
      </w:r>
    </w:p>
    <w:p>
      <w:pPr>
        <w:pStyle w:val="TOC8"/>
        <w:rPr>
          <w:rFonts w:asciiTheme="minorHAnsi" w:eastAsiaTheme="minorEastAsia" w:hAnsiTheme="minorHAnsi" w:cstheme="minorBidi"/>
          <w:szCs w:val="22"/>
        </w:rPr>
      </w:pPr>
      <w:r>
        <w:t>74K.</w:t>
      </w:r>
      <w:r>
        <w:tab/>
        <w:t>Subsequent PSSO after cancellation for committing offence</w:t>
      </w:r>
      <w:r>
        <w:tab/>
      </w:r>
      <w:r>
        <w:fldChar w:fldCharType="begin"/>
      </w:r>
      <w:r>
        <w:instrText xml:space="preserve"> PAGEREF _Toc511135849 \h </w:instrText>
      </w:r>
      <w:r>
        <w:fldChar w:fldCharType="separate"/>
      </w:r>
      <w:r>
        <w:t>60</w:t>
      </w:r>
      <w:r>
        <w:fldChar w:fldCharType="end"/>
      </w:r>
    </w:p>
    <w:p>
      <w:pPr>
        <w:pStyle w:val="TOC8"/>
        <w:rPr>
          <w:rFonts w:asciiTheme="minorHAnsi" w:eastAsiaTheme="minorEastAsia" w:hAnsiTheme="minorHAnsi" w:cstheme="minorBidi"/>
          <w:szCs w:val="22"/>
        </w:rPr>
      </w:pPr>
      <w:r>
        <w:t>74L.</w:t>
      </w:r>
      <w:r>
        <w:tab/>
        <w:t>Offence for breach of PSSO</w:t>
      </w:r>
      <w:r>
        <w:tab/>
      </w:r>
      <w:r>
        <w:fldChar w:fldCharType="begin"/>
      </w:r>
      <w:r>
        <w:instrText xml:space="preserve"> PAGEREF _Toc511135850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6 — Provisions applying to offenders on community corrections orders</w:t>
      </w:r>
    </w:p>
    <w:p>
      <w:pPr>
        <w:pStyle w:val="TOC8"/>
        <w:rPr>
          <w:rFonts w:asciiTheme="minorHAnsi" w:eastAsiaTheme="minorEastAsia" w:hAnsiTheme="minorHAnsi" w:cstheme="minorBidi"/>
          <w:szCs w:val="22"/>
        </w:rPr>
      </w:pPr>
      <w:r>
        <w:t>75.</w:t>
      </w:r>
      <w:r>
        <w:tab/>
        <w:t>Terms used</w:t>
      </w:r>
      <w:r>
        <w:tab/>
      </w:r>
      <w:r>
        <w:fldChar w:fldCharType="begin"/>
      </w:r>
      <w:r>
        <w:instrText xml:space="preserve"> PAGEREF _Toc511135852 \h </w:instrText>
      </w:r>
      <w:r>
        <w:fldChar w:fldCharType="separate"/>
      </w:r>
      <w:r>
        <w:t>62</w:t>
      </w:r>
      <w:r>
        <w:fldChar w:fldCharType="end"/>
      </w:r>
    </w:p>
    <w:p>
      <w:pPr>
        <w:pStyle w:val="TOC8"/>
        <w:rPr>
          <w:rFonts w:asciiTheme="minorHAnsi" w:eastAsiaTheme="minorEastAsia" w:hAnsiTheme="minorHAnsi" w:cstheme="minorBidi"/>
          <w:szCs w:val="22"/>
        </w:rPr>
      </w:pPr>
      <w:r>
        <w:t>76.</w:t>
      </w:r>
      <w:r>
        <w:tab/>
        <w:t>Offender’s obligations</w:t>
      </w:r>
      <w:r>
        <w:tab/>
      </w:r>
      <w:r>
        <w:fldChar w:fldCharType="begin"/>
      </w:r>
      <w:r>
        <w:instrText xml:space="preserve"> PAGEREF _Toc511135853 \h </w:instrText>
      </w:r>
      <w:r>
        <w:fldChar w:fldCharType="separate"/>
      </w:r>
      <w:r>
        <w:t>62</w:t>
      </w:r>
      <w:r>
        <w:fldChar w:fldCharType="end"/>
      </w:r>
    </w:p>
    <w:p>
      <w:pPr>
        <w:pStyle w:val="TOC8"/>
        <w:rPr>
          <w:rFonts w:asciiTheme="minorHAnsi" w:eastAsiaTheme="minorEastAsia" w:hAnsiTheme="minorHAnsi" w:cstheme="minorBidi"/>
          <w:szCs w:val="22"/>
        </w:rPr>
      </w:pPr>
      <w:r>
        <w:t>77.</w:t>
      </w:r>
      <w:r>
        <w:tab/>
        <w:t>Consequences of contravening s. 76 obligations</w:t>
      </w:r>
      <w:r>
        <w:tab/>
      </w:r>
      <w:r>
        <w:fldChar w:fldCharType="begin"/>
      </w:r>
      <w:r>
        <w:instrText xml:space="preserve"> PAGEREF _Toc511135854 \h </w:instrText>
      </w:r>
      <w:r>
        <w:fldChar w:fldCharType="separate"/>
      </w:r>
      <w:r>
        <w:t>64</w:t>
      </w:r>
      <w:r>
        <w:fldChar w:fldCharType="end"/>
      </w:r>
    </w:p>
    <w:p>
      <w:pPr>
        <w:pStyle w:val="TOC8"/>
        <w:rPr>
          <w:rFonts w:asciiTheme="minorHAnsi" w:eastAsiaTheme="minorEastAsia" w:hAnsiTheme="minorHAnsi" w:cstheme="minorBidi"/>
          <w:szCs w:val="22"/>
        </w:rPr>
      </w:pPr>
      <w:r>
        <w:t>78.</w:t>
      </w:r>
      <w:r>
        <w:tab/>
        <w:t>CEO may suspend requirements in case of illness etc.</w:t>
      </w:r>
      <w:r>
        <w:tab/>
      </w:r>
      <w:r>
        <w:fldChar w:fldCharType="begin"/>
      </w:r>
      <w:r>
        <w:instrText xml:space="preserve"> PAGEREF _Toc511135855 \h </w:instrText>
      </w:r>
      <w:r>
        <w:fldChar w:fldCharType="separate"/>
      </w:r>
      <w:r>
        <w:t>65</w:t>
      </w:r>
      <w:r>
        <w:fldChar w:fldCharType="end"/>
      </w:r>
    </w:p>
    <w:p>
      <w:pPr>
        <w:pStyle w:val="TOC8"/>
        <w:rPr>
          <w:rFonts w:asciiTheme="minorHAnsi" w:eastAsiaTheme="minorEastAsia" w:hAnsiTheme="minorHAnsi" w:cstheme="minorBidi"/>
          <w:szCs w:val="22"/>
        </w:rPr>
      </w:pPr>
      <w:r>
        <w:t>79.</w:t>
      </w:r>
      <w:r>
        <w:tab/>
        <w:t>Community service requirement, offender may be directed to do activities</w:t>
      </w:r>
      <w:r>
        <w:tab/>
      </w:r>
      <w:r>
        <w:fldChar w:fldCharType="begin"/>
      </w:r>
      <w:r>
        <w:instrText xml:space="preserve"> PAGEREF _Toc511135856 \h </w:instrText>
      </w:r>
      <w:r>
        <w:fldChar w:fldCharType="separate"/>
      </w:r>
      <w:r>
        <w:t>66</w:t>
      </w:r>
      <w:r>
        <w:fldChar w:fldCharType="end"/>
      </w:r>
    </w:p>
    <w:p>
      <w:pPr>
        <w:pStyle w:val="TOC8"/>
        <w:rPr>
          <w:rFonts w:asciiTheme="minorHAnsi" w:eastAsiaTheme="minorEastAsia" w:hAnsiTheme="minorHAnsi" w:cstheme="minorBidi"/>
          <w:szCs w:val="22"/>
        </w:rPr>
      </w:pPr>
      <w:r>
        <w:t>80.</w:t>
      </w:r>
      <w:r>
        <w:tab/>
        <w:t>Programme requirement, CEO may give offender additional directions</w:t>
      </w:r>
      <w:r>
        <w:tab/>
      </w:r>
      <w:r>
        <w:fldChar w:fldCharType="begin"/>
      </w:r>
      <w:r>
        <w:instrText xml:space="preserve"> PAGEREF _Toc511135857 \h </w:instrText>
      </w:r>
      <w:r>
        <w:fldChar w:fldCharType="separate"/>
      </w:r>
      <w:r>
        <w:t>67</w:t>
      </w:r>
      <w:r>
        <w:fldChar w:fldCharType="end"/>
      </w:r>
    </w:p>
    <w:p>
      <w:pPr>
        <w:pStyle w:val="TOC8"/>
        <w:rPr>
          <w:rFonts w:asciiTheme="minorHAnsi" w:eastAsiaTheme="minorEastAsia" w:hAnsiTheme="minorHAnsi" w:cstheme="minorBidi"/>
          <w:szCs w:val="22"/>
        </w:rPr>
      </w:pPr>
      <w:r>
        <w:t>81.</w:t>
      </w:r>
      <w:r>
        <w:tab/>
        <w:t>Compensation for injury to offenders</w:t>
      </w:r>
      <w:r>
        <w:tab/>
      </w:r>
      <w:r>
        <w:fldChar w:fldCharType="begin"/>
      </w:r>
      <w:r>
        <w:instrText xml:space="preserve"> PAGEREF _Toc511135858 \h </w:instrText>
      </w:r>
      <w:r>
        <w:fldChar w:fldCharType="separate"/>
      </w:r>
      <w:r>
        <w:t>67</w:t>
      </w:r>
      <w:r>
        <w:fldChar w:fldCharType="end"/>
      </w:r>
    </w:p>
    <w:p>
      <w:pPr>
        <w:pStyle w:val="TOC8"/>
        <w:rPr>
          <w:rFonts w:asciiTheme="minorHAnsi" w:eastAsiaTheme="minorEastAsia" w:hAnsiTheme="minorHAnsi" w:cstheme="minorBidi"/>
          <w:szCs w:val="22"/>
        </w:rPr>
      </w:pPr>
      <w:r>
        <w:t>82.</w:t>
      </w:r>
      <w:r>
        <w:tab/>
        <w:t>Regulations</w:t>
      </w:r>
      <w:r>
        <w:tab/>
      </w:r>
      <w:r>
        <w:fldChar w:fldCharType="begin"/>
      </w:r>
      <w:r>
        <w:instrText xml:space="preserve"> PAGEREF _Toc511135859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7 — Community corrections centres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_Toc511135862 \h </w:instrText>
      </w:r>
      <w:r>
        <w:fldChar w:fldCharType="separate"/>
      </w:r>
      <w:r>
        <w:t>69</w:t>
      </w:r>
      <w:r>
        <w:fldChar w:fldCharType="end"/>
      </w:r>
    </w:p>
    <w:p>
      <w:pPr>
        <w:pStyle w:val="TOC8"/>
        <w:rPr>
          <w:rFonts w:asciiTheme="minorHAnsi" w:eastAsiaTheme="minorEastAsia" w:hAnsiTheme="minorHAnsi" w:cstheme="minorBidi"/>
          <w:szCs w:val="22"/>
        </w:rPr>
      </w:pPr>
      <w:r>
        <w:t>84.</w:t>
      </w:r>
      <w:r>
        <w:tab/>
        <w:t>Community corrections centres, declaration of</w:t>
      </w:r>
      <w:r>
        <w:tab/>
      </w:r>
      <w:r>
        <w:fldChar w:fldCharType="begin"/>
      </w:r>
      <w:r>
        <w:instrText xml:space="preserve"> PAGEREF _Toc511135863 \h </w:instrText>
      </w:r>
      <w:r>
        <w:fldChar w:fldCharType="separate"/>
      </w:r>
      <w:r>
        <w:t>69</w:t>
      </w:r>
      <w:r>
        <w:fldChar w:fldCharType="end"/>
      </w:r>
    </w:p>
    <w:p>
      <w:pPr>
        <w:pStyle w:val="TOC8"/>
        <w:rPr>
          <w:rFonts w:asciiTheme="minorHAnsi" w:eastAsiaTheme="minorEastAsia" w:hAnsiTheme="minorHAnsi" w:cstheme="minorBidi"/>
          <w:szCs w:val="22"/>
        </w:rPr>
      </w:pPr>
      <w:r>
        <w:t>85.</w:t>
      </w:r>
      <w:r>
        <w:tab/>
        <w:t>Community corrections activities, approval of</w:t>
      </w:r>
      <w:r>
        <w:tab/>
      </w:r>
      <w:r>
        <w:fldChar w:fldCharType="begin"/>
      </w:r>
      <w:r>
        <w:instrText xml:space="preserve"> PAGEREF _Toc511135864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Management</w:t>
      </w:r>
    </w:p>
    <w:p>
      <w:pPr>
        <w:pStyle w:val="TOC8"/>
        <w:rPr>
          <w:rFonts w:asciiTheme="minorHAnsi" w:eastAsiaTheme="minorEastAsia" w:hAnsiTheme="minorHAnsi" w:cstheme="minorBidi"/>
          <w:szCs w:val="22"/>
        </w:rPr>
      </w:pPr>
      <w:r>
        <w:t>86.</w:t>
      </w:r>
      <w:r>
        <w:tab/>
        <w:t>Instructions about management etc., issue of etc.</w:t>
      </w:r>
      <w:r>
        <w:tab/>
      </w:r>
      <w:r>
        <w:fldChar w:fldCharType="begin"/>
      </w:r>
      <w:r>
        <w:instrText xml:space="preserve"> PAGEREF _Toc511135866 \h </w:instrText>
      </w:r>
      <w:r>
        <w:fldChar w:fldCharType="separate"/>
      </w:r>
      <w:r>
        <w:t>70</w:t>
      </w:r>
      <w:r>
        <w:fldChar w:fldCharType="end"/>
      </w:r>
    </w:p>
    <w:p>
      <w:pPr>
        <w:pStyle w:val="TOC8"/>
        <w:rPr>
          <w:rFonts w:asciiTheme="minorHAnsi" w:eastAsiaTheme="minorEastAsia" w:hAnsiTheme="minorHAnsi" w:cstheme="minorBidi"/>
          <w:szCs w:val="22"/>
        </w:rPr>
      </w:pPr>
      <w:r>
        <w:t>87.</w:t>
      </w:r>
      <w:r>
        <w:tab/>
      </w:r>
      <w:r>
        <w:rPr>
          <w:snapToGrid w:val="0"/>
        </w:rPr>
        <w:t xml:space="preserve">Managers </w:t>
      </w:r>
      <w:r>
        <w:t>of centres, functions of etc.</w:t>
      </w:r>
      <w:r>
        <w:tab/>
      </w:r>
      <w:r>
        <w:fldChar w:fldCharType="begin"/>
      </w:r>
      <w:r>
        <w:instrText xml:space="preserve"> PAGEREF _Toc511135867 \h </w:instrText>
      </w:r>
      <w:r>
        <w:fldChar w:fldCharType="separate"/>
      </w:r>
      <w:r>
        <w:t>71</w:t>
      </w:r>
      <w:r>
        <w:fldChar w:fldCharType="end"/>
      </w:r>
    </w:p>
    <w:p>
      <w:pPr>
        <w:pStyle w:val="TOC8"/>
        <w:rPr>
          <w:rFonts w:asciiTheme="minorHAnsi" w:eastAsiaTheme="minorEastAsia" w:hAnsiTheme="minorHAnsi" w:cstheme="minorBidi"/>
          <w:szCs w:val="22"/>
        </w:rPr>
      </w:pPr>
      <w:r>
        <w:t>88.</w:t>
      </w:r>
      <w:r>
        <w:tab/>
        <w:t>Functions of CCOs at centres</w:t>
      </w:r>
      <w:r>
        <w:tab/>
      </w:r>
      <w:r>
        <w:fldChar w:fldCharType="begin"/>
      </w:r>
      <w:r>
        <w:instrText xml:space="preserve"> PAGEREF _Toc511135868 \h </w:instrText>
      </w:r>
      <w:r>
        <w:fldChar w:fldCharType="separate"/>
      </w:r>
      <w:r>
        <w:t>71</w:t>
      </w:r>
      <w:r>
        <w:fldChar w:fldCharType="end"/>
      </w:r>
    </w:p>
    <w:p>
      <w:pPr>
        <w:pStyle w:val="TOC8"/>
        <w:rPr>
          <w:rFonts w:asciiTheme="minorHAnsi" w:eastAsiaTheme="minorEastAsia" w:hAnsiTheme="minorHAnsi" w:cstheme="minorBidi"/>
          <w:szCs w:val="22"/>
        </w:rPr>
      </w:pPr>
      <w:r>
        <w:t>89.</w:t>
      </w:r>
      <w:r>
        <w:tab/>
        <w:t>Access to centres</w:t>
      </w:r>
      <w:r>
        <w:tab/>
      </w:r>
      <w:r>
        <w:fldChar w:fldCharType="begin"/>
      </w:r>
      <w:r>
        <w:instrText xml:space="preserve"> PAGEREF _Toc511135869 \h </w:instrText>
      </w:r>
      <w:r>
        <w:fldChar w:fldCharType="separate"/>
      </w:r>
      <w:r>
        <w:t>72</w:t>
      </w:r>
      <w:r>
        <w:fldChar w:fldCharType="end"/>
      </w:r>
    </w:p>
    <w:p>
      <w:pPr>
        <w:pStyle w:val="TOC8"/>
        <w:rPr>
          <w:rFonts w:asciiTheme="minorHAnsi" w:eastAsiaTheme="minorEastAsia" w:hAnsiTheme="minorHAnsi" w:cstheme="minorBidi"/>
          <w:szCs w:val="22"/>
        </w:rPr>
      </w:pPr>
      <w:r>
        <w:t>90.</w:t>
      </w:r>
      <w:r>
        <w:tab/>
        <w:t>Searches</w:t>
      </w:r>
      <w:r>
        <w:tab/>
      </w:r>
      <w:r>
        <w:fldChar w:fldCharType="begin"/>
      </w:r>
      <w:r>
        <w:instrText xml:space="preserve"> PAGEREF _Toc511135870 \h </w:instrText>
      </w:r>
      <w:r>
        <w:fldChar w:fldCharType="separate"/>
      </w:r>
      <w:r>
        <w:t>73</w:t>
      </w:r>
      <w:r>
        <w:fldChar w:fldCharType="end"/>
      </w:r>
    </w:p>
    <w:p>
      <w:pPr>
        <w:pStyle w:val="TOC8"/>
        <w:rPr>
          <w:rFonts w:asciiTheme="minorHAnsi" w:eastAsiaTheme="minorEastAsia" w:hAnsiTheme="minorHAnsi" w:cstheme="minorBidi"/>
          <w:szCs w:val="22"/>
        </w:rPr>
      </w:pPr>
      <w:r>
        <w:t>91.</w:t>
      </w:r>
      <w:r>
        <w:tab/>
        <w:t>Seizure</w:t>
      </w:r>
      <w:r>
        <w:tab/>
      </w:r>
      <w:r>
        <w:fldChar w:fldCharType="begin"/>
      </w:r>
      <w:r>
        <w:instrText xml:space="preserve"> PAGEREF _Toc511135871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92.</w:t>
      </w:r>
      <w:r>
        <w:tab/>
        <w:t>Department to report on centres</w:t>
      </w:r>
      <w:r>
        <w:tab/>
      </w:r>
      <w:r>
        <w:fldChar w:fldCharType="begin"/>
      </w:r>
      <w:r>
        <w:instrText xml:space="preserve"> PAGEREF _Toc511135873 \h </w:instrText>
      </w:r>
      <w:r>
        <w:fldChar w:fldCharType="separate"/>
      </w:r>
      <w:r>
        <w:t>74</w:t>
      </w:r>
      <w:r>
        <w:fldChar w:fldCharType="end"/>
      </w:r>
    </w:p>
    <w:p>
      <w:pPr>
        <w:pStyle w:val="TOC8"/>
        <w:rPr>
          <w:rFonts w:asciiTheme="minorHAnsi" w:eastAsiaTheme="minorEastAsia" w:hAnsiTheme="minorHAnsi" w:cstheme="minorBidi"/>
          <w:szCs w:val="22"/>
        </w:rPr>
      </w:pPr>
      <w:r>
        <w:t>93.</w:t>
      </w:r>
      <w:r>
        <w:tab/>
        <w:t>Regulations</w:t>
      </w:r>
      <w:r>
        <w:tab/>
      </w:r>
      <w:r>
        <w:fldChar w:fldCharType="begin"/>
      </w:r>
      <w:r>
        <w:instrText xml:space="preserve"> PAGEREF _Toc511135874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8 — Staff</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94.</w:t>
      </w:r>
      <w:r>
        <w:tab/>
        <w:t>Functions</w:t>
      </w:r>
      <w:r>
        <w:tab/>
      </w:r>
      <w:r>
        <w:fldChar w:fldCharType="begin"/>
      </w:r>
      <w:r>
        <w:instrText xml:space="preserve"> PAGEREF _Toc511135877 \h </w:instrText>
      </w:r>
      <w:r>
        <w:fldChar w:fldCharType="separate"/>
      </w:r>
      <w:r>
        <w:t>76</w:t>
      </w:r>
      <w:r>
        <w:fldChar w:fldCharType="end"/>
      </w:r>
    </w:p>
    <w:p>
      <w:pPr>
        <w:pStyle w:val="TOC8"/>
        <w:rPr>
          <w:rFonts w:asciiTheme="minorHAnsi" w:eastAsiaTheme="minorEastAsia" w:hAnsiTheme="minorHAnsi" w:cstheme="minorBidi"/>
          <w:szCs w:val="22"/>
        </w:rPr>
      </w:pPr>
      <w:r>
        <w:t>95.</w:t>
      </w:r>
      <w:r>
        <w:tab/>
        <w:t>Delegation by CEO</w:t>
      </w:r>
      <w:r>
        <w:tab/>
      </w:r>
      <w:r>
        <w:fldChar w:fldCharType="begin"/>
      </w:r>
      <w:r>
        <w:instrText xml:space="preserve"> PAGEREF _Toc511135878 \h </w:instrText>
      </w:r>
      <w:r>
        <w:fldChar w:fldCharType="separate"/>
      </w:r>
      <w:r>
        <w:t>77</w:t>
      </w:r>
      <w:r>
        <w:fldChar w:fldCharType="end"/>
      </w:r>
    </w:p>
    <w:p>
      <w:pPr>
        <w:pStyle w:val="TOC8"/>
        <w:rPr>
          <w:rFonts w:asciiTheme="minorHAnsi" w:eastAsiaTheme="minorEastAsia" w:hAnsiTheme="minorHAnsi" w:cstheme="minorBidi"/>
          <w:szCs w:val="22"/>
        </w:rPr>
      </w:pPr>
      <w:r>
        <w:t>96.</w:t>
      </w:r>
      <w:r>
        <w:tab/>
        <w:t>CEO may confer functions of CCO on person</w:t>
      </w:r>
      <w:r>
        <w:tab/>
      </w:r>
      <w:r>
        <w:fldChar w:fldCharType="begin"/>
      </w:r>
      <w:r>
        <w:instrText xml:space="preserve"> PAGEREF _Toc511135879 \h </w:instrText>
      </w:r>
      <w:r>
        <w:fldChar w:fldCharType="separate"/>
      </w:r>
      <w:r>
        <w:t>77</w:t>
      </w:r>
      <w:r>
        <w:fldChar w:fldCharType="end"/>
      </w:r>
    </w:p>
    <w:p>
      <w:pPr>
        <w:pStyle w:val="TOC8"/>
        <w:rPr>
          <w:rFonts w:asciiTheme="minorHAnsi" w:eastAsiaTheme="minorEastAsia" w:hAnsiTheme="minorHAnsi" w:cstheme="minorBidi"/>
          <w:szCs w:val="22"/>
        </w:rPr>
      </w:pPr>
      <w:r>
        <w:t>97.</w:t>
      </w:r>
      <w:r>
        <w:tab/>
        <w:t>CEO to make information available to Board</w:t>
      </w:r>
      <w:r>
        <w:tab/>
      </w:r>
      <w:r>
        <w:fldChar w:fldCharType="begin"/>
      </w:r>
      <w:r>
        <w:instrText xml:space="preserve"> PAGEREF _Toc511135880 \h </w:instrText>
      </w:r>
      <w:r>
        <w:fldChar w:fldCharType="separate"/>
      </w:r>
      <w:r>
        <w:t>77</w:t>
      </w:r>
      <w:r>
        <w:fldChar w:fldCharType="end"/>
      </w:r>
    </w:p>
    <w:p>
      <w:pPr>
        <w:pStyle w:val="TOC8"/>
        <w:rPr>
          <w:rFonts w:asciiTheme="minorHAnsi" w:eastAsiaTheme="minorEastAsia" w:hAnsiTheme="minorHAnsi" w:cstheme="minorBidi"/>
          <w:szCs w:val="22"/>
        </w:rPr>
      </w:pPr>
      <w:r>
        <w:t>97A.</w:t>
      </w:r>
      <w:r>
        <w:tab/>
        <w:t>Disclosing information about offender for community safety</w:t>
      </w:r>
      <w:r>
        <w:tab/>
      </w:r>
      <w:r>
        <w:fldChar w:fldCharType="begin"/>
      </w:r>
      <w:r>
        <w:instrText xml:space="preserve"> PAGEREF _Toc511135881 \h </w:instrText>
      </w:r>
      <w:r>
        <w:fldChar w:fldCharType="separate"/>
      </w:r>
      <w:r>
        <w:t>78</w:t>
      </w:r>
      <w:r>
        <w:fldChar w:fldCharType="end"/>
      </w:r>
    </w:p>
    <w:p>
      <w:pPr>
        <w:pStyle w:val="TOC8"/>
        <w:rPr>
          <w:rFonts w:asciiTheme="minorHAnsi" w:eastAsiaTheme="minorEastAsia" w:hAnsiTheme="minorHAnsi" w:cstheme="minorBidi"/>
          <w:szCs w:val="22"/>
        </w:rPr>
      </w:pPr>
      <w:r>
        <w:t>97B.</w:t>
      </w:r>
      <w:r>
        <w:tab/>
        <w:t>Disclosing and requesting information</w:t>
      </w:r>
      <w:r>
        <w:tab/>
      </w:r>
      <w:r>
        <w:fldChar w:fldCharType="begin"/>
      </w:r>
      <w:r>
        <w:instrText xml:space="preserve"> PAGEREF _Toc511135882 \h </w:instrText>
      </w:r>
      <w:r>
        <w:fldChar w:fldCharType="separate"/>
      </w:r>
      <w:r>
        <w:t>78</w:t>
      </w:r>
      <w:r>
        <w:fldChar w:fldCharType="end"/>
      </w:r>
    </w:p>
    <w:p>
      <w:pPr>
        <w:pStyle w:val="TOC8"/>
        <w:rPr>
          <w:rFonts w:asciiTheme="minorHAnsi" w:eastAsiaTheme="minorEastAsia" w:hAnsiTheme="minorHAnsi" w:cstheme="minorBidi"/>
          <w:szCs w:val="22"/>
        </w:rPr>
      </w:pPr>
      <w:r>
        <w:t>97C.</w:t>
      </w:r>
      <w:r>
        <w:tab/>
        <w:t>Disclosing information to agencies outside WA</w:t>
      </w:r>
      <w:r>
        <w:tab/>
      </w:r>
      <w:r>
        <w:fldChar w:fldCharType="begin"/>
      </w:r>
      <w:r>
        <w:instrText xml:space="preserve"> PAGEREF _Toc511135883 \h </w:instrText>
      </w:r>
      <w:r>
        <w:fldChar w:fldCharType="separate"/>
      </w:r>
      <w:r>
        <w:t>80</w:t>
      </w:r>
      <w:r>
        <w:fldChar w:fldCharType="end"/>
      </w:r>
    </w:p>
    <w:p>
      <w:pPr>
        <w:pStyle w:val="TOC8"/>
        <w:rPr>
          <w:rFonts w:asciiTheme="minorHAnsi" w:eastAsiaTheme="minorEastAsia" w:hAnsiTheme="minorHAnsi" w:cstheme="minorBidi"/>
          <w:szCs w:val="22"/>
        </w:rPr>
      </w:pPr>
      <w:r>
        <w:t>97D.</w:t>
      </w:r>
      <w:r>
        <w:tab/>
        <w:t>Disclosing information to victims</w:t>
      </w:r>
      <w:r>
        <w:tab/>
      </w:r>
      <w:r>
        <w:fldChar w:fldCharType="begin"/>
      </w:r>
      <w:r>
        <w:instrText xml:space="preserve"> PAGEREF _Toc511135884 \h </w:instrText>
      </w:r>
      <w:r>
        <w:fldChar w:fldCharType="separate"/>
      </w:r>
      <w:r>
        <w:t>80</w:t>
      </w:r>
      <w:r>
        <w:fldChar w:fldCharType="end"/>
      </w:r>
    </w:p>
    <w:p>
      <w:pPr>
        <w:pStyle w:val="TOC8"/>
        <w:rPr>
          <w:rFonts w:asciiTheme="minorHAnsi" w:eastAsiaTheme="minorEastAsia" w:hAnsiTheme="minorHAnsi" w:cstheme="minorBidi"/>
          <w:szCs w:val="22"/>
        </w:rPr>
      </w:pPr>
      <w:r>
        <w:t>97E.</w:t>
      </w:r>
      <w:r>
        <w:tab/>
        <w:t>Disclosure under s. 97A, 97B, 97C and 97D not subject to other laws etc.</w:t>
      </w:r>
      <w:r>
        <w:tab/>
      </w:r>
      <w:r>
        <w:fldChar w:fldCharType="begin"/>
      </w:r>
      <w:r>
        <w:instrText xml:space="preserve"> PAGEREF _Toc511135885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Other staff</w:t>
      </w:r>
    </w:p>
    <w:p>
      <w:pPr>
        <w:pStyle w:val="TOC8"/>
        <w:rPr>
          <w:rFonts w:asciiTheme="minorHAnsi" w:eastAsiaTheme="minorEastAsia" w:hAnsiTheme="minorHAnsi" w:cstheme="minorBidi"/>
          <w:szCs w:val="22"/>
        </w:rPr>
      </w:pPr>
      <w:r>
        <w:t>98.</w:t>
      </w:r>
      <w:r>
        <w:tab/>
        <w:t>Appointment</w:t>
      </w:r>
      <w:r>
        <w:tab/>
      </w:r>
      <w:r>
        <w:fldChar w:fldCharType="begin"/>
      </w:r>
      <w:r>
        <w:instrText xml:space="preserve"> PAGEREF _Toc511135887 \h </w:instrText>
      </w:r>
      <w:r>
        <w:fldChar w:fldCharType="separate"/>
      </w:r>
      <w:r>
        <w:t>81</w:t>
      </w:r>
      <w:r>
        <w:fldChar w:fldCharType="end"/>
      </w:r>
    </w:p>
    <w:p>
      <w:pPr>
        <w:pStyle w:val="TOC8"/>
        <w:rPr>
          <w:rFonts w:asciiTheme="minorHAnsi" w:eastAsiaTheme="minorEastAsia" w:hAnsiTheme="minorHAnsi" w:cstheme="minorBidi"/>
          <w:szCs w:val="22"/>
        </w:rPr>
      </w:pPr>
      <w:r>
        <w:t>98A.</w:t>
      </w:r>
      <w:r>
        <w:tab/>
        <w:t>Duties of CCOs</w:t>
      </w:r>
      <w:r>
        <w:tab/>
      </w:r>
      <w:r>
        <w:fldChar w:fldCharType="begin"/>
      </w:r>
      <w:r>
        <w:instrText xml:space="preserve"> PAGEREF _Toc511135888 \h </w:instrText>
      </w:r>
      <w:r>
        <w:fldChar w:fldCharType="separate"/>
      </w:r>
      <w:r>
        <w:t>82</w:t>
      </w:r>
      <w:r>
        <w:fldChar w:fldCharType="end"/>
      </w:r>
    </w:p>
    <w:p>
      <w:pPr>
        <w:pStyle w:val="TOC8"/>
        <w:rPr>
          <w:rFonts w:asciiTheme="minorHAnsi" w:eastAsiaTheme="minorEastAsia" w:hAnsiTheme="minorHAnsi" w:cstheme="minorBidi"/>
          <w:szCs w:val="22"/>
        </w:rPr>
      </w:pPr>
      <w:r>
        <w:t>99.</w:t>
      </w:r>
      <w:r>
        <w:tab/>
        <w:t>Volunteers</w:t>
      </w:r>
      <w:r>
        <w:tab/>
      </w:r>
      <w:r>
        <w:fldChar w:fldCharType="begin"/>
      </w:r>
      <w:r>
        <w:instrText xml:space="preserve"> PAGEREF _Toc511135889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100.</w:t>
      </w:r>
      <w:r>
        <w:tab/>
        <w:t>Compensation for injury to volunteers etc.</w:t>
      </w:r>
      <w:r>
        <w:tab/>
      </w:r>
      <w:r>
        <w:fldChar w:fldCharType="begin"/>
      </w:r>
      <w:r>
        <w:instrText xml:space="preserve"> PAGEREF _Toc511135891 \h </w:instrText>
      </w:r>
      <w:r>
        <w:fldChar w:fldCharType="separate"/>
      </w:r>
      <w:r>
        <w:t>82</w:t>
      </w:r>
      <w:r>
        <w:fldChar w:fldCharType="end"/>
      </w:r>
    </w:p>
    <w:p>
      <w:pPr>
        <w:pStyle w:val="TOC8"/>
        <w:rPr>
          <w:rFonts w:asciiTheme="minorHAnsi" w:eastAsiaTheme="minorEastAsia" w:hAnsiTheme="minorHAnsi" w:cstheme="minorBidi"/>
          <w:szCs w:val="22"/>
        </w:rPr>
      </w:pPr>
      <w:r>
        <w:t>101.</w:t>
      </w:r>
      <w:r>
        <w:tab/>
        <w:t>Assistance by police officers</w:t>
      </w:r>
      <w:r>
        <w:tab/>
      </w:r>
      <w:r>
        <w:fldChar w:fldCharType="begin"/>
      </w:r>
      <w:r>
        <w:instrText xml:space="preserve"> PAGEREF _Toc511135892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9 — Prisoners Review Board</w:t>
      </w:r>
    </w:p>
    <w:p>
      <w:pPr>
        <w:pStyle w:val="TOC8"/>
        <w:rPr>
          <w:rFonts w:asciiTheme="minorHAnsi" w:eastAsiaTheme="minorEastAsia" w:hAnsiTheme="minorHAnsi" w:cstheme="minorBidi"/>
          <w:szCs w:val="22"/>
        </w:rPr>
      </w:pPr>
      <w:r>
        <w:t>102.</w:t>
      </w:r>
      <w:r>
        <w:tab/>
        <w:t>Board established</w:t>
      </w:r>
      <w:r>
        <w:tab/>
      </w:r>
      <w:r>
        <w:fldChar w:fldCharType="begin"/>
      </w:r>
      <w:r>
        <w:instrText xml:space="preserve"> PAGEREF _Toc511135894 \h </w:instrText>
      </w:r>
      <w:r>
        <w:fldChar w:fldCharType="separate"/>
      </w:r>
      <w:r>
        <w:t>84</w:t>
      </w:r>
      <w:r>
        <w:fldChar w:fldCharType="end"/>
      </w:r>
    </w:p>
    <w:p>
      <w:pPr>
        <w:pStyle w:val="TOC8"/>
        <w:rPr>
          <w:rFonts w:asciiTheme="minorHAnsi" w:eastAsiaTheme="minorEastAsia" w:hAnsiTheme="minorHAnsi" w:cstheme="minorBidi"/>
          <w:szCs w:val="22"/>
        </w:rPr>
      </w:pPr>
      <w:r>
        <w:t>103.</w:t>
      </w:r>
      <w:r>
        <w:tab/>
        <w:t>Membership</w:t>
      </w:r>
      <w:r>
        <w:tab/>
      </w:r>
      <w:r>
        <w:fldChar w:fldCharType="begin"/>
      </w:r>
      <w:r>
        <w:instrText xml:space="preserve"> PAGEREF _Toc511135895 \h </w:instrText>
      </w:r>
      <w:r>
        <w:fldChar w:fldCharType="separate"/>
      </w:r>
      <w:r>
        <w:t>84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r>
      <w:r>
        <w:t>Training of members</w:t>
      </w:r>
      <w:r>
        <w:tab/>
      </w:r>
      <w:r>
        <w:fldChar w:fldCharType="begin"/>
      </w:r>
      <w:r>
        <w:instrText xml:space="preserve"> PAGEREF _Toc511135896 \h </w:instrText>
      </w:r>
      <w:r>
        <w:fldChar w:fldCharType="separate"/>
      </w:r>
      <w:r>
        <w:t>86</w:t>
      </w:r>
      <w:r>
        <w:fldChar w:fldCharType="end"/>
      </w:r>
    </w:p>
    <w:p>
      <w:pPr>
        <w:pStyle w:val="TOC8"/>
        <w:rPr>
          <w:rFonts w:asciiTheme="minorHAnsi" w:eastAsiaTheme="minorEastAsia" w:hAnsiTheme="minorHAnsi" w:cstheme="minorBidi"/>
          <w:szCs w:val="22"/>
        </w:rPr>
      </w:pPr>
      <w:r>
        <w:t>104A.</w:t>
      </w:r>
      <w:r>
        <w:tab/>
        <w:t>Registrar and other staff</w:t>
      </w:r>
      <w:r>
        <w:tab/>
      </w:r>
      <w:r>
        <w:fldChar w:fldCharType="begin"/>
      </w:r>
      <w:r>
        <w:instrText xml:space="preserve"> PAGEREF _Toc511135897 \h </w:instrText>
      </w:r>
      <w:r>
        <w:fldChar w:fldCharType="separate"/>
      </w:r>
      <w:r>
        <w:t>86</w:t>
      </w:r>
      <w:r>
        <w:fldChar w:fldCharType="end"/>
      </w:r>
    </w:p>
    <w:p>
      <w:pPr>
        <w:pStyle w:val="TOC8"/>
        <w:rPr>
          <w:rFonts w:asciiTheme="minorHAnsi" w:eastAsiaTheme="minorEastAsia" w:hAnsiTheme="minorHAnsi" w:cstheme="minorBidi"/>
          <w:szCs w:val="22"/>
        </w:rPr>
      </w:pPr>
      <w:r>
        <w:t>105.</w:t>
      </w:r>
      <w:r>
        <w:tab/>
        <w:t>Tenure, meetings etc. (Sch. 1)</w:t>
      </w:r>
      <w:r>
        <w:tab/>
      </w:r>
      <w:r>
        <w:fldChar w:fldCharType="begin"/>
      </w:r>
      <w:r>
        <w:instrText xml:space="preserve"> PAGEREF _Toc511135898 \h </w:instrText>
      </w:r>
      <w:r>
        <w:fldChar w:fldCharType="separate"/>
      </w:r>
      <w:r>
        <w:t>86</w:t>
      </w:r>
      <w:r>
        <w:fldChar w:fldCharType="end"/>
      </w:r>
    </w:p>
    <w:p>
      <w:pPr>
        <w:pStyle w:val="TOC8"/>
        <w:rPr>
          <w:rFonts w:asciiTheme="minorHAnsi" w:eastAsiaTheme="minorEastAsia" w:hAnsiTheme="minorHAnsi" w:cstheme="minorBidi"/>
          <w:szCs w:val="22"/>
        </w:rPr>
      </w:pPr>
      <w:r>
        <w:t>106.</w:t>
      </w:r>
      <w:r>
        <w:tab/>
        <w:t>Functions</w:t>
      </w:r>
      <w:r>
        <w:tab/>
      </w:r>
      <w:r>
        <w:fldChar w:fldCharType="begin"/>
      </w:r>
      <w:r>
        <w:instrText xml:space="preserve"> PAGEREF _Toc511135899 \h </w:instrText>
      </w:r>
      <w:r>
        <w:fldChar w:fldCharType="separate"/>
      </w:r>
      <w:r>
        <w:t>86</w:t>
      </w:r>
      <w:r>
        <w:fldChar w:fldCharType="end"/>
      </w:r>
    </w:p>
    <w:p>
      <w:pPr>
        <w:pStyle w:val="TOC8"/>
        <w:rPr>
          <w:rFonts w:asciiTheme="minorHAnsi" w:eastAsiaTheme="minorEastAsia" w:hAnsiTheme="minorHAnsi" w:cstheme="minorBidi"/>
          <w:szCs w:val="22"/>
        </w:rPr>
      </w:pPr>
      <w:r>
        <w:t>107.</w:t>
      </w:r>
      <w:r>
        <w:tab/>
        <w:t>Board to have powers of Royal Commission</w:t>
      </w:r>
      <w:r>
        <w:tab/>
      </w:r>
      <w:r>
        <w:fldChar w:fldCharType="begin"/>
      </w:r>
      <w:r>
        <w:instrText xml:space="preserve"> PAGEREF _Toc511135900 \h </w:instrText>
      </w:r>
      <w:r>
        <w:fldChar w:fldCharType="separate"/>
      </w:r>
      <w:r>
        <w:t>87</w:t>
      </w:r>
      <w:r>
        <w:fldChar w:fldCharType="end"/>
      </w:r>
    </w:p>
    <w:p>
      <w:pPr>
        <w:pStyle w:val="TOC8"/>
        <w:rPr>
          <w:rFonts w:asciiTheme="minorHAnsi" w:eastAsiaTheme="minorEastAsia" w:hAnsiTheme="minorHAnsi" w:cstheme="minorBidi"/>
          <w:szCs w:val="22"/>
        </w:rPr>
      </w:pPr>
      <w:r>
        <w:t>107A.</w:t>
      </w:r>
      <w:r>
        <w:tab/>
        <w:t>Board may use experts etc.</w:t>
      </w:r>
      <w:r>
        <w:tab/>
      </w:r>
      <w:r>
        <w:fldChar w:fldCharType="begin"/>
      </w:r>
      <w:r>
        <w:instrText xml:space="preserve"> PAGEREF _Toc511135901 \h </w:instrText>
      </w:r>
      <w:r>
        <w:fldChar w:fldCharType="separate"/>
      </w:r>
      <w:r>
        <w:t>87</w:t>
      </w:r>
      <w:r>
        <w:fldChar w:fldCharType="end"/>
      </w:r>
    </w:p>
    <w:p>
      <w:pPr>
        <w:pStyle w:val="TOC8"/>
        <w:rPr>
          <w:rFonts w:asciiTheme="minorHAnsi" w:eastAsiaTheme="minorEastAsia" w:hAnsiTheme="minorHAnsi" w:cstheme="minorBidi"/>
          <w:szCs w:val="22"/>
        </w:rPr>
      </w:pPr>
      <w:r>
        <w:t>107B.</w:t>
      </w:r>
      <w:r>
        <w:tab/>
        <w:t>Notification of Board’s decisions</w:t>
      </w:r>
      <w:r>
        <w:tab/>
      </w:r>
      <w:r>
        <w:fldChar w:fldCharType="begin"/>
      </w:r>
      <w:r>
        <w:instrText xml:space="preserve"> PAGEREF _Toc511135902 \h </w:instrText>
      </w:r>
      <w:r>
        <w:fldChar w:fldCharType="separate"/>
      </w:r>
      <w:r>
        <w:t>87</w:t>
      </w:r>
      <w:r>
        <w:fldChar w:fldCharType="end"/>
      </w:r>
    </w:p>
    <w:p>
      <w:pPr>
        <w:pStyle w:val="TOC8"/>
        <w:rPr>
          <w:rFonts w:asciiTheme="minorHAnsi" w:eastAsiaTheme="minorEastAsia" w:hAnsiTheme="minorHAnsi" w:cstheme="minorBidi"/>
          <w:szCs w:val="22"/>
        </w:rPr>
      </w:pPr>
      <w:r>
        <w:t>107C.</w:t>
      </w:r>
      <w:r>
        <w:tab/>
        <w:t>Publication of Board’s decisions</w:t>
      </w:r>
      <w:r>
        <w:tab/>
      </w:r>
      <w:r>
        <w:fldChar w:fldCharType="begin"/>
      </w:r>
      <w:r>
        <w:instrText xml:space="preserve"> PAGEREF _Toc511135903 \h </w:instrText>
      </w:r>
      <w:r>
        <w:fldChar w:fldCharType="separate"/>
      </w:r>
      <w:r>
        <w:t>88</w:t>
      </w:r>
      <w:r>
        <w:fldChar w:fldCharType="end"/>
      </w:r>
    </w:p>
    <w:p>
      <w:pPr>
        <w:pStyle w:val="TOC8"/>
        <w:rPr>
          <w:rFonts w:asciiTheme="minorHAnsi" w:eastAsiaTheme="minorEastAsia" w:hAnsiTheme="minorHAnsi" w:cstheme="minorBidi"/>
          <w:szCs w:val="22"/>
        </w:rPr>
      </w:pPr>
      <w:r>
        <w:t>108.</w:t>
      </w:r>
      <w:r>
        <w:tab/>
        <w:t>Orders by Board</w:t>
      </w:r>
      <w:r>
        <w:tab/>
      </w:r>
      <w:r>
        <w:fldChar w:fldCharType="begin"/>
      </w:r>
      <w:r>
        <w:instrText xml:space="preserve"> PAGEREF _Toc511135904 \h </w:instrText>
      </w:r>
      <w:r>
        <w:fldChar w:fldCharType="separate"/>
      </w:r>
      <w:r>
        <w:t>89</w:t>
      </w:r>
      <w:r>
        <w:fldChar w:fldCharType="end"/>
      </w:r>
    </w:p>
    <w:p>
      <w:pPr>
        <w:pStyle w:val="TOC8"/>
        <w:rPr>
          <w:rFonts w:asciiTheme="minorHAnsi" w:eastAsiaTheme="minorEastAsia" w:hAnsiTheme="minorHAnsi" w:cstheme="minorBidi"/>
          <w:szCs w:val="22"/>
        </w:rPr>
      </w:pPr>
      <w:r>
        <w:t>109.</w:t>
      </w:r>
      <w:r>
        <w:tab/>
        <w:t>Board may require person to appear before it</w:t>
      </w:r>
      <w:r>
        <w:tab/>
      </w:r>
      <w:r>
        <w:fldChar w:fldCharType="begin"/>
      </w:r>
      <w:r>
        <w:instrText xml:space="preserve"> PAGEREF _Toc511135905 \h </w:instrText>
      </w:r>
      <w:r>
        <w:fldChar w:fldCharType="separate"/>
      </w:r>
      <w:r>
        <w:t>89</w:t>
      </w:r>
      <w:r>
        <w:fldChar w:fldCharType="end"/>
      </w:r>
    </w:p>
    <w:p>
      <w:pPr>
        <w:pStyle w:val="TOC8"/>
        <w:rPr>
          <w:rFonts w:asciiTheme="minorHAnsi" w:eastAsiaTheme="minorEastAsia" w:hAnsiTheme="minorHAnsi" w:cstheme="minorBidi"/>
          <w:szCs w:val="22"/>
        </w:rPr>
      </w:pPr>
      <w:r>
        <w:t>110.</w:t>
      </w:r>
      <w:r>
        <w:tab/>
        <w:t>Issue of warrants by Board</w:t>
      </w:r>
      <w:r>
        <w:tab/>
      </w:r>
      <w:r>
        <w:fldChar w:fldCharType="begin"/>
      </w:r>
      <w:r>
        <w:instrText xml:space="preserve"> PAGEREF _Toc511135906 \h </w:instrText>
      </w:r>
      <w:r>
        <w:fldChar w:fldCharType="separate"/>
      </w:r>
      <w:r>
        <w:t>90</w:t>
      </w:r>
      <w:r>
        <w:fldChar w:fldCharType="end"/>
      </w:r>
    </w:p>
    <w:p>
      <w:pPr>
        <w:pStyle w:val="TOC8"/>
        <w:rPr>
          <w:rFonts w:asciiTheme="minorHAnsi" w:eastAsiaTheme="minorEastAsia" w:hAnsiTheme="minorHAnsi" w:cstheme="minorBidi"/>
          <w:szCs w:val="22"/>
        </w:rPr>
      </w:pPr>
      <w:r>
        <w:t>111.</w:t>
      </w:r>
      <w:r>
        <w:tab/>
        <w:t>Judicial notice of appointment and signature</w:t>
      </w:r>
      <w:r>
        <w:tab/>
      </w:r>
      <w:r>
        <w:fldChar w:fldCharType="begin"/>
      </w:r>
      <w:r>
        <w:instrText xml:space="preserve"> PAGEREF _Toc511135907 \h </w:instrText>
      </w:r>
      <w:r>
        <w:fldChar w:fldCharType="separate"/>
      </w:r>
      <w:r>
        <w:t>90</w:t>
      </w:r>
      <w:r>
        <w:fldChar w:fldCharType="end"/>
      </w:r>
    </w:p>
    <w:p>
      <w:pPr>
        <w:pStyle w:val="TOC8"/>
        <w:rPr>
          <w:rFonts w:asciiTheme="minorHAnsi" w:eastAsiaTheme="minorEastAsia" w:hAnsiTheme="minorHAnsi" w:cstheme="minorBidi"/>
          <w:szCs w:val="22"/>
        </w:rPr>
      </w:pPr>
      <w:r>
        <w:t>112.</w:t>
      </w:r>
      <w:r>
        <w:tab/>
        <w:t>Annual report to Minister</w:t>
      </w:r>
      <w:r>
        <w:tab/>
      </w:r>
      <w:r>
        <w:fldChar w:fldCharType="begin"/>
      </w:r>
      <w:r>
        <w:instrText xml:space="preserve"> PAGEREF _Toc511135908 \h </w:instrText>
      </w:r>
      <w:r>
        <w:fldChar w:fldCharType="separate"/>
      </w:r>
      <w:r>
        <w:t>90</w:t>
      </w:r>
      <w:r>
        <w:fldChar w:fldCharType="end"/>
      </w:r>
    </w:p>
    <w:p>
      <w:pPr>
        <w:pStyle w:val="TOC8"/>
        <w:rPr>
          <w:rFonts w:asciiTheme="minorHAnsi" w:eastAsiaTheme="minorEastAsia" w:hAnsiTheme="minorHAnsi" w:cstheme="minorBidi"/>
          <w:szCs w:val="22"/>
        </w:rPr>
      </w:pPr>
      <w:r>
        <w:t>113.</w:t>
      </w:r>
      <w:r>
        <w:tab/>
        <w:t>Special reports to Minister</w:t>
      </w:r>
      <w:r>
        <w:tab/>
      </w:r>
      <w:r>
        <w:fldChar w:fldCharType="begin"/>
      </w:r>
      <w:r>
        <w:instrText xml:space="preserve"> PAGEREF _Toc511135909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114.</w:t>
      </w:r>
      <w:r>
        <w:tab/>
        <w:t>Reasons for decision may be withheld</w:t>
      </w:r>
      <w:r>
        <w:tab/>
      </w:r>
      <w:r>
        <w:fldChar w:fldCharType="begin"/>
      </w:r>
      <w:r>
        <w:instrText xml:space="preserve"> PAGEREF _Toc511135911 \h </w:instrText>
      </w:r>
      <w:r>
        <w:fldChar w:fldCharType="separate"/>
      </w:r>
      <w:r>
        <w:t>93</w:t>
      </w:r>
      <w:r>
        <w:fldChar w:fldCharType="end"/>
      </w:r>
    </w:p>
    <w:p>
      <w:pPr>
        <w:pStyle w:val="TOC8"/>
        <w:rPr>
          <w:rFonts w:asciiTheme="minorHAnsi" w:eastAsiaTheme="minorEastAsia" w:hAnsiTheme="minorHAnsi" w:cstheme="minorBidi"/>
          <w:szCs w:val="22"/>
        </w:rPr>
      </w:pPr>
      <w:r>
        <w:t>115.</w:t>
      </w:r>
      <w:r>
        <w:tab/>
        <w:t>Rules of natural justice excluded</w:t>
      </w:r>
      <w:r>
        <w:tab/>
      </w:r>
      <w:r>
        <w:fldChar w:fldCharType="begin"/>
      </w:r>
      <w:r>
        <w:instrText xml:space="preserve"> PAGEREF _Toc511135912 \h </w:instrText>
      </w:r>
      <w:r>
        <w:fldChar w:fldCharType="separate"/>
      </w:r>
      <w:r>
        <w:t>93</w:t>
      </w:r>
      <w:r>
        <w:fldChar w:fldCharType="end"/>
      </w:r>
    </w:p>
    <w:p>
      <w:pPr>
        <w:pStyle w:val="TOC8"/>
        <w:rPr>
          <w:rFonts w:asciiTheme="minorHAnsi" w:eastAsiaTheme="minorEastAsia" w:hAnsiTheme="minorHAnsi" w:cstheme="minorBidi"/>
          <w:szCs w:val="22"/>
        </w:rPr>
      </w:pPr>
      <w:r>
        <w:t>115A.</w:t>
      </w:r>
      <w:r>
        <w:tab/>
        <w:t>Board may review decisions about release</w:t>
      </w:r>
      <w:r>
        <w:tab/>
      </w:r>
      <w:r>
        <w:fldChar w:fldCharType="begin"/>
      </w:r>
      <w:r>
        <w:instrText xml:space="preserve"> PAGEREF _Toc511135913 \h </w:instrText>
      </w:r>
      <w:r>
        <w:fldChar w:fldCharType="separate"/>
      </w:r>
      <w:r>
        <w:t>93</w:t>
      </w:r>
      <w:r>
        <w:fldChar w:fldCharType="end"/>
      </w:r>
    </w:p>
    <w:p>
      <w:pPr>
        <w:pStyle w:val="TOC8"/>
        <w:rPr>
          <w:rFonts w:asciiTheme="minorHAnsi" w:eastAsiaTheme="minorEastAsia" w:hAnsiTheme="minorHAnsi" w:cstheme="minorBidi"/>
          <w:szCs w:val="22"/>
        </w:rPr>
      </w:pPr>
      <w:r>
        <w:t>116.</w:t>
      </w:r>
      <w:r>
        <w:tab/>
        <w:t>Arrest warrant may be issued if warrant of commitment in force</w:t>
      </w:r>
      <w:r>
        <w:tab/>
      </w:r>
      <w:r>
        <w:fldChar w:fldCharType="begin"/>
      </w:r>
      <w:r>
        <w:instrText xml:space="preserve"> PAGEREF _Toc511135914 \h </w:instrText>
      </w:r>
      <w:r>
        <w:fldChar w:fldCharType="separate"/>
      </w:r>
      <w:r>
        <w:t>95</w:t>
      </w:r>
      <w:r>
        <w:fldChar w:fldCharType="end"/>
      </w:r>
    </w:p>
    <w:p>
      <w:pPr>
        <w:pStyle w:val="TOC8"/>
        <w:rPr>
          <w:rFonts w:asciiTheme="minorHAnsi" w:eastAsiaTheme="minorEastAsia" w:hAnsiTheme="minorHAnsi" w:cstheme="minorBidi"/>
          <w:szCs w:val="22"/>
        </w:rPr>
      </w:pPr>
      <w:r>
        <w:t>117.</w:t>
      </w:r>
      <w:r>
        <w:tab/>
        <w:t>Issue and execution of warrants</w:t>
      </w:r>
      <w:r>
        <w:tab/>
      </w:r>
      <w:r>
        <w:fldChar w:fldCharType="begin"/>
      </w:r>
      <w:r>
        <w:instrText xml:space="preserve"> PAGEREF _Toc511135915 \h </w:instrText>
      </w:r>
      <w:r>
        <w:fldChar w:fldCharType="separate"/>
      </w:r>
      <w:r>
        <w:t>96</w:t>
      </w:r>
      <w:r>
        <w:fldChar w:fldCharType="end"/>
      </w:r>
    </w:p>
    <w:p>
      <w:pPr>
        <w:pStyle w:val="TOC8"/>
        <w:rPr>
          <w:rFonts w:asciiTheme="minorHAnsi" w:eastAsiaTheme="minorEastAsia" w:hAnsiTheme="minorHAnsi" w:cstheme="minorBidi"/>
          <w:szCs w:val="22"/>
        </w:rPr>
      </w:pPr>
      <w:r>
        <w:t>118.</w:t>
      </w:r>
      <w:r>
        <w:tab/>
        <w:t>Monitoring equipment, retrieval of etc.</w:t>
      </w:r>
      <w:r>
        <w:tab/>
      </w:r>
      <w:r>
        <w:fldChar w:fldCharType="begin"/>
      </w:r>
      <w:r>
        <w:instrText xml:space="preserve"> PAGEREF _Toc511135916 \h </w:instrText>
      </w:r>
      <w:r>
        <w:fldChar w:fldCharType="separate"/>
      </w:r>
      <w:r>
        <w:t>96</w:t>
      </w:r>
      <w:r>
        <w:fldChar w:fldCharType="end"/>
      </w:r>
    </w:p>
    <w:p>
      <w:pPr>
        <w:pStyle w:val="TOC8"/>
        <w:rPr>
          <w:rFonts w:asciiTheme="minorHAnsi" w:eastAsiaTheme="minorEastAsia" w:hAnsiTheme="minorHAnsi" w:cstheme="minorBidi"/>
          <w:szCs w:val="22"/>
        </w:rPr>
      </w:pPr>
      <w:r>
        <w:t>119.</w:t>
      </w:r>
      <w:r>
        <w:tab/>
        <w:t>Information, disclosure and use of by departmental staff etc.</w:t>
      </w:r>
      <w:r>
        <w:tab/>
      </w:r>
      <w:r>
        <w:fldChar w:fldCharType="begin"/>
      </w:r>
      <w:r>
        <w:instrText xml:space="preserve"> PAGEREF _Toc511135917 \h </w:instrText>
      </w:r>
      <w:r>
        <w:fldChar w:fldCharType="separate"/>
      </w:r>
      <w:r>
        <w:t>97</w:t>
      </w:r>
      <w:r>
        <w:fldChar w:fldCharType="end"/>
      </w:r>
    </w:p>
    <w:p>
      <w:pPr>
        <w:pStyle w:val="TOC8"/>
        <w:rPr>
          <w:rFonts w:asciiTheme="minorHAnsi" w:eastAsiaTheme="minorEastAsia" w:hAnsiTheme="minorHAnsi" w:cstheme="minorBidi"/>
          <w:szCs w:val="22"/>
        </w:rPr>
      </w:pPr>
      <w:r>
        <w:t>120.</w:t>
      </w:r>
      <w:r>
        <w:tab/>
        <w:t>Protection from personal liability for torts</w:t>
      </w:r>
      <w:r>
        <w:tab/>
      </w:r>
      <w:r>
        <w:fldChar w:fldCharType="begin"/>
      </w:r>
      <w:r>
        <w:instrText xml:space="preserve"> PAGEREF _Toc511135918 \h </w:instrText>
      </w:r>
      <w:r>
        <w:fldChar w:fldCharType="separate"/>
      </w:r>
      <w:r>
        <w:t>97</w:t>
      </w:r>
      <w:r>
        <w:fldChar w:fldCharType="end"/>
      </w:r>
    </w:p>
    <w:p>
      <w:pPr>
        <w:pStyle w:val="TOC8"/>
        <w:rPr>
          <w:rFonts w:asciiTheme="minorHAnsi" w:eastAsiaTheme="minorEastAsia" w:hAnsiTheme="minorHAnsi" w:cstheme="minorBidi"/>
          <w:szCs w:val="22"/>
        </w:rPr>
      </w:pPr>
      <w:r>
        <w:t>121.</w:t>
      </w:r>
      <w:r>
        <w:tab/>
        <w:t>Regulations</w:t>
      </w:r>
      <w:r>
        <w:tab/>
      </w:r>
      <w:r>
        <w:fldChar w:fldCharType="begin"/>
      </w:r>
      <w:r>
        <w:instrText xml:space="preserve"> PAGEREF _Toc511135919 \h </w:instrText>
      </w:r>
      <w:r>
        <w:fldChar w:fldCharType="separate"/>
      </w:r>
      <w:r>
        <w:t>98</w:t>
      </w:r>
      <w:r>
        <w:fldChar w:fldCharType="end"/>
      </w:r>
    </w:p>
    <w:p>
      <w:pPr>
        <w:pStyle w:val="TOC8"/>
        <w:rPr>
          <w:rFonts w:asciiTheme="minorHAnsi" w:eastAsiaTheme="minorEastAsia" w:hAnsiTheme="minorHAnsi" w:cstheme="minorBidi"/>
          <w:szCs w:val="22"/>
        </w:rPr>
      </w:pPr>
      <w:r>
        <w:t>122.</w:t>
      </w:r>
      <w:r>
        <w:tab/>
        <w:t>Review of Act</w:t>
      </w:r>
      <w:r>
        <w:tab/>
      </w:r>
      <w:r>
        <w:fldChar w:fldCharType="begin"/>
      </w:r>
      <w:r>
        <w:instrText xml:space="preserve"> PAGEREF _Toc511135920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and validation provisions</w:t>
      </w:r>
    </w:p>
    <w:p>
      <w:pPr>
        <w:pStyle w:val="TOC4"/>
        <w:tabs>
          <w:tab w:val="right" w:leader="dot" w:pos="7077"/>
        </w:tabs>
        <w:rPr>
          <w:rFonts w:asciiTheme="minorHAnsi" w:eastAsiaTheme="minorEastAsia" w:hAnsiTheme="minorHAnsi" w:cstheme="minorBidi"/>
          <w:b w:val="0"/>
          <w:szCs w:val="22"/>
        </w:rPr>
      </w:pPr>
      <w:r>
        <w:t xml:space="preserve">Division 1 — Provisions for the </w:t>
      </w:r>
      <w:r>
        <w:rPr>
          <w:i/>
        </w:rPr>
        <w:t>Sentencing Legislation Amendment Act 2016</w:t>
      </w:r>
      <w:r>
        <w:t xml:space="preserve"> Part 2</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_Toc511135923 \h </w:instrText>
      </w:r>
      <w:r>
        <w:fldChar w:fldCharType="separate"/>
      </w:r>
      <w:r>
        <w:t>99</w:t>
      </w:r>
      <w:r>
        <w:fldChar w:fldCharType="end"/>
      </w:r>
    </w:p>
    <w:p>
      <w:pPr>
        <w:pStyle w:val="TOC8"/>
        <w:rPr>
          <w:rFonts w:asciiTheme="minorHAnsi" w:eastAsiaTheme="minorEastAsia" w:hAnsiTheme="minorHAnsi" w:cstheme="minorBidi"/>
          <w:szCs w:val="22"/>
        </w:rPr>
      </w:pPr>
      <w:r>
        <w:t>124.</w:t>
      </w:r>
      <w:r>
        <w:tab/>
        <w:t>Reports during the transitional period: pre</w:t>
      </w:r>
      <w:r>
        <w:noBreakHyphen/>
        <w:t>1996 prisoners</w:t>
      </w:r>
      <w:r>
        <w:tab/>
      </w:r>
      <w:r>
        <w:fldChar w:fldCharType="begin"/>
      </w:r>
      <w:r>
        <w:instrText xml:space="preserve"> PAGEREF _Toc511135924 \h </w:instrText>
      </w:r>
      <w:r>
        <w:fldChar w:fldCharType="separate"/>
      </w:r>
      <w:r>
        <w:t>100</w:t>
      </w:r>
      <w:r>
        <w:fldChar w:fldCharType="end"/>
      </w:r>
    </w:p>
    <w:p>
      <w:pPr>
        <w:pStyle w:val="TOC8"/>
        <w:rPr>
          <w:rFonts w:asciiTheme="minorHAnsi" w:eastAsiaTheme="minorEastAsia" w:hAnsiTheme="minorHAnsi" w:cstheme="minorBidi"/>
          <w:szCs w:val="22"/>
        </w:rPr>
      </w:pPr>
      <w:r>
        <w:t>125.</w:t>
      </w:r>
      <w:r>
        <w:tab/>
        <w:t>Participation in re</w:t>
      </w:r>
      <w:r>
        <w:noBreakHyphen/>
        <w:t>socialisation programmes: pre</w:t>
      </w:r>
      <w:r>
        <w:noBreakHyphen/>
        <w:t>1996 prisoners</w:t>
      </w:r>
      <w:r>
        <w:tab/>
      </w:r>
      <w:r>
        <w:fldChar w:fldCharType="begin"/>
      </w:r>
      <w:r>
        <w:instrText xml:space="preserve"> PAGEREF _Toc511135925 \h </w:instrText>
      </w:r>
      <w:r>
        <w:fldChar w:fldCharType="separate"/>
      </w:r>
      <w:r>
        <w:t>100</w:t>
      </w:r>
      <w:r>
        <w:fldChar w:fldCharType="end"/>
      </w:r>
    </w:p>
    <w:p>
      <w:pPr>
        <w:pStyle w:val="TOC8"/>
        <w:rPr>
          <w:rFonts w:asciiTheme="minorHAnsi" w:eastAsiaTheme="minorEastAsia" w:hAnsiTheme="minorHAnsi" w:cstheme="minorBidi"/>
          <w:szCs w:val="22"/>
        </w:rPr>
      </w:pPr>
      <w:r>
        <w:t>126.</w:t>
      </w:r>
      <w:r>
        <w:tab/>
        <w:t>Release on parole: pre</w:t>
      </w:r>
      <w:r>
        <w:noBreakHyphen/>
        <w:t>1996 prisoners</w:t>
      </w:r>
      <w:r>
        <w:tab/>
      </w:r>
      <w:r>
        <w:fldChar w:fldCharType="begin"/>
      </w:r>
      <w:r>
        <w:instrText xml:space="preserve"> PAGEREF _Toc511135926 \h </w:instrText>
      </w:r>
      <w:r>
        <w:fldChar w:fldCharType="separate"/>
      </w:r>
      <w:r>
        <w:t>101</w:t>
      </w:r>
      <w:r>
        <w:fldChar w:fldCharType="end"/>
      </w:r>
    </w:p>
    <w:p>
      <w:pPr>
        <w:pStyle w:val="TOC8"/>
        <w:rPr>
          <w:rFonts w:asciiTheme="minorHAnsi" w:eastAsiaTheme="minorEastAsia" w:hAnsiTheme="minorHAnsi" w:cstheme="minorBidi"/>
          <w:szCs w:val="22"/>
        </w:rPr>
      </w:pPr>
      <w:r>
        <w:t>127.</w:t>
      </w:r>
      <w:r>
        <w:tab/>
        <w:t>Validation of parole orders: pre</w:t>
      </w:r>
      <w:r>
        <w:noBreakHyphen/>
        <w:t>1996 prisoner</w:t>
      </w:r>
      <w:r>
        <w:tab/>
      </w:r>
      <w:r>
        <w:fldChar w:fldCharType="begin"/>
      </w:r>
      <w:r>
        <w:instrText xml:space="preserve"> PAGEREF _Toc511135927 \h </w:instrText>
      </w:r>
      <w:r>
        <w:fldChar w:fldCharType="separate"/>
      </w:r>
      <w:r>
        <w:t>101</w:t>
      </w:r>
      <w:r>
        <w:fldChar w:fldCharType="end"/>
      </w:r>
    </w:p>
    <w:p>
      <w:pPr>
        <w:pStyle w:val="TOC8"/>
        <w:rPr>
          <w:rFonts w:asciiTheme="minorHAnsi" w:eastAsiaTheme="minorEastAsia" w:hAnsiTheme="minorHAnsi" w:cstheme="minorBidi"/>
          <w:szCs w:val="22"/>
        </w:rPr>
      </w:pPr>
      <w:r>
        <w:t>128.</w:t>
      </w:r>
      <w:r>
        <w:tab/>
        <w:t>Inconsistency with former transitional provisions</w:t>
      </w:r>
      <w:r>
        <w:tab/>
      </w:r>
      <w:r>
        <w:fldChar w:fldCharType="begin"/>
      </w:r>
      <w:r>
        <w:instrText xml:space="preserve"> PAGEREF _Toc511135928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the </w:t>
      </w:r>
      <w:r>
        <w:rPr>
          <w:i/>
        </w:rPr>
        <w:t>Sentencing Legislation Amendment Act 2016</w:t>
      </w:r>
      <w:r>
        <w:t xml:space="preserve"> Part 3 Division 2</w:t>
      </w:r>
    </w:p>
    <w:p>
      <w:pPr>
        <w:pStyle w:val="TOC8"/>
        <w:rPr>
          <w:rFonts w:asciiTheme="minorHAnsi" w:eastAsiaTheme="minorEastAsia" w:hAnsiTheme="minorHAnsi" w:cstheme="minorBidi"/>
          <w:szCs w:val="22"/>
        </w:rPr>
      </w:pPr>
      <w:r>
        <w:t>129.</w:t>
      </w:r>
      <w:r>
        <w:tab/>
        <w:t>Continued application of former Part 3 Division 4</w:t>
      </w:r>
      <w:r>
        <w:tab/>
      </w:r>
      <w:r>
        <w:fldChar w:fldCharType="begin"/>
      </w:r>
      <w:r>
        <w:instrText xml:space="preserve"> PAGEREF _Toc511135930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applying to the Prisoners Review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_Toc511135932 \h </w:instrText>
      </w:r>
      <w:r>
        <w:fldChar w:fldCharType="separate"/>
      </w:r>
      <w:r>
        <w:t>103</w:t>
      </w:r>
      <w:r>
        <w:fldChar w:fldCharType="end"/>
      </w:r>
    </w:p>
    <w:p>
      <w:pPr>
        <w:pStyle w:val="TOC8"/>
        <w:rPr>
          <w:rFonts w:asciiTheme="minorHAnsi" w:eastAsiaTheme="minorEastAsia" w:hAnsiTheme="minorHAnsi" w:cstheme="minorBidi"/>
          <w:szCs w:val="22"/>
        </w:rPr>
      </w:pPr>
      <w:r>
        <w:t>2.</w:t>
      </w:r>
      <w:r>
        <w:tab/>
        <w:t>Term etc. of office</w:t>
      </w:r>
      <w:r>
        <w:tab/>
      </w:r>
      <w:r>
        <w:fldChar w:fldCharType="begin"/>
      </w:r>
      <w:r>
        <w:instrText xml:space="preserve"> PAGEREF _Toc511135933 \h </w:instrText>
      </w:r>
      <w:r>
        <w:fldChar w:fldCharType="separate"/>
      </w:r>
      <w:r>
        <w:t>103</w:t>
      </w:r>
      <w:r>
        <w:fldChar w:fldCharType="end"/>
      </w:r>
    </w:p>
    <w:p>
      <w:pPr>
        <w:pStyle w:val="TOC8"/>
        <w:rPr>
          <w:rFonts w:asciiTheme="minorHAnsi" w:eastAsiaTheme="minorEastAsia" w:hAnsiTheme="minorHAnsi" w:cstheme="minorBidi"/>
          <w:szCs w:val="22"/>
        </w:rPr>
      </w:pPr>
      <w:r>
        <w:t>3.</w:t>
      </w:r>
      <w:r>
        <w:tab/>
        <w:t>Resignation</w:t>
      </w:r>
      <w:r>
        <w:tab/>
      </w:r>
      <w:r>
        <w:fldChar w:fldCharType="begin"/>
      </w:r>
      <w:r>
        <w:instrText xml:space="preserve"> PAGEREF _Toc511135934 \h </w:instrText>
      </w:r>
      <w:r>
        <w:fldChar w:fldCharType="separate"/>
      </w:r>
      <w:r>
        <w:t>104</w:t>
      </w:r>
      <w:r>
        <w:fldChar w:fldCharType="end"/>
      </w:r>
    </w:p>
    <w:p>
      <w:pPr>
        <w:pStyle w:val="TOC8"/>
        <w:rPr>
          <w:rFonts w:asciiTheme="minorHAnsi" w:eastAsiaTheme="minorEastAsia" w:hAnsiTheme="minorHAnsi" w:cstheme="minorBidi"/>
          <w:szCs w:val="22"/>
        </w:rPr>
      </w:pPr>
      <w:r>
        <w:t>4.</w:t>
      </w:r>
      <w:r>
        <w:tab/>
        <w:t>Terminating appointments</w:t>
      </w:r>
      <w:r>
        <w:tab/>
      </w:r>
      <w:r>
        <w:fldChar w:fldCharType="begin"/>
      </w:r>
      <w:r>
        <w:instrText xml:space="preserve"> PAGEREF _Toc511135935 \h </w:instrText>
      </w:r>
      <w:r>
        <w:fldChar w:fldCharType="separate"/>
      </w:r>
      <w:r>
        <w:t>104</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_Toc511135936 \h </w:instrText>
      </w:r>
      <w:r>
        <w:fldChar w:fldCharType="separate"/>
      </w:r>
      <w:r>
        <w:t>105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Conditions of service</w:t>
      </w:r>
      <w:r>
        <w:tab/>
      </w:r>
      <w:r>
        <w:fldChar w:fldCharType="begin"/>
      </w:r>
      <w:r>
        <w:instrText xml:space="preserve"> PAGEREF _Toc511135937 \h </w:instrText>
      </w:r>
      <w:r>
        <w:fldChar w:fldCharType="separate"/>
      </w:r>
      <w:r>
        <w:t>106</w:t>
      </w:r>
      <w:r>
        <w:fldChar w:fldCharType="end"/>
      </w:r>
    </w:p>
    <w:p>
      <w:pPr>
        <w:pStyle w:val="TOC8"/>
        <w:rPr>
          <w:rFonts w:asciiTheme="minorHAnsi" w:eastAsiaTheme="minorEastAsia" w:hAnsiTheme="minorHAnsi" w:cstheme="minorBidi"/>
          <w:szCs w:val="22"/>
        </w:rPr>
      </w:pPr>
      <w:r>
        <w:t>7.</w:t>
      </w:r>
      <w:r>
        <w:tab/>
        <w:t>Leave of absence</w:t>
      </w:r>
      <w:r>
        <w:tab/>
      </w:r>
      <w:r>
        <w:fldChar w:fldCharType="begin"/>
      </w:r>
      <w:r>
        <w:instrText xml:space="preserve"> PAGEREF _Toc511135938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Schedule 3 — Reports and re</w:t>
      </w:r>
      <w:r>
        <w:noBreakHyphen/>
        <w:t>socialisation programmes for certain prisoners</w:t>
      </w:r>
    </w:p>
    <w:p>
      <w:pPr>
        <w:pStyle w:val="TOC4"/>
        <w:tabs>
          <w:tab w:val="right" w:leader="dot" w:pos="7077"/>
        </w:tabs>
        <w:rPr>
          <w:rFonts w:asciiTheme="minorHAnsi" w:eastAsiaTheme="minorEastAsia" w:hAnsiTheme="minorHAnsi" w:cstheme="minorBidi"/>
          <w:b w:val="0"/>
          <w:szCs w:val="22"/>
        </w:rPr>
      </w:pPr>
      <w:r>
        <w:t>Division 1</w:t>
      </w:r>
      <w:r>
        <w:rPr>
          <w:b w:val="0"/>
        </w:rPr>
        <w:t> — </w:t>
      </w:r>
      <w:r>
        <w:t>Current sentence types</w:t>
      </w:r>
    </w:p>
    <w:p>
      <w:pPr>
        <w:pStyle w:val="TOC4"/>
        <w:tabs>
          <w:tab w:val="right" w:leader="dot" w:pos="7077"/>
        </w:tabs>
        <w:rPr>
          <w:rFonts w:asciiTheme="minorHAnsi" w:eastAsiaTheme="minorEastAsia" w:hAnsiTheme="minorHAnsi" w:cstheme="minorBidi"/>
          <w:b w:val="0"/>
          <w:szCs w:val="22"/>
        </w:rPr>
      </w:pPr>
      <w:r>
        <w:t>Division 2 — Former sentence types</w:t>
      </w:r>
    </w:p>
    <w:p>
      <w:pPr>
        <w:pStyle w:val="TOC2"/>
        <w:tabs>
          <w:tab w:val="right" w:leader="dot" w:pos="7077"/>
        </w:tabs>
        <w:rPr>
          <w:rFonts w:asciiTheme="minorHAnsi" w:eastAsiaTheme="minorEastAsia" w:hAnsiTheme="minorHAnsi" w:cstheme="minorBidi"/>
          <w:b w:val="0"/>
          <w:sz w:val="22"/>
          <w:szCs w:val="22"/>
        </w:rPr>
      </w:pPr>
      <w:r>
        <w:t>Schedule 4 — Serious violent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_Toc511135945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1080" w:after="1200"/>
      </w:pPr>
      <w:r>
        <w:t>Sentence Administration Act 2003</w:t>
      </w:r>
    </w:p>
    <w:p>
      <w:pPr>
        <w:pStyle w:val="LongTitle"/>
        <w:suppressLineNumbers/>
      </w:pPr>
      <w:r>
        <w:rPr>
          <w:snapToGrid w:val="0"/>
        </w:rPr>
        <w:t>An Act to provide for the administration of sentences and other orders imposed on offenders</w:t>
      </w:r>
      <w:r>
        <w:t>.</w:t>
      </w:r>
    </w:p>
    <w:p>
      <w:pPr>
        <w:rPr>
          <w:snapToGrid w:val="0"/>
        </w:rPr>
      </w:pPr>
    </w:p>
    <w:p>
      <w:pPr>
        <w:pStyle w:val="Heading2"/>
      </w:pPr>
      <w:bookmarkStart w:id="3" w:name="_Toc473634949"/>
      <w:bookmarkStart w:id="4" w:name="_Toc474159007"/>
      <w:bookmarkStart w:id="5" w:name="_Toc485715981"/>
      <w:bookmarkStart w:id="6" w:name="_Toc485719733"/>
      <w:bookmarkStart w:id="7" w:name="_Toc485802476"/>
      <w:bookmarkStart w:id="8" w:name="_Toc486435417"/>
      <w:bookmarkStart w:id="9" w:name="_Toc509830205"/>
      <w:bookmarkStart w:id="10" w:name="_Toc509830536"/>
      <w:bookmarkStart w:id="11" w:name="_Toc51113573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p>
    <w:p>
      <w:pPr>
        <w:pStyle w:val="Heading5"/>
        <w:rPr>
          <w:snapToGrid w:val="0"/>
        </w:rPr>
      </w:pPr>
      <w:bookmarkStart w:id="12" w:name="_Toc511135738"/>
      <w:r>
        <w:rPr>
          <w:rStyle w:val="CharSectno"/>
        </w:rPr>
        <w:t>1</w:t>
      </w:r>
      <w:r>
        <w:rPr>
          <w:snapToGrid w:val="0"/>
        </w:rPr>
        <w:t>.</w:t>
      </w:r>
      <w:r>
        <w:rPr>
          <w:snapToGrid w:val="0"/>
        </w:rPr>
        <w:tab/>
        <w:t>Short title</w:t>
      </w:r>
      <w:bookmarkEnd w:id="12"/>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13" w:name="_Toc511135739"/>
      <w:r>
        <w:rPr>
          <w:rStyle w:val="CharSectno"/>
        </w:rPr>
        <w:t>2</w:t>
      </w:r>
      <w:r>
        <w:rPr>
          <w:snapToGrid w:val="0"/>
        </w:rPr>
        <w:t>.</w:t>
      </w:r>
      <w:r>
        <w:rPr>
          <w:snapToGrid w:val="0"/>
        </w:rPr>
        <w:tab/>
        <w:t>Commencement</w:t>
      </w:r>
      <w:bookmarkEnd w:id="13"/>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14" w:name="_Toc511135740"/>
      <w:r>
        <w:rPr>
          <w:rStyle w:val="CharSectno"/>
        </w:rPr>
        <w:t>3</w:t>
      </w:r>
      <w:r>
        <w:t>.</w:t>
      </w:r>
      <w:r>
        <w:tab/>
        <w:t xml:space="preserve">This Act to be read with </w:t>
      </w:r>
      <w:r>
        <w:rPr>
          <w:i/>
        </w:rPr>
        <w:t>Sentencing Act 1995</w:t>
      </w:r>
      <w:bookmarkEnd w:id="14"/>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15" w:name="_Toc511135741"/>
      <w:r>
        <w:rPr>
          <w:rStyle w:val="CharSectno"/>
        </w:rPr>
        <w:t>4</w:t>
      </w:r>
      <w:r>
        <w:t>.</w:t>
      </w:r>
      <w:r>
        <w:tab/>
        <w:t>Terms and abbreviations used</w:t>
      </w:r>
      <w:bookmarkEnd w:id="15"/>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t>; or</w:t>
      </w:r>
    </w:p>
    <w:p>
      <w:pPr>
        <w:pStyle w:val="Defpara"/>
      </w:pPr>
      <w:r>
        <w:tab/>
        <w:t>(c)</w:t>
      </w:r>
      <w:r>
        <w:tab/>
        <w:t xml:space="preserve">a person subject to a direction or sentence under repealed section 661 or 662 of </w:t>
      </w:r>
      <w:r>
        <w:rPr>
          <w:i/>
        </w:rPr>
        <w:t>The Criminal Code</w:t>
      </w:r>
      <w: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post</w:t>
      </w:r>
      <w:r>
        <w:rPr>
          <w:rStyle w:val="CharDefText"/>
        </w:rPr>
        <w:noBreakHyphen/>
        <w:t>sentence supervision order</w:t>
      </w:r>
      <w:r>
        <w:t xml:space="preserve"> means a post</w:t>
      </w:r>
      <w:r>
        <w:noBreakHyphen/>
        <w:t>sentence supervision order made under Part 5A;</w:t>
      </w:r>
    </w:p>
    <w:p>
      <w:pPr>
        <w:pStyle w:val="Defstart"/>
        <w:keepNex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tab/>
      </w:r>
      <w:r>
        <w:rPr>
          <w:rStyle w:val="CharDefText"/>
        </w:rPr>
        <w:t>Schedule 3 prisoner</w:t>
      </w:r>
      <w:r>
        <w:t xml:space="preserve"> means a person described in Schedule 3 column 2;</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tab/>
      </w:r>
      <w:r>
        <w:rPr>
          <w:rStyle w:val="CharDefText"/>
        </w:rPr>
        <w:t>supervised offender</w:t>
      </w:r>
      <w:r>
        <w:t xml:space="preserve"> has the meaning given in section 74E(1);</w:t>
      </w:r>
    </w:p>
    <w:p>
      <w:pPr>
        <w:pStyle w:val="Defstart"/>
      </w:pPr>
      <w:r>
        <w:tab/>
      </w:r>
      <w:r>
        <w:rPr>
          <w:rStyle w:val="CharDefText"/>
        </w:rPr>
        <w:t>victim</w:t>
      </w:r>
      <w:r>
        <w:t xml:space="preserve"> of an offender or prisoner has the meaning given in section 5D;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PSSO</w:t>
      </w:r>
      <w:r>
        <w:t xml:space="preserve"> for post</w:t>
      </w:r>
      <w:r>
        <w:noBreakHyphen/>
        <w:t>sentence supervision order;</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Footnotesection"/>
      </w:pPr>
      <w:r>
        <w:tab/>
        <w:t>[Section 4 amended by No. 27 of 2004 s. 10; No. 41 of 2006 s. 4; No. 65 of 2006 s. 37; No. 29 of 2008 s. 39(2); No. 45 of 2016 s. 4 and 22; No. 49 of 2016 s. 107.]</w:t>
      </w:r>
    </w:p>
    <w:p>
      <w:pPr>
        <w:pStyle w:val="Footnotesection"/>
        <w:spacing w:before="140"/>
        <w:ind w:left="890" w:hanging="890"/>
      </w:pPr>
      <w:r>
        <w:tab/>
        <w:t>[Section 4. Modifications to be applied in order to give effect to Cross-border Justice Act 2008: section altered 1 Nov 2009. See endnote 1M.]</w:t>
      </w:r>
    </w:p>
    <w:p>
      <w:pPr>
        <w:pStyle w:val="Heading2"/>
      </w:pPr>
      <w:bookmarkStart w:id="16" w:name="_Toc473634954"/>
      <w:bookmarkStart w:id="17" w:name="_Toc474159012"/>
      <w:bookmarkStart w:id="18" w:name="_Toc485715986"/>
      <w:bookmarkStart w:id="19" w:name="_Toc485719738"/>
      <w:bookmarkStart w:id="20" w:name="_Toc485802481"/>
      <w:bookmarkStart w:id="21" w:name="_Toc486435422"/>
      <w:bookmarkStart w:id="22" w:name="_Toc509830210"/>
      <w:bookmarkStart w:id="23" w:name="_Toc509830541"/>
      <w:bookmarkStart w:id="24" w:name="_Toc511135742"/>
      <w:r>
        <w:rPr>
          <w:rStyle w:val="CharPartNo"/>
        </w:rPr>
        <w:t>Part 2</w:t>
      </w:r>
      <w:r>
        <w:t xml:space="preserve"> — </w:t>
      </w:r>
      <w:r>
        <w:rPr>
          <w:rStyle w:val="CharPartText"/>
        </w:rPr>
        <w:t>General matters</w:t>
      </w:r>
      <w:bookmarkEnd w:id="16"/>
      <w:bookmarkEnd w:id="17"/>
      <w:bookmarkEnd w:id="18"/>
      <w:bookmarkEnd w:id="19"/>
      <w:bookmarkEnd w:id="20"/>
      <w:bookmarkEnd w:id="21"/>
      <w:bookmarkEnd w:id="22"/>
      <w:bookmarkEnd w:id="23"/>
      <w:bookmarkEnd w:id="24"/>
    </w:p>
    <w:p>
      <w:pPr>
        <w:pStyle w:val="Footnoteheading"/>
      </w:pPr>
      <w:r>
        <w:tab/>
        <w:t>[Heading amended by No. 41 of 2006 s. 5.]</w:t>
      </w:r>
    </w:p>
    <w:p>
      <w:pPr>
        <w:pStyle w:val="Heading3"/>
      </w:pPr>
      <w:bookmarkStart w:id="25" w:name="_Toc473634955"/>
      <w:bookmarkStart w:id="26" w:name="_Toc474159013"/>
      <w:bookmarkStart w:id="27" w:name="_Toc485715987"/>
      <w:bookmarkStart w:id="28" w:name="_Toc485719739"/>
      <w:bookmarkStart w:id="29" w:name="_Toc485802482"/>
      <w:bookmarkStart w:id="30" w:name="_Toc486435423"/>
      <w:bookmarkStart w:id="31" w:name="_Toc509830211"/>
      <w:bookmarkStart w:id="32" w:name="_Toc509830542"/>
      <w:bookmarkStart w:id="33" w:name="_Toc511135743"/>
      <w:r>
        <w:rPr>
          <w:rStyle w:val="CharDivNo"/>
        </w:rPr>
        <w:t>Division 1</w:t>
      </w:r>
      <w:r>
        <w:t xml:space="preserve"> — </w:t>
      </w:r>
      <w:r>
        <w:rPr>
          <w:rStyle w:val="CharDivText"/>
        </w:rPr>
        <w:t>Preliminary</w:t>
      </w:r>
      <w:bookmarkEnd w:id="25"/>
      <w:bookmarkEnd w:id="26"/>
      <w:bookmarkEnd w:id="27"/>
      <w:bookmarkEnd w:id="28"/>
      <w:bookmarkEnd w:id="29"/>
      <w:bookmarkEnd w:id="30"/>
      <w:bookmarkEnd w:id="31"/>
      <w:bookmarkEnd w:id="32"/>
      <w:bookmarkEnd w:id="33"/>
    </w:p>
    <w:p>
      <w:pPr>
        <w:pStyle w:val="Heading5"/>
      </w:pPr>
      <w:bookmarkStart w:id="34" w:name="_Toc511135744"/>
      <w:r>
        <w:rPr>
          <w:rStyle w:val="CharSectno"/>
        </w:rPr>
        <w:t>5</w:t>
      </w:r>
      <w:r>
        <w:t>.</w:t>
      </w:r>
      <w:r>
        <w:tab/>
        <w:t>Terms used and calculations</w:t>
      </w:r>
      <w:bookmarkEnd w:id="34"/>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35" w:name="_Toc511135745"/>
      <w:r>
        <w:rPr>
          <w:rStyle w:val="CharSectno"/>
        </w:rPr>
        <w:t>5A</w:t>
      </w:r>
      <w:r>
        <w:t>.</w:t>
      </w:r>
      <w:r>
        <w:tab/>
        <w:t>Release considerations about people in custody</w:t>
      </w:r>
      <w:bookmarkEnd w:id="35"/>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the prisoner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 amended by No. 49 of 2016 s. 108.]</w:t>
      </w:r>
    </w:p>
    <w:p>
      <w:pPr>
        <w:pStyle w:val="Heading5"/>
        <w:rPr>
          <w:snapToGrid w:val="0"/>
        </w:rPr>
      </w:pPr>
      <w:bookmarkStart w:id="36" w:name="_Toc511135746"/>
      <w:r>
        <w:rPr>
          <w:rStyle w:val="CharSectno"/>
        </w:rPr>
        <w:t>5B</w:t>
      </w:r>
      <w:r>
        <w:rPr>
          <w:snapToGrid w:val="0"/>
        </w:rPr>
        <w:t>.</w:t>
      </w:r>
      <w:r>
        <w:rPr>
          <w:snapToGrid w:val="0"/>
        </w:rPr>
        <w:tab/>
        <w:t>Community safety paramount</w:t>
      </w:r>
      <w:bookmarkEnd w:id="36"/>
    </w:p>
    <w:p>
      <w:pPr>
        <w:pStyle w:val="Subsection"/>
      </w:pPr>
      <w:r>
        <w:tab/>
      </w:r>
      <w:r>
        <w:tab/>
        <w:t>The Board or any other person performing functions under this Act must regard the safety of the community as the paramount consideration.</w:t>
      </w:r>
    </w:p>
    <w:p>
      <w:pPr>
        <w:pStyle w:val="Footnotesection"/>
      </w:pPr>
      <w:r>
        <w:tab/>
        <w:t>[Section 5B inserted by No. 41 of 2006 s. 6.]</w:t>
      </w:r>
    </w:p>
    <w:p>
      <w:pPr>
        <w:pStyle w:val="Heading5"/>
        <w:rPr>
          <w:snapToGrid w:val="0"/>
        </w:rPr>
      </w:pPr>
      <w:bookmarkStart w:id="37" w:name="_Toc511135747"/>
      <w:r>
        <w:rPr>
          <w:rStyle w:val="CharSectno"/>
        </w:rPr>
        <w:t>5C</w:t>
      </w:r>
      <w:r>
        <w:rPr>
          <w:snapToGrid w:val="0"/>
        </w:rPr>
        <w:t>.</w:t>
      </w:r>
      <w:r>
        <w:rPr>
          <w:snapToGrid w:val="0"/>
        </w:rPr>
        <w:tab/>
        <w:t>Victim’s submission to Board</w:t>
      </w:r>
      <w:bookmarkEnd w:id="37"/>
    </w:p>
    <w:p>
      <w:pPr>
        <w:pStyle w:val="Subsection"/>
      </w:pPr>
      <w:r>
        <w:tab/>
        <w:t>(1)</w:t>
      </w:r>
      <w:r>
        <w:tab/>
        <w:t xml:space="preserve">A </w:t>
      </w:r>
      <w:r>
        <w:rPr>
          <w:rStyle w:val="CharDefText"/>
        </w:rPr>
        <w:t>victim’s submission</w:t>
      </w:r>
      <w:r>
        <w:t xml:space="preserve"> is a written submission by a victim of an offender who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by No. 41 of 2006 s. 6; amended by No. 49 of 2016 s. 109.]</w:t>
      </w:r>
    </w:p>
    <w:p>
      <w:pPr>
        <w:pStyle w:val="Heading5"/>
      </w:pPr>
      <w:bookmarkStart w:id="38" w:name="_Toc468195848"/>
      <w:bookmarkStart w:id="39" w:name="_Toc468197181"/>
      <w:bookmarkStart w:id="40" w:name="_Toc511135748"/>
      <w:bookmarkStart w:id="41" w:name="_Toc473634960"/>
      <w:bookmarkStart w:id="42" w:name="_Toc474159018"/>
      <w:bookmarkStart w:id="43" w:name="_Toc485715992"/>
      <w:bookmarkStart w:id="44" w:name="_Toc485719744"/>
      <w:r>
        <w:rPr>
          <w:rStyle w:val="CharSectno"/>
        </w:rPr>
        <w:t>5D</w:t>
      </w:r>
      <w:r>
        <w:t>.</w:t>
      </w:r>
      <w:r>
        <w:tab/>
        <w:t>Term used: victim of an offender or prisoner</w:t>
      </w:r>
      <w:bookmarkEnd w:id="38"/>
      <w:bookmarkEnd w:id="39"/>
      <w:bookmarkEnd w:id="40"/>
    </w:p>
    <w:p>
      <w:pPr>
        <w:pStyle w:val="Subsection"/>
      </w:pPr>
      <w:r>
        <w:tab/>
        <w:t>(1)</w:t>
      </w:r>
      <w:r>
        <w:tab/>
        <w:t xml:space="preserve">In this Act — </w:t>
      </w:r>
    </w:p>
    <w:p>
      <w:pPr>
        <w:pStyle w:val="Defstart"/>
      </w:pPr>
      <w:r>
        <w:rPr>
          <w:b/>
        </w:rPr>
        <w:tab/>
      </w:r>
      <w:r>
        <w:rPr>
          <w:rStyle w:val="CharDefText"/>
        </w:rPr>
        <w:t>victim</w:t>
      </w:r>
      <w:r>
        <w:rPr>
          <w:b/>
        </w:rPr>
        <w:t xml:space="preserve"> </w:t>
      </w:r>
      <w:r>
        <w:t>of an offender or prisoner means —</w:t>
      </w:r>
    </w:p>
    <w:p>
      <w:pPr>
        <w:pStyle w:val="Defpara"/>
      </w:pPr>
      <w:r>
        <w:tab/>
        <w:t>(a)</w:t>
      </w:r>
      <w:r>
        <w:tab/>
        <w:t>a person who has suffered injury, loss or damage as a direct result of an offence committed by the offender or prisoner, whether or not that injury, loss or damage was reasonably foreseeable by the offender or prisoner; or</w:t>
      </w:r>
    </w:p>
    <w:p>
      <w:pPr>
        <w:pStyle w:val="Defpara"/>
      </w:pPr>
      <w:r>
        <w:tab/>
        <w:t>(b)</w:t>
      </w:r>
      <w:r>
        <w:tab/>
        <w:t>where an offence committed by the offender or prisoner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offender or prisoner is a respondent; or</w:t>
      </w:r>
    </w:p>
    <w:p>
      <w:pPr>
        <w:pStyle w:val="Defpara"/>
        <w:keepNext/>
      </w:pPr>
      <w:r>
        <w:tab/>
        <w:t>(d)</w:t>
      </w:r>
      <w:r>
        <w:tab/>
        <w:t xml:space="preserve">a person who can demonstrate, to the satisfaction of the CEO that — </w:t>
      </w:r>
    </w:p>
    <w:p>
      <w:pPr>
        <w:pStyle w:val="Defsubpara"/>
      </w:pPr>
      <w:r>
        <w:tab/>
        <w:t>(i)</w:t>
      </w:r>
      <w:r>
        <w:tab/>
        <w:t>the person is the victim of a violent personal offence previously committed by the offender or prisoner; and</w:t>
      </w:r>
    </w:p>
    <w:p>
      <w:pPr>
        <w:pStyle w:val="Defsubpara"/>
      </w:pPr>
      <w:r>
        <w:tab/>
        <w:t>(ii)</w:t>
      </w:r>
      <w:r>
        <w:tab/>
        <w:t xml:space="preserve">the violent personal offence occurred in the context of a family relationship, as defined in the </w:t>
      </w:r>
      <w:r>
        <w:rPr>
          <w:i/>
        </w:rPr>
        <w:t>Restraining Orders Act 1997</w:t>
      </w:r>
      <w:r>
        <w:t xml:space="preserve"> section 4, with the offender or prisoner.</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(2)</w:t>
      </w:r>
      <w:r>
        <w:tab/>
        <w:t xml:space="preserve">For the purposes of subsection (1) in the definition of </w:t>
      </w:r>
      <w:r>
        <w:rPr>
          <w:b/>
          <w:i/>
        </w:rPr>
        <w:t>victim</w:t>
      </w:r>
      <w:r>
        <w:t xml:space="preserve"> paragraph (c) or (d), it is irrelevant that the family violence restraining order or the previous violent personal offence, as the case requires, is unrelated to the offence referred to in paragraph (a) or (b) of that definition.</w:t>
      </w:r>
    </w:p>
    <w:p>
      <w:pPr>
        <w:pStyle w:val="Footnotesection"/>
        <w:spacing w:before="100"/>
        <w:ind w:left="890" w:hanging="890"/>
      </w:pPr>
      <w:r>
        <w:tab/>
        <w:t>[Section 5D inserted by No. 49 of 2016 s. 110.]</w:t>
      </w:r>
    </w:p>
    <w:p>
      <w:pPr>
        <w:pStyle w:val="Heading3"/>
      </w:pPr>
      <w:bookmarkStart w:id="45" w:name="_Toc485802488"/>
      <w:bookmarkStart w:id="46" w:name="_Toc486435429"/>
      <w:bookmarkStart w:id="47" w:name="_Toc509830217"/>
      <w:bookmarkStart w:id="48" w:name="_Toc509830548"/>
      <w:bookmarkStart w:id="49" w:name="_Toc511135749"/>
      <w:r>
        <w:rPr>
          <w:rStyle w:val="CharDivNo"/>
        </w:rPr>
        <w:t>Division 2</w:t>
      </w:r>
      <w:r>
        <w:t xml:space="preserve"> — </w:t>
      </w:r>
      <w:r>
        <w:rPr>
          <w:rStyle w:val="CharDivText"/>
        </w:rPr>
        <w:t>Matters affecting the service of terms</w:t>
      </w:r>
      <w:bookmarkEnd w:id="41"/>
      <w:bookmarkEnd w:id="42"/>
      <w:bookmarkEnd w:id="43"/>
      <w:bookmarkEnd w:id="44"/>
      <w:bookmarkEnd w:id="45"/>
      <w:bookmarkEnd w:id="46"/>
      <w:bookmarkEnd w:id="47"/>
      <w:bookmarkEnd w:id="48"/>
      <w:bookmarkEnd w:id="49"/>
    </w:p>
    <w:p>
      <w:pPr>
        <w:pStyle w:val="Heading5"/>
      </w:pPr>
      <w:bookmarkStart w:id="50" w:name="_Toc511135750"/>
      <w:r>
        <w:rPr>
          <w:rStyle w:val="CharSectno"/>
        </w:rPr>
        <w:t>6</w:t>
      </w:r>
      <w:r>
        <w:t>.</w:t>
      </w:r>
      <w:r>
        <w:tab/>
        <w:t>When a term begins</w:t>
      </w:r>
      <w:bookmarkEnd w:id="50"/>
    </w:p>
    <w:p>
      <w:pPr>
        <w:pStyle w:val="Subsection"/>
        <w:spacing w:before="150"/>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51" w:name="_Toc511135751"/>
      <w:r>
        <w:rPr>
          <w:rStyle w:val="CharSectno"/>
        </w:rPr>
        <w:t>7</w:t>
      </w:r>
      <w:r>
        <w:t>.</w:t>
      </w:r>
      <w:r>
        <w:tab/>
        <w:t>Order of service of fixed terms</w:t>
      </w:r>
      <w:bookmarkEnd w:id="51"/>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by No. 41 of 2006 s. 7; No. 3 of 2008 s. 22; No. 6 of 2014 s. 8.]</w:t>
      </w:r>
    </w:p>
    <w:p>
      <w:pPr>
        <w:pStyle w:val="Heading5"/>
      </w:pPr>
      <w:bookmarkStart w:id="52" w:name="_Toc511135752"/>
      <w:r>
        <w:rPr>
          <w:rStyle w:val="CharSectno"/>
        </w:rPr>
        <w:t>8</w:t>
      </w:r>
      <w:r>
        <w:t>.</w:t>
      </w:r>
      <w:r>
        <w:tab/>
        <w:t>Effect of not being in custody</w:t>
      </w:r>
      <w:bookmarkEnd w:id="52"/>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53" w:name="_Toc511135753"/>
      <w:r>
        <w:rPr>
          <w:rStyle w:val="CharSectno"/>
        </w:rPr>
        <w:t>9</w:t>
      </w:r>
      <w:r>
        <w:t>.</w:t>
      </w:r>
      <w:r>
        <w:tab/>
        <w:t>Effect of time before an appeal</w:t>
      </w:r>
      <w:bookmarkEnd w:id="53"/>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54" w:name="_Toc511135754"/>
      <w:r>
        <w:rPr>
          <w:rStyle w:val="CharSectno"/>
        </w:rPr>
        <w:t>10</w:t>
      </w:r>
      <w:r>
        <w:t>.</w:t>
      </w:r>
      <w:r>
        <w:tab/>
        <w:t>No release if prisoner in custody for another matter</w:t>
      </w:r>
      <w:bookmarkEnd w:id="54"/>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55" w:name="_Toc473634966"/>
      <w:bookmarkStart w:id="56" w:name="_Toc474159024"/>
      <w:bookmarkStart w:id="57" w:name="_Toc485715998"/>
      <w:bookmarkStart w:id="58" w:name="_Toc485719750"/>
      <w:bookmarkStart w:id="59" w:name="_Toc485802494"/>
      <w:bookmarkStart w:id="60" w:name="_Toc486435435"/>
      <w:bookmarkStart w:id="61" w:name="_Toc509830223"/>
      <w:bookmarkStart w:id="62" w:name="_Toc509830554"/>
      <w:bookmarkStart w:id="63" w:name="_Toc511135755"/>
      <w:r>
        <w:rPr>
          <w:rStyle w:val="CharDivNo"/>
        </w:rPr>
        <w:t>Division 3</w:t>
      </w:r>
      <w:r>
        <w:rPr>
          <w:snapToGrid w:val="0"/>
        </w:rPr>
        <w:t xml:space="preserve"> — </w:t>
      </w:r>
      <w:r>
        <w:rPr>
          <w:rStyle w:val="CharDivText"/>
        </w:rPr>
        <w:t>Reports about prisoners</w:t>
      </w:r>
      <w:bookmarkEnd w:id="55"/>
      <w:bookmarkEnd w:id="56"/>
      <w:bookmarkEnd w:id="57"/>
      <w:bookmarkEnd w:id="58"/>
      <w:bookmarkEnd w:id="59"/>
      <w:bookmarkEnd w:id="60"/>
      <w:bookmarkEnd w:id="61"/>
      <w:bookmarkEnd w:id="62"/>
      <w:bookmarkEnd w:id="63"/>
    </w:p>
    <w:p>
      <w:pPr>
        <w:pStyle w:val="Footnoteheading"/>
      </w:pPr>
      <w:r>
        <w:tab/>
        <w:t>[Heading amended by No. 41 of 2006 s. 8.]</w:t>
      </w:r>
    </w:p>
    <w:p>
      <w:pPr>
        <w:pStyle w:val="Heading5"/>
      </w:pPr>
      <w:bookmarkStart w:id="64" w:name="_Toc511135756"/>
      <w:r>
        <w:rPr>
          <w:rStyle w:val="CharSectno"/>
        </w:rPr>
        <w:t>11</w:t>
      </w:r>
      <w:r>
        <w:t>.</w:t>
      </w:r>
      <w:r>
        <w:tab/>
        <w:t>Report to Minister about the place of custody for a person in custody during Governor’s pleasure</w:t>
      </w:r>
      <w:bookmarkEnd w:id="64"/>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Ednotesubsection"/>
        <w:keepNext/>
      </w:pPr>
      <w:r>
        <w:tab/>
        <w:t>[(3)</w:t>
      </w:r>
      <w:r>
        <w:tab/>
        <w:t>deleted]</w:t>
      </w:r>
    </w:p>
    <w:p>
      <w:pPr>
        <w:pStyle w:val="Footnotesection"/>
      </w:pPr>
      <w:r>
        <w:tab/>
        <w:t>[Section 11 amended by No. 41 of 2006 s. 9; No. 29 of 2008 s. 39(3) and (4); No. 45 of 2016 s. 5.]</w:t>
      </w:r>
    </w:p>
    <w:p>
      <w:pPr>
        <w:pStyle w:val="Heading5"/>
      </w:pPr>
      <w:bookmarkStart w:id="65" w:name="_Toc511135757"/>
      <w:r>
        <w:rPr>
          <w:rStyle w:val="CharSectno"/>
        </w:rPr>
        <w:t>11A</w:t>
      </w:r>
      <w:r>
        <w:t>.</w:t>
      </w:r>
      <w:r>
        <w:tab/>
        <w:t>Reports by CEO to Board about certain prisoners</w:t>
      </w:r>
      <w:bookmarkEnd w:id="65"/>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keepNext/>
      </w:pPr>
      <w:r>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66" w:name="_Toc511135758"/>
      <w:r>
        <w:rPr>
          <w:rStyle w:val="CharSectno"/>
        </w:rPr>
        <w:t>12</w:t>
      </w:r>
      <w:r>
        <w:t>.</w:t>
      </w:r>
      <w:r>
        <w:tab/>
        <w:t>Reports by Board to Minister about prisoners generally</w:t>
      </w:r>
      <w:bookmarkEnd w:id="66"/>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considers it necessary to do so.</w:t>
      </w:r>
    </w:p>
    <w:p>
      <w:pPr>
        <w:pStyle w:val="Ednotepara"/>
      </w:pPr>
      <w:r>
        <w:tab/>
        <w:t>[(c)</w:t>
      </w:r>
      <w:r>
        <w:tab/>
        <w:t>deleted]</w:t>
      </w:r>
    </w:p>
    <w:p>
      <w:pPr>
        <w:pStyle w:val="Subsection"/>
      </w:pPr>
      <w:r>
        <w:tab/>
        <w:t>(3)</w:t>
      </w:r>
      <w:r>
        <w:tab/>
        <w:t>A report given under subsection (2) must deal with the release considerations relating to the prisoner.</w:t>
      </w:r>
    </w:p>
    <w:p>
      <w:pPr>
        <w:pStyle w:val="Subsection"/>
      </w:pPr>
      <w:r>
        <w:tab/>
        <w:t>(4)</w:t>
      </w:r>
      <w:r>
        <w:tab/>
        <w:t>Subject to section 66B(1), a report — </w:t>
      </w:r>
    </w:p>
    <w:p>
      <w:pPr>
        <w:pStyle w:val="Indenta"/>
      </w:pPr>
      <w:r>
        <w:tab/>
        <w:t>(a)</w:t>
      </w:r>
      <w:r>
        <w:tab/>
        <w:t>must, if given under subsection (2)(a); and</w:t>
      </w:r>
    </w:p>
    <w:p>
      <w:pPr>
        <w:pStyle w:val="Indenta"/>
      </w:pPr>
      <w:r>
        <w:tab/>
        <w:t>(b)</w:t>
      </w:r>
      <w:r>
        <w:tab/>
        <w:t>may, if given under subsection (2)(b),</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or offences,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Ednotesubsection"/>
      </w:pPr>
      <w:r>
        <w:tab/>
        <w:t>[(6)</w:t>
      </w:r>
      <w:r>
        <w:tab/>
        <w:t>deleted]</w:t>
      </w:r>
    </w:p>
    <w:p>
      <w:pPr>
        <w:pStyle w:val="Footnotesection"/>
      </w:pPr>
      <w:r>
        <w:tab/>
        <w:t>[Section 12 inserted by No. 41 of 2006 s. 11; amended by No. 29 of 2008 s. 39(5); No. 45 of 2016 s. 6; No. 2 of 2018 s. 4.]</w:t>
      </w:r>
    </w:p>
    <w:p>
      <w:pPr>
        <w:pStyle w:val="Heading5"/>
      </w:pPr>
      <w:bookmarkStart w:id="67" w:name="_Toc511135759"/>
      <w:r>
        <w:rPr>
          <w:rStyle w:val="CharSectno"/>
        </w:rPr>
        <w:t>12A</w:t>
      </w:r>
      <w:r>
        <w:t>.</w:t>
      </w:r>
      <w:r>
        <w:tab/>
        <w:t>Reports by Board to Minister about Schedule 3 prisoners</w:t>
      </w:r>
      <w:bookmarkEnd w:id="67"/>
    </w:p>
    <w:p>
      <w:pPr>
        <w:pStyle w:val="Subsection"/>
      </w:pPr>
      <w:r>
        <w:tab/>
        <w:t>(1)</w:t>
      </w:r>
      <w:r>
        <w:tab/>
        <w:t>A report must be given under this section about a Schedule 3 prisoner regardless of whether or not a report has been given about the prisoner under section 12 (although reports may be combined under section 12B).</w:t>
      </w:r>
    </w:p>
    <w:p>
      <w:pPr>
        <w:pStyle w:val="Subsection"/>
      </w:pPr>
      <w:r>
        <w:tab/>
        <w:t>(2)</w:t>
      </w:r>
      <w:r>
        <w:tab/>
        <w:t xml:space="preserve">The Board must give the Minister a written report about a Schedule 3 prisoner — </w:t>
      </w:r>
    </w:p>
    <w:p>
      <w:pPr>
        <w:pStyle w:val="Indenta"/>
      </w:pPr>
      <w:r>
        <w:tab/>
        <w:t>(a)</w:t>
      </w:r>
      <w:r>
        <w:tab/>
        <w:t>described in Division 1 column 2 of that Schedule — at the times provided in columns 3 and 4 of that Division for a prisoner of that description; and</w:t>
      </w:r>
    </w:p>
    <w:p>
      <w:pPr>
        <w:pStyle w:val="Indenta"/>
      </w:pPr>
      <w:r>
        <w:tab/>
        <w:t>(b)</w:t>
      </w:r>
      <w:r>
        <w:tab/>
        <w:t>described in Division 2 column 2 of that Schedule — at the times provided in column 4 of that Division for a prisoner of that description.</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Subject to section 66B(1), 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(6)</w:t>
      </w:r>
      <w:r>
        <w:tab/>
        <w:t xml:space="preserve">For the purposes of determining under subsection (2)(b) when a subsequent report is due for a prisoner described in Schedule 3 Division 2 column 2 — </w:t>
      </w:r>
    </w:p>
    <w:p>
      <w:pPr>
        <w:pStyle w:val="Indenta"/>
      </w:pPr>
      <w:r>
        <w:tab/>
        <w:t>(a)</w:t>
      </w:r>
      <w:r>
        <w:tab/>
        <w:t xml:space="preserve">it is immaterial whether the first report was given under a provision of this Act, the </w:t>
      </w:r>
      <w:r>
        <w:rPr>
          <w:i/>
        </w:rPr>
        <w:t>Sentence Administration Act 1995</w:t>
      </w:r>
      <w:r>
        <w:t xml:space="preserve"> or the </w:t>
      </w:r>
      <w:r>
        <w:rPr>
          <w:i/>
        </w:rPr>
        <w:t>Offenders Community Corrections Act 1963</w:t>
      </w:r>
      <w:r>
        <w:t xml:space="preserve"> that applied (or was taken to have applied) to or in respect of the prisoner, as long as the report dealt with release considerations (however described) relating to the prisoner; and</w:t>
      </w:r>
    </w:p>
    <w:p>
      <w:pPr>
        <w:pStyle w:val="Indenta"/>
      </w:pPr>
      <w:r>
        <w:tab/>
        <w:t>(b)</w:t>
      </w:r>
      <w:r>
        <w:tab/>
        <w:t>if a first report was not given, or was not given when it was due, then the first report is to be taken to have been given at the time provided in column 3 of that Division for a prisoner of that description.</w:t>
      </w:r>
    </w:p>
    <w:p>
      <w:pPr>
        <w:pStyle w:val="Footnotesection"/>
      </w:pPr>
      <w:r>
        <w:tab/>
        <w:t>[Section 12A inserted by No. 41 of 2006 s. 11; amended by No. 29 of 2008 s. 39(6); No. 45 of 2016 s. 7; No. 2 of 2018 s. 5.]</w:t>
      </w:r>
    </w:p>
    <w:p>
      <w:pPr>
        <w:pStyle w:val="Heading5"/>
      </w:pPr>
      <w:bookmarkStart w:id="68" w:name="_Toc511135760"/>
      <w:r>
        <w:rPr>
          <w:rStyle w:val="CharSectno"/>
        </w:rPr>
        <w:t>12B</w:t>
      </w:r>
      <w:r>
        <w:t>.</w:t>
      </w:r>
      <w:r>
        <w:tab/>
        <w:t>Combined reports may be given under sections 12 and 12A</w:t>
      </w:r>
      <w:bookmarkEnd w:id="68"/>
    </w:p>
    <w:p>
      <w:pPr>
        <w:pStyle w:val="Subsection"/>
      </w:pPr>
      <w:r>
        <w:tab/>
        <w:t>(1)</w:t>
      </w:r>
      <w:r>
        <w:tab/>
        <w:t xml:space="preserve">The Board may combine the following reports to form one report (a </w:t>
      </w:r>
      <w:r>
        <w:rPr>
          <w:rStyle w:val="CharDefText"/>
        </w:rPr>
        <w:t>combined report</w:t>
      </w:r>
      <w:r>
        <w:t xml:space="preserve">) — </w:t>
      </w:r>
    </w:p>
    <w:p>
      <w:pPr>
        <w:pStyle w:val="Indenta"/>
      </w:pPr>
      <w:r>
        <w:tab/>
        <w:t>(a)</w:t>
      </w:r>
      <w:r>
        <w:tab/>
        <w:t xml:space="preserve">a report that is to be given about a prisoner under section 12 (the </w:t>
      </w:r>
      <w:r>
        <w:rPr>
          <w:rStyle w:val="CharDefText"/>
        </w:rPr>
        <w:t>first report</w:t>
      </w:r>
      <w:r>
        <w:t>) and a report that is due to be given about the same prisoner under section 12A within 3 months of the first report; or</w:t>
      </w:r>
    </w:p>
    <w:p>
      <w:pPr>
        <w:pStyle w:val="Indenta"/>
      </w:pPr>
      <w:r>
        <w:tab/>
        <w:t>(b)</w:t>
      </w:r>
      <w:r>
        <w:tab/>
        <w:t xml:space="preserve">a report that is due to be given about a prisoner under section 12A at a time provided in one item of Schedule 3 (the </w:t>
      </w:r>
      <w:r>
        <w:rPr>
          <w:rStyle w:val="CharDefText"/>
        </w:rPr>
        <w:t>first report</w:t>
      </w:r>
      <w:r>
        <w:t>) and another report, or reports, due to be given about the same prisoner under section 12A at a time, or times, provided in another item, or items, of Schedule 3 that is, or are, within 3 years of the first report.</w:t>
      </w:r>
    </w:p>
    <w:p>
      <w:pPr>
        <w:pStyle w:val="Subsection"/>
      </w:pPr>
      <w:r>
        <w:tab/>
        <w:t>(2)</w:t>
      </w:r>
      <w:r>
        <w:tab/>
        <w:t xml:space="preserve">A combined report given in the circumstances described in — </w:t>
      </w:r>
    </w:p>
    <w:p>
      <w:pPr>
        <w:pStyle w:val="Indenta"/>
      </w:pPr>
      <w:r>
        <w:tab/>
        <w:t>(a)</w:t>
      </w:r>
      <w:r>
        <w:tab/>
        <w:t>subsection (1)(a) is to be taken to have been given under section 12 and under section 12A;</w:t>
      </w:r>
    </w:p>
    <w:p>
      <w:pPr>
        <w:pStyle w:val="Indenta"/>
      </w:pPr>
      <w:r>
        <w:tab/>
        <w:t>(b)</w:t>
      </w:r>
      <w:r>
        <w:tab/>
        <w:t>subsection (1)(b), and that specifies each item of Schedule 3 in respect of which a report about the prisoner is being combined, is to be taken to satisfy the requirements of section 12A for a report about that prisoner at the time provided under each of those items.</w:t>
      </w:r>
    </w:p>
    <w:p>
      <w:pPr>
        <w:pStyle w:val="Subsection"/>
      </w:pPr>
      <w:r>
        <w:tab/>
        <w:t>(3)</w:t>
      </w:r>
      <w:r>
        <w:tab/>
        <w:t>A report under section 12A referred to in subsection (1)(a) may be a combined report given in the circumstances described in subsection (1)(b).</w:t>
      </w:r>
    </w:p>
    <w:p>
      <w:pPr>
        <w:pStyle w:val="Footnotesection"/>
      </w:pPr>
      <w:r>
        <w:tab/>
        <w:t>[Section 12B inserted by No. 45 of 2016 s. 8.]</w:t>
      </w:r>
    </w:p>
    <w:p>
      <w:pPr>
        <w:pStyle w:val="Heading3"/>
      </w:pPr>
      <w:bookmarkStart w:id="69" w:name="_Toc473634972"/>
      <w:bookmarkStart w:id="70" w:name="_Toc474159030"/>
      <w:bookmarkStart w:id="71" w:name="_Toc485716004"/>
      <w:bookmarkStart w:id="72" w:name="_Toc485719756"/>
      <w:bookmarkStart w:id="73" w:name="_Toc485802500"/>
      <w:bookmarkStart w:id="74" w:name="_Toc486435441"/>
      <w:bookmarkStart w:id="75" w:name="_Toc509830229"/>
      <w:bookmarkStart w:id="76" w:name="_Toc509830560"/>
      <w:bookmarkStart w:id="77" w:name="_Toc511135761"/>
      <w:r>
        <w:rPr>
          <w:rStyle w:val="CharDivNo"/>
        </w:rPr>
        <w:t>Division 4</w:t>
      </w:r>
      <w:r>
        <w:t> — </w:t>
      </w:r>
      <w:r>
        <w:rPr>
          <w:rStyle w:val="CharDivText"/>
        </w:rPr>
        <w:t>Programmes for certain prisoners</w:t>
      </w:r>
      <w:bookmarkEnd w:id="69"/>
      <w:bookmarkEnd w:id="70"/>
      <w:bookmarkEnd w:id="71"/>
      <w:bookmarkEnd w:id="72"/>
      <w:bookmarkEnd w:id="73"/>
      <w:bookmarkEnd w:id="74"/>
      <w:bookmarkEnd w:id="75"/>
      <w:bookmarkEnd w:id="76"/>
      <w:bookmarkEnd w:id="77"/>
    </w:p>
    <w:p>
      <w:pPr>
        <w:pStyle w:val="Footnoteheading"/>
      </w:pPr>
      <w:r>
        <w:tab/>
        <w:t>[Heading inserted by No. 41 of 2006 s. 12.]</w:t>
      </w:r>
    </w:p>
    <w:p>
      <w:pPr>
        <w:pStyle w:val="Heading5"/>
        <w:spacing w:before="240"/>
      </w:pPr>
      <w:bookmarkStart w:id="78" w:name="_Toc511135762"/>
      <w:r>
        <w:rPr>
          <w:rStyle w:val="CharSectno"/>
        </w:rPr>
        <w:t>13</w:t>
      </w:r>
      <w:r>
        <w:t>.</w:t>
      </w:r>
      <w:r>
        <w:tab/>
        <w:t>Re</w:t>
      </w:r>
      <w:r>
        <w:noBreakHyphen/>
        <w:t>socialisation programmes for Schedule 3 prisoners</w:t>
      </w:r>
      <w:bookmarkEnd w:id="78"/>
    </w:p>
    <w:p>
      <w:pPr>
        <w:pStyle w:val="Subsection"/>
        <w:spacing w:before="180"/>
      </w:pPr>
      <w:r>
        <w:tab/>
        <w:t>(1)</w:t>
      </w:r>
      <w:r>
        <w:tab/>
        <w:t>In this section —</w:t>
      </w:r>
    </w:p>
    <w:p>
      <w:pPr>
        <w:pStyle w:val="Defstart"/>
      </w:pPr>
      <w:r>
        <w:tab/>
      </w:r>
      <w:r>
        <w:rPr>
          <w:rStyle w:val="CharDefText"/>
        </w:rPr>
        <w:t>prisoner</w:t>
      </w:r>
      <w:r>
        <w:t xml:space="preserve"> means a Schedule 3 prisoner.</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by No. 41 of 2006 s. 12; amended by No. 45 of 2016 s. 9.]</w:t>
      </w:r>
    </w:p>
    <w:p>
      <w:pPr>
        <w:pStyle w:val="Heading5"/>
      </w:pPr>
      <w:bookmarkStart w:id="79" w:name="_Toc511135763"/>
      <w:r>
        <w:rPr>
          <w:rStyle w:val="CharSectno"/>
        </w:rPr>
        <w:t>14</w:t>
      </w:r>
      <w:r>
        <w:t>.</w:t>
      </w:r>
      <w:r>
        <w:tab/>
        <w:t>Re</w:t>
      </w:r>
      <w:r>
        <w:noBreakHyphen/>
        <w:t>socialisation programmes for certain other prisoners</w:t>
      </w:r>
      <w:bookmarkEnd w:id="79"/>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Schedule 3 prisoner.</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by No. 41 of 2006 s. 12; amended by No. 45 of 2016 s. 10.]</w:t>
      </w:r>
    </w:p>
    <w:p>
      <w:pPr>
        <w:pStyle w:val="Heading5"/>
      </w:pPr>
      <w:bookmarkStart w:id="80" w:name="_Toc511135764"/>
      <w:r>
        <w:rPr>
          <w:rStyle w:val="CharSectno"/>
        </w:rPr>
        <w:t>14A</w:t>
      </w:r>
      <w:r>
        <w:t>.</w:t>
      </w:r>
      <w:r>
        <w:tab/>
        <w:t>Regulations as to re</w:t>
      </w:r>
      <w:r>
        <w:noBreakHyphen/>
        <w:t>socialisation programmes</w:t>
      </w:r>
      <w:bookmarkEnd w:id="80"/>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81" w:name="_Toc473634976"/>
      <w:bookmarkStart w:id="82" w:name="_Toc474159034"/>
      <w:bookmarkStart w:id="83" w:name="_Toc485716008"/>
      <w:bookmarkStart w:id="84" w:name="_Toc485719760"/>
      <w:bookmarkStart w:id="85" w:name="_Toc485802504"/>
      <w:bookmarkStart w:id="86" w:name="_Toc486435445"/>
      <w:bookmarkStart w:id="87" w:name="_Toc509830233"/>
      <w:bookmarkStart w:id="88" w:name="_Toc509830564"/>
      <w:bookmarkStart w:id="89" w:name="_Toc511135765"/>
      <w:r>
        <w:rPr>
          <w:rStyle w:val="CharPartNo"/>
        </w:rPr>
        <w:t>Part 3</w:t>
      </w:r>
      <w:r>
        <w:t xml:space="preserve"> — </w:t>
      </w:r>
      <w:r>
        <w:rPr>
          <w:rStyle w:val="CharPartText"/>
        </w:rPr>
        <w:t>Parole</w:t>
      </w:r>
      <w:bookmarkEnd w:id="81"/>
      <w:bookmarkEnd w:id="82"/>
      <w:bookmarkEnd w:id="83"/>
      <w:bookmarkEnd w:id="84"/>
      <w:bookmarkEnd w:id="85"/>
      <w:bookmarkEnd w:id="86"/>
      <w:bookmarkEnd w:id="87"/>
      <w:bookmarkEnd w:id="88"/>
      <w:bookmarkEnd w:id="89"/>
    </w:p>
    <w:p>
      <w:pPr>
        <w:pStyle w:val="Heading3"/>
      </w:pPr>
      <w:bookmarkStart w:id="90" w:name="_Toc473634977"/>
      <w:bookmarkStart w:id="91" w:name="_Toc474159035"/>
      <w:bookmarkStart w:id="92" w:name="_Toc485716009"/>
      <w:bookmarkStart w:id="93" w:name="_Toc485719761"/>
      <w:bookmarkStart w:id="94" w:name="_Toc485802505"/>
      <w:bookmarkStart w:id="95" w:name="_Toc486435446"/>
      <w:bookmarkStart w:id="96" w:name="_Toc509830234"/>
      <w:bookmarkStart w:id="97" w:name="_Toc509830565"/>
      <w:bookmarkStart w:id="98" w:name="_Toc511135766"/>
      <w:r>
        <w:rPr>
          <w:rStyle w:val="CharDivNo"/>
        </w:rPr>
        <w:t>Division 1</w:t>
      </w:r>
      <w:r>
        <w:t xml:space="preserve"> — </w:t>
      </w:r>
      <w:r>
        <w:rPr>
          <w:rStyle w:val="CharDivText"/>
        </w:rPr>
        <w:t>Preliminary</w:t>
      </w:r>
      <w:bookmarkEnd w:id="90"/>
      <w:bookmarkEnd w:id="91"/>
      <w:bookmarkEnd w:id="92"/>
      <w:bookmarkEnd w:id="93"/>
      <w:bookmarkEnd w:id="94"/>
      <w:bookmarkEnd w:id="95"/>
      <w:bookmarkEnd w:id="96"/>
      <w:bookmarkEnd w:id="97"/>
      <w:bookmarkEnd w:id="98"/>
    </w:p>
    <w:p>
      <w:pPr>
        <w:pStyle w:val="Heading5"/>
      </w:pPr>
      <w:bookmarkStart w:id="99" w:name="_Toc511135767"/>
      <w:r>
        <w:rPr>
          <w:rStyle w:val="CharSectno"/>
        </w:rPr>
        <w:t>15</w:t>
      </w:r>
      <w:r>
        <w:t>.</w:t>
      </w:r>
      <w:r>
        <w:tab/>
        <w:t>Terms used and calculations</w:t>
      </w:r>
      <w:bookmarkEnd w:id="99"/>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by No. 41 of 2006 s. 13.]</w:t>
      </w:r>
    </w:p>
    <w:p>
      <w:pPr>
        <w:pStyle w:val="Ednotesection"/>
        <w:spacing w:before="180"/>
        <w:ind w:left="890" w:hanging="890"/>
      </w:pPr>
      <w:r>
        <w:t>[</w:t>
      </w:r>
      <w:r>
        <w:rPr>
          <w:b/>
          <w:bCs/>
        </w:rPr>
        <w:t>16.</w:t>
      </w:r>
      <w:r>
        <w:tab/>
        <w:t>Deleted by No. 41 of 2006 s. 14.]</w:t>
      </w:r>
    </w:p>
    <w:p>
      <w:pPr>
        <w:pStyle w:val="Heading3"/>
        <w:spacing w:before="220"/>
      </w:pPr>
      <w:bookmarkStart w:id="100" w:name="_Toc473634979"/>
      <w:bookmarkStart w:id="101" w:name="_Toc474159037"/>
      <w:bookmarkStart w:id="102" w:name="_Toc485716011"/>
      <w:bookmarkStart w:id="103" w:name="_Toc485719763"/>
      <w:bookmarkStart w:id="104" w:name="_Toc485802507"/>
      <w:bookmarkStart w:id="105" w:name="_Toc486435448"/>
      <w:bookmarkStart w:id="106" w:name="_Toc509830236"/>
      <w:bookmarkStart w:id="107" w:name="_Toc509830567"/>
      <w:bookmarkStart w:id="108" w:name="_Toc511135768"/>
      <w:r>
        <w:rPr>
          <w:rStyle w:val="CharDivNo"/>
        </w:rPr>
        <w:t>Division 2</w:t>
      </w:r>
      <w:r>
        <w:t xml:space="preserve"> — </w:t>
      </w:r>
      <w:r>
        <w:rPr>
          <w:rStyle w:val="CharDivText"/>
        </w:rPr>
        <w:t>Reports about certain people eligible for parole</w:t>
      </w:r>
      <w:bookmarkEnd w:id="100"/>
      <w:bookmarkEnd w:id="101"/>
      <w:bookmarkEnd w:id="102"/>
      <w:bookmarkEnd w:id="103"/>
      <w:bookmarkEnd w:id="104"/>
      <w:bookmarkEnd w:id="105"/>
      <w:bookmarkEnd w:id="106"/>
      <w:bookmarkEnd w:id="107"/>
      <w:bookmarkEnd w:id="108"/>
    </w:p>
    <w:p>
      <w:pPr>
        <w:pStyle w:val="Heading5"/>
        <w:spacing w:before="180"/>
      </w:pPr>
      <w:bookmarkStart w:id="109" w:name="_Toc511135769"/>
      <w:r>
        <w:rPr>
          <w:rStyle w:val="CharSectno"/>
        </w:rPr>
        <w:t>17</w:t>
      </w:r>
      <w:r>
        <w:t>.</w:t>
      </w:r>
      <w:r>
        <w:tab/>
        <w:t>Parole term, CEO to give Board report about prisoner on</w:t>
      </w:r>
      <w:bookmarkEnd w:id="109"/>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r>
        <w:t>[</w:t>
      </w:r>
      <w:r>
        <w:rPr>
          <w:b/>
          <w:bCs/>
        </w:rPr>
        <w:t>18.</w:t>
      </w:r>
      <w:r>
        <w:tab/>
        <w:t>Deleted by No. 41 of 2006 s. 16.]</w:t>
      </w:r>
    </w:p>
    <w:p>
      <w:pPr>
        <w:pStyle w:val="Heading3"/>
        <w:spacing w:before="200"/>
      </w:pPr>
      <w:bookmarkStart w:id="110" w:name="_Toc473634981"/>
      <w:bookmarkStart w:id="111" w:name="_Toc474159039"/>
      <w:bookmarkStart w:id="112" w:name="_Toc485716013"/>
      <w:bookmarkStart w:id="113" w:name="_Toc485719765"/>
      <w:bookmarkStart w:id="114" w:name="_Toc485802509"/>
      <w:bookmarkStart w:id="115" w:name="_Toc486435450"/>
      <w:bookmarkStart w:id="116" w:name="_Toc509830238"/>
      <w:bookmarkStart w:id="117" w:name="_Toc509830569"/>
      <w:bookmarkStart w:id="118" w:name="_Toc511135770"/>
      <w:r>
        <w:rPr>
          <w:rStyle w:val="CharDivNo"/>
        </w:rPr>
        <w:t>Division 3</w:t>
      </w:r>
      <w:r>
        <w:t xml:space="preserve"> — </w:t>
      </w:r>
      <w:r>
        <w:rPr>
          <w:rStyle w:val="CharDivText"/>
        </w:rPr>
        <w:t>Parole in case of parole term</w:t>
      </w:r>
      <w:bookmarkEnd w:id="110"/>
      <w:bookmarkEnd w:id="111"/>
      <w:bookmarkEnd w:id="112"/>
      <w:bookmarkEnd w:id="113"/>
      <w:bookmarkEnd w:id="114"/>
      <w:bookmarkEnd w:id="115"/>
      <w:bookmarkEnd w:id="116"/>
      <w:bookmarkEnd w:id="117"/>
      <w:bookmarkEnd w:id="118"/>
      <w:r>
        <w:t xml:space="preserve"> </w:t>
      </w:r>
    </w:p>
    <w:p>
      <w:pPr>
        <w:pStyle w:val="Heading5"/>
        <w:keepNext w:val="0"/>
        <w:keepLines w:val="0"/>
        <w:spacing w:before="180"/>
      </w:pPr>
      <w:bookmarkStart w:id="119" w:name="_Toc511135771"/>
      <w:r>
        <w:rPr>
          <w:rStyle w:val="CharSectno"/>
        </w:rPr>
        <w:t>19</w:t>
      </w:r>
      <w:r>
        <w:t>.</w:t>
      </w:r>
      <w:r>
        <w:tab/>
        <w:t>Term used: prisoner</w:t>
      </w:r>
      <w:bookmarkEnd w:id="119"/>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120" w:name="_Toc511135772"/>
      <w:r>
        <w:rPr>
          <w:rStyle w:val="CharSectno"/>
        </w:rPr>
        <w:t>20</w:t>
      </w:r>
      <w:r>
        <w:t>.</w:t>
      </w:r>
      <w:r>
        <w:tab/>
        <w:t>Board may parole prisoner</w:t>
      </w:r>
      <w:bookmarkEnd w:id="120"/>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(aa)</w:t>
      </w:r>
      <w:r>
        <w:tab/>
        <w:t>the requirements of section 66B(1); and</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by No. 41 of 2006 s. 17; No. 2 of 2018 s. 6.]</w:t>
      </w:r>
    </w:p>
    <w:p>
      <w:pPr>
        <w:pStyle w:val="Ednotesection"/>
      </w:pPr>
      <w:r>
        <w:t>[</w:t>
      </w:r>
      <w:r>
        <w:rPr>
          <w:b/>
          <w:bCs/>
        </w:rPr>
        <w:t>21.</w:t>
      </w:r>
      <w:r>
        <w:tab/>
        <w:t>Deleted by No. 41 of 2006 s. 18.]</w:t>
      </w:r>
    </w:p>
    <w:p>
      <w:pPr>
        <w:pStyle w:val="Heading3"/>
        <w:tabs>
          <w:tab w:val="left" w:pos="5103"/>
        </w:tabs>
      </w:pPr>
      <w:bookmarkStart w:id="121" w:name="_Toc473634984"/>
      <w:bookmarkStart w:id="122" w:name="_Toc474159042"/>
      <w:bookmarkStart w:id="123" w:name="_Toc485716016"/>
      <w:bookmarkStart w:id="124" w:name="_Toc485719768"/>
      <w:bookmarkStart w:id="125" w:name="_Toc485802512"/>
      <w:bookmarkStart w:id="126" w:name="_Toc486435453"/>
      <w:bookmarkStart w:id="127" w:name="_Toc509830241"/>
      <w:bookmarkStart w:id="128" w:name="_Toc509830572"/>
      <w:bookmarkStart w:id="129" w:name="_Toc511135773"/>
      <w:r>
        <w:rPr>
          <w:rStyle w:val="CharDivNo"/>
        </w:rPr>
        <w:t>Division 4</w:t>
      </w:r>
      <w:r>
        <w:rPr>
          <w:snapToGrid w:val="0"/>
        </w:rPr>
        <w:t xml:space="preserve"> — </w:t>
      </w:r>
      <w:r>
        <w:rPr>
          <w:rStyle w:val="CharDivText"/>
        </w:rPr>
        <w:t>Parole in case of short term</w:t>
      </w:r>
      <w:bookmarkEnd w:id="121"/>
      <w:bookmarkEnd w:id="122"/>
      <w:bookmarkEnd w:id="123"/>
      <w:bookmarkEnd w:id="124"/>
      <w:bookmarkEnd w:id="125"/>
      <w:bookmarkEnd w:id="126"/>
      <w:bookmarkEnd w:id="127"/>
      <w:bookmarkEnd w:id="128"/>
      <w:bookmarkEnd w:id="129"/>
    </w:p>
    <w:p>
      <w:pPr>
        <w:pStyle w:val="Heading5"/>
        <w:spacing w:before="180"/>
      </w:pPr>
      <w:bookmarkStart w:id="130" w:name="_Toc511135774"/>
      <w:r>
        <w:rPr>
          <w:rStyle w:val="CharSectno"/>
        </w:rPr>
        <w:t>22</w:t>
      </w:r>
      <w:r>
        <w:t>.</w:t>
      </w:r>
      <w:r>
        <w:tab/>
        <w:t>Application of Division</w:t>
      </w:r>
      <w:bookmarkEnd w:id="130"/>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6 months and is not a prescribed term or a term in respect of which a parole eligibility order has been made; or</w:t>
      </w:r>
    </w:p>
    <w:p>
      <w:pPr>
        <w:pStyle w:val="Indenta"/>
      </w:pPr>
      <w:r>
        <w:tab/>
        <w:t>(b)</w:t>
      </w:r>
      <w:r>
        <w:tab/>
        <w:t>the aggregate of terms the prisoner is serving or is yet to serve is less than 6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by No. 41 of 2006 s. 19; No. 45 of 2016 s. 23.]</w:t>
      </w:r>
    </w:p>
    <w:p>
      <w:pPr>
        <w:pStyle w:val="Heading5"/>
      </w:pPr>
      <w:bookmarkStart w:id="131" w:name="_Toc511135775"/>
      <w:r>
        <w:rPr>
          <w:rStyle w:val="CharSectno"/>
        </w:rPr>
        <w:t>23</w:t>
      </w:r>
      <w:r>
        <w:t>.</w:t>
      </w:r>
      <w:r>
        <w:tab/>
        <w:t>Board may parole prisoner</w:t>
      </w:r>
      <w:bookmarkEnd w:id="131"/>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3</w:t>
      </w:r>
      <w:r>
        <w:rPr>
          <w:i/>
        </w:rPr>
        <w:t xml:space="preserve"> </w:t>
      </w:r>
      <w:r>
        <w:t>and that was cancelled under this Act or that Act on a date in the 2 years preceding the commencement of the term that the prisoner is serving.</w:t>
      </w:r>
    </w:p>
    <w:p>
      <w:pPr>
        <w:pStyle w:val="Subsection"/>
      </w:pPr>
      <w:r>
        <w:tab/>
        <w:t>(2)</w:t>
      </w:r>
      <w:r>
        <w:tab/>
        <w:t xml:space="preserve">A prisoner is eligible to be released on parole — </w:t>
      </w:r>
    </w:p>
    <w:p>
      <w:pPr>
        <w:pStyle w:val="Indenta"/>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(aa)</w:t>
      </w:r>
      <w:r>
        <w:tab/>
        <w:t>the requirements of section 66B(1); and</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sections 10 and 66B(1),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by No. 41 of 2006 s. 20; No. 6 of 2014 s. 9; No. 2 of 2018 s. 7.]</w:t>
      </w:r>
    </w:p>
    <w:p>
      <w:pPr>
        <w:pStyle w:val="Ednotesection"/>
      </w:pPr>
      <w:bookmarkStart w:id="132" w:name="_Toc473634988"/>
      <w:bookmarkStart w:id="133" w:name="_Toc474159046"/>
      <w:r>
        <w:t>[</w:t>
      </w:r>
      <w:r>
        <w:rPr>
          <w:b/>
          <w:bCs/>
        </w:rPr>
        <w:t>24.</w:t>
      </w:r>
      <w:r>
        <w:rPr>
          <w:b/>
          <w:bCs/>
        </w:rPr>
        <w:tab/>
      </w:r>
      <w:r>
        <w:t>Deleted by No. 45 of 2016 s. 24.]</w:t>
      </w:r>
    </w:p>
    <w:p>
      <w:pPr>
        <w:pStyle w:val="Heading3"/>
      </w:pPr>
      <w:bookmarkStart w:id="134" w:name="_Toc485716019"/>
      <w:bookmarkStart w:id="135" w:name="_Toc485719771"/>
      <w:bookmarkStart w:id="136" w:name="_Toc485802515"/>
      <w:bookmarkStart w:id="137" w:name="_Toc486435456"/>
      <w:bookmarkStart w:id="138" w:name="_Toc509830244"/>
      <w:bookmarkStart w:id="139" w:name="_Toc509830575"/>
      <w:bookmarkStart w:id="140" w:name="_Toc511135776"/>
      <w:r>
        <w:rPr>
          <w:rStyle w:val="CharDivNo"/>
        </w:rPr>
        <w:t>Division 5</w:t>
      </w:r>
      <w:r>
        <w:rPr>
          <w:snapToGrid w:val="0"/>
        </w:rPr>
        <w:t xml:space="preserve"> — </w:t>
      </w:r>
      <w:r>
        <w:rPr>
          <w:rStyle w:val="CharDivText"/>
        </w:rPr>
        <w:t>Parole in case of life or indefinite imprisonment</w:t>
      </w:r>
      <w:bookmarkEnd w:id="132"/>
      <w:bookmarkEnd w:id="133"/>
      <w:bookmarkEnd w:id="134"/>
      <w:bookmarkEnd w:id="135"/>
      <w:bookmarkEnd w:id="136"/>
      <w:bookmarkEnd w:id="137"/>
      <w:bookmarkEnd w:id="138"/>
      <w:bookmarkEnd w:id="139"/>
      <w:bookmarkEnd w:id="140"/>
    </w:p>
    <w:p>
      <w:pPr>
        <w:pStyle w:val="Footnoteheading"/>
      </w:pPr>
      <w:r>
        <w:tab/>
        <w:t>[Heading amended by No. 29 of 2008 s. 39(7).]</w:t>
      </w:r>
    </w:p>
    <w:p>
      <w:pPr>
        <w:pStyle w:val="Heading5"/>
      </w:pPr>
      <w:bookmarkStart w:id="141" w:name="_Toc511135777"/>
      <w:r>
        <w:rPr>
          <w:rStyle w:val="CharSectno"/>
        </w:rPr>
        <w:t>25</w:t>
      </w:r>
      <w:r>
        <w:t>.</w:t>
      </w:r>
      <w:r>
        <w:tab/>
        <w:t>Life imprisonment, Governor may parole prisoner</w:t>
      </w:r>
      <w:bookmarkEnd w:id="141"/>
    </w:p>
    <w:p>
      <w:pPr>
        <w:pStyle w:val="Subsection"/>
      </w:pPr>
      <w:r>
        <w:tab/>
        <w:t>(1)</w:t>
      </w:r>
      <w:r>
        <w:tab/>
        <w:t xml:space="preserve">In this section — </w:t>
      </w:r>
    </w:p>
    <w:p>
      <w:pPr>
        <w:pStyle w:val="Defstart"/>
      </w:pPr>
      <w:r>
        <w:tab/>
      </w:r>
      <w:r>
        <w:rPr>
          <w:rStyle w:val="CharDefText"/>
        </w:rPr>
        <w:t>prisoner</w:t>
      </w:r>
      <w:r>
        <w:t xml:space="preserve"> </w:t>
      </w:r>
      <w:r>
        <w:rPr>
          <w:snapToGrid/>
        </w:rPr>
        <w:t>means any of the following prisoners</w:t>
      </w:r>
      <w:r>
        <w:t xml:space="preserve"> — </w:t>
      </w:r>
    </w:p>
    <w:p>
      <w:pPr>
        <w:pStyle w:val="Defpara"/>
      </w:pPr>
      <w:r>
        <w:tab/>
        <w:t>(a)</w:t>
      </w:r>
      <w:r>
        <w:tab/>
        <w:t xml:space="preserve">a prisoner serving life imprisonment for murder where — </w:t>
      </w:r>
    </w:p>
    <w:p>
      <w:pPr>
        <w:pStyle w:val="Defsubpara"/>
      </w:pPr>
      <w:r>
        <w:tab/>
        <w:t>(i)</w:t>
      </w:r>
      <w:r>
        <w:tab/>
        <w:t xml:space="preserve">a minimum period has been set under section 90(1)(a) of the </w:t>
      </w:r>
      <w:r>
        <w:rPr>
          <w:i/>
        </w:rPr>
        <w:t>Sentencing Act 1995</w:t>
      </w:r>
      <w:r>
        <w:t xml:space="preserve"> and the prisoner has served that minimum period; or</w:t>
      </w:r>
    </w:p>
    <w:p>
      <w:pPr>
        <w:pStyle w:val="Defsubpara"/>
      </w:pPr>
      <w:r>
        <w:tab/>
        <w:t>(ii)</w:t>
      </w:r>
      <w:r>
        <w:tab/>
        <w:t>the prisoner was sentenced before 4 November 1996;</w:t>
      </w:r>
    </w:p>
    <w:p>
      <w:pPr>
        <w:pStyle w:val="Defpara"/>
      </w:pPr>
      <w:r>
        <w:tab/>
        <w:t>(b)</w:t>
      </w:r>
      <w:r>
        <w:tab/>
        <w:t xml:space="preserve">a prisoner serving life imprisonment for an offence other than murder where — </w:t>
      </w:r>
    </w:p>
    <w:p>
      <w:pPr>
        <w:pStyle w:val="Defsubpara"/>
      </w:pPr>
      <w:r>
        <w:tab/>
        <w:t>(i)</w:t>
      </w:r>
      <w:r>
        <w:tab/>
        <w:t xml:space="preserve">the prisoner has served the period required by section 96(1) of the </w:t>
      </w:r>
      <w:r>
        <w:rPr>
          <w:i/>
        </w:rPr>
        <w:t>Sentencing Act 1995</w:t>
      </w:r>
      <w:r>
        <w:t>; or</w:t>
      </w:r>
    </w:p>
    <w:p>
      <w:pPr>
        <w:pStyle w:val="Defsubpara"/>
      </w:pPr>
      <w:r>
        <w:tab/>
        <w:t>(ii)</w:t>
      </w:r>
      <w:r>
        <w:tab/>
        <w:t>the prisoner was sentenced before 4 November 1996.</w:t>
      </w:r>
    </w:p>
    <w:p>
      <w:pPr>
        <w:pStyle w:val="Subsection"/>
      </w:pPr>
      <w:r>
        <w:tab/>
        <w:t>(1A)</w:t>
      </w:r>
      <w:r>
        <w:tab/>
        <w:t>The Governor may make a parole order in respect of a prisoner but only if a report about the prisoner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 by No. 41 of 2006 s. 22; No. 29 of 2008 s. 39(8); No. 45 of 2016 s. 11.]</w:t>
      </w:r>
    </w:p>
    <w:p>
      <w:pPr>
        <w:pStyle w:val="Ednotesection"/>
      </w:pPr>
      <w:r>
        <w:t>[</w:t>
      </w:r>
      <w:r>
        <w:rPr>
          <w:b/>
          <w:bCs/>
        </w:rPr>
        <w:t>26.</w:t>
      </w:r>
      <w:r>
        <w:rPr>
          <w:b/>
          <w:bCs/>
        </w:rPr>
        <w:tab/>
      </w:r>
      <w:r>
        <w:t>Deleted by No. 29 of 2008 s. 39(9).]</w:t>
      </w:r>
    </w:p>
    <w:p>
      <w:pPr>
        <w:pStyle w:val="Heading5"/>
      </w:pPr>
      <w:bookmarkStart w:id="142" w:name="_Toc511135778"/>
      <w:r>
        <w:rPr>
          <w:rStyle w:val="CharSectno"/>
        </w:rPr>
        <w:t>27</w:t>
      </w:r>
      <w:r>
        <w:t>.</w:t>
      </w:r>
      <w:r>
        <w:tab/>
        <w:t>Indefinite imprisonment, Governor may parole prisoner</w:t>
      </w:r>
      <w:bookmarkEnd w:id="142"/>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by No. 41 of 2006 s. 22.]</w:t>
      </w:r>
    </w:p>
    <w:p>
      <w:pPr>
        <w:pStyle w:val="Heading3"/>
      </w:pPr>
      <w:bookmarkStart w:id="143" w:name="_Toc473634991"/>
      <w:bookmarkStart w:id="144" w:name="_Toc474159049"/>
      <w:bookmarkStart w:id="145" w:name="_Toc485716022"/>
      <w:bookmarkStart w:id="146" w:name="_Toc485719774"/>
      <w:bookmarkStart w:id="147" w:name="_Toc485802518"/>
      <w:bookmarkStart w:id="148" w:name="_Toc486435459"/>
      <w:bookmarkStart w:id="149" w:name="_Toc509830247"/>
      <w:bookmarkStart w:id="150" w:name="_Toc509830578"/>
      <w:bookmarkStart w:id="151" w:name="_Toc511135779"/>
      <w:r>
        <w:rPr>
          <w:rStyle w:val="CharDivNo"/>
        </w:rPr>
        <w:t>Division 5A</w:t>
      </w:r>
      <w:r>
        <w:t> — </w:t>
      </w:r>
      <w:r>
        <w:rPr>
          <w:rStyle w:val="CharDivText"/>
        </w:rPr>
        <w:t>Releasing prisoners during the Governor’s pleasure</w:t>
      </w:r>
      <w:bookmarkEnd w:id="143"/>
      <w:bookmarkEnd w:id="144"/>
      <w:bookmarkEnd w:id="145"/>
      <w:bookmarkEnd w:id="146"/>
      <w:bookmarkEnd w:id="147"/>
      <w:bookmarkEnd w:id="148"/>
      <w:bookmarkEnd w:id="149"/>
      <w:bookmarkEnd w:id="150"/>
      <w:bookmarkEnd w:id="151"/>
    </w:p>
    <w:p>
      <w:pPr>
        <w:pStyle w:val="Footnoteheading"/>
      </w:pPr>
      <w:r>
        <w:tab/>
        <w:t>[Heading inserted by No. 41 of 2006 s. 23.]</w:t>
      </w:r>
    </w:p>
    <w:p>
      <w:pPr>
        <w:pStyle w:val="Heading5"/>
      </w:pPr>
      <w:bookmarkStart w:id="152" w:name="_Toc511135780"/>
      <w:r>
        <w:rPr>
          <w:rStyle w:val="CharSectno"/>
        </w:rPr>
        <w:t>27A</w:t>
      </w:r>
      <w:r>
        <w:t>.</w:t>
      </w:r>
      <w:r>
        <w:tab/>
        <w:t>Operation of this Division</w:t>
      </w:r>
      <w:bookmarkEnd w:id="152"/>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w:t>
      </w:r>
      <w:r>
        <w:t xml:space="preserve"> a Governor’s pleasure detainee.</w:t>
      </w:r>
    </w:p>
    <w:p>
      <w:pPr>
        <w:pStyle w:val="Footnotesection"/>
      </w:pPr>
      <w:r>
        <w:tab/>
        <w:t>[Section 27A inserted by No. 41 of 2006 s. 23; amended by No. 45 of 2016 s. 12.]</w:t>
      </w:r>
    </w:p>
    <w:p>
      <w:pPr>
        <w:pStyle w:val="Heading5"/>
      </w:pPr>
      <w:bookmarkStart w:id="153" w:name="_Toc511135781"/>
      <w:r>
        <w:rPr>
          <w:rStyle w:val="CharSectno"/>
        </w:rPr>
        <w:t>27B</w:t>
      </w:r>
      <w:r>
        <w:t>.</w:t>
      </w:r>
      <w:r>
        <w:tab/>
        <w:t>Release may be by parole order</w:t>
      </w:r>
      <w:bookmarkEnd w:id="153"/>
    </w:p>
    <w:p>
      <w:pPr>
        <w:pStyle w:val="Subsection"/>
        <w:rPr>
          <w:snapToGrid w:val="0"/>
        </w:rPr>
      </w:pPr>
      <w:r>
        <w:rPr>
          <w:snapToGrid w:val="0"/>
        </w:rPr>
        <w:tab/>
        <w:t>(1)</w:t>
      </w:r>
      <w:r>
        <w:rPr>
          <w:snapToGrid w:val="0"/>
        </w:rPr>
        <w:tab/>
        <w:t xml:space="preserve">The </w:t>
      </w:r>
      <w:r>
        <w:t>release</w:t>
      </w:r>
      <w:r>
        <w:rPr>
          <w:snapToGrid w:val="0"/>
        </w:rPr>
        <w:t xml:space="preserve"> by the Governor of a </w:t>
      </w:r>
      <w:r>
        <w:t>person who is a Governor’s pleasure detainee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 or 12A.</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 amended by No. 29 of 2008 s. 39(10) ; No. 45 of 2016 s. 13.]</w:t>
      </w:r>
    </w:p>
    <w:p>
      <w:pPr>
        <w:pStyle w:val="Heading3"/>
        <w:spacing w:before="280"/>
      </w:pPr>
      <w:bookmarkStart w:id="154" w:name="_Toc473634994"/>
      <w:bookmarkStart w:id="155" w:name="_Toc474159052"/>
      <w:bookmarkStart w:id="156" w:name="_Toc485716025"/>
      <w:bookmarkStart w:id="157" w:name="_Toc485719777"/>
      <w:bookmarkStart w:id="158" w:name="_Toc485802521"/>
      <w:bookmarkStart w:id="159" w:name="_Toc486435462"/>
      <w:bookmarkStart w:id="160" w:name="_Toc509830250"/>
      <w:bookmarkStart w:id="161" w:name="_Toc509830581"/>
      <w:bookmarkStart w:id="162" w:name="_Toc511135782"/>
      <w:r>
        <w:rPr>
          <w:rStyle w:val="CharDivNo"/>
        </w:rPr>
        <w:t>Division 6</w:t>
      </w:r>
      <w:r>
        <w:t xml:space="preserve"> — </w:t>
      </w:r>
      <w:r>
        <w:rPr>
          <w:rStyle w:val="CharDivText"/>
        </w:rPr>
        <w:t>Parole orders</w:t>
      </w:r>
      <w:bookmarkEnd w:id="154"/>
      <w:bookmarkEnd w:id="155"/>
      <w:bookmarkEnd w:id="156"/>
      <w:bookmarkEnd w:id="157"/>
      <w:bookmarkEnd w:id="158"/>
      <w:bookmarkEnd w:id="159"/>
      <w:bookmarkEnd w:id="160"/>
      <w:bookmarkEnd w:id="161"/>
      <w:bookmarkEnd w:id="162"/>
    </w:p>
    <w:p>
      <w:pPr>
        <w:pStyle w:val="Heading5"/>
      </w:pPr>
      <w:bookmarkStart w:id="163" w:name="_Toc511135783"/>
      <w:r>
        <w:rPr>
          <w:rStyle w:val="CharSectno"/>
        </w:rPr>
        <w:t>28</w:t>
      </w:r>
      <w:r>
        <w:t>.</w:t>
      </w:r>
      <w:r>
        <w:tab/>
        <w:t>Parole order, nature of</w:t>
      </w:r>
      <w:bookmarkEnd w:id="163"/>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by No. 41 of 2006 s. 24.]</w:t>
      </w:r>
    </w:p>
    <w:p>
      <w:pPr>
        <w:pStyle w:val="Heading5"/>
      </w:pPr>
      <w:bookmarkStart w:id="164" w:name="_Toc511135784"/>
      <w:r>
        <w:rPr>
          <w:rStyle w:val="CharSectno"/>
        </w:rPr>
        <w:t>29</w:t>
      </w:r>
      <w:r>
        <w:t>.</w:t>
      </w:r>
      <w:r>
        <w:tab/>
        <w:t>Parole order, standard obligations</w:t>
      </w:r>
      <w:bookmarkEnd w:id="164"/>
    </w:p>
    <w:p>
      <w:pPr>
        <w:pStyle w:val="Subsection"/>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165" w:name="_Toc511135785"/>
      <w:r>
        <w:rPr>
          <w:rStyle w:val="CharSectno"/>
        </w:rPr>
        <w:t>30</w:t>
      </w:r>
      <w:r>
        <w:t>.</w:t>
      </w:r>
      <w:r>
        <w:tab/>
        <w:t>Parole order, additional requirements</w:t>
      </w:r>
      <w:bookmarkEnd w:id="165"/>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 xml:space="preserve">requirements to protect any victim of </w:t>
      </w:r>
      <w:r>
        <w:t>a prisoner</w:t>
      </w:r>
      <w:r>
        <w:rPr>
          <w:snapToGrid w:val="0"/>
        </w:rPr>
        <w:t xml:space="preserve">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r>
        <w:tab/>
        <w:t>[Section 30 amended by No. 41 of 2006 s. 25; No. 49 of 2016 s. 111.]</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166" w:name="_Toc511135786"/>
      <w:r>
        <w:rPr>
          <w:rStyle w:val="CharSectno"/>
        </w:rPr>
        <w:t>31</w:t>
      </w:r>
      <w:r>
        <w:t>.</w:t>
      </w:r>
      <w:r>
        <w:tab/>
        <w:t>CEO to ensure parolee is supervised during supervised period</w:t>
      </w:r>
      <w:bookmarkEnd w:id="166"/>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spacing w:before="150"/>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167" w:name="_Toc473634999"/>
      <w:bookmarkStart w:id="168" w:name="_Toc474159057"/>
      <w:bookmarkStart w:id="169" w:name="_Toc485716030"/>
      <w:bookmarkStart w:id="170" w:name="_Toc485719782"/>
      <w:bookmarkStart w:id="171" w:name="_Toc485802526"/>
      <w:bookmarkStart w:id="172" w:name="_Toc486435467"/>
      <w:bookmarkStart w:id="173" w:name="_Toc509830255"/>
      <w:bookmarkStart w:id="174" w:name="_Toc509830586"/>
      <w:bookmarkStart w:id="175" w:name="_Toc511135787"/>
      <w:r>
        <w:rPr>
          <w:rStyle w:val="CharDivNo"/>
        </w:rPr>
        <w:t>Division 7</w:t>
      </w:r>
      <w:r>
        <w:t xml:space="preserve"> — </w:t>
      </w:r>
      <w:r>
        <w:rPr>
          <w:rStyle w:val="CharDivText"/>
        </w:rPr>
        <w:t>Parole orders, general provisions</w:t>
      </w:r>
      <w:bookmarkEnd w:id="167"/>
      <w:bookmarkEnd w:id="168"/>
      <w:bookmarkEnd w:id="169"/>
      <w:bookmarkEnd w:id="170"/>
      <w:bookmarkEnd w:id="171"/>
      <w:bookmarkEnd w:id="172"/>
      <w:bookmarkEnd w:id="173"/>
      <w:bookmarkEnd w:id="174"/>
      <w:bookmarkEnd w:id="175"/>
    </w:p>
    <w:p>
      <w:pPr>
        <w:pStyle w:val="Heading5"/>
      </w:pPr>
      <w:bookmarkStart w:id="176" w:name="_Toc511135788"/>
      <w:r>
        <w:rPr>
          <w:rStyle w:val="CharSectno"/>
        </w:rPr>
        <w:t>32</w:t>
      </w:r>
      <w:r>
        <w:t>.</w:t>
      </w:r>
      <w:r>
        <w:tab/>
        <w:t>Parole order may relate to more than one term</w:t>
      </w:r>
      <w:bookmarkEnd w:id="176"/>
    </w:p>
    <w:p>
      <w:pPr>
        <w:pStyle w:val="Subsection"/>
      </w:pPr>
      <w:r>
        <w:tab/>
      </w:r>
      <w:r>
        <w:tab/>
        <w:t>A parole order may relate to more than one term.</w:t>
      </w:r>
    </w:p>
    <w:p>
      <w:pPr>
        <w:pStyle w:val="Heading5"/>
      </w:pPr>
      <w:bookmarkStart w:id="177" w:name="_Toc511135789"/>
      <w:r>
        <w:rPr>
          <w:rStyle w:val="CharSectno"/>
        </w:rPr>
        <w:t>33</w:t>
      </w:r>
      <w:r>
        <w:t>.</w:t>
      </w:r>
      <w:r>
        <w:tab/>
        <w:t>Prisoner may refuse to be released on parole</w:t>
      </w:r>
      <w:bookmarkEnd w:id="177"/>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by No. 41 of 2006 s. 27.]</w:t>
      </w:r>
    </w:p>
    <w:p>
      <w:pPr>
        <w:pStyle w:val="Heading5"/>
      </w:pPr>
      <w:bookmarkStart w:id="178" w:name="_Toc511135790"/>
      <w:r>
        <w:rPr>
          <w:rStyle w:val="CharSectno"/>
        </w:rPr>
        <w:t>34</w:t>
      </w:r>
      <w:r>
        <w:t>.</w:t>
      </w:r>
      <w:r>
        <w:tab/>
        <w:t>Prisoner’s acknowledgment or undertaking</w:t>
      </w:r>
      <w:bookmarkEnd w:id="178"/>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179" w:name="_Toc511135791"/>
      <w:r>
        <w:rPr>
          <w:rStyle w:val="CharSectno"/>
        </w:rPr>
        <w:t>35</w:t>
      </w:r>
      <w:r>
        <w:t>.</w:t>
      </w:r>
      <w:r>
        <w:tab/>
        <w:t>Making parole order after refusal by prisoner</w:t>
      </w:r>
      <w:bookmarkEnd w:id="179"/>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by No. 41 of 2006 s. 28.]</w:t>
      </w:r>
    </w:p>
    <w:p>
      <w:pPr>
        <w:pStyle w:val="Heading3"/>
      </w:pPr>
      <w:bookmarkStart w:id="180" w:name="_Toc473635004"/>
      <w:bookmarkStart w:id="181" w:name="_Toc474159062"/>
      <w:bookmarkStart w:id="182" w:name="_Toc485716035"/>
      <w:bookmarkStart w:id="183" w:name="_Toc485719787"/>
      <w:bookmarkStart w:id="184" w:name="_Toc485802531"/>
      <w:bookmarkStart w:id="185" w:name="_Toc486435472"/>
      <w:bookmarkStart w:id="186" w:name="_Toc509830260"/>
      <w:bookmarkStart w:id="187" w:name="_Toc509830591"/>
      <w:bookmarkStart w:id="188" w:name="_Toc511135792"/>
      <w:r>
        <w:rPr>
          <w:rStyle w:val="CharDivNo"/>
        </w:rPr>
        <w:t>Division 8</w:t>
      </w:r>
      <w:r>
        <w:t xml:space="preserve"> — </w:t>
      </w:r>
      <w:r>
        <w:rPr>
          <w:rStyle w:val="CharDivText"/>
        </w:rPr>
        <w:t>Amendment of parole orders</w:t>
      </w:r>
      <w:bookmarkEnd w:id="180"/>
      <w:bookmarkEnd w:id="181"/>
      <w:bookmarkEnd w:id="182"/>
      <w:bookmarkEnd w:id="183"/>
      <w:bookmarkEnd w:id="184"/>
      <w:bookmarkEnd w:id="185"/>
      <w:bookmarkEnd w:id="186"/>
      <w:bookmarkEnd w:id="187"/>
      <w:bookmarkEnd w:id="188"/>
      <w:r>
        <w:rPr>
          <w:rStyle w:val="CharDivText"/>
        </w:rPr>
        <w:t xml:space="preserve"> </w:t>
      </w:r>
    </w:p>
    <w:p>
      <w:pPr>
        <w:pStyle w:val="Heading5"/>
      </w:pPr>
      <w:bookmarkStart w:id="189" w:name="_Toc511135793"/>
      <w:r>
        <w:rPr>
          <w:rStyle w:val="CharSectno"/>
        </w:rPr>
        <w:t>36</w:t>
      </w:r>
      <w:r>
        <w:t>.</w:t>
      </w:r>
      <w:r>
        <w:tab/>
        <w:t>Amending before release</w:t>
      </w:r>
      <w:bookmarkEnd w:id="189"/>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by No. 41 of 2006 s. 29.]</w:t>
      </w:r>
    </w:p>
    <w:p>
      <w:pPr>
        <w:pStyle w:val="Heading5"/>
        <w:keepLines w:val="0"/>
        <w:spacing w:before="180"/>
      </w:pPr>
      <w:bookmarkStart w:id="190" w:name="_Toc511135794"/>
      <w:r>
        <w:rPr>
          <w:rStyle w:val="CharSectno"/>
        </w:rPr>
        <w:t>37</w:t>
      </w:r>
      <w:r>
        <w:rPr>
          <w:snapToGrid w:val="0"/>
        </w:rPr>
        <w:t>.</w:t>
      </w:r>
      <w:r>
        <w:rPr>
          <w:snapToGrid w:val="0"/>
        </w:rPr>
        <w:tab/>
        <w:t>Amending during parole period</w:t>
      </w:r>
      <w:bookmarkEnd w:id="190"/>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rPr>
          <w:snapToGrid w:val="0"/>
        </w:rPr>
      </w:pPr>
      <w:r>
        <w:tab/>
        <w:t>(3)</w:t>
      </w:r>
      <w:r>
        <w:tab/>
      </w:r>
      <w:r>
        <w:rPr>
          <w:snapToGrid w:val="0"/>
        </w:rPr>
        <w:t>If a parole order is amended, the amended order applies accordingly.</w:t>
      </w:r>
    </w:p>
    <w:p>
      <w:pPr>
        <w:pStyle w:val="Footnotesection"/>
      </w:pPr>
      <w:r>
        <w:tab/>
        <w:t>[Section 37 amended by No. 41 of 2006 s. 30.]</w:t>
      </w:r>
    </w:p>
    <w:p>
      <w:pPr>
        <w:pStyle w:val="Heading3"/>
      </w:pPr>
      <w:bookmarkStart w:id="191" w:name="_Toc473635007"/>
      <w:bookmarkStart w:id="192" w:name="_Toc474159065"/>
      <w:bookmarkStart w:id="193" w:name="_Toc485716038"/>
      <w:bookmarkStart w:id="194" w:name="_Toc485719790"/>
      <w:bookmarkStart w:id="195" w:name="_Toc485802534"/>
      <w:bookmarkStart w:id="196" w:name="_Toc486435475"/>
      <w:bookmarkStart w:id="197" w:name="_Toc509830263"/>
      <w:bookmarkStart w:id="198" w:name="_Toc509830594"/>
      <w:bookmarkStart w:id="199" w:name="_Toc511135795"/>
      <w:r>
        <w:rPr>
          <w:rStyle w:val="CharDivNo"/>
        </w:rPr>
        <w:t>Division 9</w:t>
      </w:r>
      <w:r>
        <w:t xml:space="preserve"> — </w:t>
      </w:r>
      <w:r>
        <w:rPr>
          <w:rStyle w:val="CharDivText"/>
        </w:rPr>
        <w:t>Suspension of parole orders</w:t>
      </w:r>
      <w:bookmarkEnd w:id="191"/>
      <w:bookmarkEnd w:id="192"/>
      <w:bookmarkEnd w:id="193"/>
      <w:bookmarkEnd w:id="194"/>
      <w:bookmarkEnd w:id="195"/>
      <w:bookmarkEnd w:id="196"/>
      <w:bookmarkEnd w:id="197"/>
      <w:bookmarkEnd w:id="198"/>
      <w:bookmarkEnd w:id="199"/>
      <w:r>
        <w:rPr>
          <w:rStyle w:val="CharDivText"/>
        </w:rPr>
        <w:t xml:space="preserve"> </w:t>
      </w:r>
    </w:p>
    <w:p>
      <w:pPr>
        <w:pStyle w:val="Heading5"/>
      </w:pPr>
      <w:bookmarkStart w:id="200" w:name="_Toc511135796"/>
      <w:r>
        <w:rPr>
          <w:rStyle w:val="CharSectno"/>
        </w:rPr>
        <w:t>38</w:t>
      </w:r>
      <w:r>
        <w:rPr>
          <w:snapToGrid w:val="0"/>
        </w:rPr>
        <w:t>.</w:t>
      </w:r>
      <w:r>
        <w:rPr>
          <w:snapToGrid w:val="0"/>
        </w:rPr>
        <w:tab/>
        <w:t>Suspension by CEO</w:t>
      </w:r>
      <w:bookmarkEnd w:id="200"/>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by No. 41 of 2006 s. 31.]</w:t>
      </w:r>
    </w:p>
    <w:p>
      <w:pPr>
        <w:pStyle w:val="Heading5"/>
      </w:pPr>
      <w:bookmarkStart w:id="201" w:name="_Toc511135797"/>
      <w:r>
        <w:rPr>
          <w:rStyle w:val="CharSectno"/>
        </w:rPr>
        <w:t>39</w:t>
      </w:r>
      <w:r>
        <w:t>.</w:t>
      </w:r>
      <w:r>
        <w:tab/>
        <w:t>Suspension by Board</w:t>
      </w:r>
      <w:bookmarkEnd w:id="201"/>
    </w:p>
    <w:p>
      <w:pPr>
        <w:pStyle w:val="Subsection"/>
      </w:pPr>
      <w:r>
        <w:tab/>
        <w:t>(1)</w:t>
      </w:r>
      <w:r>
        <w:tab/>
        <w:t>The Board may, at any time during the parole period of a parole order, suspend the parole order, irrespective of whether it was made by the Board or by the Governor.</w:t>
      </w:r>
    </w:p>
    <w:p>
      <w:pPr>
        <w:pStyle w:val="Subsection"/>
      </w:pPr>
      <w:r>
        <w:tab/>
        <w:t>(2)</w:t>
      </w:r>
      <w:r>
        <w:tab/>
        <w:t>Subsection (1) does not apply to a parole order (unsupervised).</w:t>
      </w:r>
    </w:p>
    <w:p>
      <w:pPr>
        <w:pStyle w:val="Footnotesection"/>
      </w:pPr>
      <w:r>
        <w:tab/>
        <w:t>[Section 39 amended by No. 41 of 2006 s. 32.]</w:t>
      </w:r>
    </w:p>
    <w:p>
      <w:pPr>
        <w:pStyle w:val="Heading5"/>
      </w:pPr>
      <w:bookmarkStart w:id="202" w:name="_Toc511135798"/>
      <w:r>
        <w:rPr>
          <w:rStyle w:val="CharSectno"/>
        </w:rPr>
        <w:t>40</w:t>
      </w:r>
      <w:r>
        <w:t>.</w:t>
      </w:r>
      <w:r>
        <w:tab/>
        <w:t>Period of suspension</w:t>
      </w:r>
      <w:bookmarkEnd w:id="202"/>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r>
        <w:tab/>
        <w:t>[(2)</w:t>
      </w:r>
      <w:r>
        <w:tab/>
        <w:t>deleted]</w:t>
      </w:r>
    </w:p>
    <w:p>
      <w:pPr>
        <w:pStyle w:val="Footnotesection"/>
      </w:pPr>
      <w:r>
        <w:tab/>
        <w:t>[Section 40 amended by No. 41 of 2006 s. 33.]</w:t>
      </w:r>
    </w:p>
    <w:p>
      <w:pPr>
        <w:pStyle w:val="Heading5"/>
      </w:pPr>
      <w:bookmarkStart w:id="203" w:name="_Toc511135799"/>
      <w:r>
        <w:rPr>
          <w:rStyle w:val="CharSectno"/>
        </w:rPr>
        <w:t>41</w:t>
      </w:r>
      <w:r>
        <w:t>.</w:t>
      </w:r>
      <w:r>
        <w:tab/>
        <w:t>Suspension, effect on other parole orders</w:t>
      </w:r>
      <w:bookmarkEnd w:id="203"/>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by No. 41 of 2006 s. 34.]</w:t>
      </w:r>
    </w:p>
    <w:p>
      <w:pPr>
        <w:pStyle w:val="Heading3"/>
      </w:pPr>
      <w:bookmarkStart w:id="204" w:name="_Toc473635012"/>
      <w:bookmarkStart w:id="205" w:name="_Toc474159070"/>
      <w:bookmarkStart w:id="206" w:name="_Toc485716043"/>
      <w:bookmarkStart w:id="207" w:name="_Toc485719795"/>
      <w:bookmarkStart w:id="208" w:name="_Toc485802539"/>
      <w:bookmarkStart w:id="209" w:name="_Toc486435480"/>
      <w:bookmarkStart w:id="210" w:name="_Toc509830268"/>
      <w:bookmarkStart w:id="211" w:name="_Toc509830599"/>
      <w:bookmarkStart w:id="212" w:name="_Toc511135800"/>
      <w:r>
        <w:rPr>
          <w:rStyle w:val="CharDivNo"/>
        </w:rPr>
        <w:t>Division 10</w:t>
      </w:r>
      <w:r>
        <w:t xml:space="preserve"> — </w:t>
      </w:r>
      <w:r>
        <w:rPr>
          <w:rStyle w:val="CharDivText"/>
        </w:rPr>
        <w:t>Cancellation of parole orders</w:t>
      </w:r>
      <w:bookmarkEnd w:id="204"/>
      <w:bookmarkEnd w:id="205"/>
      <w:bookmarkEnd w:id="206"/>
      <w:bookmarkEnd w:id="207"/>
      <w:bookmarkEnd w:id="208"/>
      <w:bookmarkEnd w:id="209"/>
      <w:bookmarkEnd w:id="210"/>
      <w:bookmarkEnd w:id="211"/>
      <w:bookmarkEnd w:id="212"/>
    </w:p>
    <w:p>
      <w:pPr>
        <w:pStyle w:val="Heading5"/>
      </w:pPr>
      <w:bookmarkStart w:id="213" w:name="_Toc511135801"/>
      <w:r>
        <w:rPr>
          <w:rStyle w:val="CharSectno"/>
        </w:rPr>
        <w:t>43</w:t>
      </w:r>
      <w:r>
        <w:t>.</w:t>
      </w:r>
      <w:r>
        <w:tab/>
        <w:t>Cancellation before release</w:t>
      </w:r>
      <w:bookmarkEnd w:id="213"/>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r>
        <w:tab/>
        <w:t>[(2)</w:t>
      </w:r>
      <w:r>
        <w:tab/>
        <w:t>deleted]</w:t>
      </w:r>
    </w:p>
    <w:p>
      <w:pPr>
        <w:pStyle w:val="Footnotesection"/>
      </w:pPr>
      <w:r>
        <w:tab/>
        <w:t>[Section 43 amended by No. 41 of 2006 s. 35.]</w:t>
      </w:r>
    </w:p>
    <w:p>
      <w:pPr>
        <w:pStyle w:val="Heading5"/>
      </w:pPr>
      <w:bookmarkStart w:id="214" w:name="_Toc511135802"/>
      <w:r>
        <w:rPr>
          <w:rStyle w:val="CharSectno"/>
        </w:rPr>
        <w:t>44</w:t>
      </w:r>
      <w:r>
        <w:t>.</w:t>
      </w:r>
      <w:r>
        <w:tab/>
        <w:t>Cancellation after release</w:t>
      </w:r>
      <w:bookmarkEnd w:id="214"/>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r>
        <w:tab/>
        <w:t>[Section 44 amended by No. 41 of 2006 s. 36.]</w:t>
      </w:r>
    </w:p>
    <w:p>
      <w:pPr>
        <w:pStyle w:val="Ednotesection"/>
      </w:pPr>
      <w:r>
        <w:t>[</w:t>
      </w:r>
      <w:r>
        <w:rPr>
          <w:b/>
          <w:bCs/>
        </w:rPr>
        <w:t>45.</w:t>
      </w:r>
      <w:r>
        <w:tab/>
        <w:t>Deleted by No. 41 of 2006 s. 37.]</w:t>
      </w:r>
    </w:p>
    <w:p>
      <w:pPr>
        <w:pStyle w:val="Heading5"/>
      </w:pPr>
      <w:bookmarkStart w:id="215" w:name="_Toc511135803"/>
      <w:r>
        <w:rPr>
          <w:rStyle w:val="CharSectno"/>
        </w:rPr>
        <w:t>46</w:t>
      </w:r>
      <w:r>
        <w:t>.</w:t>
      </w:r>
      <w:r>
        <w:tab/>
        <w:t>Cancellation, effect on other parole orders</w:t>
      </w:r>
      <w:bookmarkEnd w:id="215"/>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216" w:name="_Toc473635016"/>
      <w:bookmarkStart w:id="217" w:name="_Toc474159074"/>
      <w:bookmarkStart w:id="218" w:name="_Toc485716047"/>
      <w:bookmarkStart w:id="219" w:name="_Toc485719799"/>
      <w:bookmarkStart w:id="220" w:name="_Toc485802543"/>
      <w:bookmarkStart w:id="221" w:name="_Toc486435484"/>
      <w:bookmarkStart w:id="222" w:name="_Toc509830272"/>
      <w:bookmarkStart w:id="223" w:name="_Toc509830603"/>
      <w:bookmarkStart w:id="224" w:name="_Toc511135804"/>
      <w:r>
        <w:rPr>
          <w:rStyle w:val="CharDivNo"/>
        </w:rPr>
        <w:t>Division 11</w:t>
      </w:r>
      <w:r>
        <w:t xml:space="preserve"> — </w:t>
      </w:r>
      <w:r>
        <w:rPr>
          <w:rStyle w:val="CharDivText"/>
        </w:rPr>
        <w:t>Miscellaneous</w:t>
      </w:r>
      <w:bookmarkEnd w:id="216"/>
      <w:bookmarkEnd w:id="217"/>
      <w:bookmarkEnd w:id="218"/>
      <w:bookmarkEnd w:id="219"/>
      <w:bookmarkEnd w:id="220"/>
      <w:bookmarkEnd w:id="221"/>
      <w:bookmarkEnd w:id="222"/>
      <w:bookmarkEnd w:id="223"/>
      <w:bookmarkEnd w:id="224"/>
    </w:p>
    <w:p>
      <w:pPr>
        <w:pStyle w:val="Ednotesection"/>
      </w:pPr>
      <w:r>
        <w:t>[</w:t>
      </w:r>
      <w:r>
        <w:rPr>
          <w:b/>
          <w:bCs/>
        </w:rPr>
        <w:t>47.</w:t>
      </w:r>
      <w:r>
        <w:tab/>
        <w:t>Deleted by No. 41 of 2006 s. 38.]</w:t>
      </w:r>
    </w:p>
    <w:p>
      <w:pPr>
        <w:pStyle w:val="Heading5"/>
        <w:rPr>
          <w:b w:val="0"/>
        </w:rPr>
      </w:pPr>
      <w:bookmarkStart w:id="225" w:name="_Toc511135805"/>
      <w:r>
        <w:rPr>
          <w:rStyle w:val="CharSectno"/>
        </w:rPr>
        <w:t>48</w:t>
      </w:r>
      <w:r>
        <w:t>.</w:t>
      </w:r>
      <w:r>
        <w:tab/>
        <w:t>Parole ordered by Governor, Minister to be advised of amendment, suspension or cancellation</w:t>
      </w:r>
      <w:bookmarkEnd w:id="225"/>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226" w:name="_Toc511135806"/>
      <w:r>
        <w:rPr>
          <w:rStyle w:val="CharSectno"/>
        </w:rPr>
        <w:t>49</w:t>
      </w:r>
      <w:r>
        <w:t>.</w:t>
      </w:r>
      <w:r>
        <w:tab/>
        <w:t>Resolution of doubtful cases</w:t>
      </w:r>
      <w:bookmarkEnd w:id="226"/>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227" w:name="_Toc473635019"/>
      <w:bookmarkStart w:id="228" w:name="_Toc474159077"/>
      <w:bookmarkStart w:id="229" w:name="_Toc485716050"/>
      <w:bookmarkStart w:id="230" w:name="_Toc485719802"/>
      <w:bookmarkStart w:id="231" w:name="_Toc485802546"/>
      <w:bookmarkStart w:id="232" w:name="_Toc486435487"/>
      <w:bookmarkStart w:id="233" w:name="_Toc509830275"/>
      <w:bookmarkStart w:id="234" w:name="_Toc509830606"/>
      <w:bookmarkStart w:id="235" w:name="_Toc511135807"/>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227"/>
      <w:bookmarkEnd w:id="228"/>
      <w:bookmarkEnd w:id="229"/>
      <w:bookmarkEnd w:id="230"/>
      <w:bookmarkEnd w:id="231"/>
      <w:bookmarkEnd w:id="232"/>
      <w:bookmarkEnd w:id="233"/>
      <w:bookmarkEnd w:id="234"/>
      <w:bookmarkEnd w:id="235"/>
    </w:p>
    <w:p>
      <w:pPr>
        <w:pStyle w:val="Heading5"/>
        <w:spacing w:before="160"/>
      </w:pPr>
      <w:bookmarkStart w:id="236" w:name="_Toc511135808"/>
      <w:r>
        <w:rPr>
          <w:rStyle w:val="CharSectno"/>
        </w:rPr>
        <w:t>50</w:t>
      </w:r>
      <w:r>
        <w:t>.</w:t>
      </w:r>
      <w:r>
        <w:tab/>
        <w:t>Certain prisoners may apply to Board for RRO</w:t>
      </w:r>
      <w:bookmarkEnd w:id="236"/>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pPr>
      <w:r>
        <w:tab/>
        <w:t>(ca)</w:t>
      </w:r>
      <w:r>
        <w:tab/>
        <w:t xml:space="preserve">he or she is not subject to an order made under the </w:t>
      </w:r>
      <w:r>
        <w:rPr>
          <w:i/>
        </w:rPr>
        <w:t>Dangerous Sexual Offenders Act 2006</w:t>
      </w:r>
      <w:r>
        <w:t xml:space="preserve"> section 17(1)(a);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by No. 41 of 2006 s. 41; No. 29 of 2008 s. 39(11); No. 17 of 2016 s. 52.]</w:t>
      </w:r>
    </w:p>
    <w:p>
      <w:pPr>
        <w:pStyle w:val="Heading5"/>
        <w:spacing w:before="160"/>
      </w:pPr>
      <w:bookmarkStart w:id="237" w:name="_Toc511135809"/>
      <w:r>
        <w:rPr>
          <w:rStyle w:val="CharSectno"/>
        </w:rPr>
        <w:t>51</w:t>
      </w:r>
      <w:r>
        <w:t>.</w:t>
      </w:r>
      <w:r>
        <w:tab/>
        <w:t>CEO to report to Board about RRO applicants</w:t>
      </w:r>
      <w:bookmarkEnd w:id="237"/>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by No. 41 of 2006 s. 42.]</w:t>
      </w:r>
    </w:p>
    <w:p>
      <w:pPr>
        <w:pStyle w:val="Heading5"/>
        <w:keepLines w:val="0"/>
        <w:spacing w:before="160"/>
      </w:pPr>
      <w:bookmarkStart w:id="238" w:name="_Toc511135810"/>
      <w:r>
        <w:rPr>
          <w:rStyle w:val="CharSectno"/>
        </w:rPr>
        <w:t>52</w:t>
      </w:r>
      <w:r>
        <w:t>.</w:t>
      </w:r>
      <w:r>
        <w:tab/>
        <w:t>Board may make RRO</w:t>
      </w:r>
      <w:bookmarkEnd w:id="238"/>
    </w:p>
    <w:p>
      <w:pPr>
        <w:pStyle w:val="Subsection"/>
        <w:spacing w:before="11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requirements of section 66B(1) and the 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by No. 41 of 2006 s. 43; No. 2 of 2018 s. 8.]</w:t>
      </w:r>
    </w:p>
    <w:p>
      <w:pPr>
        <w:pStyle w:val="Ednotesection"/>
      </w:pPr>
      <w:r>
        <w:t>[</w:t>
      </w:r>
      <w:r>
        <w:rPr>
          <w:b/>
          <w:bCs/>
        </w:rPr>
        <w:t>53.</w:t>
      </w:r>
      <w:r>
        <w:tab/>
        <w:t>Deleted by No. 41 of 2006 s. 44.]</w:t>
      </w:r>
    </w:p>
    <w:p>
      <w:pPr>
        <w:pStyle w:val="Heading5"/>
      </w:pPr>
      <w:bookmarkStart w:id="239" w:name="_Toc511135811"/>
      <w:r>
        <w:rPr>
          <w:rStyle w:val="CharSectno"/>
        </w:rPr>
        <w:t>54</w:t>
      </w:r>
      <w:r>
        <w:t>.</w:t>
      </w:r>
      <w:r>
        <w:tab/>
        <w:t>RRO, nature of</w:t>
      </w:r>
      <w:bookmarkEnd w:id="239"/>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240" w:name="_Toc511135812"/>
      <w:r>
        <w:rPr>
          <w:rStyle w:val="CharSectno"/>
        </w:rPr>
        <w:t>55</w:t>
      </w:r>
      <w:r>
        <w:t>.</w:t>
      </w:r>
      <w:r>
        <w:tab/>
        <w:t>RRO, standard obligations</w:t>
      </w:r>
      <w:bookmarkEnd w:id="240"/>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241" w:name="_Toc511135813"/>
      <w:r>
        <w:rPr>
          <w:rStyle w:val="CharSectno"/>
        </w:rPr>
        <w:t>56</w:t>
      </w:r>
      <w:r>
        <w:t>.</w:t>
      </w:r>
      <w:r>
        <w:tab/>
        <w:t>RRO, primary requirements</w:t>
      </w:r>
      <w:bookmarkEnd w:id="241"/>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242" w:name="_Toc511135814"/>
      <w:r>
        <w:rPr>
          <w:rStyle w:val="CharSectno"/>
        </w:rPr>
        <w:t>57</w:t>
      </w:r>
      <w:r>
        <w:t>.</w:t>
      </w:r>
      <w:r>
        <w:tab/>
        <w:t>RRO, additional requirements</w:t>
      </w:r>
      <w:bookmarkEnd w:id="242"/>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243" w:name="_Toc511135815"/>
      <w:r>
        <w:rPr>
          <w:rStyle w:val="CharSectno"/>
        </w:rPr>
        <w:t>58</w:t>
      </w:r>
      <w:r>
        <w:t>.</w:t>
      </w:r>
      <w:r>
        <w:tab/>
        <w:t>Prisoner’s undertaking</w:t>
      </w:r>
      <w:bookmarkEnd w:id="243"/>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244" w:name="_Toc511135816"/>
      <w:r>
        <w:rPr>
          <w:rStyle w:val="CharSectno"/>
        </w:rPr>
        <w:t>59</w:t>
      </w:r>
      <w:r>
        <w:t>.</w:t>
      </w:r>
      <w:r>
        <w:tab/>
        <w:t>CEO to ensure prisoner is supervised during RRO</w:t>
      </w:r>
      <w:bookmarkEnd w:id="244"/>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Deleted by No. 41 of 2006 s. 46.]</w:t>
      </w:r>
    </w:p>
    <w:p>
      <w:pPr>
        <w:pStyle w:val="Heading5"/>
      </w:pPr>
      <w:bookmarkStart w:id="245" w:name="_Toc511135817"/>
      <w:r>
        <w:rPr>
          <w:rStyle w:val="CharSectno"/>
        </w:rPr>
        <w:t>61</w:t>
      </w:r>
      <w:r>
        <w:t>.</w:t>
      </w:r>
      <w:r>
        <w:tab/>
        <w:t>Suspension by Board or CEO</w:t>
      </w:r>
      <w:bookmarkEnd w:id="245"/>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by No. 41 of 2006 s. 47.]</w:t>
      </w:r>
    </w:p>
    <w:p>
      <w:pPr>
        <w:pStyle w:val="Heading5"/>
      </w:pPr>
      <w:bookmarkStart w:id="246" w:name="_Toc511135818"/>
      <w:r>
        <w:rPr>
          <w:rStyle w:val="CharSectno"/>
        </w:rPr>
        <w:t>63</w:t>
      </w:r>
      <w:r>
        <w:t>.</w:t>
      </w:r>
      <w:r>
        <w:tab/>
        <w:t>Cancellation by Board</w:t>
      </w:r>
      <w:bookmarkEnd w:id="246"/>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by No. 41 of 2006 s. 48.]</w:t>
      </w:r>
    </w:p>
    <w:p>
      <w:pPr>
        <w:pStyle w:val="Heading2"/>
      </w:pPr>
      <w:bookmarkStart w:id="247" w:name="_Toc473635031"/>
      <w:bookmarkStart w:id="248" w:name="_Toc474159089"/>
      <w:bookmarkStart w:id="249" w:name="_Toc485716062"/>
      <w:bookmarkStart w:id="250" w:name="_Toc485719814"/>
      <w:bookmarkStart w:id="251" w:name="_Toc485802558"/>
      <w:bookmarkStart w:id="252" w:name="_Toc486435499"/>
      <w:bookmarkStart w:id="253" w:name="_Toc509830287"/>
      <w:bookmarkStart w:id="254" w:name="_Toc509830618"/>
      <w:bookmarkStart w:id="255" w:name="_Toc511135819"/>
      <w:r>
        <w:rPr>
          <w:rStyle w:val="CharPartNo"/>
        </w:rPr>
        <w:t>Part 5</w:t>
      </w:r>
      <w:r>
        <w:t xml:space="preserve"> — </w:t>
      </w:r>
      <w:r>
        <w:rPr>
          <w:rStyle w:val="CharPartText"/>
        </w:rPr>
        <w:t>Provisions applying to early release orders</w:t>
      </w:r>
      <w:bookmarkEnd w:id="247"/>
      <w:bookmarkEnd w:id="248"/>
      <w:bookmarkEnd w:id="249"/>
      <w:bookmarkEnd w:id="250"/>
      <w:bookmarkEnd w:id="251"/>
      <w:bookmarkEnd w:id="252"/>
      <w:bookmarkEnd w:id="253"/>
      <w:bookmarkEnd w:id="254"/>
      <w:bookmarkEnd w:id="255"/>
    </w:p>
    <w:p>
      <w:pPr>
        <w:pStyle w:val="Heading3"/>
      </w:pPr>
      <w:bookmarkStart w:id="256" w:name="_Toc473635032"/>
      <w:bookmarkStart w:id="257" w:name="_Toc474159090"/>
      <w:bookmarkStart w:id="258" w:name="_Toc485716063"/>
      <w:bookmarkStart w:id="259" w:name="_Toc485719815"/>
      <w:bookmarkStart w:id="260" w:name="_Toc485802559"/>
      <w:bookmarkStart w:id="261" w:name="_Toc486435500"/>
      <w:bookmarkStart w:id="262" w:name="_Toc509830288"/>
      <w:bookmarkStart w:id="263" w:name="_Toc509830619"/>
      <w:bookmarkStart w:id="264" w:name="_Toc511135820"/>
      <w:r>
        <w:rPr>
          <w:rStyle w:val="CharDivNo"/>
        </w:rPr>
        <w:t>Division 1</w:t>
      </w:r>
      <w:r>
        <w:t xml:space="preserve"> — </w:t>
      </w:r>
      <w:r>
        <w:rPr>
          <w:rStyle w:val="CharDivText"/>
        </w:rPr>
        <w:t>General</w:t>
      </w:r>
      <w:bookmarkEnd w:id="256"/>
      <w:bookmarkEnd w:id="257"/>
      <w:bookmarkEnd w:id="258"/>
      <w:bookmarkEnd w:id="259"/>
      <w:bookmarkEnd w:id="260"/>
      <w:bookmarkEnd w:id="261"/>
      <w:bookmarkEnd w:id="262"/>
      <w:bookmarkEnd w:id="263"/>
      <w:bookmarkEnd w:id="264"/>
    </w:p>
    <w:p>
      <w:pPr>
        <w:pStyle w:val="Heading5"/>
      </w:pPr>
      <w:bookmarkStart w:id="265" w:name="_Toc511135821"/>
      <w:r>
        <w:rPr>
          <w:rStyle w:val="CharSectno"/>
        </w:rPr>
        <w:t>65</w:t>
      </w:r>
      <w:r>
        <w:t>.</w:t>
      </w:r>
      <w:r>
        <w:tab/>
        <w:t>Period of early release order counts as time served</w:t>
      </w:r>
      <w:bookmarkEnd w:id="265"/>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266" w:name="_Toc511135822"/>
      <w:r>
        <w:rPr>
          <w:rStyle w:val="CharSectno"/>
        </w:rPr>
        <w:t>66</w:t>
      </w:r>
      <w:r>
        <w:t>.</w:t>
      </w:r>
      <w:r>
        <w:tab/>
        <w:t>Prisoner under sentence until discharged</w:t>
      </w:r>
      <w:bookmarkEnd w:id="266"/>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267" w:name="_Toc511135823"/>
      <w:bookmarkStart w:id="268" w:name="_Toc473635035"/>
      <w:bookmarkStart w:id="269" w:name="_Toc474159093"/>
      <w:bookmarkStart w:id="270" w:name="_Toc485716066"/>
      <w:bookmarkStart w:id="271" w:name="_Toc485719818"/>
      <w:bookmarkStart w:id="272" w:name="_Toc485802562"/>
      <w:bookmarkStart w:id="273" w:name="_Toc486435503"/>
      <w:bookmarkStart w:id="274" w:name="_Toc509830291"/>
      <w:bookmarkStart w:id="275" w:name="_Toc509830622"/>
      <w:r>
        <w:rPr>
          <w:rStyle w:val="CharDivNo"/>
        </w:rPr>
        <w:t>Division 1A</w:t>
      </w:r>
      <w:r>
        <w:t> — </w:t>
      </w:r>
      <w:r>
        <w:rPr>
          <w:rStyle w:val="CharDivText"/>
        </w:rPr>
        <w:t>Homicide offence or homicide related offence</w:t>
      </w:r>
      <w:bookmarkEnd w:id="267"/>
    </w:p>
    <w:p>
      <w:pPr>
        <w:pStyle w:val="Footnoteheading"/>
      </w:pPr>
      <w:r>
        <w:tab/>
        <w:t>[Heading inserted by No. 2 of 2018 s. 9.]</w:t>
      </w:r>
    </w:p>
    <w:p>
      <w:pPr>
        <w:pStyle w:val="Heading5"/>
      </w:pPr>
      <w:bookmarkStart w:id="276" w:name="_Toc511135824"/>
      <w:r>
        <w:rPr>
          <w:rStyle w:val="CharSectno"/>
        </w:rPr>
        <w:t>66A</w:t>
      </w:r>
      <w:r>
        <w:t>.</w:t>
      </w:r>
      <w:r>
        <w:tab/>
        <w:t>Terms used</w:t>
      </w:r>
      <w:bookmarkEnd w:id="276"/>
    </w:p>
    <w:p>
      <w:pPr>
        <w:pStyle w:val="Subsection"/>
      </w:pPr>
      <w:r>
        <w:tab/>
      </w:r>
      <w:r>
        <w:tab/>
        <w:t>In this Division —</w:t>
      </w:r>
    </w:p>
    <w:p>
      <w:pPr>
        <w:pStyle w:val="Defstart"/>
      </w:pPr>
      <w:r>
        <w:tab/>
      </w:r>
      <w:r>
        <w:rPr>
          <w:rStyle w:val="CharDefText"/>
        </w:rPr>
        <w:t>homicide offence</w:t>
      </w:r>
      <w:r>
        <w:t xml:space="preserve"> means an offence of — </w:t>
      </w:r>
    </w:p>
    <w:p>
      <w:pPr>
        <w:pStyle w:val="Defpara"/>
      </w:pPr>
      <w:r>
        <w:tab/>
        <w:t>(a)</w:t>
      </w:r>
      <w:r>
        <w:tab/>
        <w:t>murder; or</w:t>
      </w:r>
    </w:p>
    <w:p>
      <w:pPr>
        <w:pStyle w:val="Defpara"/>
      </w:pPr>
      <w:r>
        <w:tab/>
        <w:t>(b)</w:t>
      </w:r>
      <w:r>
        <w:tab/>
        <w:t>manslaughter; or</w:t>
      </w:r>
    </w:p>
    <w:p>
      <w:pPr>
        <w:pStyle w:val="Defpara"/>
      </w:pPr>
      <w:r>
        <w:tab/>
        <w:t>(c)</w:t>
      </w:r>
      <w:r>
        <w:tab/>
        <w:t xml:space="preserve">infanticide under </w:t>
      </w:r>
      <w:r>
        <w:rPr>
          <w:i/>
        </w:rPr>
        <w:t>The Criminal Code</w:t>
      </w:r>
      <w:r>
        <w:t xml:space="preserve"> section 287A as in force before the commencement of the </w:t>
      </w:r>
      <w:r>
        <w:rPr>
          <w:i/>
        </w:rPr>
        <w:t>Criminal Law Amendment (Homicide) Act 2008</w:t>
      </w:r>
      <w:r>
        <w:t xml:space="preserve"> section 13;</w:t>
      </w:r>
    </w:p>
    <w:p>
      <w:pPr>
        <w:pStyle w:val="Defstart"/>
      </w:pPr>
      <w:r>
        <w:tab/>
      </w:r>
      <w:r>
        <w:rPr>
          <w:rStyle w:val="CharDefText"/>
        </w:rPr>
        <w:t>homicide related offence</w:t>
      </w:r>
      <w:r>
        <w:t xml:space="preserve"> means any of the following offences, if the offence relates to the death of a person — </w:t>
      </w:r>
    </w:p>
    <w:p>
      <w:pPr>
        <w:pStyle w:val="Defpara"/>
      </w:pPr>
      <w:r>
        <w:tab/>
        <w:t>(a)</w:t>
      </w:r>
      <w:r>
        <w:tab/>
        <w:t>counselling or procuring the commission of a homicide offence; or</w:t>
      </w:r>
    </w:p>
    <w:p>
      <w:pPr>
        <w:pStyle w:val="Defpara"/>
      </w:pPr>
      <w:r>
        <w:tab/>
        <w:t>(b)</w:t>
      </w:r>
      <w:r>
        <w:tab/>
        <w:t>inciting another person to commit a homicide offence; or</w:t>
      </w:r>
    </w:p>
    <w:p>
      <w:pPr>
        <w:pStyle w:val="Defpara"/>
      </w:pPr>
      <w:r>
        <w:tab/>
        <w:t>(c)</w:t>
      </w:r>
      <w:r>
        <w:tab/>
        <w:t>becoming an accessory after the fact to a homicide offence; or</w:t>
      </w:r>
    </w:p>
    <w:p>
      <w:pPr>
        <w:pStyle w:val="Defpara"/>
      </w:pPr>
      <w:r>
        <w:tab/>
        <w:t>(d)</w:t>
      </w:r>
      <w:r>
        <w:tab/>
        <w:t>conspiring with another person to commit a homicide offence;</w:t>
      </w:r>
    </w:p>
    <w:p>
      <w:pPr>
        <w:pStyle w:val="Defstart"/>
      </w:pPr>
      <w:r>
        <w:tab/>
      </w:r>
      <w:r>
        <w:rPr>
          <w:rStyle w:val="CharDefText"/>
        </w:rPr>
        <w:t>release action</w:t>
      </w:r>
      <w:r>
        <w:t xml:space="preserve"> means making a parole order under section 23(3)(b) in respect of a prisoner;</w:t>
      </w:r>
    </w:p>
    <w:p>
      <w:pPr>
        <w:pStyle w:val="Defstart"/>
      </w:pPr>
      <w:r>
        <w:tab/>
      </w:r>
      <w:r>
        <w:rPr>
          <w:rStyle w:val="CharDefText"/>
        </w:rPr>
        <w:t>release decision</w:t>
      </w:r>
      <w:r>
        <w:t xml:space="preserve"> means — </w:t>
      </w:r>
    </w:p>
    <w:p>
      <w:pPr>
        <w:pStyle w:val="Defpara"/>
      </w:pPr>
      <w:r>
        <w:tab/>
        <w:t>(a)</w:t>
      </w:r>
      <w:r>
        <w:tab/>
        <w:t>a decision to recommend, in a report given under section 12 or 12A, that a prisoner be released; or</w:t>
      </w:r>
    </w:p>
    <w:p>
      <w:pPr>
        <w:pStyle w:val="Defpara"/>
      </w:pPr>
      <w:r>
        <w:tab/>
        <w:t>(b)</w:t>
      </w:r>
      <w:r>
        <w:tab/>
        <w:t>a decision under section 20(2) that it is appropriate to release a prisoner on parole; or</w:t>
      </w:r>
    </w:p>
    <w:p>
      <w:pPr>
        <w:pStyle w:val="Defpara"/>
      </w:pPr>
      <w:r>
        <w:tab/>
        <w:t>(c)</w:t>
      </w:r>
      <w:r>
        <w:tab/>
        <w:t xml:space="preserve">a decision under section 23(3)(a) to make a parole order in respect of a prisoner; or </w:t>
      </w:r>
    </w:p>
    <w:p>
      <w:pPr>
        <w:pStyle w:val="Defpara"/>
      </w:pPr>
      <w:r>
        <w:tab/>
        <w:t>(d)</w:t>
      </w:r>
      <w:r>
        <w:tab/>
        <w:t>a decision under section 52(1) to make an RRO in respect of a prisoner;</w:t>
      </w:r>
    </w:p>
    <w:p>
      <w:pPr>
        <w:pStyle w:val="Defstart"/>
      </w:pPr>
      <w:r>
        <w:tab/>
      </w:r>
      <w:r>
        <w:rPr>
          <w:rStyle w:val="CharDefText"/>
        </w:rPr>
        <w:t>relevant prisoner</w:t>
      </w:r>
      <w:r>
        <w:t xml:space="preserve"> means — </w:t>
      </w:r>
    </w:p>
    <w:p>
      <w:pPr>
        <w:pStyle w:val="Defpara"/>
      </w:pPr>
      <w:r>
        <w:tab/>
        <w:t>(a)</w:t>
      </w:r>
      <w:r>
        <w:tab/>
        <w:t>a person serving a sentence for a homicide offence or homicide related offence; or</w:t>
      </w:r>
    </w:p>
    <w:p>
      <w:pPr>
        <w:pStyle w:val="Defpara"/>
      </w:pPr>
      <w:r>
        <w:tab/>
        <w:t>(b)</w:t>
      </w:r>
      <w:r>
        <w:tab/>
        <w:t xml:space="preserve">a person subject to a sentence of detention imposed under </w:t>
      </w:r>
      <w:r>
        <w:rPr>
          <w:i/>
        </w:rPr>
        <w:t>The Criminal Code</w:t>
      </w:r>
      <w:r>
        <w:t xml:space="preserve"> section 279(5)(b); or</w:t>
      </w:r>
    </w:p>
    <w:p>
      <w:pPr>
        <w:pStyle w:val="Defpara"/>
      </w:pPr>
      <w:r>
        <w:tab/>
        <w:t>(c)</w:t>
      </w:r>
      <w:r>
        <w:tab/>
        <w:t xml:space="preserve">a person in, or regarded as being in, strict or safe custody by virtue of an order under </w:t>
      </w:r>
      <w:r>
        <w:rPr>
          <w:i/>
        </w:rPr>
        <w:t>The Criminal Code</w:t>
      </w:r>
      <w:r>
        <w:t xml:space="preserve"> section 282 (repealed by the </w:t>
      </w:r>
      <w:r>
        <w:rPr>
          <w:i/>
        </w:rPr>
        <w:t>Criminal Law Amendment (Homicide) Act 2008</w:t>
      </w:r>
      <w:r>
        <w:t xml:space="preserve"> section 10); or</w:t>
      </w:r>
    </w:p>
    <w:p>
      <w:pPr>
        <w:pStyle w:val="Defpara"/>
      </w:pPr>
      <w:r>
        <w:tab/>
        <w:t>(d)</w:t>
      </w:r>
      <w:r>
        <w:tab/>
        <w:t xml:space="preserve">a person subject to a direction or sentence under </w:t>
      </w:r>
      <w:r>
        <w:rPr>
          <w:i/>
        </w:rPr>
        <w:t xml:space="preserve">The Criminal Code </w:t>
      </w:r>
      <w:r>
        <w:t xml:space="preserve">section 661 or 662 (repealed by the </w:t>
      </w:r>
      <w:r>
        <w:rPr>
          <w:i/>
        </w:rPr>
        <w:t>Sentencing (Consequential Provisions) Act 1995</w:t>
      </w:r>
      <w:r>
        <w:t xml:space="preserve"> section 26) where at least one of the offences referred to in </w:t>
      </w:r>
      <w:r>
        <w:rPr>
          <w:i/>
        </w:rPr>
        <w:t>The Criminal Code</w:t>
      </w:r>
      <w:r>
        <w:t xml:space="preserve"> section 661 or 662 was a homicide offence or homicide related offence;</w:t>
      </w:r>
    </w:p>
    <w:p>
      <w:pPr>
        <w:pStyle w:val="Defstart"/>
      </w:pPr>
      <w:r>
        <w:tab/>
      </w:r>
      <w:r>
        <w:rPr>
          <w:rStyle w:val="CharDefText"/>
        </w:rPr>
        <w:t>remains of the victim</w:t>
      </w:r>
      <w:r>
        <w:t>, in relation to a homicide offence, means the remains of the person against whom the homicide offence was committed.</w:t>
      </w:r>
    </w:p>
    <w:p>
      <w:pPr>
        <w:pStyle w:val="Footnotesection"/>
      </w:pPr>
      <w:r>
        <w:tab/>
        <w:t>[Section 66A inserted by No. 2 of 2018 s. 9.]</w:t>
      </w:r>
    </w:p>
    <w:p>
      <w:pPr>
        <w:pStyle w:val="Heading5"/>
      </w:pPr>
      <w:bookmarkStart w:id="277" w:name="_Toc511135825"/>
      <w:r>
        <w:rPr>
          <w:rStyle w:val="CharSectno"/>
        </w:rPr>
        <w:t>66B</w:t>
      </w:r>
      <w:r>
        <w:t>.</w:t>
      </w:r>
      <w:r>
        <w:tab/>
        <w:t>Board not to release or recommend release unless prisoner cooperates or victim’s remains located</w:t>
      </w:r>
      <w:bookmarkEnd w:id="277"/>
    </w:p>
    <w:p>
      <w:pPr>
        <w:pStyle w:val="Subsection"/>
      </w:pPr>
      <w:r>
        <w:tab/>
        <w:t>(1)</w:t>
      </w:r>
      <w:r>
        <w:tab/>
        <w:t xml:space="preserve">The Board must not make a release decision, or take release action, in relation to a relevant prisoner in custody for a homicide offence or homicide related offence unless the Board is satisfied that — </w:t>
      </w:r>
    </w:p>
    <w:p>
      <w:pPr>
        <w:pStyle w:val="Indenta"/>
      </w:pPr>
      <w:r>
        <w:tab/>
        <w:t>(a)</w:t>
      </w:r>
      <w:r>
        <w:tab/>
        <w:t xml:space="preserve">the prisoner has cooperated with a member of the Police Force in the identification of the location, or last known location, of the remains of the victim of the homicide offence; or </w:t>
      </w:r>
    </w:p>
    <w:p>
      <w:pPr>
        <w:pStyle w:val="Indenta"/>
      </w:pPr>
      <w:r>
        <w:tab/>
        <w:t>(b)</w:t>
      </w:r>
      <w:r>
        <w:tab/>
        <w:t>a member of the Police Force knows the location of the remains of the victim of the homicide offence.</w:t>
      </w:r>
    </w:p>
    <w:p>
      <w:pPr>
        <w:pStyle w:val="Subsection"/>
      </w:pPr>
      <w:r>
        <w:tab/>
        <w:t>(2)</w:t>
      </w:r>
      <w:r>
        <w:tab/>
        <w:t xml:space="preserve">The Board may be satisfied under subsection (1)(a) in relation to a relevant prisoner in custody for a homicide offence or homicide related offence even if the prisoner did not cooperate — </w:t>
      </w:r>
    </w:p>
    <w:p>
      <w:pPr>
        <w:pStyle w:val="Indenta"/>
      </w:pPr>
      <w:r>
        <w:tab/>
        <w:t>(a)</w:t>
      </w:r>
      <w:r>
        <w:tab/>
        <w:t xml:space="preserve">before being sentenced for the offence; or </w:t>
      </w:r>
    </w:p>
    <w:p>
      <w:pPr>
        <w:pStyle w:val="Indenta"/>
      </w:pPr>
      <w:r>
        <w:tab/>
        <w:t>(b)</w:t>
      </w:r>
      <w:r>
        <w:tab/>
        <w:t>before the determination of an appeal against the conviction or sentence for the offence.</w:t>
      </w:r>
    </w:p>
    <w:p>
      <w:pPr>
        <w:pStyle w:val="Subsection"/>
      </w:pPr>
      <w:r>
        <w:tab/>
        <w:t>(3)</w:t>
      </w:r>
      <w:r>
        <w:tab/>
        <w:t>The Board must, when deciding whether it is satisfied under subsection (1)(a), take into account any information the Board has about the prisoner’s mental capacity to provide relevant information or evidence.</w:t>
      </w:r>
    </w:p>
    <w:p>
      <w:pPr>
        <w:pStyle w:val="Subsection"/>
      </w:pPr>
      <w:r>
        <w:tab/>
        <w:t>(4)</w:t>
      </w:r>
      <w:r>
        <w:tab/>
        <w:t xml:space="preserve">This section applies to a decision or action in relation to a relevant prisoner in custody for a homicide offence or homicide related offence whether the offence was committed before, on or after the day on which the </w:t>
      </w:r>
      <w:r>
        <w:rPr>
          <w:i/>
        </w:rPr>
        <w:t xml:space="preserve">Sentence Administration Amendment Act 2018 </w:t>
      </w:r>
      <w:r>
        <w:t>section 9 comes into operation.</w:t>
      </w:r>
    </w:p>
    <w:p>
      <w:pPr>
        <w:pStyle w:val="Footnotesection"/>
      </w:pPr>
      <w:r>
        <w:tab/>
        <w:t>[Section 66B inserted by No. 2 of 2018 s. 9.]</w:t>
      </w:r>
    </w:p>
    <w:p>
      <w:pPr>
        <w:pStyle w:val="Heading5"/>
      </w:pPr>
      <w:bookmarkStart w:id="278" w:name="_Toc511135826"/>
      <w:r>
        <w:rPr>
          <w:rStyle w:val="CharSectno"/>
        </w:rPr>
        <w:t>66C</w:t>
      </w:r>
      <w:r>
        <w:t>.</w:t>
      </w:r>
      <w:r>
        <w:tab/>
        <w:t>Commissioner of Police report</w:t>
      </w:r>
      <w:bookmarkEnd w:id="278"/>
    </w:p>
    <w:p>
      <w:pPr>
        <w:pStyle w:val="Subsection"/>
      </w:pPr>
      <w:r>
        <w:tab/>
        <w:t>(1)</w:t>
      </w:r>
      <w:r>
        <w:tab/>
        <w:t>On each occasion on which the Board is required to consider whether to make a release decision, or take release action, in relation to a relevant prisoner in custody for a homicide offence or homicide related offence, the Board must make a written request to the Commissioner of Police for a written report.</w:t>
      </w:r>
    </w:p>
    <w:p>
      <w:pPr>
        <w:pStyle w:val="Subsection"/>
      </w:pPr>
      <w:r>
        <w:tab/>
        <w:t>(2)</w:t>
      </w:r>
      <w:r>
        <w:tab/>
        <w:t>The Board does not have to request a report if the Board is already satisfied that a member of the Police Force knows the location of the remains of the victim of the homicide offence.</w:t>
      </w:r>
    </w:p>
    <w:p>
      <w:pPr>
        <w:pStyle w:val="Subsection"/>
      </w:pPr>
      <w:r>
        <w:tab/>
        <w:t>(3)</w:t>
      </w:r>
      <w:r>
        <w:tab/>
        <w:t xml:space="preserve">The report must deal with each of the following matters — </w:t>
      </w:r>
    </w:p>
    <w:p>
      <w:pPr>
        <w:pStyle w:val="Indenta"/>
      </w:pPr>
      <w:r>
        <w:tab/>
        <w:t>(a)</w:t>
      </w:r>
      <w:r>
        <w:tab/>
        <w:t xml:space="preserve">in relation to the prisoner’s cooperation described in section 66B(1)(a) — </w:t>
      </w:r>
    </w:p>
    <w:p>
      <w:pPr>
        <w:pStyle w:val="Indenti"/>
      </w:pPr>
      <w:r>
        <w:tab/>
        <w:t>(i)</w:t>
      </w:r>
      <w:r>
        <w:tab/>
        <w:t>the nature and extent of the prisoner’s cooperation; and</w:t>
      </w:r>
    </w:p>
    <w:p>
      <w:pPr>
        <w:pStyle w:val="Indenti"/>
      </w:pPr>
      <w:r>
        <w:tab/>
        <w:t>(ii)</w:t>
      </w:r>
      <w:r>
        <w:tab/>
        <w:t>the timeliness of the prisoner’s cooperation; and</w:t>
      </w:r>
    </w:p>
    <w:p>
      <w:pPr>
        <w:pStyle w:val="Indenti"/>
      </w:pPr>
      <w:r>
        <w:tab/>
        <w:t>(iii)</w:t>
      </w:r>
      <w:r>
        <w:tab/>
        <w:t>the truthfulness, completeness and reliability of any information or evidence provided by the prisoner; and</w:t>
      </w:r>
    </w:p>
    <w:p>
      <w:pPr>
        <w:pStyle w:val="Indenti"/>
      </w:pPr>
      <w:r>
        <w:tab/>
        <w:t>(iv)</w:t>
      </w:r>
      <w:r>
        <w:tab/>
        <w:t>the significance and usefulness of the prisoner’s cooperation; and</w:t>
      </w:r>
    </w:p>
    <w:p>
      <w:pPr>
        <w:pStyle w:val="Indenti"/>
      </w:pPr>
      <w:r>
        <w:tab/>
        <w:t>(v)</w:t>
      </w:r>
      <w:r>
        <w:tab/>
        <w:t>to the extent known to the Commissioner of Police, the prisoner’s mental capacity to provide relevant information or evidence;</w:t>
      </w:r>
    </w:p>
    <w:p>
      <w:pPr>
        <w:pStyle w:val="Indenta"/>
      </w:pPr>
      <w:r>
        <w:tab/>
        <w:t>(b)</w:t>
      </w:r>
      <w:r>
        <w:tab/>
        <w:t>whether a member of the Police Force knows the location of the remains of the victim of the homicide offence.</w:t>
      </w:r>
    </w:p>
    <w:p>
      <w:pPr>
        <w:pStyle w:val="Subsection"/>
      </w:pPr>
      <w:r>
        <w:tab/>
        <w:t>(4)</w:t>
      </w:r>
      <w:r>
        <w:tab/>
        <w:t>The Commissioner of Police must give the Board the report within a reasonable period of time after receiving the request.</w:t>
      </w:r>
    </w:p>
    <w:p>
      <w:pPr>
        <w:pStyle w:val="Subsection"/>
      </w:pPr>
      <w:r>
        <w:tab/>
        <w:t>(5)</w:t>
      </w:r>
      <w:r>
        <w:tab/>
        <w:t>If the Board requests a report the Board must, when deciding whether it is satisfied for the purposes of section 66B(1), take into account the matters referred to in subsection (3) as dealt with in the report.</w:t>
      </w:r>
    </w:p>
    <w:p>
      <w:pPr>
        <w:pStyle w:val="Footnotesection"/>
      </w:pPr>
      <w:r>
        <w:tab/>
        <w:t>[Section 66C inserted by No. 2 of 2018 s. 9.]</w:t>
      </w:r>
    </w:p>
    <w:p>
      <w:pPr>
        <w:pStyle w:val="Heading3"/>
      </w:pPr>
      <w:bookmarkStart w:id="279" w:name="_Toc511135827"/>
      <w:r>
        <w:rPr>
          <w:rStyle w:val="CharDivNo"/>
        </w:rPr>
        <w:t>Division 2</w:t>
      </w:r>
      <w:r>
        <w:t xml:space="preserve"> — </w:t>
      </w:r>
      <w:r>
        <w:rPr>
          <w:rStyle w:val="CharDivText"/>
        </w:rPr>
        <w:t>Automatic cancellation</w:t>
      </w:r>
      <w:bookmarkEnd w:id="268"/>
      <w:bookmarkEnd w:id="269"/>
      <w:bookmarkEnd w:id="270"/>
      <w:bookmarkEnd w:id="271"/>
      <w:bookmarkEnd w:id="272"/>
      <w:bookmarkEnd w:id="273"/>
      <w:bookmarkEnd w:id="274"/>
      <w:bookmarkEnd w:id="275"/>
      <w:bookmarkEnd w:id="279"/>
    </w:p>
    <w:p>
      <w:pPr>
        <w:pStyle w:val="Heading5"/>
      </w:pPr>
      <w:bookmarkStart w:id="280" w:name="_Toc511135828"/>
      <w:r>
        <w:rPr>
          <w:rStyle w:val="CharSectno"/>
        </w:rPr>
        <w:t>67</w:t>
      </w:r>
      <w:r>
        <w:t>.</w:t>
      </w:r>
      <w:r>
        <w:tab/>
        <w:t>Cancellation automatic if prisoner imprisoned for offence committed on early release order</w:t>
      </w:r>
      <w:bookmarkEnd w:id="280"/>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281" w:name="_Toc473635037"/>
      <w:bookmarkStart w:id="282" w:name="_Toc474159095"/>
      <w:bookmarkStart w:id="283" w:name="_Toc485716068"/>
      <w:bookmarkStart w:id="284" w:name="_Toc485719820"/>
      <w:bookmarkStart w:id="285" w:name="_Toc485802564"/>
      <w:bookmarkStart w:id="286" w:name="_Toc486435505"/>
      <w:bookmarkStart w:id="287" w:name="_Toc509830293"/>
      <w:bookmarkStart w:id="288" w:name="_Toc509830624"/>
      <w:bookmarkStart w:id="289" w:name="_Toc511135829"/>
      <w:r>
        <w:rPr>
          <w:rStyle w:val="CharDivNo"/>
        </w:rPr>
        <w:t>Division 3</w:t>
      </w:r>
      <w:r>
        <w:t xml:space="preserve"> — </w:t>
      </w:r>
      <w:r>
        <w:rPr>
          <w:rStyle w:val="CharDivText"/>
        </w:rPr>
        <w:t>Consequences of suspension and cancellation</w:t>
      </w:r>
      <w:bookmarkEnd w:id="281"/>
      <w:bookmarkEnd w:id="282"/>
      <w:bookmarkEnd w:id="283"/>
      <w:bookmarkEnd w:id="284"/>
      <w:bookmarkEnd w:id="285"/>
      <w:bookmarkEnd w:id="286"/>
      <w:bookmarkEnd w:id="287"/>
      <w:bookmarkEnd w:id="288"/>
      <w:bookmarkEnd w:id="289"/>
    </w:p>
    <w:p>
      <w:pPr>
        <w:pStyle w:val="Heading5"/>
      </w:pPr>
      <w:bookmarkStart w:id="290" w:name="_Toc511135830"/>
      <w:r>
        <w:rPr>
          <w:rStyle w:val="CharSectno"/>
        </w:rPr>
        <w:t>68</w:t>
      </w:r>
      <w:r>
        <w:t>.</w:t>
      </w:r>
      <w:r>
        <w:tab/>
        <w:t>Suspension, effect of</w:t>
      </w:r>
      <w:bookmarkEnd w:id="290"/>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by No. 29 of 2008 s. 39(12).]</w:t>
      </w:r>
    </w:p>
    <w:p>
      <w:pPr>
        <w:pStyle w:val="Heading5"/>
      </w:pPr>
      <w:bookmarkStart w:id="291" w:name="_Toc511135831"/>
      <w:r>
        <w:rPr>
          <w:rStyle w:val="CharSectno"/>
        </w:rPr>
        <w:t>69</w:t>
      </w:r>
      <w:r>
        <w:t>.</w:t>
      </w:r>
      <w:r>
        <w:tab/>
        <w:t>Cancellation, effect of</w:t>
      </w:r>
      <w:bookmarkEnd w:id="291"/>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spacing w:before="180"/>
      </w:pPr>
      <w:r>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 No. 29 of 2008 s. 39(13).]</w:t>
      </w:r>
    </w:p>
    <w:p>
      <w:pPr>
        <w:pStyle w:val="Heading5"/>
        <w:spacing w:before="240"/>
      </w:pPr>
      <w:bookmarkStart w:id="292" w:name="_Toc511135832"/>
      <w:r>
        <w:rPr>
          <w:rStyle w:val="CharSectno"/>
        </w:rPr>
        <w:t>70</w:t>
      </w:r>
      <w:r>
        <w:t>.</w:t>
      </w:r>
      <w:r>
        <w:tab/>
        <w:t>Returning prisoner to custody</w:t>
      </w:r>
      <w:bookmarkEnd w:id="292"/>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keepNext/>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293" w:name="_Toc511135833"/>
      <w:smartTag w:uri="urn:schemas-microsoft-com:office:smarttags" w:element="Street">
        <w:smartTag w:uri="urn:schemas-microsoft-com:office:smarttags" w:element="address">
          <w:r>
            <w:rPr>
              <w:rStyle w:val="CharSectno"/>
            </w:rPr>
            <w:t>71</w:t>
          </w:r>
          <w:r>
            <w:t>.</w:t>
          </w:r>
          <w:r>
            <w:tab/>
            <w:t>Clean street</w:t>
          </w:r>
        </w:smartTag>
      </w:smartTag>
      <w:r>
        <w:t xml:space="preserve"> time counts as time served</w:t>
      </w:r>
      <w:bookmarkEnd w:id="293"/>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294" w:name="_Toc473635042"/>
      <w:bookmarkStart w:id="295" w:name="_Toc474159100"/>
      <w:bookmarkStart w:id="296" w:name="_Toc485716073"/>
      <w:bookmarkStart w:id="297" w:name="_Toc485719825"/>
      <w:bookmarkStart w:id="298" w:name="_Toc485802569"/>
      <w:bookmarkStart w:id="299" w:name="_Toc486435510"/>
      <w:bookmarkStart w:id="300" w:name="_Toc509830298"/>
      <w:bookmarkStart w:id="301" w:name="_Toc509830629"/>
      <w:bookmarkStart w:id="302" w:name="_Toc511135834"/>
      <w:r>
        <w:rPr>
          <w:rStyle w:val="CharDivNo"/>
        </w:rPr>
        <w:t>Division 4</w:t>
      </w:r>
      <w:r>
        <w:t xml:space="preserve"> — </w:t>
      </w:r>
      <w:r>
        <w:rPr>
          <w:rStyle w:val="CharDivText"/>
        </w:rPr>
        <w:t>Re</w:t>
      </w:r>
      <w:r>
        <w:rPr>
          <w:rStyle w:val="CharDivText"/>
        </w:rPr>
        <w:noBreakHyphen/>
        <w:t>release after cancellation</w:t>
      </w:r>
      <w:bookmarkEnd w:id="294"/>
      <w:bookmarkEnd w:id="295"/>
      <w:bookmarkEnd w:id="296"/>
      <w:bookmarkEnd w:id="297"/>
      <w:bookmarkEnd w:id="298"/>
      <w:bookmarkEnd w:id="299"/>
      <w:bookmarkEnd w:id="300"/>
      <w:bookmarkEnd w:id="301"/>
      <w:bookmarkEnd w:id="302"/>
    </w:p>
    <w:p>
      <w:pPr>
        <w:pStyle w:val="Heading5"/>
      </w:pPr>
      <w:bookmarkStart w:id="303" w:name="_Toc511135835"/>
      <w:r>
        <w:rPr>
          <w:rStyle w:val="CharSectno"/>
        </w:rPr>
        <w:t>72</w:t>
      </w:r>
      <w:r>
        <w:t>.</w:t>
      </w:r>
      <w:r>
        <w:tab/>
        <w:t>Re</w:t>
      </w:r>
      <w:r>
        <w:noBreakHyphen/>
        <w:t>release after cancellation of order made by Board</w:t>
      </w:r>
      <w:bookmarkEnd w:id="303"/>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304" w:name="_Toc511135836"/>
      <w:r>
        <w:rPr>
          <w:rStyle w:val="CharSectno"/>
        </w:rPr>
        <w:t>73</w:t>
      </w:r>
      <w:r>
        <w:t>.</w:t>
      </w:r>
      <w:r>
        <w:tab/>
        <w:t>Re</w:t>
      </w:r>
      <w:r>
        <w:noBreakHyphen/>
        <w:t>release after cancellation of parole order made by Governor</w:t>
      </w:r>
      <w:bookmarkEnd w:id="304"/>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305" w:name="_Toc511135837"/>
      <w:r>
        <w:rPr>
          <w:rStyle w:val="CharSectno"/>
        </w:rPr>
        <w:t>74</w:t>
      </w:r>
      <w:r>
        <w:t>.</w:t>
      </w:r>
      <w:r>
        <w:tab/>
        <w:t>Parole period under new parole order deemed to be time served</w:t>
      </w:r>
      <w:bookmarkEnd w:id="305"/>
    </w:p>
    <w:p>
      <w:pPr>
        <w:pStyle w:val="Subsection"/>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r>
        <w:tab/>
        <w:t>[Section 74 amended by No. 41 of 2006 s. 54.]</w:t>
      </w:r>
    </w:p>
    <w:p>
      <w:pPr>
        <w:pStyle w:val="Heading2"/>
      </w:pPr>
      <w:bookmarkStart w:id="306" w:name="_Toc433901599"/>
      <w:bookmarkStart w:id="307" w:name="_Toc433901643"/>
      <w:bookmarkStart w:id="308" w:name="_Toc433901687"/>
      <w:bookmarkStart w:id="309" w:name="_Toc433901731"/>
      <w:bookmarkStart w:id="310" w:name="_Toc433962313"/>
      <w:bookmarkStart w:id="311" w:name="_Toc433962357"/>
      <w:bookmarkStart w:id="312" w:name="_Toc433982645"/>
      <w:bookmarkStart w:id="313" w:name="_Toc433982689"/>
      <w:bookmarkStart w:id="314" w:name="_Toc442275237"/>
      <w:bookmarkStart w:id="315" w:name="_Toc442280656"/>
      <w:bookmarkStart w:id="316" w:name="_Toc442282800"/>
      <w:bookmarkStart w:id="317" w:name="_Toc442282896"/>
      <w:bookmarkStart w:id="318" w:name="_Toc442341857"/>
      <w:bookmarkStart w:id="319" w:name="_Toc442342618"/>
      <w:bookmarkStart w:id="320" w:name="_Toc442343899"/>
      <w:bookmarkStart w:id="321" w:name="_Toc442344706"/>
      <w:bookmarkStart w:id="322" w:name="_Toc442344796"/>
      <w:bookmarkStart w:id="323" w:name="_Toc442346198"/>
      <w:bookmarkStart w:id="324" w:name="_Toc442348240"/>
      <w:bookmarkStart w:id="325" w:name="_Toc442350835"/>
      <w:bookmarkStart w:id="326" w:name="_Toc442351156"/>
      <w:bookmarkStart w:id="327" w:name="_Toc443464382"/>
      <w:bookmarkStart w:id="328" w:name="_Toc443464756"/>
      <w:bookmarkStart w:id="329" w:name="_Toc443578592"/>
      <w:bookmarkStart w:id="330" w:name="_Toc443579975"/>
      <w:bookmarkStart w:id="331" w:name="_Toc443581136"/>
      <w:bookmarkStart w:id="332" w:name="_Toc443919123"/>
      <w:bookmarkStart w:id="333" w:name="_Toc443921363"/>
      <w:bookmarkStart w:id="334" w:name="_Toc443921504"/>
      <w:bookmarkStart w:id="335" w:name="_Toc444005317"/>
      <w:bookmarkStart w:id="336" w:name="_Toc444785748"/>
      <w:bookmarkStart w:id="337" w:name="_Toc445800609"/>
      <w:bookmarkStart w:id="338" w:name="_Toc446435048"/>
      <w:bookmarkStart w:id="339" w:name="_Toc447794210"/>
      <w:bookmarkStart w:id="340" w:name="_Toc447794376"/>
      <w:bookmarkStart w:id="341" w:name="_Toc447799956"/>
      <w:bookmarkStart w:id="342" w:name="_Toc447800097"/>
      <w:bookmarkStart w:id="343" w:name="_Toc447803203"/>
      <w:bookmarkStart w:id="344" w:name="_Toc448828761"/>
      <w:bookmarkStart w:id="345" w:name="_Toc448829229"/>
      <w:bookmarkStart w:id="346" w:name="_Toc448831386"/>
      <w:bookmarkStart w:id="347" w:name="_Toc450212575"/>
      <w:bookmarkStart w:id="348" w:name="_Toc450214576"/>
      <w:bookmarkStart w:id="349" w:name="_Toc450214718"/>
      <w:bookmarkStart w:id="350" w:name="_Toc450214860"/>
      <w:bookmarkStart w:id="351" w:name="_Toc450574242"/>
      <w:bookmarkStart w:id="352" w:name="_Toc450574863"/>
      <w:bookmarkStart w:id="353" w:name="_Toc454287262"/>
      <w:bookmarkStart w:id="354" w:name="_Toc467152366"/>
      <w:bookmarkStart w:id="355" w:name="_Toc469037387"/>
      <w:bookmarkStart w:id="356" w:name="_Toc485716077"/>
      <w:bookmarkStart w:id="357" w:name="_Toc485719829"/>
      <w:bookmarkStart w:id="358" w:name="_Toc485802573"/>
      <w:bookmarkStart w:id="359" w:name="_Toc486435514"/>
      <w:bookmarkStart w:id="360" w:name="_Toc509830302"/>
      <w:bookmarkStart w:id="361" w:name="_Toc509830633"/>
      <w:bookmarkStart w:id="362" w:name="_Toc511135838"/>
      <w:bookmarkStart w:id="363" w:name="_Toc473635046"/>
      <w:bookmarkStart w:id="364" w:name="_Toc474159104"/>
      <w:r>
        <w:rPr>
          <w:rStyle w:val="CharPartNo"/>
        </w:rPr>
        <w:t>Part 5A</w:t>
      </w:r>
      <w:r>
        <w:rPr>
          <w:rStyle w:val="CharDivNo"/>
        </w:rPr>
        <w:t> </w:t>
      </w:r>
      <w:r>
        <w:t>—</w:t>
      </w:r>
      <w:r>
        <w:rPr>
          <w:rStyle w:val="CharDivText"/>
        </w:rPr>
        <w:t> </w:t>
      </w:r>
      <w:r>
        <w:rPr>
          <w:rStyle w:val="CharPartText"/>
        </w:rPr>
        <w:t>Post</w:t>
      </w:r>
      <w:r>
        <w:rPr>
          <w:rStyle w:val="CharPartText"/>
        </w:rPr>
        <w:noBreakHyphen/>
        <w:t>sentence supervision of certain offenders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Footnoteheading"/>
      </w:pPr>
      <w:bookmarkStart w:id="365" w:name="_Toc433982690"/>
      <w:bookmarkStart w:id="366" w:name="_Toc467152367"/>
      <w:bookmarkStart w:id="367" w:name="_Toc469037388"/>
      <w:r>
        <w:tab/>
        <w:t>[Heading inserted by No. 45 of 2016 s. 25.]</w:t>
      </w:r>
    </w:p>
    <w:p>
      <w:pPr>
        <w:pStyle w:val="Heading5"/>
      </w:pPr>
      <w:bookmarkStart w:id="368" w:name="_Toc511135839"/>
      <w:r>
        <w:rPr>
          <w:rStyle w:val="CharSectno"/>
        </w:rPr>
        <w:t>74A</w:t>
      </w:r>
      <w:r>
        <w:t>.</w:t>
      </w:r>
      <w:r>
        <w:tab/>
        <w:t>Terms used</w:t>
      </w:r>
      <w:bookmarkEnd w:id="365"/>
      <w:bookmarkEnd w:id="366"/>
      <w:bookmarkEnd w:id="367"/>
      <w:bookmarkEnd w:id="368"/>
    </w:p>
    <w:p>
      <w:pPr>
        <w:pStyle w:val="Subsection"/>
      </w:pPr>
      <w:r>
        <w:tab/>
      </w:r>
      <w:r>
        <w:tab/>
        <w:t xml:space="preserve">In this Part — </w:t>
      </w:r>
    </w:p>
    <w:p>
      <w:pPr>
        <w:pStyle w:val="Defstart"/>
      </w:pPr>
      <w:r>
        <w:tab/>
      </w:r>
      <w:r>
        <w:rPr>
          <w:rStyle w:val="CharDefText"/>
        </w:rPr>
        <w:t>breach</w:t>
      </w:r>
      <w:r>
        <w:t>, in relation to a PSSO, means to contravene any obligation or requirement of the order;</w:t>
      </w:r>
    </w:p>
    <w:p>
      <w:pPr>
        <w:pStyle w:val="Defstart"/>
      </w:pPr>
      <w:r>
        <w:tab/>
      </w:r>
      <w:r>
        <w:rPr>
          <w:rStyle w:val="CharDefText"/>
        </w:rPr>
        <w:t>cancelled PSSO</w:t>
      </w:r>
      <w:r>
        <w:t xml:space="preserve"> has the meaning given in section 74K(1);</w:t>
      </w:r>
    </w:p>
    <w:p>
      <w:pPr>
        <w:pStyle w:val="Defstart"/>
      </w:pPr>
      <w:r>
        <w:tab/>
      </w:r>
      <w:r>
        <w:rPr>
          <w:rStyle w:val="CharDefText"/>
        </w:rPr>
        <w:t>prisoner</w:t>
      </w:r>
      <w:r>
        <w:t xml:space="preserve"> means a prisoner who is serving a fixed term for a serious violent offence;</w:t>
      </w:r>
    </w:p>
    <w:p>
      <w:pPr>
        <w:pStyle w:val="Defstart"/>
      </w:pPr>
      <w:r>
        <w:tab/>
      </w:r>
      <w:r>
        <w:rPr>
          <w:rStyle w:val="CharDefText"/>
        </w:rPr>
        <w:t>PSSO considerations</w:t>
      </w:r>
      <w:r>
        <w:t xml:space="preserve"> has the meaning given in section 74B;</w:t>
      </w:r>
    </w:p>
    <w:p>
      <w:pPr>
        <w:pStyle w:val="Defstart"/>
      </w:pPr>
      <w:r>
        <w:tab/>
      </w:r>
      <w:r>
        <w:rPr>
          <w:rStyle w:val="CharDefText"/>
        </w:rPr>
        <w:t>PSSO period</w:t>
      </w:r>
      <w:r>
        <w:t xml:space="preserve"> has the meaning given in section 74E(2);</w:t>
      </w:r>
    </w:p>
    <w:p>
      <w:pPr>
        <w:pStyle w:val="Defstart"/>
      </w:pPr>
      <w:r>
        <w:tab/>
      </w:r>
      <w:r>
        <w:rPr>
          <w:rStyle w:val="CharDefText"/>
        </w:rPr>
        <w:t>serious violent offence</w:t>
      </w:r>
      <w:r>
        <w:t xml:space="preserve"> means — </w:t>
      </w:r>
    </w:p>
    <w:p>
      <w:pPr>
        <w:pStyle w:val="Defpara"/>
      </w:pPr>
      <w:r>
        <w:tab/>
        <w:t>(a)</w:t>
      </w:r>
      <w:r>
        <w:tab/>
        <w:t>an offence specified in Schedule 4; or</w:t>
      </w:r>
    </w:p>
    <w:p>
      <w:pPr>
        <w:pStyle w:val="Defpara"/>
      </w:pPr>
      <w:r>
        <w:tab/>
        <w:t>(b)</w:t>
      </w:r>
      <w:r>
        <w:tab/>
        <w:t xml:space="preserve">an offence declared under the </w:t>
      </w:r>
      <w:r>
        <w:rPr>
          <w:i/>
        </w:rPr>
        <w:t>Sentencing Act 1995</w:t>
      </w:r>
      <w:r>
        <w:t xml:space="preserve"> section 97A(3) to be a serious violent offence.</w:t>
      </w:r>
    </w:p>
    <w:p>
      <w:pPr>
        <w:pStyle w:val="Footnotesection"/>
      </w:pPr>
      <w:bookmarkStart w:id="369" w:name="_Toc433982691"/>
      <w:bookmarkStart w:id="370" w:name="_Toc467152368"/>
      <w:bookmarkStart w:id="371" w:name="_Toc469037389"/>
      <w:r>
        <w:tab/>
        <w:t>[Section 74A inserted by No. 45 of 2016 s. 25.]</w:t>
      </w:r>
    </w:p>
    <w:p>
      <w:pPr>
        <w:pStyle w:val="Heading5"/>
      </w:pPr>
      <w:bookmarkStart w:id="372" w:name="_Toc511135840"/>
      <w:r>
        <w:rPr>
          <w:rStyle w:val="CharSectno"/>
        </w:rPr>
        <w:t>74B</w:t>
      </w:r>
      <w:r>
        <w:t>.</w:t>
      </w:r>
      <w:r>
        <w:tab/>
        <w:t>PSSO considerations</w:t>
      </w:r>
      <w:bookmarkEnd w:id="369"/>
      <w:bookmarkEnd w:id="370"/>
      <w:bookmarkEnd w:id="371"/>
      <w:bookmarkEnd w:id="372"/>
    </w:p>
    <w:p>
      <w:pPr>
        <w:pStyle w:val="Subsection"/>
      </w:pPr>
      <w:r>
        <w:tab/>
      </w:r>
      <w:r>
        <w:tab/>
        <w:t xml:space="preserve">In this Part a reference to the PSSO considerations is a reference to these considerations — </w:t>
      </w:r>
    </w:p>
    <w:p>
      <w:pPr>
        <w:pStyle w:val="Indenta"/>
      </w:pPr>
      <w:r>
        <w:tab/>
        <w:t>(a)</w:t>
      </w:r>
      <w:r>
        <w:tab/>
        <w:t>issues for any victim of a serious violent offence for which the prisoner is in custody, including any matter raised in a victim’s submission;</w:t>
      </w:r>
    </w:p>
    <w:p>
      <w:pPr>
        <w:pStyle w:val="Indenta"/>
      </w:pPr>
      <w:r>
        <w:tab/>
        <w:t>(b)</w:t>
      </w:r>
      <w:r>
        <w:tab/>
        <w:t>the behaviour of the prisoner when in custody insofar as it may be relevant to determining how the prisoner is likely to behave if released;</w:t>
      </w:r>
    </w:p>
    <w:p>
      <w:pPr>
        <w:pStyle w:val="Indenta"/>
      </w:pPr>
      <w:r>
        <w:tab/>
        <w:t>(c)</w:t>
      </w:r>
      <w:r>
        <w:tab/>
        <w:t>whether the prisoner has participated in programmes available to the prisoner when in custody, and if not the reasons for not doing so;</w:t>
      </w:r>
    </w:p>
    <w:p>
      <w:pPr>
        <w:pStyle w:val="Indenta"/>
      </w:pPr>
      <w:r>
        <w:tab/>
        <w:t>(d)</w:t>
      </w:r>
      <w:r>
        <w:tab/>
        <w:t>the prisoner’s performance when participating in a programme mentioned in paragraph (c);</w:t>
      </w:r>
    </w:p>
    <w:p>
      <w:pPr>
        <w:pStyle w:val="Indenta"/>
      </w:pPr>
      <w:r>
        <w:tab/>
        <w:t>(e)</w:t>
      </w:r>
      <w:r>
        <w:tab/>
        <w:t>the behaviour of the prisoner when subject to any PSSO made previously;</w:t>
      </w:r>
    </w:p>
    <w:p>
      <w:pPr>
        <w:pStyle w:val="Indenta"/>
      </w:pPr>
      <w:r>
        <w:tab/>
        <w:t>(f)</w:t>
      </w:r>
      <w:r>
        <w:tab/>
        <w:t>the likelihood of the prisoner committing a serious violent offence when subject to a PSSO;</w:t>
      </w:r>
    </w:p>
    <w:p>
      <w:pPr>
        <w:pStyle w:val="Indenta"/>
      </w:pPr>
      <w:r>
        <w:tab/>
        <w:t>(g)</w:t>
      </w:r>
      <w:r>
        <w:tab/>
        <w:t>the likelihood of the prisoner complying with the standard obligations and any additional requirements of any PSSO;</w:t>
      </w:r>
    </w:p>
    <w:p>
      <w:pPr>
        <w:pStyle w:val="Indenta"/>
      </w:pPr>
      <w:r>
        <w:tab/>
        <w:t>(h)</w:t>
      </w:r>
      <w:r>
        <w:tab/>
        <w:t>any other matter that is or may be relevant to whether the prisoner should be subject to a PSSO after the prisoner’s release.</w:t>
      </w:r>
    </w:p>
    <w:p>
      <w:pPr>
        <w:pStyle w:val="Footnotesection"/>
      </w:pPr>
      <w:bookmarkStart w:id="373" w:name="_Toc433982692"/>
      <w:bookmarkStart w:id="374" w:name="_Toc467152369"/>
      <w:bookmarkStart w:id="375" w:name="_Toc469037390"/>
      <w:r>
        <w:tab/>
        <w:t>[Section 74B inserted by No. 45 of 2016 s. 25.]</w:t>
      </w:r>
    </w:p>
    <w:p>
      <w:pPr>
        <w:pStyle w:val="Heading5"/>
      </w:pPr>
      <w:bookmarkStart w:id="376" w:name="_Toc511135841"/>
      <w:r>
        <w:rPr>
          <w:rStyle w:val="CharSectno"/>
        </w:rPr>
        <w:t>74C</w:t>
      </w:r>
      <w:r>
        <w:t>.</w:t>
      </w:r>
      <w:r>
        <w:tab/>
        <w:t>Reports by CEO to Board about prisoners</w:t>
      </w:r>
      <w:bookmarkEnd w:id="373"/>
      <w:bookmarkEnd w:id="374"/>
      <w:bookmarkEnd w:id="375"/>
      <w:bookmarkEnd w:id="376"/>
    </w:p>
    <w:p>
      <w:pPr>
        <w:pStyle w:val="Subsection"/>
      </w:pPr>
      <w:r>
        <w:tab/>
        <w:t>(1)</w:t>
      </w:r>
      <w:r>
        <w:tab/>
        <w:t>The CEO must give the Board a written report about every prisoner that addresses the PSSO considerations relating to the prisoner.</w:t>
      </w:r>
    </w:p>
    <w:p>
      <w:pPr>
        <w:pStyle w:val="Subsection"/>
      </w:pPr>
      <w:r>
        <w:tab/>
        <w:t>(2)</w:t>
      </w:r>
      <w:r>
        <w:tab/>
        <w:t>The report must be given to the Board no later than 3 months before the end of the prisoner’s term.</w:t>
      </w:r>
    </w:p>
    <w:p>
      <w:pPr>
        <w:pStyle w:val="Subsection"/>
      </w:pPr>
      <w:r>
        <w:tab/>
        <w:t>(3)</w:t>
      </w:r>
      <w:r>
        <w:tab/>
        <w:t>This section applies whether or not the prisoner is subject to an early release order.</w:t>
      </w:r>
    </w:p>
    <w:p>
      <w:pPr>
        <w:pStyle w:val="Footnotesection"/>
      </w:pPr>
      <w:bookmarkStart w:id="377" w:name="_Toc433982693"/>
      <w:bookmarkStart w:id="378" w:name="_Toc467152370"/>
      <w:bookmarkStart w:id="379" w:name="_Toc469037391"/>
      <w:r>
        <w:tab/>
        <w:t>[Section 74C inserted by No. 45 of 2016 s. 25.]</w:t>
      </w:r>
    </w:p>
    <w:p>
      <w:pPr>
        <w:pStyle w:val="Heading5"/>
      </w:pPr>
      <w:bookmarkStart w:id="380" w:name="_Toc511135842"/>
      <w:r>
        <w:rPr>
          <w:rStyle w:val="CharSectno"/>
        </w:rPr>
        <w:t>74D</w:t>
      </w:r>
      <w:r>
        <w:t>.</w:t>
      </w:r>
      <w:r>
        <w:tab/>
        <w:t>Board may make PSSO</w:t>
      </w:r>
      <w:bookmarkEnd w:id="377"/>
      <w:bookmarkEnd w:id="378"/>
      <w:bookmarkEnd w:id="379"/>
      <w:bookmarkEnd w:id="380"/>
    </w:p>
    <w:p>
      <w:pPr>
        <w:pStyle w:val="Subsection"/>
      </w:pPr>
      <w:r>
        <w:tab/>
        <w:t>(1)</w:t>
      </w:r>
      <w:r>
        <w:tab/>
        <w:t>Before the end of a prisoner’s term, the Board must consider whether a post</w:t>
      </w:r>
      <w:r>
        <w:noBreakHyphen/>
        <w:t>sentence supervision order should be made in respect of the prisoner.</w:t>
      </w:r>
    </w:p>
    <w:p>
      <w:pPr>
        <w:pStyle w:val="Subsection"/>
      </w:pPr>
      <w:r>
        <w:tab/>
        <w:t>(2)</w:t>
      </w:r>
      <w:r>
        <w:tab/>
        <w:t>Subsection (1) applies whether or not the prisoner is subject to an early release order.</w:t>
      </w:r>
    </w:p>
    <w:p>
      <w:pPr>
        <w:pStyle w:val="Subsection"/>
      </w:pPr>
      <w:r>
        <w:tab/>
        <w:t>(3)</w:t>
      </w:r>
      <w:r>
        <w:tab/>
        <w:t xml:space="preserve">If the Board, having regard to — </w:t>
      </w:r>
    </w:p>
    <w:p>
      <w:pPr>
        <w:pStyle w:val="Indenta"/>
      </w:pPr>
      <w:r>
        <w:tab/>
        <w:t>(a)</w:t>
      </w:r>
      <w:r>
        <w:tab/>
        <w:t>the PSSO considerations relating to the prisoner; and</w:t>
      </w:r>
    </w:p>
    <w:p>
      <w:pPr>
        <w:pStyle w:val="Indenta"/>
      </w:pPr>
      <w:r>
        <w:tab/>
        <w:t>(b)</w:t>
      </w:r>
      <w:r>
        <w:tab/>
        <w:t>the report made by the CEO under section 74C; and</w:t>
      </w:r>
    </w:p>
    <w:p>
      <w:pPr>
        <w:pStyle w:val="Indenta"/>
      </w:pPr>
      <w:r>
        <w:tab/>
        <w:t>(c)</w:t>
      </w:r>
      <w:r>
        <w:tab/>
        <w:t>any other information about the prisoner brought to its attention,</w:t>
      </w:r>
    </w:p>
    <w:p>
      <w:pPr>
        <w:pStyle w:val="Subsection"/>
      </w:pPr>
      <w:r>
        <w:tab/>
      </w:r>
      <w:r>
        <w:tab/>
        <w:t>decides that it is appropriate to make a post</w:t>
      </w:r>
      <w:r>
        <w:noBreakHyphen/>
        <w:t>sentence supervision order in respect of the prisoner, the Board must do so.</w:t>
      </w:r>
    </w:p>
    <w:p>
      <w:pPr>
        <w:pStyle w:val="Footnotesection"/>
      </w:pPr>
      <w:bookmarkStart w:id="381" w:name="_Toc433982694"/>
      <w:bookmarkStart w:id="382" w:name="_Toc467152371"/>
      <w:bookmarkStart w:id="383" w:name="_Toc469037392"/>
      <w:r>
        <w:tab/>
        <w:t>[Section 74D inserted by No. 45 of 2016 s. 25.]</w:t>
      </w:r>
    </w:p>
    <w:p>
      <w:pPr>
        <w:pStyle w:val="Heading5"/>
      </w:pPr>
      <w:bookmarkStart w:id="384" w:name="_Toc511135843"/>
      <w:r>
        <w:rPr>
          <w:rStyle w:val="CharSectno"/>
        </w:rPr>
        <w:t>74E</w:t>
      </w:r>
      <w:r>
        <w:t>.</w:t>
      </w:r>
      <w:r>
        <w:tab/>
        <w:t>Nature of PSSO</w:t>
      </w:r>
      <w:bookmarkEnd w:id="381"/>
      <w:bookmarkEnd w:id="382"/>
      <w:bookmarkEnd w:id="383"/>
      <w:bookmarkEnd w:id="384"/>
    </w:p>
    <w:p>
      <w:pPr>
        <w:pStyle w:val="Subsection"/>
      </w:pPr>
      <w:r>
        <w:tab/>
        <w:t>(1)</w:t>
      </w:r>
      <w:r>
        <w:tab/>
        <w:t xml:space="preserve">A PSSO is an order that the person specified in the order (the </w:t>
      </w:r>
      <w:r>
        <w:rPr>
          <w:rStyle w:val="CharDefText"/>
        </w:rPr>
        <w:t>supervised offender</w:t>
      </w:r>
      <w:r>
        <w:t xml:space="preserve">) must during the PSSO period comply with — </w:t>
      </w:r>
    </w:p>
    <w:p>
      <w:pPr>
        <w:pStyle w:val="Indenta"/>
      </w:pPr>
      <w:r>
        <w:tab/>
        <w:t>(a)</w:t>
      </w:r>
      <w:r>
        <w:tab/>
        <w:t>the standard obligations in section 74F; and</w:t>
      </w:r>
    </w:p>
    <w:p>
      <w:pPr>
        <w:pStyle w:val="Indenta"/>
      </w:pPr>
      <w:r>
        <w:tab/>
        <w:t>(b)</w:t>
      </w:r>
      <w:r>
        <w:tab/>
        <w:t>any of the additional requirements in section 74G that are specified in the PSSO.</w:t>
      </w:r>
    </w:p>
    <w:p>
      <w:pPr>
        <w:pStyle w:val="Subsection"/>
      </w:pPr>
      <w:r>
        <w:tab/>
        <w:t>(2)</w:t>
      </w:r>
      <w:r>
        <w:tab/>
        <w:t xml:space="preserve">Subject to section 74K(2), the </w:t>
      </w:r>
      <w:r>
        <w:rPr>
          <w:rStyle w:val="CharDefText"/>
        </w:rPr>
        <w:t>PSSO period</w:t>
      </w:r>
      <w:r>
        <w:t xml:space="preserve"> is the period of 2 years beginning on — </w:t>
      </w:r>
    </w:p>
    <w:p>
      <w:pPr>
        <w:pStyle w:val="Indenta"/>
      </w:pPr>
      <w:r>
        <w:tab/>
        <w:t>(a)</w:t>
      </w:r>
      <w:r>
        <w:tab/>
        <w:t>if the supervised offender is not released on parole — the day on which the offender is released after serving the offender’s term; or</w:t>
      </w:r>
    </w:p>
    <w:p>
      <w:pPr>
        <w:pStyle w:val="Indenta"/>
      </w:pPr>
      <w:r>
        <w:tab/>
        <w:t>(b)</w:t>
      </w:r>
      <w:r>
        <w:tab/>
        <w:t>if the supervised offender is released on parole — the day after the day on which the offender’s term ends.</w:t>
      </w:r>
    </w:p>
    <w:p>
      <w:pPr>
        <w:pStyle w:val="Footnotesection"/>
      </w:pPr>
      <w:bookmarkStart w:id="385" w:name="_Toc433982695"/>
      <w:bookmarkStart w:id="386" w:name="_Toc467152372"/>
      <w:bookmarkStart w:id="387" w:name="_Toc469037393"/>
      <w:r>
        <w:tab/>
        <w:t>[Section 74E inserted by No. 45 of 2016 s. 25.]</w:t>
      </w:r>
    </w:p>
    <w:p>
      <w:pPr>
        <w:pStyle w:val="Heading5"/>
      </w:pPr>
      <w:bookmarkStart w:id="388" w:name="_Toc511135844"/>
      <w:r>
        <w:rPr>
          <w:rStyle w:val="CharSectno"/>
        </w:rPr>
        <w:t>74F</w:t>
      </w:r>
      <w:r>
        <w:t>.</w:t>
      </w:r>
      <w:r>
        <w:tab/>
        <w:t>Standard obligations of PSSO</w:t>
      </w:r>
      <w:bookmarkEnd w:id="385"/>
      <w:bookmarkEnd w:id="386"/>
      <w:bookmarkEnd w:id="387"/>
      <w:bookmarkEnd w:id="388"/>
    </w:p>
    <w:p>
      <w:pPr>
        <w:pStyle w:val="Subsection"/>
      </w:pPr>
      <w:r>
        <w:tab/>
      </w:r>
      <w:r>
        <w:tab/>
        <w:t xml:space="preserve">The standard obligations of a PSSO are that the supervised offender — </w:t>
      </w:r>
    </w:p>
    <w:p>
      <w:pPr>
        <w:pStyle w:val="Indenta"/>
      </w:pPr>
      <w:r>
        <w:tab/>
        <w:t>(a)</w:t>
      </w:r>
      <w:r>
        <w:tab/>
        <w:t>must report to a community corrections centre within 72 hours after being released, or as otherwise directed by a CCO; and</w:t>
      </w:r>
    </w:p>
    <w:p>
      <w:pPr>
        <w:pStyle w:val="Indenta"/>
      </w:pPr>
      <w:r>
        <w:tab/>
        <w:t>(b)</w:t>
      </w:r>
      <w:r>
        <w:tab/>
        <w:t>must notify a CCO of any change of address or place of employment within 2 clear working days after the change; and</w:t>
      </w:r>
    </w:p>
    <w:p>
      <w:pPr>
        <w:pStyle w:val="Indenta"/>
      </w:pPr>
      <w:r>
        <w:tab/>
        <w:t>(c)</w:t>
      </w:r>
      <w:r>
        <w:tab/>
        <w:t>must comply with section 76.</w:t>
      </w:r>
    </w:p>
    <w:p>
      <w:pPr>
        <w:pStyle w:val="Footnotesection"/>
      </w:pPr>
      <w:bookmarkStart w:id="389" w:name="_Toc433982696"/>
      <w:bookmarkStart w:id="390" w:name="_Toc467152373"/>
      <w:bookmarkStart w:id="391" w:name="_Toc469037394"/>
      <w:r>
        <w:tab/>
        <w:t>[Section 74F inserted by No. 45 of 2016 s. 25.]</w:t>
      </w:r>
    </w:p>
    <w:p>
      <w:pPr>
        <w:pStyle w:val="Heading5"/>
      </w:pPr>
      <w:bookmarkStart w:id="392" w:name="_Toc511135845"/>
      <w:r>
        <w:rPr>
          <w:rStyle w:val="CharSectno"/>
        </w:rPr>
        <w:t>74G</w:t>
      </w:r>
      <w:r>
        <w:t>.</w:t>
      </w:r>
      <w:r>
        <w:tab/>
        <w:t>Additional requirements of PSSO</w:t>
      </w:r>
      <w:bookmarkEnd w:id="389"/>
      <w:bookmarkEnd w:id="390"/>
      <w:bookmarkEnd w:id="391"/>
      <w:bookmarkEnd w:id="392"/>
    </w:p>
    <w:p>
      <w:pPr>
        <w:pStyle w:val="Subsection"/>
      </w:pPr>
      <w:r>
        <w:tab/>
      </w:r>
      <w:r>
        <w:tab/>
        <w:t xml:space="preserve">A PSSO may contain any of these additional requirements as the Board thinks fit — </w:t>
      </w:r>
    </w:p>
    <w:p>
      <w:pPr>
        <w:pStyle w:val="Indenta"/>
      </w:pPr>
      <w:r>
        <w:tab/>
        <w:t>(a)</w:t>
      </w:r>
      <w:r>
        <w:tab/>
        <w:t>a requirement relating to where the supervised offender must reside;</w:t>
      </w:r>
    </w:p>
    <w:p>
      <w:pPr>
        <w:pStyle w:val="Indenta"/>
      </w:pPr>
      <w:r>
        <w:tab/>
        <w:t>(b)</w:t>
      </w:r>
      <w:r>
        <w:tab/>
        <w:t>requirements relating to the protection of any victim of an offence committed by the supervised offender from coming into contact with the offender;</w:t>
      </w:r>
    </w:p>
    <w:p>
      <w:pPr>
        <w:pStyle w:val="Indenta"/>
      </w:pPr>
      <w:r>
        <w:tab/>
        <w:t>(c)</w:t>
      </w:r>
      <w:r>
        <w:tab/>
        <w:t>a requirement that the supervised offender must wear any device for monitoring purposes;</w:t>
      </w:r>
    </w:p>
    <w:p>
      <w:pPr>
        <w:pStyle w:val="Indenta"/>
      </w:pPr>
      <w:r>
        <w:tab/>
        <w:t>(d)</w:t>
      </w:r>
      <w:r>
        <w:tab/>
        <w:t>a requirement that the supervised offender permit the installation of any device or equipment at the place where the offender resides for monitoring purposes;</w:t>
      </w:r>
    </w:p>
    <w:p>
      <w:pPr>
        <w:pStyle w:val="Indenta"/>
      </w:pPr>
      <w:r>
        <w:tab/>
        <w:t>(e)</w:t>
      </w:r>
      <w:r>
        <w:tab/>
        <w:t>a requirement that, if the CEO so directs, the supervised offender —</w:t>
      </w:r>
    </w:p>
    <w:p>
      <w:pPr>
        <w:pStyle w:val="Indenti"/>
      </w:pPr>
      <w:r>
        <w:tab/>
        <w:t>(i)</w:t>
      </w:r>
      <w:r>
        <w:tab/>
        <w:t>wear any device for monitoring purposes;</w:t>
      </w:r>
    </w:p>
    <w:p>
      <w:pPr>
        <w:pStyle w:val="Indenti"/>
      </w:pPr>
      <w:r>
        <w:tab/>
        <w:t>(ii)</w:t>
      </w:r>
      <w:r>
        <w:tab/>
        <w:t>permit the installation of any device or equipment at the place where the offender resides for monitoring purposes;</w:t>
      </w:r>
    </w:p>
    <w:p>
      <w:pPr>
        <w:pStyle w:val="Indenta"/>
      </w:pPr>
      <w:r>
        <w:tab/>
        <w:t>(f)</w:t>
      </w:r>
      <w:r>
        <w:tab/>
        <w:t>a requirement that the supervised offender must not leave Western Australia except with and in accordance with the written permission of the CEO;</w:t>
      </w:r>
    </w:p>
    <w:p>
      <w:pPr>
        <w:pStyle w:val="Indenta"/>
      </w:pPr>
      <w:r>
        <w:tab/>
        <w:t>(g)</w:t>
      </w:r>
      <w:r>
        <w:tab/>
        <w:t>requirements to facilitate the supervised offender’s rehabilitation;</w:t>
      </w:r>
    </w:p>
    <w:p>
      <w:pPr>
        <w:pStyle w:val="Indenta"/>
      </w:pPr>
      <w:r>
        <w:tab/>
        <w:t>(h)</w:t>
      </w:r>
      <w:r>
        <w:tab/>
        <w:t>a requirement that the supervised offender must, in each period of 7 days, do the prescribed number of hours of community corrections activities;</w:t>
      </w:r>
    </w:p>
    <w:p>
      <w:pPr>
        <w:pStyle w:val="Indenta"/>
      </w:pPr>
      <w:r>
        <w:tab/>
        <w:t>(i)</w:t>
      </w:r>
      <w:r>
        <w:tab/>
        <w:t>a requirement that the supervised offender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(j)</w:t>
      </w:r>
      <w:r>
        <w:tab/>
        <w:t>prescribed requirements.</w:t>
      </w:r>
    </w:p>
    <w:p>
      <w:pPr>
        <w:pStyle w:val="Footnotesection"/>
      </w:pPr>
      <w:bookmarkStart w:id="393" w:name="_Toc433982697"/>
      <w:bookmarkStart w:id="394" w:name="_Toc467152374"/>
      <w:bookmarkStart w:id="395" w:name="_Toc469037395"/>
      <w:r>
        <w:tab/>
        <w:t>[Section 74G inserted by No. 45 of 2016 s. 25.]</w:t>
      </w:r>
    </w:p>
    <w:p>
      <w:pPr>
        <w:pStyle w:val="Heading5"/>
      </w:pPr>
      <w:bookmarkStart w:id="396" w:name="_Toc511135846"/>
      <w:r>
        <w:rPr>
          <w:rStyle w:val="CharSectno"/>
        </w:rPr>
        <w:t>74H</w:t>
      </w:r>
      <w:r>
        <w:t>.</w:t>
      </w:r>
      <w:r>
        <w:tab/>
        <w:t>CEO to ensure person subject to PSSO is supervised</w:t>
      </w:r>
      <w:bookmarkEnd w:id="393"/>
      <w:bookmarkEnd w:id="394"/>
      <w:bookmarkEnd w:id="395"/>
      <w:bookmarkEnd w:id="396"/>
    </w:p>
    <w:p>
      <w:pPr>
        <w:pStyle w:val="Subsection"/>
      </w:pPr>
      <w:r>
        <w:tab/>
      </w:r>
      <w:r>
        <w:tab/>
        <w:t>The CEO must ensure that a CCO is assigned to supervise a supervised offender for the duration of the PSSO period.</w:t>
      </w:r>
    </w:p>
    <w:p>
      <w:pPr>
        <w:pStyle w:val="Footnotesection"/>
      </w:pPr>
      <w:bookmarkStart w:id="397" w:name="_Toc433982698"/>
      <w:bookmarkStart w:id="398" w:name="_Toc467152375"/>
      <w:bookmarkStart w:id="399" w:name="_Toc469037396"/>
      <w:r>
        <w:tab/>
        <w:t>[Section 74H inserted by No. 45 of 2016 s. 25.]</w:t>
      </w:r>
    </w:p>
    <w:p>
      <w:pPr>
        <w:pStyle w:val="Heading5"/>
      </w:pPr>
      <w:bookmarkStart w:id="400" w:name="_Toc511135847"/>
      <w:r>
        <w:rPr>
          <w:rStyle w:val="CharSectno"/>
        </w:rPr>
        <w:t>74I</w:t>
      </w:r>
      <w:r>
        <w:t>.</w:t>
      </w:r>
      <w:r>
        <w:tab/>
        <w:t>Amendment of PSSO</w:t>
      </w:r>
      <w:bookmarkEnd w:id="397"/>
      <w:bookmarkEnd w:id="398"/>
      <w:bookmarkEnd w:id="399"/>
      <w:bookmarkEnd w:id="400"/>
    </w:p>
    <w:p>
      <w:pPr>
        <w:pStyle w:val="Subsection"/>
      </w:pPr>
      <w:r>
        <w:tab/>
        <w:t>(1)</w:t>
      </w:r>
      <w:r>
        <w:tab/>
        <w:t>The Board may amend a PSSO at any time before the end of the PSSO period.</w:t>
      </w:r>
    </w:p>
    <w:p>
      <w:pPr>
        <w:pStyle w:val="Subsection"/>
      </w:pPr>
      <w:r>
        <w:tab/>
        <w:t>(2)</w:t>
      </w:r>
      <w:r>
        <w:tab/>
        <w:t>If a PSSO is amended, the amended PSSO applies accordingly.</w:t>
      </w:r>
    </w:p>
    <w:p>
      <w:pPr>
        <w:pStyle w:val="Footnotesection"/>
      </w:pPr>
      <w:bookmarkStart w:id="401" w:name="_Toc433982699"/>
      <w:bookmarkStart w:id="402" w:name="_Toc467152376"/>
      <w:bookmarkStart w:id="403" w:name="_Toc469037397"/>
      <w:r>
        <w:tab/>
        <w:t>[Section 74I inserted by No. 45 of 2016 s. 25.]</w:t>
      </w:r>
    </w:p>
    <w:p>
      <w:pPr>
        <w:pStyle w:val="Heading5"/>
      </w:pPr>
      <w:bookmarkStart w:id="404" w:name="_Toc511135848"/>
      <w:r>
        <w:rPr>
          <w:rStyle w:val="CharSectno"/>
        </w:rPr>
        <w:t>74J</w:t>
      </w:r>
      <w:r>
        <w:t>.</w:t>
      </w:r>
      <w:r>
        <w:tab/>
        <w:t>Cancellation of PSSO</w:t>
      </w:r>
      <w:bookmarkEnd w:id="401"/>
      <w:bookmarkEnd w:id="402"/>
      <w:bookmarkEnd w:id="403"/>
      <w:bookmarkEnd w:id="404"/>
    </w:p>
    <w:p>
      <w:pPr>
        <w:pStyle w:val="Subsection"/>
      </w:pPr>
      <w:r>
        <w:tab/>
        <w:t>(1)</w:t>
      </w:r>
      <w:r>
        <w:tab/>
        <w:t>The Board may cancel a PSSO at any time before the commencement of the PSSO period.</w:t>
      </w:r>
    </w:p>
    <w:p>
      <w:pPr>
        <w:pStyle w:val="Subsection"/>
      </w:pPr>
      <w:r>
        <w:tab/>
        <w:t>(2)</w:t>
      </w:r>
      <w:r>
        <w:tab/>
        <w:t>If a supervised offender, during the PSSO period, commits an offence (in this State or elsewhere) and is sentenced to imprisonment for that offence, the PSSO applicable to the supervised offender is cancelled by operation of this section.</w:t>
      </w:r>
    </w:p>
    <w:p>
      <w:pPr>
        <w:pStyle w:val="Footnotesection"/>
      </w:pPr>
      <w:bookmarkStart w:id="405" w:name="_Toc433982700"/>
      <w:bookmarkStart w:id="406" w:name="_Toc467152377"/>
      <w:bookmarkStart w:id="407" w:name="_Toc469037398"/>
      <w:r>
        <w:tab/>
        <w:t>[Section 74J inserted by No. 45 of 2016 s. 25.]</w:t>
      </w:r>
    </w:p>
    <w:p>
      <w:pPr>
        <w:pStyle w:val="Heading5"/>
      </w:pPr>
      <w:bookmarkStart w:id="408" w:name="_Toc511135849"/>
      <w:r>
        <w:rPr>
          <w:rStyle w:val="CharSectno"/>
        </w:rPr>
        <w:t>74K</w:t>
      </w:r>
      <w:r>
        <w:t>.</w:t>
      </w:r>
      <w:r>
        <w:tab/>
        <w:t>Subsequent PSSO after cancellation for committing offence</w:t>
      </w:r>
      <w:bookmarkEnd w:id="405"/>
      <w:bookmarkEnd w:id="406"/>
      <w:bookmarkEnd w:id="407"/>
      <w:bookmarkEnd w:id="408"/>
    </w:p>
    <w:p>
      <w:pPr>
        <w:pStyle w:val="Subsection"/>
      </w:pPr>
      <w:r>
        <w:tab/>
        <w:t>(1)</w:t>
      </w:r>
      <w:r>
        <w:tab/>
        <w:t xml:space="preserve">If a PSSO is cancelled under section 74J(2) (the </w:t>
      </w:r>
      <w:r>
        <w:rPr>
          <w:rStyle w:val="CharDefText"/>
        </w:rPr>
        <w:t>cancelled PSSO</w:t>
      </w:r>
      <w:r>
        <w:t>), the Board may subsequently make another PSSO in respect of the prisoner.</w:t>
      </w:r>
    </w:p>
    <w:p>
      <w:pPr>
        <w:pStyle w:val="Subsection"/>
      </w:pPr>
      <w:r>
        <w:tab/>
        <w:t>(2)</w:t>
      </w:r>
      <w:r>
        <w:tab/>
        <w:t xml:space="preserve">The PSSO period in the subsequent PSSO is to be set by the Board but — </w:t>
      </w:r>
    </w:p>
    <w:p>
      <w:pPr>
        <w:pStyle w:val="Indenta"/>
      </w:pPr>
      <w:r>
        <w:tab/>
        <w:t>(a)</w:t>
      </w:r>
      <w:r>
        <w:tab/>
        <w:t>must begin on the day when the prisoner is released; and</w:t>
      </w:r>
    </w:p>
    <w:p>
      <w:pPr>
        <w:pStyle w:val="Indenta"/>
      </w:pPr>
      <w:r>
        <w:tab/>
        <w:t>(b)</w:t>
      </w:r>
      <w:r>
        <w:tab/>
        <w:t>must not be longer than the remaining PSSO period of the cancelled PSSO.</w:t>
      </w:r>
    </w:p>
    <w:p>
      <w:pPr>
        <w:pStyle w:val="Subsection"/>
      </w:pPr>
      <w:r>
        <w:tab/>
        <w:t>(3)</w:t>
      </w:r>
      <w:r>
        <w:tab/>
        <w:t>Subsection (2) does not apply if the offence by virtue of which the PSSO is cancelled under section 74J(2) is a serious violent offence.</w:t>
      </w:r>
    </w:p>
    <w:p>
      <w:pPr>
        <w:pStyle w:val="Footnotesection"/>
      </w:pPr>
      <w:bookmarkStart w:id="409" w:name="_Toc433982701"/>
      <w:bookmarkStart w:id="410" w:name="_Toc467152378"/>
      <w:bookmarkStart w:id="411" w:name="_Toc469037399"/>
      <w:r>
        <w:tab/>
        <w:t>[Section 74K inserted by No. 45 of 2016 s. 25.]</w:t>
      </w:r>
    </w:p>
    <w:p>
      <w:pPr>
        <w:pStyle w:val="Heading5"/>
      </w:pPr>
      <w:bookmarkStart w:id="412" w:name="_Toc511135850"/>
      <w:r>
        <w:rPr>
          <w:rStyle w:val="CharSectno"/>
        </w:rPr>
        <w:t>74L</w:t>
      </w:r>
      <w:r>
        <w:t>.</w:t>
      </w:r>
      <w:r>
        <w:tab/>
        <w:t>Offence for breach of PSSO</w:t>
      </w:r>
      <w:bookmarkEnd w:id="409"/>
      <w:bookmarkEnd w:id="410"/>
      <w:bookmarkEnd w:id="411"/>
      <w:bookmarkEnd w:id="412"/>
    </w:p>
    <w:p>
      <w:pPr>
        <w:pStyle w:val="Subsection"/>
      </w:pPr>
      <w:r>
        <w:tab/>
      </w:r>
      <w:r>
        <w:tab/>
        <w:t>A supervised offender who breaches a PSSO, without reasonable excuse (proof of which is on the offender), commits a crime.</w:t>
      </w:r>
    </w:p>
    <w:p>
      <w:pPr>
        <w:pStyle w:val="Penstart"/>
      </w:pPr>
      <w:r>
        <w:tab/>
        <w:t>Penalty: imprisonment for 3 years.</w:t>
      </w:r>
    </w:p>
    <w:p>
      <w:pPr>
        <w:pStyle w:val="Penstart"/>
      </w:pPr>
      <w:r>
        <w:tab/>
        <w:t>Summary conviction penalty: a fine of $18 000 and imprisonment for 18 months.</w:t>
      </w:r>
    </w:p>
    <w:p>
      <w:pPr>
        <w:pStyle w:val="Footnotesection"/>
      </w:pPr>
      <w:r>
        <w:tab/>
        <w:t>[Section 74L inserted by No. 45 of 2016 s. 25.]</w:t>
      </w:r>
    </w:p>
    <w:p>
      <w:pPr>
        <w:pStyle w:val="Heading2"/>
      </w:pPr>
      <w:bookmarkStart w:id="413" w:name="_Toc485716090"/>
      <w:bookmarkStart w:id="414" w:name="_Toc485719842"/>
      <w:bookmarkStart w:id="415" w:name="_Toc485802586"/>
      <w:bookmarkStart w:id="416" w:name="_Toc486435527"/>
      <w:bookmarkStart w:id="417" w:name="_Toc509830315"/>
      <w:bookmarkStart w:id="418" w:name="_Toc509830646"/>
      <w:bookmarkStart w:id="419" w:name="_Toc511135851"/>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363"/>
      <w:bookmarkEnd w:id="364"/>
      <w:bookmarkEnd w:id="413"/>
      <w:bookmarkEnd w:id="414"/>
      <w:bookmarkEnd w:id="415"/>
      <w:bookmarkEnd w:id="416"/>
      <w:bookmarkEnd w:id="417"/>
      <w:bookmarkEnd w:id="418"/>
      <w:bookmarkEnd w:id="419"/>
    </w:p>
    <w:p>
      <w:pPr>
        <w:pStyle w:val="Heading5"/>
        <w:spacing w:before="240"/>
      </w:pPr>
      <w:bookmarkStart w:id="420" w:name="_Toc511135852"/>
      <w:r>
        <w:rPr>
          <w:rStyle w:val="CharSectno"/>
        </w:rPr>
        <w:t>75</w:t>
      </w:r>
      <w:r>
        <w:t>.</w:t>
      </w:r>
      <w:r>
        <w:tab/>
        <w:t>Terms used</w:t>
      </w:r>
      <w:bookmarkEnd w:id="420"/>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a PSSO or a WDO.</w:t>
      </w:r>
    </w:p>
    <w:p>
      <w:pPr>
        <w:pStyle w:val="Footnotesection"/>
      </w:pPr>
      <w:r>
        <w:tab/>
        <w:t>[Section 75 amended by No. 27 of 2004 s. 12; No. 45 of 2016 s. 26.]</w:t>
      </w:r>
    </w:p>
    <w:p>
      <w:pPr>
        <w:pStyle w:val="Heading5"/>
        <w:spacing w:before="240"/>
      </w:pPr>
      <w:bookmarkStart w:id="421" w:name="_Toc511135853"/>
      <w:r>
        <w:rPr>
          <w:rStyle w:val="CharSectno"/>
        </w:rPr>
        <w:t>76</w:t>
      </w:r>
      <w:r>
        <w:t>.</w:t>
      </w:r>
      <w:r>
        <w:tab/>
        <w:t>Offender’s obligations</w:t>
      </w:r>
      <w:bookmarkEnd w:id="421"/>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422" w:name="_Toc511135854"/>
      <w:r>
        <w:rPr>
          <w:rStyle w:val="CharSectno"/>
        </w:rPr>
        <w:t>77</w:t>
      </w:r>
      <w:r>
        <w:t>.</w:t>
      </w:r>
      <w:r>
        <w:tab/>
        <w:t>Consequences of contravening s. 76 obligations</w:t>
      </w:r>
      <w:bookmarkEnd w:id="422"/>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pPr>
      <w:r>
        <w:tab/>
        <w:t>(ca)</w:t>
      </w:r>
      <w:r>
        <w:tab/>
        <w:t>if the offender is subject to a PSSO, report the matter to the CEO and recommend that the offender be charged with an offence under section 74L;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 No. 45 of 2016 s. 27.]</w:t>
      </w:r>
    </w:p>
    <w:p>
      <w:pPr>
        <w:pStyle w:val="Heading5"/>
      </w:pPr>
      <w:bookmarkStart w:id="423" w:name="_Toc511135855"/>
      <w:r>
        <w:rPr>
          <w:rStyle w:val="CharSectno"/>
        </w:rPr>
        <w:t>78</w:t>
      </w:r>
      <w:r>
        <w:t>.</w:t>
      </w:r>
      <w:r>
        <w:tab/>
        <w:t>CEO may suspend requirements in case of illness etc.</w:t>
      </w:r>
      <w:bookmarkEnd w:id="423"/>
    </w:p>
    <w:p>
      <w:pPr>
        <w:pStyle w:val="Subsection"/>
        <w:keepNext/>
        <w:rPr>
          <w:snapToGrid w:val="0"/>
        </w:rPr>
      </w:pPr>
      <w:r>
        <w:tab/>
        <w:t>(1)</w:t>
      </w:r>
      <w:r>
        <w:tab/>
      </w:r>
      <w:r>
        <w:rPr>
          <w:snapToGrid w:val="0"/>
        </w:rPr>
        <w:t>In this section —</w:t>
      </w:r>
    </w:p>
    <w:p>
      <w:pPr>
        <w:pStyle w:val="Defstart"/>
        <w:keepNex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an RRO or a PSSO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 xml:space="preserve">if the offender is subject to an early release </w:t>
      </w:r>
      <w:r>
        <w:t xml:space="preserve">order or a PSSO — </w:t>
      </w:r>
      <w:r>
        <w:rPr>
          <w:snapToGrid w:val="0"/>
        </w:rPr>
        <w:t>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w:t>
      </w:r>
      <w:r>
        <w:t>order or a PSSO.</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 No. 45 of 2016 s. 28.]</w:t>
      </w:r>
    </w:p>
    <w:p>
      <w:pPr>
        <w:pStyle w:val="Heading5"/>
      </w:pPr>
      <w:bookmarkStart w:id="424" w:name="_Toc511135856"/>
      <w:r>
        <w:rPr>
          <w:rStyle w:val="CharSectno"/>
        </w:rPr>
        <w:t>79</w:t>
      </w:r>
      <w:r>
        <w:t>.</w:t>
      </w:r>
      <w:r>
        <w:tab/>
        <w:t>Community service requirement, offender may be directed to do activities</w:t>
      </w:r>
      <w:bookmarkEnd w:id="424"/>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425" w:name="_Toc511135857"/>
      <w:r>
        <w:rPr>
          <w:rStyle w:val="CharSectno"/>
        </w:rPr>
        <w:t>80</w:t>
      </w:r>
      <w:r>
        <w:t>.</w:t>
      </w:r>
      <w:r>
        <w:tab/>
        <w:t>Programme requirement, CEO may give offender additional directions</w:t>
      </w:r>
      <w:bookmarkEnd w:id="425"/>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by No. 27 of 2004 s. 12.]</w:t>
      </w:r>
    </w:p>
    <w:p>
      <w:pPr>
        <w:pStyle w:val="Heading5"/>
      </w:pPr>
      <w:bookmarkStart w:id="426" w:name="_Toc511135858"/>
      <w:r>
        <w:rPr>
          <w:rStyle w:val="CharSectno"/>
        </w:rPr>
        <w:t>81</w:t>
      </w:r>
      <w:r>
        <w:t>.</w:t>
      </w:r>
      <w:r>
        <w:tab/>
        <w:t>Compensation for injury to offenders</w:t>
      </w:r>
      <w:bookmarkEnd w:id="426"/>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427" w:name="_Toc511135859"/>
      <w:r>
        <w:rPr>
          <w:rStyle w:val="CharSectno"/>
        </w:rPr>
        <w:t>82</w:t>
      </w:r>
      <w:r>
        <w:t>.</w:t>
      </w:r>
      <w:r>
        <w:tab/>
        <w:t>Regulations</w:t>
      </w:r>
      <w:bookmarkEnd w:id="427"/>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428" w:name="_Toc473635055"/>
      <w:bookmarkStart w:id="429" w:name="_Toc474159113"/>
      <w:bookmarkStart w:id="430" w:name="_Toc485716099"/>
      <w:bookmarkStart w:id="431" w:name="_Toc485719851"/>
      <w:bookmarkStart w:id="432" w:name="_Toc485802595"/>
      <w:bookmarkStart w:id="433" w:name="_Toc486435536"/>
      <w:bookmarkStart w:id="434" w:name="_Toc509830324"/>
      <w:bookmarkStart w:id="435" w:name="_Toc509830655"/>
      <w:bookmarkStart w:id="436" w:name="_Toc511135860"/>
      <w:r>
        <w:rPr>
          <w:rStyle w:val="CharPartNo"/>
        </w:rPr>
        <w:t>Part 7</w:t>
      </w:r>
      <w:r>
        <w:t xml:space="preserve"> — </w:t>
      </w:r>
      <w:r>
        <w:rPr>
          <w:rStyle w:val="CharPartText"/>
        </w:rPr>
        <w:t>Community corrections centres</w:t>
      </w:r>
      <w:bookmarkEnd w:id="428"/>
      <w:bookmarkEnd w:id="429"/>
      <w:bookmarkEnd w:id="430"/>
      <w:bookmarkEnd w:id="431"/>
      <w:bookmarkEnd w:id="432"/>
      <w:bookmarkEnd w:id="433"/>
      <w:bookmarkEnd w:id="434"/>
      <w:bookmarkEnd w:id="435"/>
      <w:bookmarkEnd w:id="436"/>
    </w:p>
    <w:p>
      <w:pPr>
        <w:pStyle w:val="Heading3"/>
      </w:pPr>
      <w:bookmarkStart w:id="437" w:name="_Toc473635056"/>
      <w:bookmarkStart w:id="438" w:name="_Toc474159114"/>
      <w:bookmarkStart w:id="439" w:name="_Toc485716100"/>
      <w:bookmarkStart w:id="440" w:name="_Toc485719852"/>
      <w:bookmarkStart w:id="441" w:name="_Toc485802596"/>
      <w:bookmarkStart w:id="442" w:name="_Toc486435537"/>
      <w:bookmarkStart w:id="443" w:name="_Toc509830325"/>
      <w:bookmarkStart w:id="444" w:name="_Toc509830656"/>
      <w:bookmarkStart w:id="445" w:name="_Toc511135861"/>
      <w:r>
        <w:rPr>
          <w:rStyle w:val="CharDivNo"/>
        </w:rPr>
        <w:t>Division 1</w:t>
      </w:r>
      <w:r>
        <w:t xml:space="preserve"> — </w:t>
      </w:r>
      <w:r>
        <w:rPr>
          <w:rStyle w:val="CharDivText"/>
        </w:rPr>
        <w:t>Preliminary</w:t>
      </w:r>
      <w:bookmarkEnd w:id="437"/>
      <w:bookmarkEnd w:id="438"/>
      <w:bookmarkEnd w:id="439"/>
      <w:bookmarkEnd w:id="440"/>
      <w:bookmarkEnd w:id="441"/>
      <w:bookmarkEnd w:id="442"/>
      <w:bookmarkEnd w:id="443"/>
      <w:bookmarkEnd w:id="444"/>
      <w:bookmarkEnd w:id="445"/>
    </w:p>
    <w:p>
      <w:pPr>
        <w:pStyle w:val="Heading5"/>
      </w:pPr>
      <w:bookmarkStart w:id="446" w:name="_Toc511135862"/>
      <w:r>
        <w:rPr>
          <w:rStyle w:val="CharSectno"/>
        </w:rPr>
        <w:t>83</w:t>
      </w:r>
      <w:r>
        <w:t>.</w:t>
      </w:r>
      <w:r>
        <w:tab/>
        <w:t>Terms used</w:t>
      </w:r>
      <w:bookmarkEnd w:id="446"/>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a PSSO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by No. 27 of 2004 s. 12; No. 45 of 2016 s. 29.]</w:t>
      </w:r>
    </w:p>
    <w:p>
      <w:pPr>
        <w:pStyle w:val="Heading5"/>
      </w:pPr>
      <w:bookmarkStart w:id="447" w:name="_Toc511135863"/>
      <w:r>
        <w:rPr>
          <w:rStyle w:val="CharSectno"/>
        </w:rPr>
        <w:t>84</w:t>
      </w:r>
      <w:r>
        <w:t>.</w:t>
      </w:r>
      <w:r>
        <w:tab/>
        <w:t>Community corrections centres, declaration of</w:t>
      </w:r>
      <w:bookmarkEnd w:id="447"/>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448" w:name="_Toc511135864"/>
      <w:r>
        <w:rPr>
          <w:rStyle w:val="CharSectno"/>
        </w:rPr>
        <w:t>85</w:t>
      </w:r>
      <w:r>
        <w:t>.</w:t>
      </w:r>
      <w:r>
        <w:tab/>
        <w:t>Community corrections activities, approval of</w:t>
      </w:r>
      <w:bookmarkEnd w:id="448"/>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449" w:name="_Toc473635060"/>
      <w:bookmarkStart w:id="450" w:name="_Toc474159118"/>
      <w:bookmarkStart w:id="451" w:name="_Toc485716104"/>
      <w:bookmarkStart w:id="452" w:name="_Toc485719856"/>
      <w:bookmarkStart w:id="453" w:name="_Toc485802600"/>
      <w:bookmarkStart w:id="454" w:name="_Toc486435541"/>
      <w:bookmarkStart w:id="455" w:name="_Toc509830329"/>
      <w:bookmarkStart w:id="456" w:name="_Toc509830660"/>
      <w:bookmarkStart w:id="457" w:name="_Toc511135865"/>
      <w:r>
        <w:rPr>
          <w:rStyle w:val="CharDivNo"/>
        </w:rPr>
        <w:t>Division 2</w:t>
      </w:r>
      <w:r>
        <w:t xml:space="preserve"> — </w:t>
      </w:r>
      <w:r>
        <w:rPr>
          <w:rStyle w:val="CharDivText"/>
        </w:rPr>
        <w:t>Management</w:t>
      </w:r>
      <w:bookmarkEnd w:id="449"/>
      <w:bookmarkEnd w:id="450"/>
      <w:bookmarkEnd w:id="451"/>
      <w:bookmarkEnd w:id="452"/>
      <w:bookmarkEnd w:id="453"/>
      <w:bookmarkEnd w:id="454"/>
      <w:bookmarkEnd w:id="455"/>
      <w:bookmarkEnd w:id="456"/>
      <w:bookmarkEnd w:id="457"/>
    </w:p>
    <w:p>
      <w:pPr>
        <w:pStyle w:val="Heading5"/>
      </w:pPr>
      <w:bookmarkStart w:id="458" w:name="_Toc511135866"/>
      <w:r>
        <w:rPr>
          <w:rStyle w:val="CharSectno"/>
        </w:rPr>
        <w:t>86</w:t>
      </w:r>
      <w:r>
        <w:t>.</w:t>
      </w:r>
      <w:r>
        <w:tab/>
        <w:t>Instructions about management etc., issue of etc.</w:t>
      </w:r>
      <w:bookmarkEnd w:id="458"/>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459" w:name="_Toc511135867"/>
      <w:r>
        <w:rPr>
          <w:rStyle w:val="CharSectno"/>
        </w:rPr>
        <w:t>87</w:t>
      </w:r>
      <w:r>
        <w:t>.</w:t>
      </w:r>
      <w:r>
        <w:tab/>
      </w:r>
      <w:r>
        <w:rPr>
          <w:snapToGrid w:val="0"/>
        </w:rPr>
        <w:t xml:space="preserve">Managers </w:t>
      </w:r>
      <w:r>
        <w:t>of centres, functions of etc.</w:t>
      </w:r>
      <w:bookmarkEnd w:id="459"/>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460" w:name="_Toc511135868"/>
      <w:r>
        <w:rPr>
          <w:rStyle w:val="CharSectno"/>
        </w:rPr>
        <w:t>88</w:t>
      </w:r>
      <w:r>
        <w:t>.</w:t>
      </w:r>
      <w:r>
        <w:tab/>
        <w:t>Functions of CCOs at centres</w:t>
      </w:r>
      <w:bookmarkEnd w:id="460"/>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461" w:name="_Toc511135869"/>
      <w:r>
        <w:rPr>
          <w:rStyle w:val="CharSectno"/>
        </w:rPr>
        <w:t>89</w:t>
      </w:r>
      <w:r>
        <w:t>.</w:t>
      </w:r>
      <w:r>
        <w:tab/>
        <w:t>Access to centres</w:t>
      </w:r>
      <w:bookmarkEnd w:id="461"/>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462" w:name="_Toc511135870"/>
      <w:r>
        <w:rPr>
          <w:rStyle w:val="CharSectno"/>
        </w:rPr>
        <w:t>90</w:t>
      </w:r>
      <w:r>
        <w:t>.</w:t>
      </w:r>
      <w:r>
        <w:tab/>
        <w:t>Searches</w:t>
      </w:r>
      <w:bookmarkEnd w:id="462"/>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463" w:name="_Toc511135871"/>
      <w:r>
        <w:rPr>
          <w:rStyle w:val="CharSectno"/>
        </w:rPr>
        <w:t>91</w:t>
      </w:r>
      <w:r>
        <w:t>.</w:t>
      </w:r>
      <w:r>
        <w:tab/>
        <w:t>Seizure</w:t>
      </w:r>
      <w:bookmarkEnd w:id="463"/>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464" w:name="_Toc473635067"/>
      <w:bookmarkStart w:id="465" w:name="_Toc474159125"/>
      <w:bookmarkStart w:id="466" w:name="_Toc485716111"/>
      <w:bookmarkStart w:id="467" w:name="_Toc485719863"/>
      <w:bookmarkStart w:id="468" w:name="_Toc485802607"/>
      <w:bookmarkStart w:id="469" w:name="_Toc486435548"/>
      <w:bookmarkStart w:id="470" w:name="_Toc509830336"/>
      <w:bookmarkStart w:id="471" w:name="_Toc509830667"/>
      <w:bookmarkStart w:id="472" w:name="_Toc511135872"/>
      <w:r>
        <w:rPr>
          <w:rStyle w:val="CharDivNo"/>
        </w:rPr>
        <w:t>Division 3</w:t>
      </w:r>
      <w:r>
        <w:t xml:space="preserve"> — </w:t>
      </w:r>
      <w:r>
        <w:rPr>
          <w:rStyle w:val="CharDivText"/>
        </w:rPr>
        <w:t>Miscellaneous</w:t>
      </w:r>
      <w:bookmarkEnd w:id="464"/>
      <w:bookmarkEnd w:id="465"/>
      <w:bookmarkEnd w:id="466"/>
      <w:bookmarkEnd w:id="467"/>
      <w:bookmarkEnd w:id="468"/>
      <w:bookmarkEnd w:id="469"/>
      <w:bookmarkEnd w:id="470"/>
      <w:bookmarkEnd w:id="471"/>
      <w:bookmarkEnd w:id="472"/>
    </w:p>
    <w:p>
      <w:pPr>
        <w:pStyle w:val="Heading5"/>
      </w:pPr>
      <w:bookmarkStart w:id="473" w:name="_Toc511135873"/>
      <w:r>
        <w:rPr>
          <w:rStyle w:val="CharSectno"/>
        </w:rPr>
        <w:t>92</w:t>
      </w:r>
      <w:r>
        <w:t>.</w:t>
      </w:r>
      <w:r>
        <w:tab/>
        <w:t>Department to report on centres</w:t>
      </w:r>
      <w:bookmarkEnd w:id="473"/>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Sch. 1 cl. 155.]</w:t>
      </w:r>
    </w:p>
    <w:p>
      <w:pPr>
        <w:pStyle w:val="Heading5"/>
        <w:spacing w:before="160"/>
      </w:pPr>
      <w:bookmarkStart w:id="474" w:name="_Toc511135874"/>
      <w:r>
        <w:rPr>
          <w:rStyle w:val="CharSectno"/>
        </w:rPr>
        <w:t>93</w:t>
      </w:r>
      <w:r>
        <w:t>.</w:t>
      </w:r>
      <w:r>
        <w:tab/>
        <w:t>Regulations</w:t>
      </w:r>
      <w:bookmarkEnd w:id="474"/>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475" w:name="_Toc473635070"/>
      <w:bookmarkStart w:id="476" w:name="_Toc474159128"/>
      <w:bookmarkStart w:id="477" w:name="_Toc485716114"/>
      <w:bookmarkStart w:id="478" w:name="_Toc485719866"/>
      <w:bookmarkStart w:id="479" w:name="_Toc485802610"/>
      <w:bookmarkStart w:id="480" w:name="_Toc486435551"/>
      <w:bookmarkStart w:id="481" w:name="_Toc509830339"/>
      <w:bookmarkStart w:id="482" w:name="_Toc509830670"/>
      <w:bookmarkStart w:id="483" w:name="_Toc511135875"/>
      <w:r>
        <w:rPr>
          <w:rStyle w:val="CharPartNo"/>
        </w:rPr>
        <w:t>Part 8</w:t>
      </w:r>
      <w:r>
        <w:t xml:space="preserve"> — </w:t>
      </w:r>
      <w:r>
        <w:rPr>
          <w:rStyle w:val="CharPartText"/>
        </w:rPr>
        <w:t>Staff</w:t>
      </w:r>
      <w:bookmarkEnd w:id="475"/>
      <w:bookmarkEnd w:id="476"/>
      <w:bookmarkEnd w:id="477"/>
      <w:bookmarkEnd w:id="478"/>
      <w:bookmarkEnd w:id="479"/>
      <w:bookmarkEnd w:id="480"/>
      <w:bookmarkEnd w:id="481"/>
      <w:bookmarkEnd w:id="482"/>
      <w:bookmarkEnd w:id="483"/>
    </w:p>
    <w:p>
      <w:pPr>
        <w:pStyle w:val="Heading3"/>
      </w:pPr>
      <w:bookmarkStart w:id="484" w:name="_Toc473635071"/>
      <w:bookmarkStart w:id="485" w:name="_Toc474159129"/>
      <w:bookmarkStart w:id="486" w:name="_Toc485716115"/>
      <w:bookmarkStart w:id="487" w:name="_Toc485719867"/>
      <w:bookmarkStart w:id="488" w:name="_Toc485802611"/>
      <w:bookmarkStart w:id="489" w:name="_Toc486435552"/>
      <w:bookmarkStart w:id="490" w:name="_Toc509830340"/>
      <w:bookmarkStart w:id="491" w:name="_Toc509830671"/>
      <w:bookmarkStart w:id="492" w:name="_Toc511135876"/>
      <w:r>
        <w:rPr>
          <w:rStyle w:val="CharDivNo"/>
        </w:rPr>
        <w:t>Division 1</w:t>
      </w:r>
      <w:r>
        <w:t xml:space="preserve"> — </w:t>
      </w:r>
      <w:r>
        <w:rPr>
          <w:rStyle w:val="CharDivText"/>
        </w:rPr>
        <w:t>Chief executive officer</w:t>
      </w:r>
      <w:bookmarkEnd w:id="484"/>
      <w:bookmarkEnd w:id="485"/>
      <w:bookmarkEnd w:id="486"/>
      <w:bookmarkEnd w:id="487"/>
      <w:bookmarkEnd w:id="488"/>
      <w:bookmarkEnd w:id="489"/>
      <w:bookmarkEnd w:id="490"/>
      <w:bookmarkEnd w:id="491"/>
      <w:bookmarkEnd w:id="492"/>
    </w:p>
    <w:p>
      <w:pPr>
        <w:pStyle w:val="Heading5"/>
      </w:pPr>
      <w:bookmarkStart w:id="493" w:name="_Toc511135877"/>
      <w:r>
        <w:rPr>
          <w:rStyle w:val="CharSectno"/>
        </w:rPr>
        <w:t>94</w:t>
      </w:r>
      <w:r>
        <w:t>.</w:t>
      </w:r>
      <w:r>
        <w:tab/>
        <w:t>Functions</w:t>
      </w:r>
      <w:bookmarkEnd w:id="493"/>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 xml:space="preserve">RROs, PSSOs </w:t>
      </w:r>
      <w:r>
        <w:rPr>
          <w:snapToGrid w:val="0"/>
        </w:rPr>
        <w:t>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 No. 45 of 2016 s. 30.]</w:t>
      </w:r>
    </w:p>
    <w:p>
      <w:pPr>
        <w:pStyle w:val="Heading5"/>
      </w:pPr>
      <w:bookmarkStart w:id="494" w:name="_Toc511135878"/>
      <w:r>
        <w:rPr>
          <w:rStyle w:val="CharSectno"/>
        </w:rPr>
        <w:t>95</w:t>
      </w:r>
      <w:r>
        <w:t>.</w:t>
      </w:r>
      <w:r>
        <w:tab/>
        <w:t>Delegation by CEO</w:t>
      </w:r>
      <w:bookmarkEnd w:id="494"/>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495" w:name="_Toc511135879"/>
      <w:r>
        <w:rPr>
          <w:rStyle w:val="CharSectno"/>
        </w:rPr>
        <w:t>96</w:t>
      </w:r>
      <w:r>
        <w:t>.</w:t>
      </w:r>
      <w:r>
        <w:tab/>
        <w:t>CEO may confer functions of CCO on person</w:t>
      </w:r>
      <w:bookmarkEnd w:id="495"/>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496" w:name="_Toc511135880"/>
      <w:r>
        <w:rPr>
          <w:rStyle w:val="CharSectno"/>
        </w:rPr>
        <w:t>97</w:t>
      </w:r>
      <w:r>
        <w:t>.</w:t>
      </w:r>
      <w:r>
        <w:tab/>
        <w:t>CEO to make information available to Board</w:t>
      </w:r>
      <w:bookmarkEnd w:id="496"/>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497" w:name="_Toc511135881"/>
      <w:r>
        <w:rPr>
          <w:rStyle w:val="CharSectno"/>
        </w:rPr>
        <w:t>97A</w:t>
      </w:r>
      <w:r>
        <w:t>.</w:t>
      </w:r>
      <w:r>
        <w:tab/>
        <w:t>Disclosing information about offender for community safety</w:t>
      </w:r>
      <w:bookmarkEnd w:id="497"/>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498" w:name="_Toc511135882"/>
      <w:r>
        <w:rPr>
          <w:rStyle w:val="CharSectno"/>
        </w:rPr>
        <w:t>97B</w:t>
      </w:r>
      <w:r>
        <w:t>.</w:t>
      </w:r>
      <w:r>
        <w:tab/>
        <w:t>Disclosing and requesting information</w:t>
      </w:r>
      <w:bookmarkEnd w:id="498"/>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499" w:name="_Toc511135883"/>
      <w:r>
        <w:rPr>
          <w:rStyle w:val="CharSectno"/>
        </w:rPr>
        <w:t>97C</w:t>
      </w:r>
      <w:r>
        <w:t>.</w:t>
      </w:r>
      <w:r>
        <w:tab/>
        <w:t>Disclosing information to agencies outside WA</w:t>
      </w:r>
      <w:bookmarkEnd w:id="499"/>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500" w:name="_Toc511135884"/>
      <w:r>
        <w:rPr>
          <w:rStyle w:val="CharSectno"/>
        </w:rPr>
        <w:t>97D</w:t>
      </w:r>
      <w:r>
        <w:t>.</w:t>
      </w:r>
      <w:r>
        <w:tab/>
        <w:t>Disclosing information to victims</w:t>
      </w:r>
      <w:bookmarkEnd w:id="500"/>
    </w:p>
    <w:p>
      <w:pPr>
        <w:pStyle w:val="Ednotesubsection"/>
      </w:pPr>
      <w:r>
        <w:tab/>
        <w:t>[(1)</w:t>
      </w:r>
      <w:r>
        <w:tab/>
        <w:t>deleted]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 amended by No. 49 of 2016 s. 112.]</w:t>
      </w:r>
    </w:p>
    <w:p>
      <w:pPr>
        <w:pStyle w:val="Heading5"/>
      </w:pPr>
      <w:bookmarkStart w:id="501" w:name="_Toc511135885"/>
      <w:r>
        <w:rPr>
          <w:rStyle w:val="CharSectno"/>
        </w:rPr>
        <w:t>97E</w:t>
      </w:r>
      <w:r>
        <w:t>.</w:t>
      </w:r>
      <w:r>
        <w:tab/>
        <w:t>Disclosure under s. 97A, 97B, 97C and 97D not subject to other laws etc.</w:t>
      </w:r>
      <w:bookmarkEnd w:id="501"/>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502" w:name="_Toc473635081"/>
      <w:bookmarkStart w:id="503" w:name="_Toc474159139"/>
      <w:bookmarkStart w:id="504" w:name="_Toc485716125"/>
      <w:bookmarkStart w:id="505" w:name="_Toc485719877"/>
      <w:bookmarkStart w:id="506" w:name="_Toc485802621"/>
      <w:bookmarkStart w:id="507" w:name="_Toc486435562"/>
      <w:bookmarkStart w:id="508" w:name="_Toc509830350"/>
      <w:bookmarkStart w:id="509" w:name="_Toc509830681"/>
      <w:bookmarkStart w:id="510" w:name="_Toc511135886"/>
      <w:r>
        <w:rPr>
          <w:rStyle w:val="CharDivNo"/>
        </w:rPr>
        <w:t>Division 2</w:t>
      </w:r>
      <w:r>
        <w:t xml:space="preserve"> — </w:t>
      </w:r>
      <w:r>
        <w:rPr>
          <w:rStyle w:val="CharDivText"/>
        </w:rPr>
        <w:t>Other staff</w:t>
      </w:r>
      <w:bookmarkEnd w:id="502"/>
      <w:bookmarkEnd w:id="503"/>
      <w:bookmarkEnd w:id="504"/>
      <w:bookmarkEnd w:id="505"/>
      <w:bookmarkEnd w:id="506"/>
      <w:bookmarkEnd w:id="507"/>
      <w:bookmarkEnd w:id="508"/>
      <w:bookmarkEnd w:id="509"/>
      <w:bookmarkEnd w:id="510"/>
    </w:p>
    <w:p>
      <w:pPr>
        <w:pStyle w:val="Heading5"/>
        <w:spacing w:before="180"/>
      </w:pPr>
      <w:bookmarkStart w:id="511" w:name="_Toc511135887"/>
      <w:r>
        <w:rPr>
          <w:rStyle w:val="CharSectno"/>
        </w:rPr>
        <w:t>98</w:t>
      </w:r>
      <w:r>
        <w:t>.</w:t>
      </w:r>
      <w:r>
        <w:tab/>
        <w:t>Appointment</w:t>
      </w:r>
      <w:bookmarkEnd w:id="511"/>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t>
      </w:r>
      <w:smartTag w:uri="urn:schemas-microsoft-com:office:smarttags" w:element="place">
        <w:smartTag w:uri="urn:schemas-microsoft-com:office:smarttags" w:element="State">
          <w:r>
            <w:rPr>
              <w:i/>
              <w:snapToGrid w:val="0"/>
            </w:rPr>
            <w:t>Western Australia</w:t>
          </w:r>
        </w:smartTag>
      </w:smartTag>
      <w:r>
        <w:rPr>
          <w:i/>
          <w:snapToGrid w:val="0"/>
        </w:rPr>
        <w:t>)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512" w:name="_Toc511135888"/>
      <w:r>
        <w:rPr>
          <w:rStyle w:val="CharSectno"/>
        </w:rPr>
        <w:t>98A</w:t>
      </w:r>
      <w:r>
        <w:t>.</w:t>
      </w:r>
      <w:r>
        <w:tab/>
        <w:t>Duties of CCOs</w:t>
      </w:r>
      <w:bookmarkEnd w:id="512"/>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513" w:name="_Toc511135889"/>
      <w:r>
        <w:rPr>
          <w:rStyle w:val="CharSectno"/>
        </w:rPr>
        <w:t>99</w:t>
      </w:r>
      <w:r>
        <w:t>.</w:t>
      </w:r>
      <w:r>
        <w:tab/>
        <w:t>Volunteers</w:t>
      </w:r>
      <w:bookmarkEnd w:id="513"/>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514" w:name="_Toc473635085"/>
      <w:bookmarkStart w:id="515" w:name="_Toc474159143"/>
      <w:bookmarkStart w:id="516" w:name="_Toc485716129"/>
      <w:bookmarkStart w:id="517" w:name="_Toc485719881"/>
      <w:bookmarkStart w:id="518" w:name="_Toc485802625"/>
      <w:bookmarkStart w:id="519" w:name="_Toc486435566"/>
      <w:bookmarkStart w:id="520" w:name="_Toc509830354"/>
      <w:bookmarkStart w:id="521" w:name="_Toc509830685"/>
      <w:bookmarkStart w:id="522" w:name="_Toc511135890"/>
      <w:r>
        <w:rPr>
          <w:rStyle w:val="CharDivNo"/>
        </w:rPr>
        <w:t>Division 3</w:t>
      </w:r>
      <w:r>
        <w:t xml:space="preserve"> — </w:t>
      </w:r>
      <w:r>
        <w:rPr>
          <w:rStyle w:val="CharDivText"/>
        </w:rPr>
        <w:t>Miscellaneous</w:t>
      </w:r>
      <w:bookmarkEnd w:id="514"/>
      <w:bookmarkEnd w:id="515"/>
      <w:bookmarkEnd w:id="516"/>
      <w:bookmarkEnd w:id="517"/>
      <w:bookmarkEnd w:id="518"/>
      <w:bookmarkEnd w:id="519"/>
      <w:bookmarkEnd w:id="520"/>
      <w:bookmarkEnd w:id="521"/>
      <w:bookmarkEnd w:id="522"/>
    </w:p>
    <w:p>
      <w:pPr>
        <w:pStyle w:val="Heading5"/>
      </w:pPr>
      <w:bookmarkStart w:id="523" w:name="_Toc511135891"/>
      <w:r>
        <w:rPr>
          <w:rStyle w:val="CharSectno"/>
        </w:rPr>
        <w:t>100</w:t>
      </w:r>
      <w:r>
        <w:t>.</w:t>
      </w:r>
      <w:r>
        <w:tab/>
        <w:t>Compensation for injury to volunteers etc.</w:t>
      </w:r>
      <w:bookmarkEnd w:id="523"/>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524" w:name="_Toc511135892"/>
      <w:r>
        <w:rPr>
          <w:rStyle w:val="CharSectno"/>
        </w:rPr>
        <w:t>101</w:t>
      </w:r>
      <w:r>
        <w:t>.</w:t>
      </w:r>
      <w:r>
        <w:tab/>
        <w:t>Assistance by police officers</w:t>
      </w:r>
      <w:bookmarkEnd w:id="524"/>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525" w:name="_Toc473635088"/>
      <w:bookmarkStart w:id="526" w:name="_Toc474159146"/>
      <w:bookmarkStart w:id="527" w:name="_Toc485716132"/>
      <w:bookmarkStart w:id="528" w:name="_Toc485719884"/>
      <w:bookmarkStart w:id="529" w:name="_Toc485802628"/>
      <w:bookmarkStart w:id="530" w:name="_Toc486435569"/>
      <w:bookmarkStart w:id="531" w:name="_Toc509830357"/>
      <w:bookmarkStart w:id="532" w:name="_Toc509830688"/>
      <w:bookmarkStart w:id="533" w:name="_Toc511135893"/>
      <w:r>
        <w:rPr>
          <w:rStyle w:val="CharPartNo"/>
        </w:rPr>
        <w:t>Part 9</w:t>
      </w:r>
      <w:r>
        <w:rPr>
          <w:rStyle w:val="CharDivNo"/>
        </w:rPr>
        <w:t xml:space="preserve"> </w:t>
      </w:r>
      <w:r>
        <w:t>—</w:t>
      </w:r>
      <w:r>
        <w:rPr>
          <w:rStyle w:val="CharDivText"/>
        </w:rPr>
        <w:t xml:space="preserve"> </w:t>
      </w:r>
      <w:r>
        <w:rPr>
          <w:rStyle w:val="CharPartText"/>
        </w:rPr>
        <w:t>Prisoners Review Board</w:t>
      </w:r>
      <w:bookmarkEnd w:id="525"/>
      <w:bookmarkEnd w:id="526"/>
      <w:bookmarkEnd w:id="527"/>
      <w:bookmarkEnd w:id="528"/>
      <w:bookmarkEnd w:id="529"/>
      <w:bookmarkEnd w:id="530"/>
      <w:bookmarkEnd w:id="531"/>
      <w:bookmarkEnd w:id="532"/>
      <w:bookmarkEnd w:id="533"/>
    </w:p>
    <w:p>
      <w:pPr>
        <w:pStyle w:val="Footnoteheading"/>
      </w:pPr>
      <w:r>
        <w:tab/>
        <w:t>[Heading inserted by No. 41 of 2006 s. 56.]</w:t>
      </w:r>
    </w:p>
    <w:p>
      <w:pPr>
        <w:pStyle w:val="Heading5"/>
      </w:pPr>
      <w:bookmarkStart w:id="534" w:name="_Toc511135894"/>
      <w:r>
        <w:rPr>
          <w:rStyle w:val="CharSectno"/>
        </w:rPr>
        <w:t>102</w:t>
      </w:r>
      <w:r>
        <w:t>.</w:t>
      </w:r>
      <w:r>
        <w:tab/>
        <w:t>Board established</w:t>
      </w:r>
      <w:bookmarkEnd w:id="534"/>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by No. 41 of 2006 s. 57.]</w:t>
      </w:r>
    </w:p>
    <w:p>
      <w:pPr>
        <w:pStyle w:val="Heading5"/>
      </w:pPr>
      <w:bookmarkStart w:id="535" w:name="_Toc511135895"/>
      <w:r>
        <w:rPr>
          <w:rStyle w:val="CharSectno"/>
        </w:rPr>
        <w:t>103</w:t>
      </w:r>
      <w:r>
        <w:t>.</w:t>
      </w:r>
      <w:r>
        <w:tab/>
        <w:t>Membership</w:t>
      </w:r>
      <w:bookmarkEnd w:id="535"/>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by No. 41 of 2006 s. 57.]</w:t>
      </w:r>
    </w:p>
    <w:p>
      <w:pPr>
        <w:pStyle w:val="Heading5"/>
        <w:rPr>
          <w:snapToGrid w:val="0"/>
        </w:rPr>
      </w:pPr>
      <w:bookmarkStart w:id="536" w:name="_Toc511135896"/>
      <w:r>
        <w:rPr>
          <w:rStyle w:val="CharSectno"/>
        </w:rPr>
        <w:t>104</w:t>
      </w:r>
      <w:r>
        <w:rPr>
          <w:snapToGrid w:val="0"/>
        </w:rPr>
        <w:t>.</w:t>
      </w:r>
      <w:r>
        <w:rPr>
          <w:snapToGrid w:val="0"/>
        </w:rPr>
        <w:tab/>
      </w:r>
      <w:r>
        <w:t>Training of members</w:t>
      </w:r>
      <w:bookmarkEnd w:id="536"/>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by No. 41 of 2006 s. 57.]</w:t>
      </w:r>
    </w:p>
    <w:p>
      <w:pPr>
        <w:pStyle w:val="Heading5"/>
      </w:pPr>
      <w:bookmarkStart w:id="537" w:name="_Toc511135897"/>
      <w:r>
        <w:rPr>
          <w:rStyle w:val="CharSectno"/>
        </w:rPr>
        <w:t>104A</w:t>
      </w:r>
      <w:r>
        <w:t>.</w:t>
      </w:r>
      <w:r>
        <w:tab/>
        <w:t>Registrar and other staff</w:t>
      </w:r>
      <w:bookmarkEnd w:id="537"/>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538" w:name="_Toc511135898"/>
      <w:r>
        <w:rPr>
          <w:rStyle w:val="CharSectno"/>
        </w:rPr>
        <w:t>105</w:t>
      </w:r>
      <w:r>
        <w:t>.</w:t>
      </w:r>
      <w:r>
        <w:tab/>
        <w:t>Tenure, meetings etc. (Sch. 1)</w:t>
      </w:r>
      <w:bookmarkEnd w:id="538"/>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539" w:name="_Toc511135899"/>
      <w:r>
        <w:rPr>
          <w:rStyle w:val="CharSectno"/>
        </w:rPr>
        <w:t>106</w:t>
      </w:r>
      <w:r>
        <w:t>.</w:t>
      </w:r>
      <w:r>
        <w:tab/>
        <w:t>Functions</w:t>
      </w:r>
      <w:bookmarkEnd w:id="539"/>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540" w:name="_Toc511135900"/>
      <w:r>
        <w:rPr>
          <w:rStyle w:val="CharSectno"/>
        </w:rPr>
        <w:t>107</w:t>
      </w:r>
      <w:r>
        <w:t>.</w:t>
      </w:r>
      <w:r>
        <w:tab/>
        <w:t>Board to have powers of Royal Commission</w:t>
      </w:r>
      <w:bookmarkEnd w:id="540"/>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541" w:name="_Toc511135901"/>
      <w:r>
        <w:rPr>
          <w:rStyle w:val="CharSectno"/>
        </w:rPr>
        <w:t>107A</w:t>
      </w:r>
      <w:r>
        <w:t>.</w:t>
      </w:r>
      <w:r>
        <w:tab/>
        <w:t>Board may use experts etc.</w:t>
      </w:r>
      <w:bookmarkEnd w:id="541"/>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by No. 41 of 2006 s. 59.]</w:t>
      </w:r>
    </w:p>
    <w:p>
      <w:pPr>
        <w:pStyle w:val="Heading5"/>
      </w:pPr>
      <w:bookmarkStart w:id="542" w:name="_Toc511135902"/>
      <w:r>
        <w:rPr>
          <w:rStyle w:val="CharSectno"/>
        </w:rPr>
        <w:t>107B</w:t>
      </w:r>
      <w:r>
        <w:t>.</w:t>
      </w:r>
      <w:r>
        <w:tab/>
        <w:t>Notification of Board’s decisions</w:t>
      </w:r>
      <w:bookmarkEnd w:id="542"/>
      <w:r>
        <w:t xml:space="preserve"> </w:t>
      </w:r>
    </w:p>
    <w:p>
      <w:pPr>
        <w:pStyle w:val="Subsection"/>
      </w:pPr>
      <w:r>
        <w:tab/>
        <w:t>(1)</w:t>
      </w:r>
      <w:r>
        <w:tab/>
        <w:t>The Board must give a prisoner or supervised offender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or supervised offender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pPr>
      <w:r>
        <w:tab/>
        <w:t>(ca)</w:t>
      </w:r>
      <w:r>
        <w:tab/>
        <w:t>to a decision by the Board to make, amend or cancel a PSSO;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by No. 41 of 2006 s. 59; amended by No. 45 of 2016 s. 31.]</w:t>
      </w:r>
    </w:p>
    <w:p>
      <w:pPr>
        <w:pStyle w:val="Heading5"/>
      </w:pPr>
      <w:bookmarkStart w:id="543" w:name="_Toc511135903"/>
      <w:r>
        <w:rPr>
          <w:rStyle w:val="CharSectno"/>
        </w:rPr>
        <w:t>107C</w:t>
      </w:r>
      <w:r>
        <w:t>.</w:t>
      </w:r>
      <w:r>
        <w:tab/>
        <w:t>Publication of Board’s decisions</w:t>
      </w:r>
      <w:bookmarkEnd w:id="543"/>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or the supervised offender concerned and the interests of any victim.</w:t>
      </w:r>
    </w:p>
    <w:p>
      <w:pPr>
        <w:pStyle w:val="Footnotesection"/>
      </w:pPr>
      <w:r>
        <w:tab/>
        <w:t>[Section 107C inserted by No. 41 of 2006 s. 59; amended by No. 45 of 2016 s. 32.]</w:t>
      </w:r>
    </w:p>
    <w:p>
      <w:pPr>
        <w:pStyle w:val="Heading5"/>
      </w:pPr>
      <w:bookmarkStart w:id="544" w:name="_Toc511135904"/>
      <w:r>
        <w:rPr>
          <w:rStyle w:val="CharSectno"/>
        </w:rPr>
        <w:t>108</w:t>
      </w:r>
      <w:r>
        <w:t>.</w:t>
      </w:r>
      <w:r>
        <w:tab/>
        <w:t>Orders by Board</w:t>
      </w:r>
      <w:bookmarkEnd w:id="544"/>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545" w:name="_Toc511135905"/>
      <w:r>
        <w:rPr>
          <w:rStyle w:val="CharSectno"/>
        </w:rPr>
        <w:t>109</w:t>
      </w:r>
      <w:r>
        <w:t>.</w:t>
      </w:r>
      <w:r>
        <w:tab/>
        <w:t>Board may require person to appear before it</w:t>
      </w:r>
      <w:bookmarkEnd w:id="545"/>
    </w:p>
    <w:p>
      <w:pPr>
        <w:pStyle w:val="Subsection"/>
        <w:rPr>
          <w:snapToGrid w:val="0"/>
        </w:rPr>
      </w:pPr>
      <w:r>
        <w:tab/>
        <w:t>(1)</w:t>
      </w:r>
      <w:r>
        <w:tab/>
      </w:r>
      <w:r>
        <w:rPr>
          <w:snapToGrid w:val="0"/>
        </w:rPr>
        <w:t xml:space="preserve">At any time while a </w:t>
      </w:r>
      <w:r>
        <w:t xml:space="preserve">person </w:t>
      </w:r>
      <w:r>
        <w:rPr>
          <w:snapToGrid w:val="0"/>
        </w:rPr>
        <w:t>is subject to a parole order (other than a</w:t>
      </w:r>
      <w:r>
        <w:t xml:space="preserve"> parole order (unsupervised)), an RRO or a PSSO,</w:t>
      </w:r>
      <w:r>
        <w:rPr>
          <w:snapToGrid w:val="0"/>
        </w:rPr>
        <w:t xml:space="preserve">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 xml:space="preserve">For the purposes of subsection (1), the Board may issue a warrant to have the </w:t>
      </w:r>
      <w:r>
        <w:t>person</w:t>
      </w:r>
      <w:r>
        <w:rPr>
          <w:snapToGrid w:val="0"/>
          <w:spacing w:val="-4"/>
        </w:rPr>
        <w:t xml:space="preserve">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 No. 45 of 2016 s. 33.]</w:t>
      </w:r>
    </w:p>
    <w:p>
      <w:pPr>
        <w:pStyle w:val="Heading5"/>
      </w:pPr>
      <w:bookmarkStart w:id="546" w:name="_Toc511135906"/>
      <w:r>
        <w:rPr>
          <w:rStyle w:val="CharSectno"/>
        </w:rPr>
        <w:t>110</w:t>
      </w:r>
      <w:r>
        <w:t>.</w:t>
      </w:r>
      <w:r>
        <w:tab/>
        <w:t>Issue of warrants by Board</w:t>
      </w:r>
      <w:bookmarkEnd w:id="546"/>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547" w:name="_Toc511135907"/>
      <w:r>
        <w:rPr>
          <w:rStyle w:val="CharSectno"/>
        </w:rPr>
        <w:t>111</w:t>
      </w:r>
      <w:r>
        <w:t>.</w:t>
      </w:r>
      <w:r>
        <w:tab/>
        <w:t>Judicial notice of appointment and signature</w:t>
      </w:r>
      <w:bookmarkEnd w:id="547"/>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 xml:space="preserve">RRO, a PSSO </w:t>
      </w:r>
      <w:r>
        <w:rPr>
          <w:snapToGrid w:val="0"/>
        </w:rPr>
        <w:t xml:space="preserve">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 No. 45 of 2016 s. 34.]</w:t>
      </w:r>
    </w:p>
    <w:p>
      <w:pPr>
        <w:pStyle w:val="Heading5"/>
      </w:pPr>
      <w:bookmarkStart w:id="548" w:name="_Toc511135908"/>
      <w:r>
        <w:rPr>
          <w:rStyle w:val="CharSectno"/>
        </w:rPr>
        <w:t>112</w:t>
      </w:r>
      <w:r>
        <w:t>.</w:t>
      </w:r>
      <w:r>
        <w:tab/>
        <w:t>Annual report to Minister</w:t>
      </w:r>
      <w:bookmarkEnd w:id="548"/>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pPr>
      <w:r>
        <w:tab/>
        <w:t>(ea)</w:t>
      </w:r>
      <w:r>
        <w:tab/>
        <w:t xml:space="preserve">the number of prisoners whose cooperation was considered by the Board for the purposes of section 66B(1)(a) during the previous financial year; </w:t>
      </w:r>
    </w:p>
    <w:p>
      <w:pPr>
        <w:pStyle w:val="Indenta"/>
      </w:pPr>
      <w:r>
        <w:tab/>
        <w:t>(eb)</w:t>
      </w:r>
      <w:r>
        <w:tab/>
        <w:t>the number of prisoners referred to in paragraph (ea) who were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pPr>
      <w:r>
        <w:tab/>
        <w:t>(ga)</w:t>
      </w:r>
      <w:r>
        <w:tab/>
        <w:t>the number of prisoners who were the subject of a report under section 74C during the previous financial year;</w:t>
      </w:r>
    </w:p>
    <w:p>
      <w:pPr>
        <w:pStyle w:val="Indenta"/>
      </w:pPr>
      <w:r>
        <w:tab/>
        <w:t>(gb)</w:t>
      </w:r>
      <w:r>
        <w:tab/>
        <w:t>the number of persons released subject to PSSOs during the previous financial year;</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w:t>
      </w:r>
      <w:r>
        <w:t>and PSSOs</w:t>
      </w:r>
      <w:r>
        <w:rPr>
          <w:snapToGrid w:val="0"/>
        </w:rPr>
        <w:t xml:space="preserve"> and to the activities of CCOs in relation to those orders during the previous financial year.</w:t>
      </w:r>
    </w:p>
    <w:p>
      <w:pPr>
        <w:pStyle w:val="Footnotesection"/>
      </w:pPr>
      <w:r>
        <w:tab/>
        <w:t>[Section 112 inserted by No. 41 of 2006 s. 64; amended by No. 45 of 2016 s. 35; No. 2 of 2018 s. 10.]</w:t>
      </w:r>
    </w:p>
    <w:p>
      <w:pPr>
        <w:pStyle w:val="Heading5"/>
      </w:pPr>
      <w:bookmarkStart w:id="549" w:name="_Toc511135909"/>
      <w:r>
        <w:rPr>
          <w:rStyle w:val="CharSectno"/>
        </w:rPr>
        <w:t>113</w:t>
      </w:r>
      <w:r>
        <w:t>.</w:t>
      </w:r>
      <w:r>
        <w:tab/>
        <w:t>Special reports to Minister</w:t>
      </w:r>
      <w:bookmarkEnd w:id="549"/>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550" w:name="_Toc473635105"/>
      <w:bookmarkStart w:id="551" w:name="_Toc474159163"/>
      <w:bookmarkStart w:id="552" w:name="_Toc485716149"/>
      <w:bookmarkStart w:id="553" w:name="_Toc485719901"/>
      <w:bookmarkStart w:id="554" w:name="_Toc485802645"/>
      <w:bookmarkStart w:id="555" w:name="_Toc486435586"/>
      <w:bookmarkStart w:id="556" w:name="_Toc509830374"/>
      <w:bookmarkStart w:id="557" w:name="_Toc509830705"/>
      <w:bookmarkStart w:id="558" w:name="_Toc511135910"/>
      <w:r>
        <w:rPr>
          <w:rStyle w:val="CharPartNo"/>
        </w:rPr>
        <w:t>Part 10</w:t>
      </w:r>
      <w:r>
        <w:rPr>
          <w:rStyle w:val="CharDivNo"/>
        </w:rPr>
        <w:t xml:space="preserve"> </w:t>
      </w:r>
      <w:r>
        <w:t>—</w:t>
      </w:r>
      <w:r>
        <w:rPr>
          <w:rStyle w:val="CharDivText"/>
        </w:rPr>
        <w:t xml:space="preserve"> </w:t>
      </w:r>
      <w:r>
        <w:rPr>
          <w:rStyle w:val="CharPartText"/>
        </w:rPr>
        <w:t>Miscellaneous</w:t>
      </w:r>
      <w:bookmarkEnd w:id="550"/>
      <w:bookmarkEnd w:id="551"/>
      <w:bookmarkEnd w:id="552"/>
      <w:bookmarkEnd w:id="553"/>
      <w:bookmarkEnd w:id="554"/>
      <w:bookmarkEnd w:id="555"/>
      <w:bookmarkEnd w:id="556"/>
      <w:bookmarkEnd w:id="557"/>
      <w:bookmarkEnd w:id="558"/>
    </w:p>
    <w:p>
      <w:pPr>
        <w:pStyle w:val="Heading5"/>
      </w:pPr>
      <w:bookmarkStart w:id="559" w:name="_Toc511135911"/>
      <w:r>
        <w:rPr>
          <w:rStyle w:val="CharSectno"/>
        </w:rPr>
        <w:t>114</w:t>
      </w:r>
      <w:r>
        <w:t>.</w:t>
      </w:r>
      <w:r>
        <w:tab/>
        <w:t>Reasons for decision may be withheld</w:t>
      </w:r>
      <w:bookmarkEnd w:id="559"/>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 xml:space="preserve">If a person is required to give a prisoner </w:t>
      </w:r>
      <w:r>
        <w:t>or supervised offender</w:t>
      </w:r>
      <w:r>
        <w:rPr>
          <w:snapToGrid w:val="0"/>
        </w:rPr>
        <w:t xml:space="preserve"> reasons for a decision, then if the person decides that it would be in the interest of the prisoner </w:t>
      </w:r>
      <w:r>
        <w:t>or supervised offender</w:t>
      </w:r>
      <w:r>
        <w:rPr>
          <w:snapToGrid w:val="0"/>
        </w:rPr>
        <w:t xml:space="preserve"> or any other person, or the public, to withhold from the prisoner </w:t>
      </w:r>
      <w:r>
        <w:t>or supervised offender</w:t>
      </w:r>
      <w:r>
        <w:rPr>
          <w:snapToGrid w:val="0"/>
        </w:rPr>
        <w:t xml:space="preserve"> any or all of the reasons, the person may do so.</w:t>
      </w:r>
    </w:p>
    <w:p>
      <w:pPr>
        <w:pStyle w:val="Footnotesection"/>
      </w:pPr>
      <w:r>
        <w:tab/>
        <w:t>[Section 114 amended by No. 45 of 2016 s. 36.]</w:t>
      </w:r>
    </w:p>
    <w:p>
      <w:pPr>
        <w:pStyle w:val="Heading5"/>
      </w:pPr>
      <w:bookmarkStart w:id="560" w:name="_Toc511135912"/>
      <w:r>
        <w:rPr>
          <w:rStyle w:val="CharSectno"/>
        </w:rPr>
        <w:t>115</w:t>
      </w:r>
      <w:r>
        <w:t>.</w:t>
      </w:r>
      <w:r>
        <w:tab/>
        <w:t>Rules of natural justice excluded</w:t>
      </w:r>
      <w:bookmarkEnd w:id="560"/>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561" w:name="_Toc511135913"/>
      <w:r>
        <w:rPr>
          <w:rStyle w:val="CharSectno"/>
        </w:rPr>
        <w:t>115A</w:t>
      </w:r>
      <w:r>
        <w:t>.</w:t>
      </w:r>
      <w:r>
        <w:tab/>
        <w:t>Board may review decisions about release</w:t>
      </w:r>
      <w:bookmarkEnd w:id="561"/>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(da)</w:t>
      </w:r>
      <w:r>
        <w:tab/>
        <w:t>by the Board to make a PSSO;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 No. 45 of 2016 s. 37.]</w:t>
      </w:r>
    </w:p>
    <w:p>
      <w:pPr>
        <w:pStyle w:val="Heading5"/>
      </w:pPr>
      <w:bookmarkStart w:id="562" w:name="_Toc511135914"/>
      <w:r>
        <w:rPr>
          <w:rStyle w:val="CharSectno"/>
        </w:rPr>
        <w:t>116</w:t>
      </w:r>
      <w:r>
        <w:t>.</w:t>
      </w:r>
      <w:r>
        <w:tab/>
        <w:t>Arrest warrant may be issued if warrant of commitment in force</w:t>
      </w:r>
      <w:bookmarkEnd w:id="562"/>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563" w:name="_Toc511135915"/>
      <w:r>
        <w:rPr>
          <w:rStyle w:val="CharSectno"/>
        </w:rPr>
        <w:t>117</w:t>
      </w:r>
      <w:r>
        <w:t>.</w:t>
      </w:r>
      <w:r>
        <w:tab/>
        <w:t>Issue and execution of warrants</w:t>
      </w:r>
      <w:bookmarkEnd w:id="563"/>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564" w:name="_Toc511135916"/>
      <w:r>
        <w:rPr>
          <w:rStyle w:val="CharSectno"/>
        </w:rPr>
        <w:t>118</w:t>
      </w:r>
      <w:r>
        <w:t>.</w:t>
      </w:r>
      <w:r>
        <w:tab/>
        <w:t>Monitoring equipment, retrieval of etc.</w:t>
      </w:r>
      <w:bookmarkEnd w:id="564"/>
    </w:p>
    <w:p>
      <w:pPr>
        <w:pStyle w:val="Subsection"/>
      </w:pPr>
      <w:r>
        <w:tab/>
        <w:t>(1)</w:t>
      </w:r>
      <w:r>
        <w:tab/>
        <w:t>In this section —</w:t>
      </w:r>
    </w:p>
    <w:p>
      <w:pPr>
        <w:pStyle w:val="Defstart"/>
      </w:pPr>
      <w:r>
        <w:tab/>
      </w:r>
      <w:r>
        <w:rPr>
          <w:rStyle w:val="CharDefText"/>
        </w:rPr>
        <w:t>monitoring equipment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565" w:name="_Toc511135917"/>
      <w:r>
        <w:rPr>
          <w:rStyle w:val="CharSectno"/>
        </w:rPr>
        <w:t>119</w:t>
      </w:r>
      <w:r>
        <w:t>.</w:t>
      </w:r>
      <w:r>
        <w:tab/>
        <w:t>Information, disclosure and use of by departmental staff etc.</w:t>
      </w:r>
      <w:bookmarkEnd w:id="565"/>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566" w:name="_Toc511135918"/>
      <w:r>
        <w:rPr>
          <w:rStyle w:val="CharSectno"/>
        </w:rPr>
        <w:t>120</w:t>
      </w:r>
      <w:r>
        <w:t>.</w:t>
      </w:r>
      <w:r>
        <w:tab/>
        <w:t>Protection from personal liability for torts</w:t>
      </w:r>
      <w:bookmarkEnd w:id="566"/>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567" w:name="_Toc511135919"/>
      <w:r>
        <w:rPr>
          <w:rStyle w:val="CharSectno"/>
        </w:rPr>
        <w:t>121</w:t>
      </w:r>
      <w:r>
        <w:t>.</w:t>
      </w:r>
      <w:r>
        <w:tab/>
        <w:t>Regulations</w:t>
      </w:r>
      <w:bookmarkEnd w:id="567"/>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568" w:name="_Toc511135920"/>
      <w:r>
        <w:rPr>
          <w:rStyle w:val="CharSectno"/>
        </w:rPr>
        <w:t>122</w:t>
      </w:r>
      <w:r>
        <w:t>.</w:t>
      </w:r>
      <w:r>
        <w:tab/>
        <w:t>Review of Act</w:t>
      </w:r>
      <w:bookmarkEnd w:id="568"/>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pStyle w:val="Heading2"/>
      </w:pPr>
      <w:bookmarkStart w:id="569" w:name="_Toc473635116"/>
      <w:bookmarkStart w:id="570" w:name="_Toc474159174"/>
      <w:bookmarkStart w:id="571" w:name="_Toc485716160"/>
      <w:bookmarkStart w:id="572" w:name="_Toc485719912"/>
      <w:bookmarkStart w:id="573" w:name="_Toc485802656"/>
      <w:bookmarkStart w:id="574" w:name="_Toc486435597"/>
      <w:bookmarkStart w:id="575" w:name="_Toc509830385"/>
      <w:bookmarkStart w:id="576" w:name="_Toc509830716"/>
      <w:bookmarkStart w:id="577" w:name="_Toc511135921"/>
      <w:r>
        <w:rPr>
          <w:rStyle w:val="CharPartNo"/>
        </w:rPr>
        <w:t>Part 11</w:t>
      </w:r>
      <w:r>
        <w:t> — </w:t>
      </w:r>
      <w:r>
        <w:rPr>
          <w:rStyle w:val="CharPartText"/>
        </w:rPr>
        <w:t>Transitional and validation provisions</w:t>
      </w:r>
      <w:bookmarkEnd w:id="569"/>
      <w:bookmarkEnd w:id="570"/>
      <w:bookmarkEnd w:id="571"/>
      <w:bookmarkEnd w:id="572"/>
      <w:bookmarkEnd w:id="573"/>
      <w:bookmarkEnd w:id="574"/>
      <w:bookmarkEnd w:id="575"/>
      <w:bookmarkEnd w:id="576"/>
      <w:bookmarkEnd w:id="577"/>
    </w:p>
    <w:p>
      <w:pPr>
        <w:pStyle w:val="Footnoteheading"/>
      </w:pPr>
      <w:r>
        <w:tab/>
        <w:t>[Heading inserted by No. 45 of 2016 s. 14; amended by No. 45 of 2016 s. 38.]</w:t>
      </w:r>
    </w:p>
    <w:p>
      <w:pPr>
        <w:pStyle w:val="Heading3"/>
      </w:pPr>
      <w:bookmarkStart w:id="578" w:name="_Toc442343926"/>
      <w:bookmarkStart w:id="579" w:name="_Toc442344733"/>
      <w:bookmarkStart w:id="580" w:name="_Toc442344823"/>
      <w:bookmarkStart w:id="581" w:name="_Toc442346225"/>
      <w:bookmarkStart w:id="582" w:name="_Toc442348267"/>
      <w:bookmarkStart w:id="583" w:name="_Toc442350862"/>
      <w:bookmarkStart w:id="584" w:name="_Toc442351183"/>
      <w:bookmarkStart w:id="585" w:name="_Toc443464409"/>
      <w:bookmarkStart w:id="586" w:name="_Toc443464783"/>
      <w:bookmarkStart w:id="587" w:name="_Toc443578619"/>
      <w:bookmarkStart w:id="588" w:name="_Toc443580002"/>
      <w:bookmarkStart w:id="589" w:name="_Toc443581163"/>
      <w:bookmarkStart w:id="590" w:name="_Toc443919150"/>
      <w:bookmarkStart w:id="591" w:name="_Toc443921390"/>
      <w:bookmarkStart w:id="592" w:name="_Toc443921531"/>
      <w:bookmarkStart w:id="593" w:name="_Toc444005344"/>
      <w:bookmarkStart w:id="594" w:name="_Toc444785775"/>
      <w:bookmarkStart w:id="595" w:name="_Toc445800636"/>
      <w:bookmarkStart w:id="596" w:name="_Toc446435075"/>
      <w:bookmarkStart w:id="597" w:name="_Toc447794237"/>
      <w:bookmarkStart w:id="598" w:name="_Toc447794403"/>
      <w:bookmarkStart w:id="599" w:name="_Toc447799983"/>
      <w:bookmarkStart w:id="600" w:name="_Toc447800124"/>
      <w:bookmarkStart w:id="601" w:name="_Toc447803230"/>
      <w:bookmarkStart w:id="602" w:name="_Toc448828788"/>
      <w:bookmarkStart w:id="603" w:name="_Toc448829256"/>
      <w:bookmarkStart w:id="604" w:name="_Toc448831413"/>
      <w:bookmarkStart w:id="605" w:name="_Toc450212602"/>
      <w:bookmarkStart w:id="606" w:name="_Toc450214603"/>
      <w:bookmarkStart w:id="607" w:name="_Toc450214745"/>
      <w:bookmarkStart w:id="608" w:name="_Toc450214887"/>
      <w:bookmarkStart w:id="609" w:name="_Toc450574269"/>
      <w:bookmarkStart w:id="610" w:name="_Toc450574890"/>
      <w:bookmarkStart w:id="611" w:name="_Toc454287289"/>
      <w:bookmarkStart w:id="612" w:name="_Toc467152393"/>
      <w:bookmarkStart w:id="613" w:name="_Toc469037414"/>
      <w:bookmarkStart w:id="614" w:name="_Toc485716161"/>
      <w:bookmarkStart w:id="615" w:name="_Toc485719913"/>
      <w:bookmarkStart w:id="616" w:name="_Toc485802657"/>
      <w:bookmarkStart w:id="617" w:name="_Toc486435598"/>
      <w:bookmarkStart w:id="618" w:name="_Toc509830386"/>
      <w:bookmarkStart w:id="619" w:name="_Toc509830717"/>
      <w:bookmarkStart w:id="620" w:name="_Toc511135922"/>
      <w:r>
        <w:rPr>
          <w:rStyle w:val="CharDivNo"/>
        </w:rPr>
        <w:t>Division 1</w:t>
      </w:r>
      <w:r>
        <w:t> — </w:t>
      </w:r>
      <w:bookmarkStart w:id="621" w:name="_Toc442342644"/>
      <w:r>
        <w:rPr>
          <w:rStyle w:val="CharDivText"/>
        </w:rPr>
        <w:t xml:space="preserve">Provisions for the </w:t>
      </w:r>
      <w:r>
        <w:rPr>
          <w:rStyle w:val="CharDivText"/>
          <w:i/>
        </w:rPr>
        <w:t>Sentencing Legislation Amendment Act 2016</w:t>
      </w:r>
      <w:r>
        <w:rPr>
          <w:rStyle w:val="CharDivText"/>
        </w:rPr>
        <w:t xml:space="preserve"> Part</w:t>
      </w:r>
      <w:bookmarkEnd w:id="621"/>
      <w:r>
        <w:rPr>
          <w:rStyle w:val="CharDivText"/>
        </w:rPr>
        <w:t> 2</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Footnoteheading"/>
      </w:pPr>
      <w:r>
        <w:tab/>
        <w:t>[Heading inserted by No. 45 of 2016 s. 39.]</w:t>
      </w:r>
    </w:p>
    <w:p>
      <w:pPr>
        <w:pStyle w:val="Heading5"/>
      </w:pPr>
      <w:bookmarkStart w:id="622" w:name="_Toc511135923"/>
      <w:r>
        <w:rPr>
          <w:rStyle w:val="CharSectno"/>
        </w:rPr>
        <w:t>123</w:t>
      </w:r>
      <w:r>
        <w:t>.</w:t>
      </w:r>
      <w:r>
        <w:tab/>
        <w:t>Terms used</w:t>
      </w:r>
      <w:bookmarkEnd w:id="622"/>
    </w:p>
    <w:p>
      <w:pPr>
        <w:pStyle w:val="Subsection"/>
      </w:pPr>
      <w:r>
        <w:tab/>
      </w:r>
      <w:r>
        <w:tab/>
        <w:t>In this Division —</w:t>
      </w:r>
    </w:p>
    <w:p>
      <w:pPr>
        <w:pStyle w:val="Defstart"/>
      </w:pPr>
      <w:r>
        <w:tab/>
      </w:r>
      <w:r>
        <w:rPr>
          <w:rStyle w:val="CharDefText"/>
        </w:rPr>
        <w:t>commencement</w:t>
      </w:r>
      <w:r>
        <w:t xml:space="preserve"> means the day on which the </w:t>
      </w:r>
      <w:r>
        <w:rPr>
          <w:i/>
        </w:rPr>
        <w:t>Sentencing Legislation Amendment Act 2016</w:t>
      </w:r>
      <w:r>
        <w:t xml:space="preserve"> Part 2 comes into operation;</w:t>
      </w:r>
    </w:p>
    <w:p>
      <w:pPr>
        <w:pStyle w:val="Defstart"/>
      </w:pPr>
      <w:r>
        <w:tab/>
      </w:r>
      <w:r>
        <w:rPr>
          <w:rStyle w:val="CharDefText"/>
        </w:rPr>
        <w:t>former transitional provisions</w:t>
      </w:r>
      <w:r>
        <w:t xml:space="preserve"> means — </w:t>
      </w:r>
    </w:p>
    <w:p>
      <w:pPr>
        <w:pStyle w:val="Defpara"/>
      </w:pPr>
      <w:r>
        <w:tab/>
        <w:t>(a)</w:t>
      </w:r>
      <w:r>
        <w:tab/>
        <w:t xml:space="preserve">the </w:t>
      </w:r>
      <w:r>
        <w:rPr>
          <w:i/>
        </w:rPr>
        <w:t>Sentencing (Consequential Provisions) Act 1995</w:t>
      </w:r>
      <w:r>
        <w:t xml:space="preserve"> section 83, 86, 87 or 91(1), as affected by the </w:t>
      </w:r>
      <w:r>
        <w:rPr>
          <w:i/>
        </w:rPr>
        <w:t>Sentencing Legislation Amendment and Repeal Act 2003</w:t>
      </w:r>
      <w:r>
        <w:t xml:space="preserve"> Schedule 1 clause 13; and</w:t>
      </w:r>
    </w:p>
    <w:p>
      <w:pPr>
        <w:pStyle w:val="Defpara"/>
      </w:pPr>
      <w:r>
        <w:tab/>
        <w:t>(b)</w:t>
      </w:r>
      <w:r>
        <w:tab/>
        <w:t xml:space="preserve">the </w:t>
      </w:r>
      <w:r>
        <w:rPr>
          <w:i/>
        </w:rPr>
        <w:t>Offenders Community Corrections Act 1963</w:t>
      </w:r>
      <w:r>
        <w:t xml:space="preserve"> as continued in operation by any of those provisions of the </w:t>
      </w:r>
      <w:r>
        <w:rPr>
          <w:i/>
        </w:rPr>
        <w:t>Sentencing (Consequential Provisions) Act 1995</w:t>
      </w:r>
      <w:r>
        <w:t>;</w:t>
      </w:r>
    </w:p>
    <w:p>
      <w:pPr>
        <w:pStyle w:val="Defstart"/>
      </w:pPr>
      <w:r>
        <w:tab/>
      </w:r>
      <w:r>
        <w:rPr>
          <w:rStyle w:val="CharDefText"/>
        </w:rPr>
        <w:t>pre</w:t>
      </w:r>
      <w:r>
        <w:rPr>
          <w:rStyle w:val="CharDefText"/>
        </w:rPr>
        <w:noBreakHyphen/>
        <w:t>1996 prisoner</w:t>
      </w:r>
      <w:r>
        <w:t xml:space="preserve"> means a prisoner — </w:t>
      </w:r>
    </w:p>
    <w:p>
      <w:pPr>
        <w:pStyle w:val="Defpara"/>
      </w:pPr>
      <w:r>
        <w:tab/>
        <w:t>(a)</w:t>
      </w:r>
      <w:r>
        <w:tab/>
        <w:t>sentenced before 4 November 1996; and</w:t>
      </w:r>
    </w:p>
    <w:p>
      <w:pPr>
        <w:pStyle w:val="Defpara"/>
      </w:pPr>
      <w:r>
        <w:tab/>
        <w:t>(b)</w:t>
      </w:r>
      <w:r>
        <w:tab/>
        <w:t xml:space="preserve">to whom the </w:t>
      </w:r>
      <w:r>
        <w:rPr>
          <w:i/>
        </w:rPr>
        <w:t>Sentencing (Consequential Provisions) Act 1995</w:t>
      </w:r>
      <w:r>
        <w:t xml:space="preserve"> section 83, 86, 87 or 91(1) applied;</w:t>
      </w:r>
    </w:p>
    <w:p>
      <w:pPr>
        <w:pStyle w:val="Defstart"/>
      </w:pPr>
      <w:r>
        <w:tab/>
      </w:r>
      <w:r>
        <w:rPr>
          <w:rStyle w:val="CharDefText"/>
        </w:rPr>
        <w:t>transitional period</w:t>
      </w:r>
      <w:r>
        <w:t xml:space="preserve"> means the period — </w:t>
      </w:r>
    </w:p>
    <w:p>
      <w:pPr>
        <w:pStyle w:val="Defpara"/>
      </w:pPr>
      <w:r>
        <w:tab/>
        <w:t>(a)</w:t>
      </w:r>
      <w:r>
        <w:tab/>
        <w:t>beginning on 4 November 1996; and</w:t>
      </w:r>
    </w:p>
    <w:p>
      <w:pPr>
        <w:pStyle w:val="Defpara"/>
      </w:pPr>
      <w:r>
        <w:tab/>
        <w:t>(b)</w:t>
      </w:r>
      <w:r>
        <w:tab/>
        <w:t>ending immediately before commencement.</w:t>
      </w:r>
    </w:p>
    <w:p>
      <w:pPr>
        <w:pStyle w:val="Footnotesection"/>
      </w:pPr>
      <w:r>
        <w:tab/>
        <w:t>[Section 123 inserted by No. 45 of 2016 s. 14; amended by No. 45 of 2016 s. 40.]</w:t>
      </w:r>
    </w:p>
    <w:p>
      <w:pPr>
        <w:pStyle w:val="Heading5"/>
      </w:pPr>
      <w:bookmarkStart w:id="623" w:name="_Toc511135924"/>
      <w:r>
        <w:rPr>
          <w:rStyle w:val="CharSectno"/>
        </w:rPr>
        <w:t>124</w:t>
      </w:r>
      <w:r>
        <w:t>.</w:t>
      </w:r>
      <w:r>
        <w:tab/>
        <w:t>Reports during the transitional period: pre</w:t>
      </w:r>
      <w:r>
        <w:noBreakHyphen/>
        <w:t>1996 prisoners</w:t>
      </w:r>
      <w:bookmarkEnd w:id="623"/>
    </w:p>
    <w:p>
      <w:pPr>
        <w:pStyle w:val="Subsection"/>
      </w:pPr>
      <w:r>
        <w:tab/>
      </w:r>
      <w:r>
        <w:tab/>
        <w:t>If a report given during the transitional period about a pre</w:t>
      </w:r>
      <w:r>
        <w:noBreakHyphen/>
        <w:t xml:space="preserve">1996 prisoner was not given in accordance with a former transitional provision that permitted or required a person to give a report about the prisoner then — </w:t>
      </w:r>
    </w:p>
    <w:p>
      <w:pPr>
        <w:pStyle w:val="Indenta"/>
      </w:pPr>
      <w:r>
        <w:tab/>
        <w:t>(a)</w:t>
      </w:r>
      <w:r>
        <w:tab/>
        <w:t xml:space="preserve">each provision of the </w:t>
      </w:r>
      <w:r>
        <w:rPr>
          <w:i/>
        </w:rPr>
        <w:t>Sentence Administration Act 1995</w:t>
      </w:r>
      <w:r>
        <w:t xml:space="preserve"> that would have permitted or required a person to give a report about the prisoner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permitted or required a person to give a report about the prisoner had the prisoner been sentenced on or after 31 August 2003 and before commencement is taken to have applied, and the former transitional provision is taken not to have applied, to and in respect of the prisoner during that period.</w:t>
      </w:r>
    </w:p>
    <w:p>
      <w:pPr>
        <w:pStyle w:val="Footnotesection"/>
      </w:pPr>
      <w:r>
        <w:tab/>
        <w:t>[Section 124 inserted by No. 45 of 2016 s. 14.]</w:t>
      </w:r>
    </w:p>
    <w:p>
      <w:pPr>
        <w:pStyle w:val="Heading5"/>
      </w:pPr>
      <w:bookmarkStart w:id="624" w:name="_Toc511135925"/>
      <w:r>
        <w:rPr>
          <w:rStyle w:val="CharSectno"/>
        </w:rPr>
        <w:t>125</w:t>
      </w:r>
      <w:r>
        <w:t>.</w:t>
      </w:r>
      <w:r>
        <w:tab/>
        <w:t>Participation in re</w:t>
      </w:r>
      <w:r>
        <w:noBreakHyphen/>
        <w:t>socialisation programmes: pre</w:t>
      </w:r>
      <w:r>
        <w:noBreakHyphen/>
        <w:t>1996 prisoners</w:t>
      </w:r>
      <w:bookmarkEnd w:id="624"/>
    </w:p>
    <w:p>
      <w:pPr>
        <w:pStyle w:val="Subsection"/>
      </w:pPr>
      <w:r>
        <w:tab/>
      </w:r>
      <w:r>
        <w:tab/>
        <w:t>If a pre</w:t>
      </w:r>
      <w:r>
        <w:noBreakHyphen/>
        <w:t>1996 prisoner participated, or purported to participate, in a re</w:t>
      </w:r>
      <w:r>
        <w:noBreakHyphen/>
        <w:t>socialisation programme on or after 28 January 2007 and before commencement, then each provision of this Act that would have permitted the prisoner to participate in the programme had the prisoner been sentenced on or after 28 January 2007 is taken to have applied to and in respect of that prisoner during that period.</w:t>
      </w:r>
    </w:p>
    <w:p>
      <w:pPr>
        <w:pStyle w:val="Footnotesection"/>
      </w:pPr>
      <w:r>
        <w:tab/>
        <w:t>[Section 125 inserted by No. 45 of 2016 s. 14.]</w:t>
      </w:r>
    </w:p>
    <w:p>
      <w:pPr>
        <w:pStyle w:val="Heading5"/>
      </w:pPr>
      <w:bookmarkStart w:id="625" w:name="_Toc511135926"/>
      <w:r>
        <w:rPr>
          <w:rStyle w:val="CharSectno"/>
        </w:rPr>
        <w:t>126</w:t>
      </w:r>
      <w:r>
        <w:t>.</w:t>
      </w:r>
      <w:r>
        <w:tab/>
        <w:t>Release on parole: pre</w:t>
      </w:r>
      <w:r>
        <w:noBreakHyphen/>
        <w:t>1996 prisoners</w:t>
      </w:r>
      <w:bookmarkEnd w:id="625"/>
    </w:p>
    <w:p>
      <w:pPr>
        <w:pStyle w:val="Subsection"/>
      </w:pPr>
      <w:r>
        <w:tab/>
        <w:t>(1)</w:t>
      </w:r>
      <w:r>
        <w:tab/>
        <w:t>If the release on parole of a pre</w:t>
      </w:r>
      <w:r>
        <w:noBreakHyphen/>
        <w:t xml:space="preserve">1996 prisoner during the transitional period was not in accordance with a former transitional provision relating to the release of the prisoner on parole then — </w:t>
      </w:r>
    </w:p>
    <w:p>
      <w:pPr>
        <w:pStyle w:val="Indenta"/>
      </w:pPr>
      <w:r>
        <w:tab/>
        <w:t>(a)</w:t>
      </w:r>
      <w:r>
        <w:tab/>
        <w:t xml:space="preserve">each provision of the </w:t>
      </w:r>
      <w:r>
        <w:rPr>
          <w:i/>
        </w:rPr>
        <w:t>Sentence Administration Act 1995</w:t>
      </w:r>
      <w:r>
        <w:t xml:space="preserve"> that would have been about the release of the prisoner on parole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been about the release of the prisoner on parole had the prisoner been sentenced on or after 31 August 2003 and before commencement is taken to have applied, and the former transitional provision is taken not to have applied, to and in respect of the prisoner during that period.</w:t>
      </w:r>
    </w:p>
    <w:p>
      <w:pPr>
        <w:pStyle w:val="Subsection"/>
      </w:pPr>
      <w:r>
        <w:tab/>
        <w:t>(2)</w:t>
      </w:r>
      <w:r>
        <w:tab/>
        <w:t>In making a decision during the transitional period about the release from custody of a pre</w:t>
      </w:r>
      <w:r>
        <w:noBreakHyphen/>
        <w:t xml:space="preserve">1996 prisoner under a provision of the </w:t>
      </w:r>
      <w:r>
        <w:rPr>
          <w:i/>
        </w:rPr>
        <w:t>Sentence Administration Act 1995</w:t>
      </w:r>
      <w:r>
        <w:t xml:space="preserve"> or this Act that applied by virtue of subsection (1), any of the following, according to the terms of the provision, may have been taken into account — </w:t>
      </w:r>
    </w:p>
    <w:p>
      <w:pPr>
        <w:pStyle w:val="Indenta"/>
      </w:pPr>
      <w:r>
        <w:tab/>
        <w:t>(a)</w:t>
      </w:r>
      <w:r>
        <w:tab/>
        <w:t>any report given about the prisoner under provisions that apply to and in respect of the prisoner by virtue of section 124;</w:t>
      </w:r>
    </w:p>
    <w:p>
      <w:pPr>
        <w:pStyle w:val="Indenta"/>
      </w:pPr>
      <w:r>
        <w:tab/>
        <w:t>(b)</w:t>
      </w:r>
      <w:r>
        <w:tab/>
        <w:t>the participation by the prisoner in any re</w:t>
      </w:r>
      <w:r>
        <w:noBreakHyphen/>
        <w:t>socialisation programme under provisions that apply to and in respect of the prisoner by virtue of section 125.</w:t>
      </w:r>
    </w:p>
    <w:p>
      <w:pPr>
        <w:pStyle w:val="Footnotesection"/>
      </w:pPr>
      <w:r>
        <w:tab/>
        <w:t>[Section 126 inserted by No. 45 of 2016 s. 14.]</w:t>
      </w:r>
    </w:p>
    <w:p>
      <w:pPr>
        <w:pStyle w:val="Heading5"/>
      </w:pPr>
      <w:bookmarkStart w:id="626" w:name="_Toc511135927"/>
      <w:r>
        <w:rPr>
          <w:rStyle w:val="CharSectno"/>
        </w:rPr>
        <w:t>127</w:t>
      </w:r>
      <w:r>
        <w:t>.</w:t>
      </w:r>
      <w:r>
        <w:tab/>
        <w:t>Validation of parole orders: pre</w:t>
      </w:r>
      <w:r>
        <w:noBreakHyphen/>
        <w:t>1996 prisoner</w:t>
      </w:r>
      <w:bookmarkEnd w:id="626"/>
    </w:p>
    <w:p>
      <w:pPr>
        <w:pStyle w:val="Subsection"/>
      </w:pPr>
      <w:r>
        <w:tab/>
      </w:r>
      <w:r>
        <w:tab/>
        <w:t>A parole order made in relation to the release from custody of a pre</w:t>
      </w:r>
      <w:r>
        <w:noBreakHyphen/>
        <w:t>1996 prisoner is, and is taken to have always been, as valid as it would have been if this Division had been if force when it was made.</w:t>
      </w:r>
    </w:p>
    <w:p>
      <w:pPr>
        <w:pStyle w:val="Footnotesection"/>
      </w:pPr>
      <w:r>
        <w:tab/>
        <w:t>[Section 127 inserted by No. 45 of 2016 s. 14; amended by No. 45 of 2016 s. 41.]</w:t>
      </w:r>
    </w:p>
    <w:p>
      <w:pPr>
        <w:pStyle w:val="Heading5"/>
      </w:pPr>
      <w:bookmarkStart w:id="627" w:name="_Toc511135928"/>
      <w:r>
        <w:rPr>
          <w:rStyle w:val="CharSectno"/>
        </w:rPr>
        <w:t>128</w:t>
      </w:r>
      <w:r>
        <w:t>.</w:t>
      </w:r>
      <w:r>
        <w:tab/>
        <w:t>Inconsistency with former transitional provisions</w:t>
      </w:r>
      <w:bookmarkEnd w:id="627"/>
    </w:p>
    <w:p>
      <w:pPr>
        <w:pStyle w:val="Subsection"/>
      </w:pPr>
      <w:r>
        <w:tab/>
      </w:r>
      <w:r>
        <w:tab/>
        <w:t xml:space="preserve">If a provision of this Act, or the </w:t>
      </w:r>
      <w:r>
        <w:rPr>
          <w:i/>
        </w:rPr>
        <w:t>Sentence Administration Act 1995</w:t>
      </w:r>
      <w:r>
        <w:t xml:space="preserve">, that applies by virtue of this Division is inconsistent with a provision of the former transitional provisions, the provision of this Act, or the </w:t>
      </w:r>
      <w:r>
        <w:rPr>
          <w:i/>
        </w:rPr>
        <w:t>Sentence Administration Act 1995</w:t>
      </w:r>
      <w:r>
        <w:t>, prevails.</w:t>
      </w:r>
    </w:p>
    <w:p>
      <w:pPr>
        <w:pStyle w:val="Footnotesection"/>
      </w:pPr>
      <w:r>
        <w:tab/>
        <w:t>[Section 128 inserted by No. 45 of 2016 s. 14; amended by No. 45 of 2016 s. 42.]</w:t>
      </w:r>
    </w:p>
    <w:p>
      <w:pPr>
        <w:pStyle w:val="Heading3"/>
      </w:pPr>
      <w:bookmarkStart w:id="628" w:name="_Toc442343928"/>
      <w:bookmarkStart w:id="629" w:name="_Toc442344738"/>
      <w:bookmarkStart w:id="630" w:name="_Toc442344828"/>
      <w:bookmarkStart w:id="631" w:name="_Toc442346230"/>
      <w:bookmarkStart w:id="632" w:name="_Toc442348272"/>
      <w:bookmarkStart w:id="633" w:name="_Toc442350867"/>
      <w:bookmarkStart w:id="634" w:name="_Toc442351188"/>
      <w:bookmarkStart w:id="635" w:name="_Toc443464414"/>
      <w:bookmarkStart w:id="636" w:name="_Toc443464788"/>
      <w:bookmarkStart w:id="637" w:name="_Toc443578624"/>
      <w:bookmarkStart w:id="638" w:name="_Toc443580007"/>
      <w:bookmarkStart w:id="639" w:name="_Toc443581168"/>
      <w:bookmarkStart w:id="640" w:name="_Toc443919155"/>
      <w:bookmarkStart w:id="641" w:name="_Toc443921395"/>
      <w:bookmarkStart w:id="642" w:name="_Toc443921536"/>
      <w:bookmarkStart w:id="643" w:name="_Toc444005349"/>
      <w:bookmarkStart w:id="644" w:name="_Toc444785780"/>
      <w:bookmarkStart w:id="645" w:name="_Toc445800641"/>
      <w:bookmarkStart w:id="646" w:name="_Toc446435080"/>
      <w:bookmarkStart w:id="647" w:name="_Toc447794242"/>
      <w:bookmarkStart w:id="648" w:name="_Toc447794408"/>
      <w:bookmarkStart w:id="649" w:name="_Toc447799988"/>
      <w:bookmarkStart w:id="650" w:name="_Toc447800129"/>
      <w:bookmarkStart w:id="651" w:name="_Toc447803235"/>
      <w:bookmarkStart w:id="652" w:name="_Toc448828793"/>
      <w:bookmarkStart w:id="653" w:name="_Toc448829261"/>
      <w:bookmarkStart w:id="654" w:name="_Toc448831418"/>
      <w:bookmarkStart w:id="655" w:name="_Toc450212607"/>
      <w:bookmarkStart w:id="656" w:name="_Toc450214608"/>
      <w:bookmarkStart w:id="657" w:name="_Toc450214750"/>
      <w:bookmarkStart w:id="658" w:name="_Toc450214892"/>
      <w:bookmarkStart w:id="659" w:name="_Toc450574274"/>
      <w:bookmarkStart w:id="660" w:name="_Toc450574895"/>
      <w:bookmarkStart w:id="661" w:name="_Toc454287294"/>
      <w:bookmarkStart w:id="662" w:name="_Toc467152398"/>
      <w:bookmarkStart w:id="663" w:name="_Toc469037419"/>
      <w:bookmarkStart w:id="664" w:name="_Toc485716168"/>
      <w:bookmarkStart w:id="665" w:name="_Toc485719920"/>
      <w:bookmarkStart w:id="666" w:name="_Toc485802664"/>
      <w:bookmarkStart w:id="667" w:name="_Toc486435605"/>
      <w:bookmarkStart w:id="668" w:name="_Toc509830393"/>
      <w:bookmarkStart w:id="669" w:name="_Toc509830724"/>
      <w:bookmarkStart w:id="670" w:name="_Toc511135929"/>
      <w:r>
        <w:rPr>
          <w:rStyle w:val="CharDivNo"/>
        </w:rPr>
        <w:t>Division 2</w:t>
      </w:r>
      <w:r>
        <w:t> — </w:t>
      </w:r>
      <w:r>
        <w:rPr>
          <w:rStyle w:val="CharDivText"/>
        </w:rPr>
        <w:t xml:space="preserve">Provisions for the </w:t>
      </w:r>
      <w:r>
        <w:rPr>
          <w:rStyle w:val="CharDivText"/>
          <w:i/>
        </w:rPr>
        <w:t>Sentencing Legislation Amendment Act 2016</w:t>
      </w:r>
      <w:r>
        <w:rPr>
          <w:rStyle w:val="CharDivText"/>
        </w:rPr>
        <w:t xml:space="preserve"> Part 3 Division 2</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Footnoteheading"/>
      </w:pPr>
      <w:bookmarkStart w:id="671" w:name="_Toc433982716"/>
      <w:bookmarkStart w:id="672" w:name="_Toc467152399"/>
      <w:bookmarkStart w:id="673" w:name="_Toc469037420"/>
      <w:r>
        <w:tab/>
        <w:t>[Heading inserted by No. 45 of 2016 s. 43.]</w:t>
      </w:r>
    </w:p>
    <w:p>
      <w:pPr>
        <w:pStyle w:val="Heading5"/>
      </w:pPr>
      <w:bookmarkStart w:id="674" w:name="_Toc511135930"/>
      <w:r>
        <w:t>129.</w:t>
      </w:r>
      <w:r>
        <w:tab/>
        <w:t>Continued application of former Part 3 Division 4</w:t>
      </w:r>
      <w:bookmarkEnd w:id="671"/>
      <w:bookmarkEnd w:id="672"/>
      <w:bookmarkEnd w:id="673"/>
      <w:bookmarkEnd w:id="67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Sentencing Legislation Amendment Act 2016</w:t>
      </w:r>
      <w:r>
        <w:t xml:space="preserve"> section 23 comes into operation;</w:t>
      </w:r>
    </w:p>
    <w:p>
      <w:pPr>
        <w:pStyle w:val="Defstart"/>
      </w:pPr>
      <w:r>
        <w:tab/>
      </w:r>
      <w:r>
        <w:rPr>
          <w:rStyle w:val="CharDefText"/>
        </w:rPr>
        <w:t>former Division</w:t>
      </w:r>
      <w:r>
        <w:t xml:space="preserve"> means Part 3 Division 4 as in force immediately before commencement day</w:t>
      </w:r>
      <w:r>
        <w:rPr>
          <w:sz w:val="20"/>
        </w:rPr>
        <w:t>.</w:t>
      </w:r>
    </w:p>
    <w:p>
      <w:pPr>
        <w:pStyle w:val="Subsection"/>
      </w:pPr>
      <w:r>
        <w:tab/>
        <w:t>(2)</w:t>
      </w:r>
      <w:r>
        <w:tab/>
        <w:t xml:space="preserve">If the former Division applied to a prisoner immediately before commencement day then on and after that day the former Division continues to apply to and in relation to the prisoner as if the </w:t>
      </w:r>
      <w:r>
        <w:rPr>
          <w:i/>
        </w:rPr>
        <w:t>Sentencing Legislation Amendment Act 2016</w:t>
      </w:r>
      <w:r>
        <w:t xml:space="preserve"> section 23</w:t>
      </w:r>
      <w:r>
        <w:rPr>
          <w:sz w:val="20"/>
        </w:rPr>
        <w:t xml:space="preserve"> </w:t>
      </w:r>
      <w:r>
        <w:t>had not come into operation.</w:t>
      </w:r>
    </w:p>
    <w:p>
      <w:pPr>
        <w:pStyle w:val="Footnotesection"/>
      </w:pPr>
      <w:r>
        <w:tab/>
        <w:t>[Section 129 inserted by No. 45 of 2016 s. 43.]</w:t>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75" w:name="_Toc473635123"/>
      <w:bookmarkStart w:id="676" w:name="_Toc474159181"/>
      <w:bookmarkStart w:id="677" w:name="_Toc485716170"/>
      <w:bookmarkStart w:id="678" w:name="_Toc485719922"/>
      <w:bookmarkStart w:id="679" w:name="_Toc485802666"/>
      <w:bookmarkStart w:id="680" w:name="_Toc486435607"/>
      <w:bookmarkStart w:id="681" w:name="_Toc509830395"/>
      <w:bookmarkStart w:id="682" w:name="_Toc509830726"/>
      <w:bookmarkStart w:id="683" w:name="_Toc511135931"/>
      <w:r>
        <w:rPr>
          <w:rStyle w:val="CharSchNo"/>
        </w:rPr>
        <w:t>Schedule 1</w:t>
      </w:r>
      <w:r>
        <w:t> — </w:t>
      </w:r>
      <w:r>
        <w:rPr>
          <w:rStyle w:val="CharSchText"/>
        </w:rPr>
        <w:t>Provisions applying to the Prisoners Review Board</w:t>
      </w:r>
      <w:bookmarkEnd w:id="675"/>
      <w:bookmarkEnd w:id="676"/>
      <w:bookmarkEnd w:id="677"/>
      <w:bookmarkEnd w:id="678"/>
      <w:bookmarkEnd w:id="679"/>
      <w:bookmarkEnd w:id="680"/>
      <w:bookmarkEnd w:id="681"/>
      <w:bookmarkEnd w:id="682"/>
      <w:bookmarkEnd w:id="683"/>
    </w:p>
    <w:p>
      <w:pPr>
        <w:pStyle w:val="yShoulderClause"/>
      </w:pPr>
      <w:r>
        <w:t>[s. 105]</w:t>
      </w:r>
    </w:p>
    <w:p>
      <w:pPr>
        <w:pStyle w:val="yFootnoteheading"/>
      </w:pPr>
      <w:r>
        <w:tab/>
        <w:t>[Heading inserted by No. 41 of 2006 s. 68.]</w:t>
      </w:r>
    </w:p>
    <w:p>
      <w:pPr>
        <w:pStyle w:val="yHeading5"/>
      </w:pPr>
      <w:bookmarkStart w:id="684" w:name="_Toc511135932"/>
      <w:r>
        <w:rPr>
          <w:rStyle w:val="CharSClsNo"/>
        </w:rPr>
        <w:t>1</w:t>
      </w:r>
      <w:r>
        <w:t>.</w:t>
      </w:r>
      <w:r>
        <w:tab/>
        <w:t>Term used: member</w:t>
      </w:r>
      <w:bookmarkEnd w:id="684"/>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by No. 41 of 2006 s. 68.]</w:t>
      </w:r>
    </w:p>
    <w:p>
      <w:pPr>
        <w:pStyle w:val="yHeading5"/>
      </w:pPr>
      <w:bookmarkStart w:id="685" w:name="_Toc511135933"/>
      <w:r>
        <w:rPr>
          <w:rStyle w:val="CharSClsNo"/>
        </w:rPr>
        <w:t>2</w:t>
      </w:r>
      <w:r>
        <w:t>.</w:t>
      </w:r>
      <w:r>
        <w:tab/>
        <w:t>Term etc. of office</w:t>
      </w:r>
      <w:bookmarkEnd w:id="685"/>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by No. 41 of 2006 s. 68.]</w:t>
      </w:r>
    </w:p>
    <w:p>
      <w:pPr>
        <w:pStyle w:val="yHeading5"/>
      </w:pPr>
      <w:bookmarkStart w:id="686" w:name="_Toc511135934"/>
      <w:r>
        <w:rPr>
          <w:rStyle w:val="CharSClsNo"/>
        </w:rPr>
        <w:t>3</w:t>
      </w:r>
      <w:r>
        <w:t>.</w:t>
      </w:r>
      <w:r>
        <w:tab/>
        <w:t>Resignation</w:t>
      </w:r>
      <w:bookmarkEnd w:id="686"/>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by No. 41 of 2006 s. 68.]</w:t>
      </w:r>
    </w:p>
    <w:p>
      <w:pPr>
        <w:pStyle w:val="yHeading5"/>
      </w:pPr>
      <w:bookmarkStart w:id="687" w:name="_Toc511135935"/>
      <w:r>
        <w:rPr>
          <w:rStyle w:val="CharSClsNo"/>
        </w:rPr>
        <w:t>4</w:t>
      </w:r>
      <w:r>
        <w:t>.</w:t>
      </w:r>
      <w:r>
        <w:tab/>
        <w:t>Terminating appointments</w:t>
      </w:r>
      <w:bookmarkEnd w:id="687"/>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by No. 41 of 2006 s. 68.]</w:t>
      </w:r>
    </w:p>
    <w:p>
      <w:pPr>
        <w:pStyle w:val="yHeading5"/>
      </w:pPr>
      <w:bookmarkStart w:id="688" w:name="_Toc511135936"/>
      <w:r>
        <w:rPr>
          <w:rStyle w:val="CharSClsNo"/>
        </w:rPr>
        <w:t>5</w:t>
      </w:r>
      <w:r>
        <w:t>.</w:t>
      </w:r>
      <w:r>
        <w:tab/>
        <w:t>Meetings</w:t>
      </w:r>
      <w:bookmarkEnd w:id="688"/>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by No. 41 of 2006 s. 68.]</w:t>
      </w:r>
    </w:p>
    <w:p>
      <w:pPr>
        <w:pStyle w:val="yHeading5"/>
      </w:pPr>
      <w:bookmarkStart w:id="689" w:name="_Toc511135937"/>
      <w:r>
        <w:rPr>
          <w:rStyle w:val="CharSClsNo"/>
        </w:rPr>
        <w:t>6</w:t>
      </w:r>
      <w:r>
        <w:rPr>
          <w:snapToGrid w:val="0"/>
        </w:rPr>
        <w:t>.</w:t>
      </w:r>
      <w:r>
        <w:rPr>
          <w:snapToGrid w:val="0"/>
        </w:rPr>
        <w:tab/>
      </w:r>
      <w:r>
        <w:t>Conditions of service</w:t>
      </w:r>
      <w:bookmarkEnd w:id="689"/>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by No. 41 of 2006 s. 68; amended by No. 39 of 2010 s. 89.]</w:t>
      </w:r>
    </w:p>
    <w:p>
      <w:pPr>
        <w:pStyle w:val="yHeading5"/>
      </w:pPr>
      <w:bookmarkStart w:id="690" w:name="_Toc511135938"/>
      <w:r>
        <w:rPr>
          <w:rStyle w:val="CharSClsNo"/>
        </w:rPr>
        <w:t>7</w:t>
      </w:r>
      <w:r>
        <w:t>.</w:t>
      </w:r>
      <w:r>
        <w:tab/>
        <w:t>Leave of absence</w:t>
      </w:r>
      <w:bookmarkEnd w:id="690"/>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692" w:name="_Toc473635131"/>
      <w:bookmarkStart w:id="693" w:name="_Toc474159189"/>
      <w:bookmarkStart w:id="694" w:name="_Toc485716178"/>
      <w:bookmarkStart w:id="695" w:name="_Toc485719930"/>
      <w:bookmarkStart w:id="696" w:name="_Toc485802674"/>
      <w:bookmarkStart w:id="697" w:name="_Toc486435615"/>
      <w:bookmarkStart w:id="698" w:name="_Toc509830403"/>
      <w:bookmarkStart w:id="699" w:name="_Toc509830734"/>
      <w:bookmarkStart w:id="700" w:name="_Toc511135939"/>
      <w:r>
        <w:rPr>
          <w:rStyle w:val="CharSchNo"/>
        </w:rPr>
        <w:t>Schedule 2</w:t>
      </w:r>
      <w:r>
        <w:t xml:space="preserve"> — </w:t>
      </w:r>
      <w:r>
        <w:rPr>
          <w:rStyle w:val="CharSchText"/>
        </w:rPr>
        <w:t>Serious offences</w:t>
      </w:r>
      <w:bookmarkEnd w:id="692"/>
      <w:bookmarkEnd w:id="693"/>
      <w:bookmarkEnd w:id="694"/>
      <w:bookmarkEnd w:id="695"/>
      <w:bookmarkEnd w:id="696"/>
      <w:bookmarkEnd w:id="697"/>
      <w:bookmarkEnd w:id="698"/>
      <w:bookmarkEnd w:id="699"/>
      <w:bookmarkEnd w:id="700"/>
    </w:p>
    <w:p>
      <w:pPr>
        <w:pStyle w:val="yShoulderClause"/>
      </w:pPr>
      <w:r>
        <w:t>[s. 4]</w:t>
      </w:r>
    </w:p>
    <w:p>
      <w:pPr>
        <w:pStyle w:val="yFootnoteheading"/>
      </w:pPr>
      <w:r>
        <w:tab/>
        <w:t>[Heading amended by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 xml:space="preserve">Section 187 — Facilitating sexual offences against children outside </w:t>
      </w:r>
      <w:smartTag w:uri="urn:schemas-microsoft-com:office:smarttags" w:element="place">
        <w:smartTag w:uri="urn:schemas-microsoft-com:office:smarttags" w:element="State">
          <w:r>
            <w:t>Western Australia</w:t>
          </w:r>
        </w:smartTag>
      </w:smartTag>
      <w:r>
        <w:t>,</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4</w:t>
      </w:r>
      <w:r>
        <w:rPr>
          <w:szCs w:val="22"/>
        </w:rPr>
        <w:t>;</w:t>
      </w:r>
      <w:r>
        <w:t xml:space="preserve">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 No. 6 of 2014 s. 11(2).]</w:t>
      </w:r>
    </w:p>
    <w:p>
      <w:pPr>
        <w:pStyle w:val="yScheduleHeading"/>
      </w:pPr>
      <w:bookmarkStart w:id="701" w:name="_Toc473635132"/>
      <w:bookmarkStart w:id="702" w:name="_Toc474159190"/>
      <w:bookmarkStart w:id="703" w:name="_Toc485716179"/>
      <w:bookmarkStart w:id="704" w:name="_Toc485719931"/>
      <w:bookmarkStart w:id="705" w:name="_Toc485802675"/>
      <w:bookmarkStart w:id="706" w:name="_Toc486435616"/>
      <w:bookmarkStart w:id="707" w:name="_Toc509830404"/>
      <w:bookmarkStart w:id="708" w:name="_Toc509830735"/>
      <w:bookmarkStart w:id="709" w:name="_Toc511135940"/>
      <w:r>
        <w:rPr>
          <w:rStyle w:val="CharSchNo"/>
        </w:rPr>
        <w:t>Schedule 3</w:t>
      </w:r>
      <w:r>
        <w:t> — </w:t>
      </w:r>
      <w:r>
        <w:rPr>
          <w:rStyle w:val="CharSchText"/>
        </w:rPr>
        <w:t>Reports and re</w:t>
      </w:r>
      <w:r>
        <w:rPr>
          <w:rStyle w:val="CharSchText"/>
        </w:rPr>
        <w:noBreakHyphen/>
        <w:t>socialisation programmes for certain prisoners</w:t>
      </w:r>
      <w:bookmarkEnd w:id="701"/>
      <w:bookmarkEnd w:id="702"/>
      <w:bookmarkEnd w:id="703"/>
      <w:bookmarkEnd w:id="704"/>
      <w:bookmarkEnd w:id="705"/>
      <w:bookmarkEnd w:id="706"/>
      <w:bookmarkEnd w:id="707"/>
      <w:bookmarkEnd w:id="708"/>
      <w:bookmarkEnd w:id="709"/>
    </w:p>
    <w:p>
      <w:pPr>
        <w:pStyle w:val="yShoulderClause"/>
      </w:pPr>
      <w:r>
        <w:t>[s. 12A and 13]</w:t>
      </w:r>
    </w:p>
    <w:p>
      <w:pPr>
        <w:pStyle w:val="yFootnoteheading"/>
      </w:pPr>
      <w:r>
        <w:tab/>
        <w:t>[Heading inserted by No. 45 of 2016 s. 15.]</w:t>
      </w:r>
    </w:p>
    <w:p>
      <w:pPr>
        <w:pStyle w:val="yHeading3"/>
      </w:pPr>
      <w:bookmarkStart w:id="710" w:name="_Toc473635133"/>
      <w:bookmarkStart w:id="711" w:name="_Toc474159191"/>
      <w:bookmarkStart w:id="712" w:name="_Toc485716180"/>
      <w:bookmarkStart w:id="713" w:name="_Toc485719932"/>
      <w:bookmarkStart w:id="714" w:name="_Toc485802676"/>
      <w:bookmarkStart w:id="715" w:name="_Toc486435617"/>
      <w:bookmarkStart w:id="716" w:name="_Toc509830405"/>
      <w:bookmarkStart w:id="717" w:name="_Toc509830736"/>
      <w:bookmarkStart w:id="718" w:name="_Toc511135941"/>
      <w:r>
        <w:rPr>
          <w:rStyle w:val="CharSDivNo"/>
        </w:rPr>
        <w:t>Division 1</w:t>
      </w:r>
      <w:r>
        <w:rPr>
          <w:b w:val="0"/>
        </w:rPr>
        <w:t> — </w:t>
      </w:r>
      <w:r>
        <w:rPr>
          <w:rStyle w:val="CharSDivText"/>
        </w:rPr>
        <w:t>Current sentence types</w:t>
      </w:r>
      <w:bookmarkEnd w:id="710"/>
      <w:bookmarkEnd w:id="711"/>
      <w:bookmarkEnd w:id="712"/>
      <w:bookmarkEnd w:id="713"/>
      <w:bookmarkEnd w:id="714"/>
      <w:bookmarkEnd w:id="715"/>
      <w:bookmarkEnd w:id="716"/>
      <w:bookmarkEnd w:id="717"/>
      <w:bookmarkEnd w:id="718"/>
    </w:p>
    <w:p>
      <w:pPr>
        <w:pStyle w:val="yFootnoteheading"/>
        <w:spacing w:after="60"/>
      </w:pPr>
      <w:r>
        <w:tab/>
        <w:t>[Heading inserted  by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88"/>
        <w:gridCol w:w="1489"/>
      </w:tblGrid>
      <w:tr>
        <w:trPr>
          <w:cantSplit/>
          <w:tblHeader/>
        </w:trPr>
        <w:tc>
          <w:tcPr>
            <w:tcW w:w="709" w:type="dxa"/>
            <w:tcBorders>
              <w:bottom w:val="single" w:sz="4" w:space="0" w:color="auto"/>
            </w:tcBorders>
          </w:tcPr>
          <w:p>
            <w:pPr>
              <w:pStyle w:val="yTableNAm"/>
              <w:jc w:val="center"/>
            </w:pPr>
            <w:r>
              <w:rPr>
                <w:b/>
              </w:rPr>
              <w:t>Item No.</w:t>
            </w:r>
          </w:p>
        </w:tc>
        <w:tc>
          <w:tcPr>
            <w:tcW w:w="3118" w:type="dxa"/>
            <w:tcBorders>
              <w:bottom w:val="single" w:sz="4" w:space="0" w:color="auto"/>
            </w:tcBorders>
          </w:tcPr>
          <w:p>
            <w:pPr>
              <w:pStyle w:val="yTableNAm"/>
              <w:jc w:val="center"/>
            </w:pPr>
            <w:r>
              <w:rPr>
                <w:b/>
              </w:rPr>
              <w:t>Description of prisoner</w:t>
            </w:r>
          </w:p>
        </w:tc>
        <w:tc>
          <w:tcPr>
            <w:tcW w:w="1488" w:type="dxa"/>
            <w:tcBorders>
              <w:bottom w:val="single" w:sz="4" w:space="0" w:color="auto"/>
            </w:tcBorders>
          </w:tcPr>
          <w:p>
            <w:pPr>
              <w:pStyle w:val="yTableNAm"/>
              <w:jc w:val="center"/>
            </w:pPr>
            <w:r>
              <w:rPr>
                <w:b/>
              </w:rPr>
              <w:t>First report due</w:t>
            </w:r>
          </w:p>
        </w:tc>
        <w:tc>
          <w:tcPr>
            <w:tcW w:w="1489" w:type="dxa"/>
            <w:tcBorders>
              <w:bottom w:val="single" w:sz="4" w:space="0" w:color="auto"/>
            </w:tcBorders>
          </w:tcPr>
          <w:p>
            <w:pPr>
              <w:pStyle w:val="yTableNAm"/>
              <w:jc w:val="center"/>
            </w:pPr>
            <w:r>
              <w:rPr>
                <w:b/>
              </w:rPr>
              <w:t>Subsequent reports due</w:t>
            </w:r>
          </w:p>
        </w:tc>
      </w:tr>
      <w:tr>
        <w:trPr>
          <w:cantSplit/>
          <w:trHeight w:val="1422"/>
        </w:trPr>
        <w:tc>
          <w:tcPr>
            <w:tcW w:w="709" w:type="dxa"/>
            <w:tcBorders>
              <w:top w:val="single" w:sz="4" w:space="0" w:color="auto"/>
            </w:tcBorders>
          </w:tcPr>
          <w:p>
            <w:pPr>
              <w:pStyle w:val="yTableNAm"/>
            </w:pPr>
            <w:r>
              <w:t>1.</w:t>
            </w:r>
          </w:p>
        </w:tc>
        <w:tc>
          <w:tcPr>
            <w:tcW w:w="3118" w:type="dxa"/>
            <w:tcBorders>
              <w:top w:val="single" w:sz="4" w:space="0" w:color="auto"/>
            </w:tcBorders>
          </w:tcPr>
          <w:p>
            <w:pPr>
              <w:pStyle w:val="yTableNAm"/>
            </w:pPr>
            <w:r>
              <w:t>A person serving a sentence of life imprisonment for an offence other than murder</w:t>
            </w:r>
          </w:p>
        </w:tc>
        <w:tc>
          <w:tcPr>
            <w:tcW w:w="1488" w:type="dxa"/>
            <w:tcBorders>
              <w:top w:val="single" w:sz="4" w:space="0" w:color="auto"/>
            </w:tcBorders>
          </w:tcPr>
          <w:p>
            <w:pPr>
              <w:pStyle w:val="yTableNAm"/>
            </w:pPr>
            <w:r>
              <w:t>7 years after the day on which the term began or is taken to have begun</w:t>
            </w:r>
          </w:p>
        </w:tc>
        <w:tc>
          <w:tcPr>
            <w:tcW w:w="1489" w:type="dxa"/>
            <w:tcBorders>
              <w:top w:val="single" w:sz="4" w:space="0" w:color="auto"/>
            </w:tcBorders>
          </w:tcPr>
          <w:p>
            <w:pPr>
              <w:pStyle w:val="yTableNAm"/>
            </w:pPr>
            <w:r>
              <w:t>Every 3 years after that</w:t>
            </w:r>
          </w:p>
        </w:tc>
      </w:tr>
      <w:tr>
        <w:trPr>
          <w:cantSplit/>
          <w:trHeight w:val="1147"/>
        </w:trPr>
        <w:tc>
          <w:tcPr>
            <w:tcW w:w="709" w:type="dxa"/>
            <w:tcBorders>
              <w:top w:val="single" w:sz="4" w:space="0" w:color="auto"/>
            </w:tcBorders>
          </w:tcPr>
          <w:p>
            <w:pPr>
              <w:pStyle w:val="yTableNAm"/>
            </w:pPr>
            <w:r>
              <w:t>2.</w:t>
            </w:r>
          </w:p>
        </w:tc>
        <w:tc>
          <w:tcPr>
            <w:tcW w:w="3118" w:type="dxa"/>
            <w:tcBorders>
              <w:top w:val="single" w:sz="4" w:space="0" w:color="auto"/>
            </w:tcBorders>
          </w:tcPr>
          <w:p>
            <w:pPr>
              <w:pStyle w:val="yTableNAm"/>
            </w:pPr>
            <w:r>
              <w:t xml:space="preserve">A person serving a sentence of life imprisonment for murder where a minimum period has been set under the </w:t>
            </w:r>
            <w:r>
              <w:rPr>
                <w:i/>
              </w:rPr>
              <w:t xml:space="preserve">Sentencing Act 1995 </w:t>
            </w:r>
            <w:r>
              <w:t xml:space="preserve">section 90(1)(a) </w:t>
            </w:r>
          </w:p>
        </w:tc>
        <w:tc>
          <w:tcPr>
            <w:tcW w:w="1488" w:type="dxa"/>
            <w:tcBorders>
              <w:top w:val="single" w:sz="4" w:space="0" w:color="auto"/>
            </w:tcBorders>
          </w:tcPr>
          <w:p>
            <w:pPr>
              <w:pStyle w:val="yTableNAm"/>
            </w:pPr>
            <w:r>
              <w:t>At the end of the minimum period</w:t>
            </w:r>
          </w:p>
        </w:tc>
        <w:tc>
          <w:tcPr>
            <w:tcW w:w="1489" w:type="dxa"/>
            <w:tcBorders>
              <w:top w:val="single" w:sz="4" w:space="0" w:color="auto"/>
            </w:tcBorders>
          </w:tcPr>
          <w:p>
            <w:pPr>
              <w:pStyle w:val="yTableNAm"/>
            </w:pPr>
            <w:r>
              <w:t>Every 3 years after that</w:t>
            </w:r>
          </w:p>
        </w:tc>
      </w:tr>
      <w:tr>
        <w:trPr>
          <w:cantSplit/>
          <w:trHeight w:val="869"/>
        </w:trPr>
        <w:tc>
          <w:tcPr>
            <w:tcW w:w="709" w:type="dxa"/>
            <w:tcBorders>
              <w:top w:val="single" w:sz="4" w:space="0" w:color="auto"/>
            </w:tcBorders>
          </w:tcPr>
          <w:p>
            <w:pPr>
              <w:pStyle w:val="yTableNAm"/>
            </w:pPr>
            <w:r>
              <w:t>3.</w:t>
            </w:r>
          </w:p>
        </w:tc>
        <w:tc>
          <w:tcPr>
            <w:tcW w:w="3118" w:type="dxa"/>
            <w:tcBorders>
              <w:top w:val="single" w:sz="4" w:space="0" w:color="auto"/>
            </w:tcBorders>
          </w:tcPr>
          <w:p>
            <w:pPr>
              <w:pStyle w:val="yTableNAm"/>
            </w:pPr>
            <w:r>
              <w:t>A person serving a sentence of indefinite imprisonment</w:t>
            </w:r>
          </w:p>
        </w:tc>
        <w:tc>
          <w:tcPr>
            <w:tcW w:w="1488" w:type="dxa"/>
            <w:tcBorders>
              <w:top w:val="single" w:sz="4" w:space="0" w:color="auto"/>
            </w:tcBorders>
          </w:tcPr>
          <w:p>
            <w:pPr>
              <w:pStyle w:val="yTableNAm"/>
            </w:pPr>
            <w:r>
              <w:t>One year after the day on which the sentence began</w:t>
            </w:r>
          </w:p>
        </w:tc>
        <w:tc>
          <w:tcPr>
            <w:tcW w:w="1489" w:type="dxa"/>
            <w:tcBorders>
              <w:top w:val="single" w:sz="4" w:space="0" w:color="auto"/>
            </w:tcBorders>
          </w:tcPr>
          <w:p>
            <w:pPr>
              <w:pStyle w:val="yTableNAm"/>
            </w:pPr>
            <w:r>
              <w:t>Every 3 years after that</w:t>
            </w:r>
          </w:p>
        </w:tc>
      </w:tr>
      <w:tr>
        <w:trPr>
          <w:cantSplit/>
          <w:trHeight w:val="1152"/>
        </w:trPr>
        <w:tc>
          <w:tcPr>
            <w:tcW w:w="709" w:type="dxa"/>
            <w:tcBorders>
              <w:top w:val="single" w:sz="4" w:space="0" w:color="auto"/>
              <w:bottom w:val="single" w:sz="4" w:space="0" w:color="auto"/>
            </w:tcBorders>
          </w:tcPr>
          <w:p>
            <w:pPr>
              <w:pStyle w:val="yTableNAm"/>
            </w:pPr>
            <w:r>
              <w:t>4.</w:t>
            </w:r>
          </w:p>
        </w:tc>
        <w:tc>
          <w:tcPr>
            <w:tcW w:w="3118" w:type="dxa"/>
            <w:tcBorders>
              <w:top w:val="single" w:sz="4" w:space="0" w:color="auto"/>
              <w:bottom w:val="single" w:sz="4" w:space="0" w:color="auto"/>
            </w:tcBorders>
          </w:tcPr>
          <w:p>
            <w:pPr>
              <w:pStyle w:val="yTableNAm"/>
              <w:rPr>
                <w:rStyle w:val="DraftersNotes"/>
                <w:b w:val="0"/>
                <w:i w:val="0"/>
              </w:rPr>
            </w:pPr>
            <w:r>
              <w:t xml:space="preserve">A Governor’s pleasure detainee subject to a sentence of detention imposed under </w:t>
            </w:r>
            <w:r>
              <w:rPr>
                <w:i/>
              </w:rPr>
              <w:t>The Criminal Code</w:t>
            </w:r>
            <w:r>
              <w:t xml:space="preserve"> section 279(5)(b)</w:t>
            </w:r>
          </w:p>
        </w:tc>
        <w:tc>
          <w:tcPr>
            <w:tcW w:w="1488" w:type="dxa"/>
            <w:tcBorders>
              <w:top w:val="single" w:sz="4" w:space="0" w:color="auto"/>
              <w:bottom w:val="single" w:sz="4" w:space="0" w:color="auto"/>
            </w:tcBorders>
          </w:tcPr>
          <w:p>
            <w:pPr>
              <w:pStyle w:val="yTableNAm"/>
            </w:pPr>
            <w:r>
              <w:t>One year after the day on which the detention began</w:t>
            </w:r>
          </w:p>
        </w:tc>
        <w:tc>
          <w:tcPr>
            <w:tcW w:w="1489" w:type="dxa"/>
            <w:tcBorders>
              <w:top w:val="single" w:sz="4" w:space="0" w:color="auto"/>
              <w:bottom w:val="single" w:sz="4" w:space="0" w:color="auto"/>
            </w:tcBorders>
          </w:tcPr>
          <w:p>
            <w:pPr>
              <w:pStyle w:val="yTableNAm"/>
            </w:pPr>
            <w:r>
              <w:t>Every year after that</w:t>
            </w:r>
          </w:p>
        </w:tc>
      </w:tr>
    </w:tbl>
    <w:p>
      <w:pPr>
        <w:pStyle w:val="yFootnotesection"/>
      </w:pPr>
      <w:r>
        <w:tab/>
        <w:t>[Division 1 inserted by No. 45 of 2016 s. 15.]</w:t>
      </w:r>
    </w:p>
    <w:p>
      <w:pPr>
        <w:pStyle w:val="yHeading3"/>
      </w:pPr>
      <w:bookmarkStart w:id="719" w:name="_Toc473635134"/>
      <w:bookmarkStart w:id="720" w:name="_Toc474159192"/>
      <w:bookmarkStart w:id="721" w:name="_Toc485716181"/>
      <w:bookmarkStart w:id="722" w:name="_Toc485719933"/>
      <w:bookmarkStart w:id="723" w:name="_Toc485802677"/>
      <w:bookmarkStart w:id="724" w:name="_Toc486435618"/>
      <w:bookmarkStart w:id="725" w:name="_Toc509830406"/>
      <w:bookmarkStart w:id="726" w:name="_Toc509830737"/>
      <w:bookmarkStart w:id="727" w:name="_Toc511135942"/>
      <w:r>
        <w:rPr>
          <w:rStyle w:val="CharSDivNo"/>
        </w:rPr>
        <w:t>Division 2</w:t>
      </w:r>
      <w:r>
        <w:t> — </w:t>
      </w:r>
      <w:r>
        <w:rPr>
          <w:rStyle w:val="CharSDivText"/>
        </w:rPr>
        <w:t>Former sentence types</w:t>
      </w:r>
      <w:bookmarkEnd w:id="719"/>
      <w:bookmarkEnd w:id="720"/>
      <w:bookmarkEnd w:id="721"/>
      <w:bookmarkEnd w:id="722"/>
      <w:bookmarkEnd w:id="723"/>
      <w:bookmarkEnd w:id="724"/>
      <w:bookmarkEnd w:id="725"/>
      <w:bookmarkEnd w:id="726"/>
      <w:bookmarkEnd w:id="727"/>
    </w:p>
    <w:p>
      <w:pPr>
        <w:pStyle w:val="yFootnoteheading"/>
        <w:spacing w:after="60"/>
      </w:pPr>
      <w:r>
        <w:tab/>
        <w:t>[Heading inserted by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18"/>
        <w:gridCol w:w="1559"/>
      </w:tblGrid>
      <w:tr>
        <w:trPr>
          <w:cantSplit/>
          <w:trHeight w:val="771"/>
          <w:tblHeader/>
        </w:trPr>
        <w:tc>
          <w:tcPr>
            <w:tcW w:w="709" w:type="dxa"/>
            <w:tcBorders>
              <w:top w:val="single" w:sz="4" w:space="0" w:color="auto"/>
            </w:tcBorders>
          </w:tcPr>
          <w:p>
            <w:pPr>
              <w:pStyle w:val="yTableNAm"/>
              <w:jc w:val="center"/>
            </w:pPr>
            <w:r>
              <w:rPr>
                <w:b/>
              </w:rPr>
              <w:t>Item No.</w:t>
            </w:r>
          </w:p>
        </w:tc>
        <w:tc>
          <w:tcPr>
            <w:tcW w:w="3118" w:type="dxa"/>
            <w:tcBorders>
              <w:top w:val="single" w:sz="4" w:space="0" w:color="auto"/>
            </w:tcBorders>
          </w:tcPr>
          <w:p>
            <w:pPr>
              <w:pStyle w:val="yTableNAm"/>
              <w:jc w:val="center"/>
            </w:pPr>
            <w:r>
              <w:rPr>
                <w:b/>
              </w:rPr>
              <w:t>Description of prisoner</w:t>
            </w:r>
          </w:p>
        </w:tc>
        <w:tc>
          <w:tcPr>
            <w:tcW w:w="1418" w:type="dxa"/>
            <w:tcBorders>
              <w:top w:val="single" w:sz="4" w:space="0" w:color="auto"/>
            </w:tcBorders>
          </w:tcPr>
          <w:p>
            <w:pPr>
              <w:pStyle w:val="yTableNAm"/>
              <w:jc w:val="center"/>
            </w:pPr>
            <w:r>
              <w:rPr>
                <w:b/>
              </w:rPr>
              <w:t>First report due</w:t>
            </w:r>
          </w:p>
        </w:tc>
        <w:tc>
          <w:tcPr>
            <w:tcW w:w="1559" w:type="dxa"/>
            <w:tcBorders>
              <w:top w:val="single" w:sz="4" w:space="0" w:color="auto"/>
            </w:tcBorders>
          </w:tcPr>
          <w:p>
            <w:pPr>
              <w:pStyle w:val="yTableNAm"/>
              <w:jc w:val="center"/>
            </w:pPr>
            <w:r>
              <w:rPr>
                <w:b/>
              </w:rPr>
              <w:t>Subsequent reports due</w:t>
            </w:r>
          </w:p>
        </w:tc>
      </w:tr>
      <w:tr>
        <w:trPr>
          <w:cantSplit/>
          <w:trHeight w:val="1676"/>
        </w:trPr>
        <w:tc>
          <w:tcPr>
            <w:tcW w:w="709" w:type="dxa"/>
            <w:tcBorders>
              <w:top w:val="single" w:sz="4" w:space="0" w:color="auto"/>
            </w:tcBorders>
          </w:tcPr>
          <w:p>
            <w:pPr>
              <w:pStyle w:val="yTableNAm"/>
            </w:pPr>
            <w:r>
              <w:t>5.</w:t>
            </w:r>
          </w:p>
        </w:tc>
        <w:tc>
          <w:tcPr>
            <w:tcW w:w="3118" w:type="dxa"/>
            <w:tcBorders>
              <w:top w:val="single" w:sz="4" w:space="0" w:color="auto"/>
            </w:tcBorders>
          </w:tcPr>
          <w:p>
            <w:pPr>
              <w:pStyle w:val="yTableNAm"/>
            </w:pPr>
            <w:r>
              <w:t xml:space="preserve">A person serving a sentence of strict security life imprisonment commuted from a sentence of death under </w:t>
            </w:r>
            <w:r>
              <w:rPr>
                <w:i/>
              </w:rPr>
              <w:t>The Criminal Code</w:t>
            </w:r>
            <w:r>
              <w:t xml:space="preserve"> section 679 (repealed by the </w:t>
            </w:r>
            <w:r>
              <w:rPr>
                <w:i/>
              </w:rPr>
              <w:t>Sentencing (Consequential Provisions) Act 1995</w:t>
            </w:r>
            <w:r>
              <w:t xml:space="preserve"> section 26)</w:t>
            </w:r>
          </w:p>
        </w:tc>
        <w:tc>
          <w:tcPr>
            <w:tcW w:w="1418" w:type="dxa"/>
            <w:tcBorders>
              <w:top w:val="single" w:sz="4" w:space="0" w:color="auto"/>
            </w:tcBorders>
          </w:tcPr>
          <w:p>
            <w:pPr>
              <w:pStyle w:val="yTableNAm"/>
            </w:pPr>
            <w:r>
              <w:t>20 years after the sentence was commuted</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6.</w:t>
            </w:r>
          </w:p>
        </w:tc>
        <w:tc>
          <w:tcPr>
            <w:tcW w:w="3118" w:type="dxa"/>
            <w:tcBorders>
              <w:top w:val="single" w:sz="4" w:space="0" w:color="auto"/>
            </w:tcBorders>
          </w:tcPr>
          <w:p>
            <w:pPr>
              <w:pStyle w:val="yTableNAm"/>
            </w:pPr>
            <w:r>
              <w:t xml:space="preserve">A person serving a sentence of life imprisonment commuted from a sentence of death under </w:t>
            </w:r>
            <w:r>
              <w:rPr>
                <w:i/>
              </w:rPr>
              <w:t>The Criminal Code</w:t>
            </w:r>
            <w:r>
              <w:t xml:space="preserve"> section 679 (repealed by the </w:t>
            </w:r>
            <w:r>
              <w:rPr>
                <w:i/>
              </w:rPr>
              <w:t xml:space="preserve">Sentencing (Consequential Provisions) Act 1995 </w:t>
            </w:r>
            <w:r>
              <w:t>section 26)</w:t>
            </w:r>
          </w:p>
        </w:tc>
        <w:tc>
          <w:tcPr>
            <w:tcW w:w="1418" w:type="dxa"/>
            <w:tcBorders>
              <w:top w:val="single" w:sz="4" w:space="0" w:color="auto"/>
            </w:tcBorders>
          </w:tcPr>
          <w:p>
            <w:pPr>
              <w:pStyle w:val="yTableNAm"/>
            </w:pPr>
            <w:r>
              <w:t>10 years after the sentence was commuted</w:t>
            </w:r>
          </w:p>
        </w:tc>
        <w:tc>
          <w:tcPr>
            <w:tcW w:w="1559" w:type="dxa"/>
            <w:tcBorders>
              <w:top w:val="single" w:sz="4" w:space="0" w:color="auto"/>
            </w:tcBorders>
          </w:tcPr>
          <w:p>
            <w:pPr>
              <w:pStyle w:val="yTableNAm"/>
            </w:pPr>
            <w:r>
              <w:t>Every 3 years after that</w:t>
            </w:r>
          </w:p>
        </w:tc>
      </w:tr>
      <w:tr>
        <w:trPr>
          <w:cantSplit/>
          <w:trHeight w:val="1853"/>
        </w:trPr>
        <w:tc>
          <w:tcPr>
            <w:tcW w:w="709" w:type="dxa"/>
            <w:tcBorders>
              <w:top w:val="single" w:sz="4" w:space="0" w:color="auto"/>
            </w:tcBorders>
          </w:tcPr>
          <w:p>
            <w:pPr>
              <w:pStyle w:val="yTableNAm"/>
            </w:pPr>
            <w:r>
              <w:t>7.</w:t>
            </w:r>
          </w:p>
        </w:tc>
        <w:tc>
          <w:tcPr>
            <w:tcW w:w="3118" w:type="dxa"/>
            <w:tcBorders>
              <w:top w:val="single" w:sz="4" w:space="0" w:color="auto"/>
            </w:tcBorders>
          </w:tcPr>
          <w:p>
            <w:pPr>
              <w:pStyle w:val="yTableNAm"/>
            </w:pPr>
            <w:r>
              <w:t xml:space="preserve">A person serving a sentence of strict security life imprisonment for wilful murder under </w:t>
            </w:r>
            <w:r>
              <w:rPr>
                <w:i/>
              </w:rPr>
              <w:t>The Criminal Code</w:t>
            </w:r>
            <w:r>
              <w:t xml:space="preserve"> section 282(a)(i)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20 years after the term began</w:t>
            </w:r>
          </w:p>
        </w:tc>
        <w:tc>
          <w:tcPr>
            <w:tcW w:w="1559" w:type="dxa"/>
            <w:tcBorders>
              <w:top w:val="single" w:sz="4" w:space="0" w:color="auto"/>
            </w:tcBorders>
          </w:tcPr>
          <w:p>
            <w:pPr>
              <w:pStyle w:val="yTableNAm"/>
            </w:pPr>
            <w:r>
              <w:t>Every 3 years after that</w:t>
            </w:r>
          </w:p>
        </w:tc>
      </w:tr>
      <w:tr>
        <w:trPr>
          <w:cantSplit/>
          <w:trHeight w:val="1698"/>
        </w:trPr>
        <w:tc>
          <w:tcPr>
            <w:tcW w:w="709" w:type="dxa"/>
            <w:tcBorders>
              <w:top w:val="single" w:sz="4" w:space="0" w:color="auto"/>
            </w:tcBorders>
          </w:tcPr>
          <w:p>
            <w:pPr>
              <w:pStyle w:val="yTableNAm"/>
            </w:pPr>
            <w:r>
              <w:t>8.</w:t>
            </w:r>
          </w:p>
        </w:tc>
        <w:tc>
          <w:tcPr>
            <w:tcW w:w="3118" w:type="dxa"/>
            <w:tcBorders>
              <w:top w:val="single" w:sz="4" w:space="0" w:color="auto"/>
            </w:tcBorders>
          </w:tcPr>
          <w:p>
            <w:pPr>
              <w:pStyle w:val="yTableNAm"/>
            </w:pPr>
            <w:r>
              <w:t xml:space="preserve">A person serving a sentence of life imprisonment for wilful murder under </w:t>
            </w:r>
            <w:r>
              <w:rPr>
                <w:i/>
              </w:rPr>
              <w:t>The Criminal Code</w:t>
            </w:r>
            <w:r>
              <w:t xml:space="preserve"> section 282(a)(ii)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12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719"/>
        </w:trPr>
        <w:tc>
          <w:tcPr>
            <w:tcW w:w="709" w:type="dxa"/>
            <w:tcBorders>
              <w:top w:val="single" w:sz="4" w:space="0" w:color="auto"/>
            </w:tcBorders>
          </w:tcPr>
          <w:p>
            <w:pPr>
              <w:pStyle w:val="yTableNAm"/>
            </w:pPr>
            <w:r>
              <w:t>9.</w:t>
            </w:r>
          </w:p>
        </w:tc>
        <w:tc>
          <w:tcPr>
            <w:tcW w:w="3118" w:type="dxa"/>
            <w:tcBorders>
              <w:top w:val="single" w:sz="4" w:space="0" w:color="auto"/>
            </w:tcBorders>
          </w:tcPr>
          <w:p>
            <w:pPr>
              <w:pStyle w:val="yTableNAm"/>
            </w:pPr>
            <w:r>
              <w:t xml:space="preserve">A person serving a sentence of life imprisonment for murder under </w:t>
            </w:r>
            <w:r>
              <w:rPr>
                <w:i/>
              </w:rPr>
              <w:t>The Criminal Code</w:t>
            </w:r>
            <w:r>
              <w:t xml:space="preserve"> section 282(b)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2003"/>
        </w:trPr>
        <w:tc>
          <w:tcPr>
            <w:tcW w:w="709" w:type="dxa"/>
            <w:tcBorders>
              <w:top w:val="single" w:sz="4" w:space="0" w:color="auto"/>
              <w:bottom w:val="nil"/>
            </w:tcBorders>
          </w:tcPr>
          <w:p>
            <w:pPr>
              <w:pStyle w:val="yTableNAm"/>
            </w:pPr>
            <w:r>
              <w:t>10.</w:t>
            </w:r>
          </w:p>
        </w:tc>
        <w:tc>
          <w:tcPr>
            <w:tcW w:w="3118" w:type="dxa"/>
            <w:tcBorders>
              <w:top w:val="single" w:sz="4" w:space="0" w:color="auto"/>
              <w:bottom w:val="nil"/>
            </w:tcBorders>
          </w:tcPr>
          <w:p>
            <w:pPr>
              <w:pStyle w:val="yTableNAm"/>
            </w:pPr>
            <w:r>
              <w:t xml:space="preserve">A person serving a sentence of strict security life imprisonment where a minimum period has been set under — </w:t>
            </w:r>
          </w:p>
          <w:p>
            <w:pPr>
              <w:pStyle w:val="yTableNAm"/>
              <w:tabs>
                <w:tab w:val="clear" w:pos="567"/>
                <w:tab w:val="left" w:pos="495"/>
              </w:tabs>
              <w:ind w:left="523" w:hanging="523"/>
            </w:pPr>
            <w:r>
              <w:t>(a)</w:t>
            </w:r>
            <w:r>
              <w:tab/>
              <w:t xml:space="preserve">the </w:t>
            </w:r>
            <w:r>
              <w:rPr>
                <w:i/>
              </w:rPr>
              <w:t>Sentencing Act 1995</w:t>
            </w:r>
            <w:r>
              <w:t xml:space="preserve"> section 91(1) (as it was immediately before the commencement of the </w:t>
            </w:r>
            <w:r>
              <w:rPr>
                <w:i/>
              </w:rPr>
              <w:t xml:space="preserve">Criminal Law Amendment (Homicide) Act 2008 </w:t>
            </w:r>
            <w:r>
              <w:t>section 19); or</w:t>
            </w:r>
          </w:p>
        </w:tc>
        <w:tc>
          <w:tcPr>
            <w:tcW w:w="1418" w:type="dxa"/>
            <w:tcBorders>
              <w:top w:val="single" w:sz="4" w:space="0" w:color="auto"/>
              <w:bottom w:val="nil"/>
            </w:tcBorders>
          </w:tcPr>
          <w:p>
            <w:pPr>
              <w:pStyle w:val="yTableNAm"/>
            </w:pPr>
            <w:r>
              <w:t>At the end of the minimum period</w:t>
            </w:r>
          </w:p>
        </w:tc>
        <w:tc>
          <w:tcPr>
            <w:tcW w:w="1559" w:type="dxa"/>
            <w:tcBorders>
              <w:top w:val="single" w:sz="4" w:space="0" w:color="auto"/>
              <w:bottom w:val="nil"/>
            </w:tcBorders>
          </w:tcPr>
          <w:p>
            <w:pPr>
              <w:pStyle w:val="yTableNAm"/>
            </w:pPr>
            <w:r>
              <w:t>Every 3 years after that</w:t>
            </w:r>
          </w:p>
        </w:tc>
      </w:tr>
      <w:tr>
        <w:trPr>
          <w:cantSplit/>
          <w:trHeight w:val="1626"/>
        </w:trPr>
        <w:tc>
          <w:tcPr>
            <w:tcW w:w="709" w:type="dxa"/>
            <w:tcBorders>
              <w:top w:val="nil"/>
            </w:tcBorders>
          </w:tcPr>
          <w:p>
            <w:pPr>
              <w:pStyle w:val="zyTableNAm"/>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pPr>
          </w:p>
        </w:tc>
        <w:tc>
          <w:tcPr>
            <w:tcW w:w="1559" w:type="dxa"/>
            <w:tcBorders>
              <w:top w:val="nil"/>
            </w:tcBorders>
          </w:tcPr>
          <w:p>
            <w:pPr>
              <w:pStyle w:val="yTableNAm"/>
            </w:pPr>
          </w:p>
        </w:tc>
      </w:tr>
      <w:tr>
        <w:trPr>
          <w:cantSplit/>
          <w:trHeight w:val="1260"/>
        </w:trPr>
        <w:tc>
          <w:tcPr>
            <w:tcW w:w="709" w:type="dxa"/>
            <w:tcBorders>
              <w:top w:val="nil"/>
              <w:bottom w:val="nil"/>
            </w:tcBorders>
          </w:tcPr>
          <w:p>
            <w:pPr>
              <w:pStyle w:val="yTableNAm"/>
            </w:pPr>
            <w:r>
              <w:t>11.</w:t>
            </w:r>
          </w:p>
        </w:tc>
        <w:tc>
          <w:tcPr>
            <w:tcW w:w="3118" w:type="dxa"/>
            <w:tcBorders>
              <w:top w:val="nil"/>
              <w:bottom w:val="nil"/>
            </w:tcBorders>
          </w:tcPr>
          <w:p>
            <w:pPr>
              <w:pStyle w:val="yTableNAm"/>
            </w:pPr>
            <w:r>
              <w:t xml:space="preserve">A person serving a sentence of life imprisonment for murder or wilful murder where a minimum period has been set under — </w:t>
            </w:r>
          </w:p>
        </w:tc>
        <w:tc>
          <w:tcPr>
            <w:tcW w:w="1418" w:type="dxa"/>
            <w:tcBorders>
              <w:top w:val="nil"/>
              <w:bottom w:val="nil"/>
            </w:tcBorders>
          </w:tcPr>
          <w:p>
            <w:pPr>
              <w:pStyle w:val="yTableNAm"/>
            </w:pPr>
            <w:r>
              <w:t>At the end of the minimum period</w:t>
            </w:r>
          </w:p>
        </w:tc>
        <w:tc>
          <w:tcPr>
            <w:tcW w:w="1559" w:type="dxa"/>
            <w:tcBorders>
              <w:top w:val="nil"/>
              <w:bottom w:val="nil"/>
            </w:tcBorders>
          </w:tcPr>
          <w:p>
            <w:pPr>
              <w:pStyle w:val="yTableNAm"/>
            </w:pPr>
            <w:r>
              <w:t>Every 3 years after that</w:t>
            </w:r>
          </w:p>
        </w:tc>
      </w:tr>
      <w:tr>
        <w:trPr>
          <w:cantSplit/>
          <w:trHeight w:val="1436"/>
        </w:trPr>
        <w:tc>
          <w:tcPr>
            <w:tcW w:w="709" w:type="dxa"/>
            <w:tcBorders>
              <w:top w:val="nil"/>
              <w:bottom w:val="nil"/>
            </w:tcBorders>
          </w:tcPr>
          <w:p>
            <w:pPr>
              <w:pStyle w:val="zyTableNAm"/>
              <w:spacing w:before="0"/>
            </w:pPr>
          </w:p>
        </w:tc>
        <w:tc>
          <w:tcPr>
            <w:tcW w:w="3118" w:type="dxa"/>
            <w:tcBorders>
              <w:top w:val="nil"/>
              <w:bottom w:val="nil"/>
            </w:tcBorders>
          </w:tcPr>
          <w:p>
            <w:pPr>
              <w:pStyle w:val="yTableNAm"/>
              <w:tabs>
                <w:tab w:val="clear" w:pos="567"/>
                <w:tab w:val="left" w:pos="495"/>
              </w:tabs>
              <w:ind w:left="523" w:hanging="523"/>
            </w:pPr>
            <w:r>
              <w:t>(a)</w:t>
            </w:r>
            <w:r>
              <w:tab/>
              <w:t xml:space="preserve">the </w:t>
            </w:r>
            <w:r>
              <w:rPr>
                <w:i/>
              </w:rPr>
              <w:t>Sentencing Act 1995</w:t>
            </w:r>
            <w:r>
              <w:t xml:space="preserve"> section 90(1) or (2) (as it was immediately before the commencement of the </w:t>
            </w:r>
            <w:r>
              <w:rPr>
                <w:i/>
              </w:rPr>
              <w:t xml:space="preserve">Criminal Law Amendment (Homicide) Act 2008 </w:t>
            </w:r>
            <w:r>
              <w:t>section 19); or</w:t>
            </w:r>
          </w:p>
        </w:tc>
        <w:tc>
          <w:tcPr>
            <w:tcW w:w="1418" w:type="dxa"/>
            <w:tcBorders>
              <w:top w:val="nil"/>
              <w:bottom w:val="nil"/>
            </w:tcBorders>
          </w:tcPr>
          <w:p>
            <w:pPr>
              <w:pStyle w:val="zyTableNAm"/>
              <w:spacing w:before="0"/>
            </w:pPr>
          </w:p>
        </w:tc>
        <w:tc>
          <w:tcPr>
            <w:tcW w:w="1559" w:type="dxa"/>
            <w:tcBorders>
              <w:top w:val="nil"/>
              <w:bottom w:val="nil"/>
            </w:tcBorders>
          </w:tcPr>
          <w:p>
            <w:pPr>
              <w:pStyle w:val="yTableNAm"/>
            </w:pPr>
          </w:p>
        </w:tc>
      </w:tr>
      <w:tr>
        <w:trPr>
          <w:cantSplit/>
          <w:trHeight w:val="1436"/>
        </w:trPr>
        <w:tc>
          <w:tcPr>
            <w:tcW w:w="709" w:type="dxa"/>
            <w:tcBorders>
              <w:top w:val="nil"/>
            </w:tcBorders>
          </w:tcPr>
          <w:p>
            <w:pPr>
              <w:pStyle w:val="zyTableNAm"/>
              <w:spacing w:before="0"/>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spacing w:before="0"/>
            </w:pPr>
          </w:p>
        </w:tc>
        <w:tc>
          <w:tcPr>
            <w:tcW w:w="1559" w:type="dxa"/>
            <w:tcBorders>
              <w:top w:val="nil"/>
            </w:tcBorders>
          </w:tcPr>
          <w:p>
            <w:pPr>
              <w:pStyle w:val="yTableNAm"/>
            </w:pPr>
          </w:p>
        </w:tc>
      </w:tr>
      <w:tr>
        <w:trPr>
          <w:cantSplit/>
          <w:trHeight w:val="1436"/>
        </w:trPr>
        <w:tc>
          <w:tcPr>
            <w:tcW w:w="709" w:type="dxa"/>
            <w:tcBorders>
              <w:top w:val="single" w:sz="4" w:space="0" w:color="auto"/>
            </w:tcBorders>
          </w:tcPr>
          <w:p>
            <w:pPr>
              <w:pStyle w:val="yTableNAm"/>
            </w:pPr>
            <w:r>
              <w:t>12.</w:t>
            </w:r>
          </w:p>
        </w:tc>
        <w:tc>
          <w:tcPr>
            <w:tcW w:w="3118" w:type="dxa"/>
            <w:tcBorders>
              <w:top w:val="single" w:sz="4" w:space="0" w:color="auto"/>
            </w:tcBorders>
          </w:tcPr>
          <w:p>
            <w:pPr>
              <w:pStyle w:val="yTableNAm"/>
            </w:pPr>
            <w:r>
              <w:t xml:space="preserve">A person serving a sentence of life imprisonment for an offence other than murder imposed before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5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13.</w:t>
            </w:r>
          </w:p>
        </w:tc>
        <w:tc>
          <w:tcPr>
            <w:tcW w:w="3118" w:type="dxa"/>
            <w:tcBorders>
              <w:top w:val="single" w:sz="4" w:space="0" w:color="auto"/>
            </w:tcBorders>
          </w:tcPr>
          <w:p>
            <w:pPr>
              <w:pStyle w:val="yTableNAm"/>
            </w:pPr>
            <w:r>
              <w:t xml:space="preserve">A person serving a sentence of life imprisonment for an offence other than murder imposed on or after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14.</w:t>
            </w:r>
          </w:p>
        </w:tc>
        <w:tc>
          <w:tcPr>
            <w:tcW w:w="3118" w:type="dxa"/>
            <w:tcBorders>
              <w:top w:val="single" w:sz="4" w:space="0" w:color="auto"/>
            </w:tcBorders>
          </w:tcPr>
          <w:p>
            <w:pPr>
              <w:pStyle w:val="yTableNAm"/>
            </w:pPr>
            <w:r>
              <w:t xml:space="preserve">A person subject to a direction or sentence under </w:t>
            </w:r>
            <w:r>
              <w:rPr>
                <w:i/>
              </w:rPr>
              <w:t>The Criminal Code</w:t>
            </w:r>
            <w:r>
              <w:t xml:space="preserve"> section 661 or 662 (repealed by the </w:t>
            </w:r>
            <w:r>
              <w:rPr>
                <w:i/>
              </w:rPr>
              <w:t xml:space="preserve">Sentencing (Consequential Provisions) Act 1995 </w:t>
            </w:r>
            <w:r>
              <w:t>section 26)</w:t>
            </w:r>
          </w:p>
        </w:tc>
        <w:tc>
          <w:tcPr>
            <w:tcW w:w="1418" w:type="dxa"/>
            <w:tcBorders>
              <w:top w:val="single" w:sz="4" w:space="0" w:color="auto"/>
            </w:tcBorders>
          </w:tcPr>
          <w:p>
            <w:pPr>
              <w:pStyle w:val="yTableNAm"/>
            </w:pPr>
            <w:r>
              <w:t>For section 661 — 2 years after the day on which the detention began</w:t>
            </w:r>
          </w:p>
          <w:p>
            <w:pPr>
              <w:pStyle w:val="yTableNAm"/>
            </w:pPr>
            <w:r>
              <w:t>For section 662 — one year after the day on which the detention began</w:t>
            </w:r>
          </w:p>
        </w:tc>
        <w:tc>
          <w:tcPr>
            <w:tcW w:w="1559" w:type="dxa"/>
            <w:tcBorders>
              <w:top w:val="single" w:sz="4" w:space="0" w:color="auto"/>
            </w:tcBorders>
          </w:tcPr>
          <w:p>
            <w:pPr>
              <w:pStyle w:val="yTableNAm"/>
            </w:pPr>
            <w:r>
              <w:t>Every year after that</w:t>
            </w:r>
          </w:p>
        </w:tc>
      </w:tr>
      <w:tr>
        <w:trPr>
          <w:cantSplit/>
          <w:trHeight w:val="1436"/>
        </w:trPr>
        <w:tc>
          <w:tcPr>
            <w:tcW w:w="709" w:type="dxa"/>
            <w:tcBorders>
              <w:top w:val="single" w:sz="4" w:space="0" w:color="auto"/>
              <w:bottom w:val="single" w:sz="4" w:space="0" w:color="auto"/>
            </w:tcBorders>
          </w:tcPr>
          <w:p>
            <w:pPr>
              <w:pStyle w:val="yTableNAm"/>
            </w:pPr>
            <w:r>
              <w:t>15.</w:t>
            </w:r>
          </w:p>
        </w:tc>
        <w:tc>
          <w:tcPr>
            <w:tcW w:w="3118" w:type="dxa"/>
            <w:tcBorders>
              <w:top w:val="single" w:sz="4" w:space="0" w:color="auto"/>
              <w:bottom w:val="single" w:sz="4" w:space="0" w:color="auto"/>
            </w:tcBorders>
          </w:tcPr>
          <w:p>
            <w:pPr>
              <w:pStyle w:val="yTableNAm"/>
              <w:rPr>
                <w:rStyle w:val="DraftersNotes"/>
                <w:b w:val="0"/>
                <w:i w:val="0"/>
              </w:rPr>
            </w:pPr>
            <w:r>
              <w:t xml:space="preserve">A person in, or regarded as being in, strict or safe custody by virtue of an order under </w:t>
            </w:r>
            <w:r>
              <w:rPr>
                <w:i/>
              </w:rPr>
              <w:t>The Criminal Code</w:t>
            </w:r>
            <w:r>
              <w:t xml:space="preserve"> section 282 (repealed by the </w:t>
            </w:r>
            <w:r>
              <w:rPr>
                <w:i/>
              </w:rPr>
              <w:t xml:space="preserve">Criminal Law Amendment (Homicide) Act 2008 </w:t>
            </w:r>
            <w:r>
              <w:t>section 10)</w:t>
            </w:r>
          </w:p>
        </w:tc>
        <w:tc>
          <w:tcPr>
            <w:tcW w:w="1418" w:type="dxa"/>
            <w:tcBorders>
              <w:top w:val="single" w:sz="4" w:space="0" w:color="auto"/>
              <w:bottom w:val="single" w:sz="4" w:space="0" w:color="auto"/>
            </w:tcBorders>
          </w:tcPr>
          <w:p>
            <w:pPr>
              <w:pStyle w:val="yTableNAm"/>
            </w:pPr>
            <w:r>
              <w:t>One year after the day on which the detention began</w:t>
            </w:r>
          </w:p>
        </w:tc>
        <w:tc>
          <w:tcPr>
            <w:tcW w:w="1559" w:type="dxa"/>
            <w:tcBorders>
              <w:top w:val="single" w:sz="4" w:space="0" w:color="auto"/>
              <w:bottom w:val="single" w:sz="4" w:space="0" w:color="auto"/>
            </w:tcBorders>
          </w:tcPr>
          <w:p>
            <w:pPr>
              <w:pStyle w:val="yTableNAm"/>
            </w:pPr>
            <w:r>
              <w:t>Every year after that</w:t>
            </w:r>
          </w:p>
        </w:tc>
      </w:tr>
    </w:tbl>
    <w:p>
      <w:pPr>
        <w:pStyle w:val="yFootnotesection"/>
      </w:pPr>
      <w:r>
        <w:tab/>
        <w:t>[Division 2 inserted by No. 45 of 2016 s. 15.]</w:t>
      </w:r>
    </w:p>
    <w:p>
      <w:pPr>
        <w:pStyle w:val="yScheduleHeading"/>
      </w:pPr>
      <w:bookmarkStart w:id="728" w:name="_Toc433901628"/>
      <w:bookmarkStart w:id="729" w:name="_Toc433901672"/>
      <w:bookmarkStart w:id="730" w:name="_Toc433901716"/>
      <w:bookmarkStart w:id="731" w:name="_Toc433901760"/>
      <w:bookmarkStart w:id="732" w:name="_Toc433962342"/>
      <w:bookmarkStart w:id="733" w:name="_Toc433962386"/>
      <w:bookmarkStart w:id="734" w:name="_Toc433982674"/>
      <w:bookmarkStart w:id="735" w:name="_Toc433982718"/>
      <w:bookmarkStart w:id="736" w:name="_Toc442275266"/>
      <w:bookmarkStart w:id="737" w:name="_Toc442280685"/>
      <w:bookmarkStart w:id="738" w:name="_Toc442282829"/>
      <w:bookmarkStart w:id="739" w:name="_Toc442282925"/>
      <w:bookmarkStart w:id="740" w:name="_Toc442341886"/>
      <w:bookmarkStart w:id="741" w:name="_Toc442342648"/>
      <w:bookmarkStart w:id="742" w:name="_Toc442343931"/>
      <w:bookmarkStart w:id="743" w:name="_Toc442344741"/>
      <w:bookmarkStart w:id="744" w:name="_Toc442344831"/>
      <w:bookmarkStart w:id="745" w:name="_Toc442346233"/>
      <w:bookmarkStart w:id="746" w:name="_Toc442348275"/>
      <w:bookmarkStart w:id="747" w:name="_Toc442350870"/>
      <w:bookmarkStart w:id="748" w:name="_Toc442351191"/>
      <w:bookmarkStart w:id="749" w:name="_Toc443464417"/>
      <w:bookmarkStart w:id="750" w:name="_Toc443464791"/>
      <w:bookmarkStart w:id="751" w:name="_Toc443578627"/>
      <w:bookmarkStart w:id="752" w:name="_Toc443580010"/>
      <w:bookmarkStart w:id="753" w:name="_Toc443581171"/>
      <w:bookmarkStart w:id="754" w:name="_Toc443919158"/>
      <w:bookmarkStart w:id="755" w:name="_Toc443921398"/>
      <w:bookmarkStart w:id="756" w:name="_Toc443921539"/>
      <w:bookmarkStart w:id="757" w:name="_Toc444005352"/>
      <w:bookmarkStart w:id="758" w:name="_Toc444785783"/>
      <w:bookmarkStart w:id="759" w:name="_Toc445800644"/>
      <w:bookmarkStart w:id="760" w:name="_Toc446435083"/>
      <w:bookmarkStart w:id="761" w:name="_Toc447794245"/>
      <w:bookmarkStart w:id="762" w:name="_Toc447794411"/>
      <w:bookmarkStart w:id="763" w:name="_Toc447799991"/>
      <w:bookmarkStart w:id="764" w:name="_Toc447800132"/>
      <w:bookmarkStart w:id="765" w:name="_Toc447803238"/>
      <w:bookmarkStart w:id="766" w:name="_Toc448828796"/>
      <w:bookmarkStart w:id="767" w:name="_Toc448829264"/>
      <w:bookmarkStart w:id="768" w:name="_Toc448831421"/>
      <w:bookmarkStart w:id="769" w:name="_Toc450212610"/>
      <w:bookmarkStart w:id="770" w:name="_Toc450214611"/>
      <w:bookmarkStart w:id="771" w:name="_Toc450214753"/>
      <w:bookmarkStart w:id="772" w:name="_Toc450214895"/>
      <w:bookmarkStart w:id="773" w:name="_Toc450574277"/>
      <w:bookmarkStart w:id="774" w:name="_Toc450574898"/>
      <w:bookmarkStart w:id="775" w:name="_Toc454287297"/>
      <w:bookmarkStart w:id="776" w:name="_Toc467152401"/>
      <w:bookmarkStart w:id="777" w:name="_Toc469037422"/>
      <w:bookmarkStart w:id="778" w:name="_Toc485716182"/>
      <w:bookmarkStart w:id="779" w:name="_Toc485719934"/>
      <w:bookmarkStart w:id="780" w:name="_Toc485802678"/>
      <w:bookmarkStart w:id="781" w:name="_Toc486435619"/>
      <w:bookmarkStart w:id="782" w:name="_Toc509830407"/>
      <w:bookmarkStart w:id="783" w:name="_Toc509830738"/>
      <w:bookmarkStart w:id="784" w:name="_Toc511135943"/>
      <w:r>
        <w:rPr>
          <w:rStyle w:val="CharSchNo"/>
        </w:rPr>
        <w:t>Schedule 4</w:t>
      </w:r>
      <w:r>
        <w:rPr>
          <w:rStyle w:val="CharSDivNo"/>
        </w:rPr>
        <w:t> </w:t>
      </w:r>
      <w:r>
        <w:t>—</w:t>
      </w:r>
      <w:r>
        <w:rPr>
          <w:rStyle w:val="CharSDivText"/>
        </w:rPr>
        <w:t xml:space="preserve"> </w:t>
      </w:r>
      <w:r>
        <w:rPr>
          <w:rStyle w:val="CharSchText"/>
        </w:rPr>
        <w:t>Serious violent offences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yShoulderClause"/>
      </w:pPr>
      <w:r>
        <w:t>[s. 74A]</w:t>
      </w:r>
    </w:p>
    <w:p>
      <w:pPr>
        <w:pStyle w:val="yFootnoteheading"/>
      </w:pPr>
      <w:r>
        <w:tab/>
        <w:t>[Heading inserted by No. 45 of 2016 s. 44.]</w:t>
      </w:r>
    </w:p>
    <w:tbl>
      <w:tblPr>
        <w:tblW w:w="6946" w:type="dxa"/>
        <w:tblInd w:w="250" w:type="dxa"/>
        <w:tblLayout w:type="fixed"/>
        <w:tblCellMar>
          <w:bottom w:w="113" w:type="dxa"/>
        </w:tblCellMar>
        <w:tblLook w:val="0000" w:firstRow="0" w:lastRow="0" w:firstColumn="0" w:lastColumn="0" w:noHBand="0" w:noVBand="0"/>
      </w:tblPr>
      <w:tblGrid>
        <w:gridCol w:w="851"/>
        <w:gridCol w:w="3047"/>
        <w:gridCol w:w="3048"/>
      </w:tblGrid>
      <w:tr>
        <w:trPr>
          <w:cantSplit/>
          <w:tblHeader/>
        </w:trPr>
        <w:tc>
          <w:tcPr>
            <w:tcW w:w="851" w:type="dxa"/>
          </w:tcPr>
          <w:p>
            <w:pPr>
              <w:pStyle w:val="zyTableNAm"/>
            </w:pPr>
          </w:p>
        </w:tc>
        <w:tc>
          <w:tcPr>
            <w:tcW w:w="3047" w:type="dxa"/>
          </w:tcPr>
          <w:p>
            <w:pPr>
              <w:pStyle w:val="yTableNAm"/>
            </w:pPr>
            <w:r>
              <w:rPr>
                <w:b/>
              </w:rPr>
              <w:t>Enactment</w:t>
            </w:r>
          </w:p>
        </w:tc>
        <w:tc>
          <w:tcPr>
            <w:tcW w:w="3048" w:type="dxa"/>
          </w:tcPr>
          <w:p>
            <w:pPr>
              <w:pStyle w:val="yTableNAm"/>
            </w:pPr>
            <w:r>
              <w:rPr>
                <w:b/>
              </w:rPr>
              <w:t>Description of offence</w:t>
            </w:r>
          </w:p>
        </w:tc>
      </w:tr>
      <w:tr>
        <w:trPr>
          <w:cantSplit/>
        </w:trPr>
        <w:tc>
          <w:tcPr>
            <w:tcW w:w="851" w:type="dxa"/>
          </w:tcPr>
          <w:p>
            <w:pPr>
              <w:pStyle w:val="yTableNAm"/>
            </w:pPr>
            <w:r>
              <w:rPr>
                <w:b/>
              </w:rPr>
              <w:t>1.</w:t>
            </w:r>
          </w:p>
        </w:tc>
        <w:tc>
          <w:tcPr>
            <w:tcW w:w="3047" w:type="dxa"/>
          </w:tcPr>
          <w:p>
            <w:pPr>
              <w:pStyle w:val="yTableNAm"/>
            </w:pPr>
            <w:r>
              <w:rPr>
                <w:b/>
                <w:i/>
              </w:rPr>
              <w:t>The Criminal Code</w:t>
            </w:r>
          </w:p>
        </w:tc>
        <w:tc>
          <w:tcPr>
            <w:tcW w:w="3048" w:type="dxa"/>
          </w:tcPr>
          <w:p>
            <w:pPr>
              <w:pStyle w:val="yTableNAm"/>
            </w:pPr>
          </w:p>
        </w:tc>
      </w:tr>
      <w:tr>
        <w:trPr>
          <w:cantSplit/>
        </w:trPr>
        <w:tc>
          <w:tcPr>
            <w:tcW w:w="851" w:type="dxa"/>
          </w:tcPr>
          <w:p>
            <w:pPr>
              <w:pStyle w:val="zyTableNAm"/>
            </w:pPr>
          </w:p>
        </w:tc>
        <w:tc>
          <w:tcPr>
            <w:tcW w:w="3047" w:type="dxa"/>
          </w:tcPr>
          <w:p>
            <w:pPr>
              <w:pStyle w:val="yTableNAm"/>
            </w:pPr>
            <w:r>
              <w:t>s. 279</w:t>
            </w:r>
          </w:p>
        </w:tc>
        <w:tc>
          <w:tcPr>
            <w:tcW w:w="3048" w:type="dxa"/>
          </w:tcPr>
          <w:p>
            <w:pPr>
              <w:pStyle w:val="yTableNAm"/>
            </w:pPr>
            <w:r>
              <w:t>Murder</w:t>
            </w:r>
          </w:p>
        </w:tc>
      </w:tr>
      <w:tr>
        <w:trPr>
          <w:cantSplit/>
        </w:trPr>
        <w:tc>
          <w:tcPr>
            <w:tcW w:w="851" w:type="dxa"/>
          </w:tcPr>
          <w:p>
            <w:pPr>
              <w:pStyle w:val="zyTableNAm"/>
            </w:pPr>
          </w:p>
        </w:tc>
        <w:tc>
          <w:tcPr>
            <w:tcW w:w="3047" w:type="dxa"/>
          </w:tcPr>
          <w:p>
            <w:pPr>
              <w:pStyle w:val="yTableNAm"/>
            </w:pPr>
            <w:r>
              <w:t>s. 280</w:t>
            </w:r>
          </w:p>
        </w:tc>
        <w:tc>
          <w:tcPr>
            <w:tcW w:w="3048" w:type="dxa"/>
          </w:tcPr>
          <w:p>
            <w:pPr>
              <w:pStyle w:val="yTableNAm"/>
            </w:pPr>
            <w:r>
              <w:t>Manslaughter</w:t>
            </w:r>
          </w:p>
        </w:tc>
      </w:tr>
      <w:tr>
        <w:trPr>
          <w:cantSplit/>
        </w:trPr>
        <w:tc>
          <w:tcPr>
            <w:tcW w:w="851" w:type="dxa"/>
          </w:tcPr>
          <w:p>
            <w:pPr>
              <w:pStyle w:val="zyTableNAm"/>
            </w:pPr>
          </w:p>
        </w:tc>
        <w:tc>
          <w:tcPr>
            <w:tcW w:w="3047" w:type="dxa"/>
          </w:tcPr>
          <w:p>
            <w:pPr>
              <w:pStyle w:val="yTableNAm"/>
            </w:pPr>
            <w:r>
              <w:t>s. 281</w:t>
            </w:r>
          </w:p>
        </w:tc>
        <w:tc>
          <w:tcPr>
            <w:tcW w:w="3048" w:type="dxa"/>
          </w:tcPr>
          <w:p>
            <w:pPr>
              <w:pStyle w:val="yTableNAm"/>
            </w:pPr>
            <w:r>
              <w:t>Unlawful assault causing death</w:t>
            </w:r>
          </w:p>
        </w:tc>
      </w:tr>
      <w:tr>
        <w:trPr>
          <w:cantSplit/>
        </w:trPr>
        <w:tc>
          <w:tcPr>
            <w:tcW w:w="851" w:type="dxa"/>
          </w:tcPr>
          <w:p>
            <w:pPr>
              <w:pStyle w:val="zyTableNAm"/>
            </w:pPr>
          </w:p>
        </w:tc>
        <w:tc>
          <w:tcPr>
            <w:tcW w:w="3047" w:type="dxa"/>
          </w:tcPr>
          <w:p>
            <w:pPr>
              <w:pStyle w:val="yTableNAm"/>
            </w:pPr>
            <w:r>
              <w:t>s. 283</w:t>
            </w:r>
          </w:p>
        </w:tc>
        <w:tc>
          <w:tcPr>
            <w:tcW w:w="3048" w:type="dxa"/>
          </w:tcPr>
          <w:p>
            <w:pPr>
              <w:pStyle w:val="yTableNAm"/>
            </w:pPr>
            <w:r>
              <w:t>Attempt to unlawfully kill</w:t>
            </w:r>
          </w:p>
        </w:tc>
      </w:tr>
      <w:tr>
        <w:trPr>
          <w:cantSplit/>
        </w:trPr>
        <w:tc>
          <w:tcPr>
            <w:tcW w:w="851" w:type="dxa"/>
          </w:tcPr>
          <w:p>
            <w:pPr>
              <w:pStyle w:val="zyTableNAm"/>
            </w:pPr>
          </w:p>
        </w:tc>
        <w:tc>
          <w:tcPr>
            <w:tcW w:w="3047" w:type="dxa"/>
          </w:tcPr>
          <w:p>
            <w:pPr>
              <w:pStyle w:val="yTableNAm"/>
            </w:pPr>
            <w:r>
              <w:t>s. 294</w:t>
            </w:r>
          </w:p>
        </w:tc>
        <w:tc>
          <w:tcPr>
            <w:tcW w:w="3048" w:type="dxa"/>
          </w:tcPr>
          <w:p>
            <w:pPr>
              <w:pStyle w:val="yTableNAm"/>
            </w:pPr>
            <w:r>
              <w:t>Act intended to cause grievous bodily harm or prevent arrest</w:t>
            </w:r>
          </w:p>
        </w:tc>
      </w:tr>
      <w:tr>
        <w:trPr>
          <w:cantSplit/>
        </w:trPr>
        <w:tc>
          <w:tcPr>
            <w:tcW w:w="851" w:type="dxa"/>
          </w:tcPr>
          <w:p>
            <w:pPr>
              <w:pStyle w:val="zyTableNAm"/>
            </w:pPr>
          </w:p>
        </w:tc>
        <w:tc>
          <w:tcPr>
            <w:tcW w:w="3047" w:type="dxa"/>
          </w:tcPr>
          <w:p>
            <w:pPr>
              <w:pStyle w:val="yTableNAm"/>
            </w:pPr>
            <w:r>
              <w:t>s. 297</w:t>
            </w:r>
          </w:p>
        </w:tc>
        <w:tc>
          <w:tcPr>
            <w:tcW w:w="3048" w:type="dxa"/>
          </w:tcPr>
          <w:p>
            <w:pPr>
              <w:pStyle w:val="yTableNAm"/>
            </w:pPr>
            <w:r>
              <w:t>Grievous bodily harm</w:t>
            </w:r>
          </w:p>
        </w:tc>
      </w:tr>
      <w:tr>
        <w:trPr>
          <w:cantSplit/>
        </w:trPr>
        <w:tc>
          <w:tcPr>
            <w:tcW w:w="851" w:type="dxa"/>
          </w:tcPr>
          <w:p>
            <w:pPr>
              <w:pStyle w:val="zyTableNAm"/>
            </w:pPr>
          </w:p>
        </w:tc>
        <w:tc>
          <w:tcPr>
            <w:tcW w:w="3047" w:type="dxa"/>
          </w:tcPr>
          <w:p>
            <w:pPr>
              <w:pStyle w:val="yTableNAm"/>
            </w:pPr>
            <w:r>
              <w:t>s. 320</w:t>
            </w:r>
          </w:p>
        </w:tc>
        <w:tc>
          <w:tcPr>
            <w:tcW w:w="3048" w:type="dxa"/>
          </w:tcPr>
          <w:p>
            <w:pPr>
              <w:pStyle w:val="yTableNAm"/>
            </w:pPr>
            <w:r>
              <w:t>Sexual offences against child under 13</w:t>
            </w:r>
          </w:p>
        </w:tc>
      </w:tr>
      <w:tr>
        <w:trPr>
          <w:cantSplit/>
        </w:trPr>
        <w:tc>
          <w:tcPr>
            <w:tcW w:w="851" w:type="dxa"/>
          </w:tcPr>
          <w:p>
            <w:pPr>
              <w:pStyle w:val="zyTableNAm"/>
            </w:pPr>
          </w:p>
        </w:tc>
        <w:tc>
          <w:tcPr>
            <w:tcW w:w="3047" w:type="dxa"/>
          </w:tcPr>
          <w:p>
            <w:pPr>
              <w:pStyle w:val="yTableNAm"/>
            </w:pPr>
            <w:r>
              <w:t>s. 321</w:t>
            </w:r>
          </w:p>
        </w:tc>
        <w:tc>
          <w:tcPr>
            <w:tcW w:w="3048" w:type="dxa"/>
          </w:tcPr>
          <w:p>
            <w:pPr>
              <w:pStyle w:val="yTableNAm"/>
            </w:pPr>
            <w:r>
              <w:t>Sexual offences against child of or over 13 and under 16</w:t>
            </w:r>
          </w:p>
        </w:tc>
      </w:tr>
      <w:tr>
        <w:trPr>
          <w:cantSplit/>
        </w:trPr>
        <w:tc>
          <w:tcPr>
            <w:tcW w:w="851" w:type="dxa"/>
          </w:tcPr>
          <w:p>
            <w:pPr>
              <w:pStyle w:val="zyTableNAm"/>
            </w:pPr>
          </w:p>
        </w:tc>
        <w:tc>
          <w:tcPr>
            <w:tcW w:w="3047" w:type="dxa"/>
          </w:tcPr>
          <w:p>
            <w:pPr>
              <w:pStyle w:val="yTableNAm"/>
            </w:pPr>
            <w:r>
              <w:t>s. 324</w:t>
            </w:r>
          </w:p>
        </w:tc>
        <w:tc>
          <w:tcPr>
            <w:tcW w:w="3048" w:type="dxa"/>
          </w:tcPr>
          <w:p>
            <w:pPr>
              <w:pStyle w:val="yTableNAm"/>
            </w:pPr>
            <w:r>
              <w:t>Aggravated indecent assault</w:t>
            </w:r>
          </w:p>
        </w:tc>
      </w:tr>
      <w:tr>
        <w:trPr>
          <w:cantSplit/>
        </w:trPr>
        <w:tc>
          <w:tcPr>
            <w:tcW w:w="851" w:type="dxa"/>
          </w:tcPr>
          <w:p>
            <w:pPr>
              <w:pStyle w:val="zyTableNAm"/>
            </w:pPr>
          </w:p>
        </w:tc>
        <w:tc>
          <w:tcPr>
            <w:tcW w:w="3047" w:type="dxa"/>
          </w:tcPr>
          <w:p>
            <w:pPr>
              <w:pStyle w:val="yTableNAm"/>
            </w:pPr>
            <w:r>
              <w:t>s. 325</w:t>
            </w:r>
          </w:p>
        </w:tc>
        <w:tc>
          <w:tcPr>
            <w:tcW w:w="3048" w:type="dxa"/>
          </w:tcPr>
          <w:p>
            <w:pPr>
              <w:pStyle w:val="yTableNAm"/>
            </w:pPr>
            <w:r>
              <w:t>Sexual penetration without consent</w:t>
            </w:r>
          </w:p>
        </w:tc>
      </w:tr>
      <w:tr>
        <w:trPr>
          <w:cantSplit/>
        </w:trPr>
        <w:tc>
          <w:tcPr>
            <w:tcW w:w="851" w:type="dxa"/>
          </w:tcPr>
          <w:p>
            <w:pPr>
              <w:pStyle w:val="zyTableNAm"/>
            </w:pPr>
          </w:p>
        </w:tc>
        <w:tc>
          <w:tcPr>
            <w:tcW w:w="3047" w:type="dxa"/>
          </w:tcPr>
          <w:p>
            <w:pPr>
              <w:pStyle w:val="yTableNAm"/>
            </w:pPr>
            <w:r>
              <w:t>s. 326</w:t>
            </w:r>
          </w:p>
        </w:tc>
        <w:tc>
          <w:tcPr>
            <w:tcW w:w="3048" w:type="dxa"/>
          </w:tcPr>
          <w:p>
            <w:pPr>
              <w:pStyle w:val="yTableNAm"/>
            </w:pPr>
            <w:r>
              <w:t>Aggravated sexual penetration without consent</w:t>
            </w:r>
          </w:p>
        </w:tc>
      </w:tr>
      <w:tr>
        <w:trPr>
          <w:cantSplit/>
        </w:trPr>
        <w:tc>
          <w:tcPr>
            <w:tcW w:w="851" w:type="dxa"/>
          </w:tcPr>
          <w:p>
            <w:pPr>
              <w:pStyle w:val="zyTableNAm"/>
            </w:pPr>
          </w:p>
        </w:tc>
        <w:tc>
          <w:tcPr>
            <w:tcW w:w="3047" w:type="dxa"/>
          </w:tcPr>
          <w:p>
            <w:pPr>
              <w:pStyle w:val="yTableNAm"/>
            </w:pPr>
            <w:r>
              <w:t>s. 327</w:t>
            </w:r>
          </w:p>
        </w:tc>
        <w:tc>
          <w:tcPr>
            <w:tcW w:w="3048" w:type="dxa"/>
          </w:tcPr>
          <w:p>
            <w:pPr>
              <w:pStyle w:val="yTableNAm"/>
            </w:pPr>
            <w:r>
              <w:t>Sexual coercion</w:t>
            </w:r>
          </w:p>
        </w:tc>
      </w:tr>
      <w:tr>
        <w:trPr>
          <w:cantSplit/>
        </w:trPr>
        <w:tc>
          <w:tcPr>
            <w:tcW w:w="851" w:type="dxa"/>
          </w:tcPr>
          <w:p>
            <w:pPr>
              <w:pStyle w:val="zyTableNAm"/>
            </w:pPr>
          </w:p>
        </w:tc>
        <w:tc>
          <w:tcPr>
            <w:tcW w:w="3047" w:type="dxa"/>
          </w:tcPr>
          <w:p>
            <w:pPr>
              <w:pStyle w:val="yTableNAm"/>
            </w:pPr>
            <w:r>
              <w:t>s. 328</w:t>
            </w:r>
          </w:p>
        </w:tc>
        <w:tc>
          <w:tcPr>
            <w:tcW w:w="3048" w:type="dxa"/>
          </w:tcPr>
          <w:p>
            <w:pPr>
              <w:pStyle w:val="yTableNAm"/>
            </w:pPr>
            <w:r>
              <w:t>Aggravated sexual coercion</w:t>
            </w:r>
          </w:p>
        </w:tc>
      </w:tr>
      <w:tr>
        <w:trPr>
          <w:cantSplit/>
        </w:trPr>
        <w:tc>
          <w:tcPr>
            <w:tcW w:w="851" w:type="dxa"/>
          </w:tcPr>
          <w:p>
            <w:pPr>
              <w:pStyle w:val="zyTableNAm"/>
            </w:pPr>
          </w:p>
        </w:tc>
        <w:tc>
          <w:tcPr>
            <w:tcW w:w="3047" w:type="dxa"/>
          </w:tcPr>
          <w:p>
            <w:pPr>
              <w:pStyle w:val="yTableNAm"/>
            </w:pPr>
            <w:r>
              <w:t>s. 330</w:t>
            </w:r>
          </w:p>
        </w:tc>
        <w:tc>
          <w:tcPr>
            <w:tcW w:w="3048" w:type="dxa"/>
          </w:tcPr>
          <w:p>
            <w:pPr>
              <w:pStyle w:val="yTableNAm"/>
            </w:pPr>
            <w:r>
              <w:t>Sexual offences against incapable person</w:t>
            </w:r>
          </w:p>
        </w:tc>
      </w:tr>
      <w:tr>
        <w:trPr>
          <w:cantSplit/>
        </w:trPr>
        <w:tc>
          <w:tcPr>
            <w:tcW w:w="851" w:type="dxa"/>
          </w:tcPr>
          <w:p>
            <w:pPr>
              <w:pStyle w:val="zyTableNAm"/>
            </w:pPr>
          </w:p>
        </w:tc>
        <w:tc>
          <w:tcPr>
            <w:tcW w:w="3047" w:type="dxa"/>
          </w:tcPr>
          <w:p>
            <w:pPr>
              <w:pStyle w:val="yTableNAm"/>
            </w:pPr>
            <w:r>
              <w:t>s. 392</w:t>
            </w:r>
          </w:p>
        </w:tc>
        <w:tc>
          <w:tcPr>
            <w:tcW w:w="3048" w:type="dxa"/>
          </w:tcPr>
          <w:p>
            <w:pPr>
              <w:pStyle w:val="yTableNAm"/>
              <w:rPr>
                <w:rStyle w:val="DraftersNotes"/>
                <w:b w:val="0"/>
                <w:i w:val="0"/>
              </w:rPr>
            </w:pPr>
            <w:r>
              <w:t>Robbery, if the offence is committed in circumstances described in s. 392(c) or in circumstances of aggravation</w:t>
            </w:r>
          </w:p>
        </w:tc>
      </w:tr>
      <w:tr>
        <w:trPr>
          <w:cantSplit/>
        </w:trPr>
        <w:tc>
          <w:tcPr>
            <w:tcW w:w="851" w:type="dxa"/>
          </w:tcPr>
          <w:p>
            <w:pPr>
              <w:pStyle w:val="zyTableNAm"/>
            </w:pPr>
          </w:p>
        </w:tc>
        <w:tc>
          <w:tcPr>
            <w:tcW w:w="3047" w:type="dxa"/>
          </w:tcPr>
          <w:p>
            <w:pPr>
              <w:pStyle w:val="yTableNAm"/>
            </w:pPr>
            <w:r>
              <w:t>s. 444(1)</w:t>
            </w:r>
          </w:p>
        </w:tc>
        <w:tc>
          <w:tcPr>
            <w:tcW w:w="3048" w:type="dxa"/>
          </w:tcPr>
          <w:p>
            <w:pPr>
              <w:pStyle w:val="yTableNAm"/>
            </w:pPr>
            <w:r>
              <w:t xml:space="preserve">Criminal damage, if the offence is committed in circumstances described in s. 444(1)(a) </w:t>
            </w:r>
          </w:p>
        </w:tc>
      </w:tr>
      <w:tr>
        <w:trPr>
          <w:cantSplit/>
        </w:trPr>
        <w:tc>
          <w:tcPr>
            <w:tcW w:w="851" w:type="dxa"/>
          </w:tcPr>
          <w:p>
            <w:pPr>
              <w:pStyle w:val="zyTableNAm"/>
            </w:pPr>
          </w:p>
        </w:tc>
        <w:tc>
          <w:tcPr>
            <w:tcW w:w="3047" w:type="dxa"/>
          </w:tcPr>
          <w:p>
            <w:pPr>
              <w:pStyle w:val="yTableNAm"/>
            </w:pPr>
            <w:r>
              <w:t>s. 445A</w:t>
            </w:r>
          </w:p>
        </w:tc>
        <w:tc>
          <w:tcPr>
            <w:tcW w:w="3048" w:type="dxa"/>
          </w:tcPr>
          <w:p>
            <w:pPr>
              <w:pStyle w:val="yTableNAm"/>
            </w:pPr>
            <w:r>
              <w:t>Breach of s. 444A duty</w:t>
            </w:r>
          </w:p>
        </w:tc>
      </w:tr>
      <w:tr>
        <w:trPr>
          <w:cantSplit/>
        </w:trPr>
        <w:tc>
          <w:tcPr>
            <w:tcW w:w="851" w:type="dxa"/>
          </w:tcPr>
          <w:p>
            <w:pPr>
              <w:pStyle w:val="yTableNAm"/>
            </w:pPr>
            <w:r>
              <w:rPr>
                <w:b/>
              </w:rPr>
              <w:t>2.</w:t>
            </w:r>
          </w:p>
        </w:tc>
        <w:tc>
          <w:tcPr>
            <w:tcW w:w="3047" w:type="dxa"/>
          </w:tcPr>
          <w:p>
            <w:pPr>
              <w:pStyle w:val="yTableNAm"/>
            </w:pPr>
            <w:r>
              <w:rPr>
                <w:b/>
                <w:i/>
              </w:rPr>
              <w:t>Bush Fires Act 1954</w:t>
            </w:r>
          </w:p>
        </w:tc>
        <w:tc>
          <w:tcPr>
            <w:tcW w:w="3048" w:type="dxa"/>
          </w:tcPr>
          <w:p>
            <w:pPr>
              <w:pStyle w:val="yTableNAm"/>
            </w:pPr>
          </w:p>
        </w:tc>
      </w:tr>
      <w:tr>
        <w:trPr>
          <w:cantSplit/>
        </w:trPr>
        <w:tc>
          <w:tcPr>
            <w:tcW w:w="851" w:type="dxa"/>
          </w:tcPr>
          <w:p>
            <w:pPr>
              <w:pStyle w:val="zyTableNAm"/>
            </w:pPr>
          </w:p>
        </w:tc>
        <w:tc>
          <w:tcPr>
            <w:tcW w:w="3047" w:type="dxa"/>
          </w:tcPr>
          <w:p>
            <w:pPr>
              <w:pStyle w:val="yTableNAm"/>
              <w:rPr>
                <w:rStyle w:val="DraftersNotes"/>
              </w:rPr>
            </w:pPr>
            <w:r>
              <w:t>s. 32(2)</w:t>
            </w:r>
          </w:p>
        </w:tc>
        <w:tc>
          <w:tcPr>
            <w:tcW w:w="3048" w:type="dxa"/>
          </w:tcPr>
          <w:p>
            <w:pPr>
              <w:pStyle w:val="yTableNAm"/>
            </w:pPr>
            <w:r>
              <w:t>Offences of lighting or attempting to light fire likely to injure</w:t>
            </w:r>
          </w:p>
        </w:tc>
      </w:tr>
      <w:tr>
        <w:trPr>
          <w:cantSplit/>
        </w:trPr>
        <w:tc>
          <w:tcPr>
            <w:tcW w:w="851" w:type="dxa"/>
          </w:tcPr>
          <w:p>
            <w:pPr>
              <w:pStyle w:val="yTableNAm"/>
            </w:pPr>
            <w:r>
              <w:rPr>
                <w:b/>
              </w:rPr>
              <w:t>3.</w:t>
            </w:r>
          </w:p>
        </w:tc>
        <w:tc>
          <w:tcPr>
            <w:tcW w:w="3047" w:type="dxa"/>
          </w:tcPr>
          <w:p>
            <w:pPr>
              <w:pStyle w:val="yTableNAm"/>
            </w:pPr>
            <w:r>
              <w:rPr>
                <w:b/>
                <w:i/>
              </w:rPr>
              <w:t>Road Traffic Act 1974</w:t>
            </w:r>
          </w:p>
        </w:tc>
        <w:tc>
          <w:tcPr>
            <w:tcW w:w="3048" w:type="dxa"/>
          </w:tcPr>
          <w:p>
            <w:pPr>
              <w:pStyle w:val="yTableNAm"/>
            </w:pPr>
          </w:p>
        </w:tc>
      </w:tr>
      <w:tr>
        <w:trPr>
          <w:cantSplit/>
        </w:trPr>
        <w:tc>
          <w:tcPr>
            <w:tcW w:w="851" w:type="dxa"/>
          </w:tcPr>
          <w:p>
            <w:pPr>
              <w:pStyle w:val="zyTableNAm"/>
              <w:keepNext/>
              <w:keepLines/>
              <w:widowControl w:val="0"/>
            </w:pPr>
          </w:p>
        </w:tc>
        <w:tc>
          <w:tcPr>
            <w:tcW w:w="3047" w:type="dxa"/>
          </w:tcPr>
          <w:p>
            <w:pPr>
              <w:pStyle w:val="yTableNAm"/>
            </w:pPr>
            <w:r>
              <w:t>s. 59</w:t>
            </w:r>
          </w:p>
        </w:tc>
        <w:tc>
          <w:tcPr>
            <w:tcW w:w="3048" w:type="dxa"/>
          </w:tcPr>
          <w:p>
            <w:pPr>
              <w:pStyle w:val="yTableNAm"/>
            </w:pPr>
            <w:r>
              <w:t>Dangerous driving causing death or grievous bodily harm</w:t>
            </w:r>
          </w:p>
        </w:tc>
      </w:tr>
    </w:tbl>
    <w:p>
      <w:pPr>
        <w:pStyle w:val="BlankClose"/>
      </w:pPr>
    </w:p>
    <w:p>
      <w:pPr>
        <w:pStyle w:val="yFootnotesection"/>
      </w:pPr>
      <w:r>
        <w:tab/>
        <w:t>[Schedule 4 inserted by No. 45 of 2016 s. 44.]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785" w:name="_Toc473635135"/>
      <w:bookmarkStart w:id="786" w:name="_Toc474159193"/>
      <w:bookmarkStart w:id="787" w:name="_Toc485716183"/>
      <w:bookmarkStart w:id="788" w:name="_Toc485719935"/>
      <w:bookmarkStart w:id="789" w:name="_Toc485802679"/>
      <w:bookmarkStart w:id="790" w:name="_Toc486435620"/>
      <w:bookmarkStart w:id="791" w:name="_Toc509830408"/>
      <w:bookmarkStart w:id="792" w:name="_Toc509830739"/>
      <w:bookmarkStart w:id="793" w:name="_Toc511135944"/>
      <w:r>
        <w:t>Notes</w:t>
      </w:r>
      <w:bookmarkEnd w:id="785"/>
      <w:bookmarkEnd w:id="786"/>
      <w:bookmarkEnd w:id="787"/>
      <w:bookmarkEnd w:id="788"/>
      <w:bookmarkEnd w:id="789"/>
      <w:bookmarkEnd w:id="790"/>
      <w:bookmarkEnd w:id="791"/>
      <w:bookmarkEnd w:id="792"/>
      <w:bookmarkEnd w:id="793"/>
    </w:p>
    <w:p>
      <w:pPr>
        <w:pStyle w:val="nSubsection"/>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 </w:t>
      </w:r>
      <w:r>
        <w:rPr>
          <w:snapToGrid w:val="0"/>
          <w:vertAlign w:val="superscript"/>
        </w:rPr>
        <w:t>1M, 5</w:t>
      </w:r>
      <w:r>
        <w:rPr>
          <w:snapToGrid w:val="0"/>
        </w:rPr>
        <w:t>.  The table also contains information about any reprint.</w:t>
      </w:r>
    </w:p>
    <w:p>
      <w:pPr>
        <w:pStyle w:val="nHeading3"/>
      </w:pPr>
      <w:bookmarkStart w:id="794" w:name="_Toc511135945"/>
      <w:r>
        <w:t>Compilation table</w:t>
      </w:r>
      <w:bookmarkEnd w:id="79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56"/>
        <w:gridCol w:w="2495"/>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1"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1" w:type="dxa"/>
            <w:gridSpan w:val="2"/>
          </w:tcPr>
          <w:p>
            <w:pPr>
              <w:pStyle w:val="nTable"/>
              <w:spacing w:after="40"/>
            </w:pPr>
            <w:r>
              <w:t>21 May 2004 (see s. 2)</w:t>
            </w:r>
          </w:p>
        </w:tc>
      </w:tr>
      <w:tr>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1" w:type="dxa"/>
            <w:gridSpan w:val="2"/>
          </w:tcPr>
          <w:p>
            <w:pPr>
              <w:pStyle w:val="nTable"/>
              <w:spacing w:after="40"/>
            </w:pPr>
            <w:r>
              <w:t xml:space="preserve">31 May 2006 (see s. 2 and </w:t>
            </w:r>
            <w:r>
              <w:rPr>
                <w:i/>
              </w:rPr>
              <w:t>Gazette</w:t>
            </w:r>
            <w:r>
              <w:t xml:space="preserve"> 30 May 2006 p. 1965)</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1"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 xml:space="preserve">Parole and Sentencing Legislation Amendment Act 2006 </w:t>
            </w:r>
            <w:r>
              <w:rPr>
                <w:snapToGrid w:val="0"/>
              </w:rPr>
              <w:t xml:space="preserve">Pt. 2 </w:t>
            </w:r>
            <w:r>
              <w:rPr>
                <w:snapToGrid w:val="0"/>
                <w:vertAlign w:val="superscript"/>
              </w:rPr>
              <w:t>6</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1"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1"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1"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1"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1"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5"/>
          </w:tcPr>
          <w:p>
            <w:pPr>
              <w:pStyle w:val="nTable"/>
              <w:spacing w:after="40"/>
              <w:rPr>
                <w:snapToGrid w:val="0"/>
              </w:rPr>
            </w:pPr>
            <w:r>
              <w:rPr>
                <w:b/>
                <w:bCs/>
                <w:snapToGrid w:val="0"/>
              </w:rPr>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90" w:type="dxa"/>
            <w:gridSpan w:val="2"/>
            <w:tcBorders>
              <w:top w:val="nil"/>
              <w:left w:val="nil"/>
              <w:bottom w:val="nil"/>
              <w:right w:val="nil"/>
            </w:tcBorders>
          </w:tcPr>
          <w:p>
            <w:pPr>
              <w:pStyle w:val="nTable"/>
              <w:spacing w:after="40"/>
              <w:rPr>
                <w:snapToGrid w:val="0"/>
              </w:rPr>
            </w:pPr>
            <w:r>
              <w:rPr>
                <w:snapToGrid w:val="0"/>
              </w:rPr>
              <w:t>22 Apr 2014</w:t>
            </w:r>
          </w:p>
        </w:tc>
        <w:tc>
          <w:tcPr>
            <w:tcW w:w="2495"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6</w:t>
            </w:r>
          </w:p>
        </w:tc>
        <w:tc>
          <w:tcPr>
            <w:tcW w:w="1134" w:type="dxa"/>
            <w:tcBorders>
              <w:top w:val="nil"/>
              <w:left w:val="nil"/>
              <w:bottom w:val="nil"/>
              <w:right w:val="nil"/>
            </w:tcBorders>
          </w:tcPr>
          <w:p>
            <w:pPr>
              <w:pStyle w:val="nTable"/>
              <w:spacing w:after="40"/>
              <w:rPr>
                <w:snapToGrid w:val="0"/>
              </w:rPr>
            </w:pPr>
            <w:r>
              <w:t>17 of 2016</w:t>
            </w:r>
          </w:p>
        </w:tc>
        <w:tc>
          <w:tcPr>
            <w:tcW w:w="1190" w:type="dxa"/>
            <w:gridSpan w:val="2"/>
            <w:tcBorders>
              <w:top w:val="nil"/>
              <w:left w:val="nil"/>
              <w:bottom w:val="nil"/>
              <w:right w:val="nil"/>
            </w:tcBorders>
          </w:tcPr>
          <w:p>
            <w:pPr>
              <w:pStyle w:val="nTable"/>
              <w:spacing w:after="40"/>
              <w:rPr>
                <w:snapToGrid w:val="0"/>
              </w:rPr>
            </w:pPr>
            <w:r>
              <w:t>11 Jul 2016</w:t>
            </w:r>
          </w:p>
        </w:tc>
        <w:tc>
          <w:tcPr>
            <w:tcW w:w="2495" w:type="dxa"/>
            <w:tcBorders>
              <w:top w:val="nil"/>
              <w:left w:val="nil"/>
              <w:bottom w:val="nil"/>
            </w:tcBorders>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7</w:t>
            </w:r>
          </w:p>
        </w:tc>
        <w:tc>
          <w:tcPr>
            <w:tcW w:w="1134" w:type="dxa"/>
            <w:tcBorders>
              <w:top w:val="nil"/>
              <w:left w:val="nil"/>
              <w:bottom w:val="nil"/>
              <w:right w:val="nil"/>
            </w:tcBorders>
            <w:shd w:val="clear" w:color="auto" w:fill="auto"/>
          </w:tcPr>
          <w:p>
            <w:pPr>
              <w:pStyle w:val="nTable"/>
              <w:spacing w:after="40"/>
            </w:pPr>
            <w:r>
              <w:t>49 of 2016</w:t>
            </w:r>
          </w:p>
        </w:tc>
        <w:tc>
          <w:tcPr>
            <w:tcW w:w="1190" w:type="dxa"/>
            <w:gridSpan w:val="2"/>
            <w:tcBorders>
              <w:top w:val="nil"/>
              <w:left w:val="nil"/>
              <w:bottom w:val="nil"/>
              <w:right w:val="nil"/>
            </w:tcBorders>
            <w:shd w:val="clear" w:color="auto" w:fill="auto"/>
          </w:tcPr>
          <w:p>
            <w:pPr>
              <w:pStyle w:val="nTable"/>
              <w:spacing w:after="40"/>
            </w:pPr>
            <w:r>
              <w:t>29 Nov 2016</w:t>
            </w:r>
          </w:p>
        </w:tc>
        <w:tc>
          <w:tcPr>
            <w:tcW w:w="2495"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Sentencing Legislation Amendment Act 2016 </w:t>
            </w:r>
            <w:r>
              <w:rPr>
                <w:snapToGrid w:val="0"/>
              </w:rPr>
              <w:t>Pt. 2 Div. 1 and Pt. 3 Div. 2</w:t>
            </w:r>
          </w:p>
        </w:tc>
        <w:tc>
          <w:tcPr>
            <w:tcW w:w="1134" w:type="dxa"/>
            <w:tcBorders>
              <w:top w:val="nil"/>
              <w:left w:val="nil"/>
              <w:bottom w:val="nil"/>
              <w:right w:val="nil"/>
            </w:tcBorders>
            <w:shd w:val="clear" w:color="auto" w:fill="auto"/>
          </w:tcPr>
          <w:p>
            <w:pPr>
              <w:pStyle w:val="nTable"/>
              <w:spacing w:after="40"/>
            </w:pPr>
            <w:r>
              <w:t>45 of 2016</w:t>
            </w:r>
          </w:p>
        </w:tc>
        <w:tc>
          <w:tcPr>
            <w:tcW w:w="1190" w:type="dxa"/>
            <w:gridSpan w:val="2"/>
            <w:tcBorders>
              <w:top w:val="nil"/>
              <w:left w:val="nil"/>
              <w:bottom w:val="nil"/>
              <w:right w:val="nil"/>
            </w:tcBorders>
            <w:shd w:val="clear" w:color="auto" w:fill="auto"/>
          </w:tcPr>
          <w:p>
            <w:pPr>
              <w:pStyle w:val="nTable"/>
              <w:spacing w:after="40"/>
            </w:pPr>
            <w:r>
              <w:t>7 Dec 2016</w:t>
            </w:r>
          </w:p>
        </w:tc>
        <w:tc>
          <w:tcPr>
            <w:tcW w:w="2495" w:type="dxa"/>
            <w:tcBorders>
              <w:top w:val="nil"/>
              <w:left w:val="nil"/>
              <w:bottom w:val="nil"/>
            </w:tcBorders>
            <w:shd w:val="clear" w:color="auto" w:fill="auto"/>
          </w:tcPr>
          <w:p>
            <w:pPr>
              <w:pStyle w:val="nTable"/>
              <w:spacing w:after="40"/>
              <w:rPr>
                <w:snapToGrid w:val="0"/>
              </w:rPr>
            </w:pPr>
            <w:r>
              <w:rPr>
                <w:snapToGrid w:val="0"/>
              </w:rPr>
              <w:t>Pt. 2 Div. 1: 8 Dec 2016 (see s. 2(b));</w:t>
            </w:r>
            <w:r>
              <w:rPr>
                <w:snapToGrid w:val="0"/>
              </w:rPr>
              <w:br/>
              <w:t xml:space="preserve">Pt. 3 Div. 2: 1 Jul 2017 (see s. 2(c) and </w:t>
            </w:r>
            <w:r>
              <w:rPr>
                <w:i/>
                <w:snapToGrid w:val="0"/>
              </w:rPr>
              <w:t>Gazette</w:t>
            </w:r>
            <w:r>
              <w:rPr>
                <w:snapToGrid w:val="0"/>
              </w:rPr>
              <w:t xml:space="preserve"> 7 Feb 2017 p. 1159)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single" w:sz="4" w:space="0" w:color="auto"/>
              <w:right w:val="nil"/>
            </w:tcBorders>
            <w:shd w:val="clear" w:color="auto" w:fill="auto"/>
          </w:tcPr>
          <w:p>
            <w:pPr>
              <w:pStyle w:val="nTable"/>
              <w:spacing w:after="40"/>
              <w:rPr>
                <w:i/>
                <w:snapToGrid w:val="0"/>
              </w:rPr>
            </w:pPr>
            <w:r>
              <w:rPr>
                <w:i/>
              </w:rPr>
              <w:t>Sentence Administration Amendment Act 2018</w:t>
            </w:r>
          </w:p>
        </w:tc>
        <w:tc>
          <w:tcPr>
            <w:tcW w:w="1134" w:type="dxa"/>
            <w:tcBorders>
              <w:top w:val="nil"/>
              <w:left w:val="nil"/>
              <w:bottom w:val="single" w:sz="4" w:space="0" w:color="auto"/>
              <w:right w:val="nil"/>
            </w:tcBorders>
            <w:shd w:val="clear" w:color="auto" w:fill="auto"/>
          </w:tcPr>
          <w:p>
            <w:pPr>
              <w:pStyle w:val="nTable"/>
              <w:spacing w:after="40"/>
            </w:pPr>
            <w:r>
              <w:t>2 of 2018</w:t>
            </w:r>
          </w:p>
        </w:tc>
        <w:tc>
          <w:tcPr>
            <w:tcW w:w="1190" w:type="dxa"/>
            <w:gridSpan w:val="2"/>
            <w:tcBorders>
              <w:top w:val="nil"/>
              <w:left w:val="nil"/>
              <w:bottom w:val="single" w:sz="4" w:space="0" w:color="auto"/>
              <w:right w:val="nil"/>
            </w:tcBorders>
            <w:shd w:val="clear" w:color="auto" w:fill="auto"/>
          </w:tcPr>
          <w:p>
            <w:pPr>
              <w:pStyle w:val="nTable"/>
              <w:spacing w:after="40"/>
            </w:pPr>
            <w:r>
              <w:t>23 Mar 2018</w:t>
            </w:r>
          </w:p>
        </w:tc>
        <w:tc>
          <w:tcPr>
            <w:tcW w:w="2495" w:type="dxa"/>
            <w:tcBorders>
              <w:top w:val="nil"/>
              <w:left w:val="nil"/>
              <w:bottom w:val="single" w:sz="4" w:space="0" w:color="auto"/>
            </w:tcBorders>
            <w:shd w:val="clear" w:color="auto" w:fill="auto"/>
          </w:tcPr>
          <w:p>
            <w:pPr>
              <w:pStyle w:val="nTable"/>
              <w:spacing w:after="40"/>
              <w:rPr>
                <w:snapToGrid w:val="0"/>
              </w:rPr>
            </w:pPr>
            <w:r>
              <w:rPr>
                <w:snapToGrid w:val="0"/>
              </w:rPr>
              <w:t>s. 1 and 2: 23 Mar 2018 (see s. 2(a));</w:t>
            </w:r>
            <w:r>
              <w:rPr>
                <w:snapToGrid w:val="0"/>
              </w:rPr>
              <w:br/>
              <w:t xml:space="preserve">Act other than s. 1 and 2: 13 Apr 2018 (see s. 2(b) and </w:t>
            </w:r>
            <w:r>
              <w:rPr>
                <w:i/>
                <w:snapToGrid w:val="0"/>
              </w:rPr>
              <w:t>Gazette</w:t>
            </w:r>
            <w:r>
              <w:rPr>
                <w:snapToGrid w:val="0"/>
              </w:rPr>
              <w:t xml:space="preserve"> 10 Apr 2018 p. 1283)</w:t>
            </w:r>
          </w:p>
        </w:tc>
      </w:tr>
    </w:tbl>
    <w:p>
      <w:pPr>
        <w:pStyle w:val="nSubsection"/>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2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spacing w:before="120"/>
        <w:rPr>
          <w:iCs/>
          <w:snapToGrid w:val="0"/>
        </w:rPr>
      </w:pPr>
      <w:r>
        <w:rPr>
          <w:snapToGrid w:val="0"/>
          <w:vertAlign w:val="superscript"/>
        </w:rPr>
        <w:t>3</w:t>
      </w:r>
      <w:r>
        <w:rPr>
          <w:snapToGrid w:val="0"/>
        </w:rPr>
        <w:tab/>
        <w:t xml:space="preserve">Repealed by the </w:t>
      </w:r>
      <w:r>
        <w:rPr>
          <w:i/>
          <w:color w:val="000000"/>
        </w:rPr>
        <w:t>Sentencing Legislation Amendment and Repeal Act 2003</w:t>
      </w:r>
      <w:r>
        <w:rPr>
          <w:iCs/>
          <w:snapToGrid w:val="0"/>
        </w:rPr>
        <w:t>.</w:t>
      </w:r>
    </w:p>
    <w:p>
      <w:pPr>
        <w:pStyle w:val="nSubsection"/>
        <w:spacing w:before="120"/>
        <w:rPr>
          <w:iCs/>
          <w:snapToGrid w:val="0"/>
        </w:rPr>
      </w:pPr>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Subsection"/>
        <w:spacing w:before="120"/>
        <w:rPr>
          <w:iCs/>
          <w:snapToGrid w:val="0"/>
        </w:rPr>
      </w:pPr>
      <w:r>
        <w:rPr>
          <w:snapToGrid w:val="0"/>
          <w:vertAlign w:val="superscript"/>
        </w:rPr>
        <w:t>5</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(No. 41 of 2006) s. 94 (commenced on </w:t>
      </w:r>
      <w:r>
        <w:t xml:space="preserve">28 Jan 2007, see s. 2 and </w:t>
      </w:r>
      <w:r>
        <w:rPr>
          <w:i/>
          <w:iCs/>
        </w:rPr>
        <w:t>Gazette</w:t>
      </w:r>
      <w:r>
        <w:t xml:space="preserve"> 29 Dec 2006 p. 5867).</w:t>
      </w:r>
    </w:p>
    <w:p>
      <w:pPr>
        <w:pStyle w:val="nSubsection"/>
        <w:keepNext/>
        <w:spacing w:before="120"/>
        <w:rPr>
          <w:snapToGrid w:val="0"/>
        </w:rPr>
      </w:pPr>
      <w:r>
        <w:rPr>
          <w:snapToGrid w:val="0"/>
          <w:vertAlign w:val="superscript"/>
        </w:rPr>
        <w:t>6</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BlankClose"/>
      </w:pPr>
    </w:p>
    <w:p/>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796" w:name="_Toc511135946"/>
      <w:r>
        <w:rPr>
          <w:sz w:val="28"/>
        </w:rPr>
        <w:t>Defined terms</w:t>
      </w:r>
      <w:bookmarkEnd w:id="7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108(1)</w:t>
      </w:r>
    </w:p>
    <w:p>
      <w:pPr>
        <w:pStyle w:val="DefinedTerms"/>
      </w:pPr>
      <w:r>
        <w:t>Board</w:t>
      </w:r>
      <w:r>
        <w:tab/>
        <w:t>4(2)</w:t>
      </w:r>
    </w:p>
    <w:p>
      <w:pPr>
        <w:pStyle w:val="DefinedTerms"/>
      </w:pPr>
      <w:r>
        <w:t>breach</w:t>
      </w:r>
      <w:r>
        <w:tab/>
        <w:t>74A</w:t>
      </w:r>
    </w:p>
    <w:p>
      <w:pPr>
        <w:pStyle w:val="DefinedTerms"/>
      </w:pPr>
      <w:r>
        <w:t>cancelled PSSO</w:t>
      </w:r>
      <w:r>
        <w:tab/>
        <w:t>74A, 74K(1)</w:t>
      </w:r>
    </w:p>
    <w:p>
      <w:pPr>
        <w:pStyle w:val="DefinedTerms"/>
      </w:pPr>
      <w:r>
        <w:t>CCO</w:t>
      </w:r>
      <w:r>
        <w:tab/>
        <w:t>4(3)</w:t>
      </w:r>
    </w:p>
    <w:p>
      <w:pPr>
        <w:pStyle w:val="DefinedTerms"/>
      </w:pPr>
      <w:r>
        <w:t>centre</w:t>
      </w:r>
      <w:r>
        <w:tab/>
        <w:t>75, 83</w:t>
      </w:r>
    </w:p>
    <w:p>
      <w:pPr>
        <w:pStyle w:val="DefinedTerms"/>
      </w:pPr>
      <w:r>
        <w:t>CEO</w:t>
      </w:r>
      <w:r>
        <w:tab/>
        <w:t>4(2)</w:t>
      </w:r>
    </w:p>
    <w:p>
      <w:pPr>
        <w:pStyle w:val="DefinedTerms"/>
      </w:pPr>
      <w:r>
        <w:t>combined report</w:t>
      </w:r>
      <w:r>
        <w:tab/>
        <w:t>12B(1)</w:t>
      </w:r>
    </w:p>
    <w:p>
      <w:pPr>
        <w:pStyle w:val="DefinedTerms"/>
      </w:pPr>
      <w:r>
        <w:t>commencement</w:t>
      </w:r>
      <w:r>
        <w:tab/>
        <w:t>123</w:t>
      </w:r>
    </w:p>
    <w:p>
      <w:pPr>
        <w:pStyle w:val="DefinedTerms"/>
      </w:pPr>
      <w:r>
        <w:t>commencement day</w:t>
      </w:r>
      <w:r>
        <w:tab/>
        <w:t>129(1)</w:t>
      </w:r>
    </w:p>
    <w:p>
      <w:pPr>
        <w:pStyle w:val="DefinedTerms"/>
      </w:pPr>
      <w:r>
        <w:t>community corrections activities</w:t>
      </w:r>
      <w:r>
        <w:tab/>
        <w:t>4(2)</w:t>
      </w:r>
    </w:p>
    <w:p>
      <w:pPr>
        <w:pStyle w:val="DefinedTerms"/>
      </w:pPr>
      <w:r>
        <w:t>community corrections centre</w:t>
      </w:r>
      <w:r>
        <w:tab/>
        <w:t>4(2)</w:t>
      </w:r>
    </w:p>
    <w:p>
      <w:pPr>
        <w:pStyle w:val="DefinedTerms"/>
      </w:pPr>
      <w:r>
        <w:t>community corrections officer</w:t>
      </w:r>
      <w:r>
        <w:tab/>
        <w:t>4(2)</w:t>
      </w:r>
    </w:p>
    <w:p>
      <w:pPr>
        <w:pStyle w:val="DefinedTerms"/>
      </w:pPr>
      <w:r>
        <w:t>community corrections order</w:t>
      </w:r>
      <w:r>
        <w:tab/>
        <w:t>75, 83</w:t>
      </w:r>
    </w:p>
    <w:p>
      <w:pPr>
        <w:pStyle w:val="DefinedTerms"/>
      </w:pPr>
      <w:r>
        <w:t>community order</w:t>
      </w:r>
      <w:r>
        <w:tab/>
        <w:t>4(2)</w:t>
      </w:r>
    </w:p>
    <w:p>
      <w:pPr>
        <w:pStyle w:val="DefinedTerms"/>
      </w:pPr>
      <w:r>
        <w:t>conditional suspended imprisonment</w:t>
      </w:r>
      <w:r>
        <w:tab/>
        <w:t>4(2)</w:t>
      </w:r>
    </w:p>
    <w:p>
      <w:pPr>
        <w:pStyle w:val="DefinedTerms"/>
      </w:pPr>
      <w:r>
        <w:t>contractor</w:t>
      </w:r>
      <w:r>
        <w:tab/>
        <w:t>97B(1)</w:t>
      </w:r>
    </w:p>
    <w:p>
      <w:pPr>
        <w:pStyle w:val="DefinedTerms"/>
      </w:pPr>
      <w:r>
        <w:t>CSI</w:t>
      </w:r>
      <w:r>
        <w:tab/>
        <w:t>4(3)</w:t>
      </w:r>
    </w:p>
    <w:p>
      <w:pPr>
        <w:pStyle w:val="DefinedTerms"/>
      </w:pPr>
      <w:r>
        <w:t>departmental staff</w:t>
      </w:r>
      <w:r>
        <w:tab/>
        <w:t>4(2)</w:t>
      </w:r>
    </w:p>
    <w:p>
      <w:pPr>
        <w:pStyle w:val="DefinedTerms"/>
      </w:pPr>
      <w:r>
        <w:t>early release order</w:t>
      </w:r>
      <w:r>
        <w:tab/>
        <w:t>4(2)</w:t>
      </w:r>
    </w:p>
    <w:p>
      <w:pPr>
        <w:pStyle w:val="DefinedTerms"/>
      </w:pPr>
      <w:r>
        <w:t>first report</w:t>
      </w:r>
      <w:r>
        <w:tab/>
        <w:t>12B(1), 12B(1)</w:t>
      </w:r>
    </w:p>
    <w:p>
      <w:pPr>
        <w:pStyle w:val="DefinedTerms"/>
      </w:pPr>
      <w:r>
        <w:t>fixed term</w:t>
      </w:r>
      <w:r>
        <w:tab/>
        <w:t>7(1)</w:t>
      </w:r>
    </w:p>
    <w:p>
      <w:pPr>
        <w:pStyle w:val="DefinedTerms"/>
      </w:pPr>
      <w:r>
        <w:t>former Division</w:t>
      </w:r>
      <w:r>
        <w:tab/>
        <w:t>129(1)</w:t>
      </w:r>
    </w:p>
    <w:p>
      <w:pPr>
        <w:pStyle w:val="DefinedTerms"/>
      </w:pPr>
      <w:r>
        <w:t>former transitional provisions</w:t>
      </w:r>
      <w:r>
        <w:tab/>
        <w:t>123</w:t>
      </w:r>
    </w:p>
    <w:p>
      <w:pPr>
        <w:pStyle w:val="DefinedTerms"/>
      </w:pPr>
      <w:r>
        <w:t>Governor’s pleasure detainee</w:t>
      </w:r>
      <w:r>
        <w:tab/>
        <w:t>4(2)</w:t>
      </w:r>
    </w:p>
    <w:p>
      <w:pPr>
        <w:pStyle w:val="DefinedTerms"/>
      </w:pPr>
      <w:r>
        <w:t>homicide offence</w:t>
      </w:r>
      <w:r>
        <w:tab/>
        <w:t>66A</w:t>
      </w:r>
    </w:p>
    <w:p>
      <w:pPr>
        <w:pStyle w:val="DefinedTerms"/>
      </w:pPr>
      <w:r>
        <w:t>homicide related offence</w:t>
      </w:r>
      <w:r>
        <w:tab/>
        <w:t>66A</w:t>
      </w:r>
    </w:p>
    <w:p>
      <w:pPr>
        <w:pStyle w:val="DefinedTerms"/>
      </w:pPr>
      <w:r>
        <w:t>honorary CCO</w:t>
      </w:r>
      <w:r>
        <w:tab/>
        <w:t>4(2)</w:t>
      </w:r>
    </w:p>
    <w:p>
      <w:pPr>
        <w:pStyle w:val="DefinedTerms"/>
      </w:pPr>
      <w:r>
        <w:t>member</w:t>
      </w:r>
      <w:r>
        <w:tab/>
        <w:t>Sch. 1 cl. 1</w:t>
      </w:r>
    </w:p>
    <w:p>
      <w:pPr>
        <w:pStyle w:val="DefinedTerms"/>
      </w:pPr>
      <w:r>
        <w:t>minimum hours requirement</w:t>
      </w:r>
      <w:r>
        <w:tab/>
        <w:t>78(1)</w:t>
      </w:r>
    </w:p>
    <w:p>
      <w:pPr>
        <w:pStyle w:val="DefinedTerms"/>
      </w:pPr>
      <w:r>
        <w:t>monitoring equipment</w:t>
      </w:r>
      <w:r>
        <w:tab/>
        <w:t>118(1)</w:t>
      </w:r>
    </w:p>
    <w:p>
      <w:pPr>
        <w:pStyle w:val="DefinedTerms"/>
      </w:pPr>
      <w:r>
        <w:t>non</w:t>
      </w:r>
      <w:r>
        <w:noBreakHyphen/>
        <w:t>parole period</w:t>
      </w:r>
      <w:r>
        <w:tab/>
        <w:t>7(1)</w:t>
      </w:r>
    </w:p>
    <w:p>
      <w:pPr>
        <w:pStyle w:val="DefinedTerms"/>
      </w:pPr>
      <w:r>
        <w:t>notice</w:t>
      </w:r>
      <w:r>
        <w:tab/>
        <w:t>84(3)</w:t>
      </w:r>
    </w:p>
    <w:p>
      <w:pPr>
        <w:pStyle w:val="DefinedTerms"/>
      </w:pPr>
      <w:r>
        <w:t>offender</w:t>
      </w:r>
      <w:r>
        <w:tab/>
        <w:t>76(1), 78(1), 83</w:t>
      </w:r>
    </w:p>
    <w:p>
      <w:pPr>
        <w:pStyle w:val="DefinedTerms"/>
      </w:pPr>
      <w:r>
        <w:t>parole order</w:t>
      </w:r>
      <w:r>
        <w:tab/>
        <w:t>4(2)</w:t>
      </w:r>
    </w:p>
    <w:p>
      <w:pPr>
        <w:pStyle w:val="DefinedTerms"/>
      </w:pPr>
      <w:r>
        <w:t>parole order (unsupervised)</w:t>
      </w:r>
      <w:r>
        <w:tab/>
        <w:t>4(2)</w:t>
      </w:r>
    </w:p>
    <w:p>
      <w:pPr>
        <w:pStyle w:val="DefinedTerms"/>
      </w:pPr>
      <w:r>
        <w:t>post</w:t>
      </w:r>
      <w:r>
        <w:noBreakHyphen/>
        <w:t>sentence supervision order</w:t>
      </w:r>
      <w:r>
        <w:tab/>
        <w:t>4(2)</w:t>
      </w:r>
    </w:p>
    <w:p>
      <w:pPr>
        <w:pStyle w:val="DefinedTerms"/>
      </w:pPr>
      <w:r>
        <w:t>pre</w:t>
      </w:r>
      <w:r>
        <w:noBreakHyphen/>
        <w:t>1996 prisoner</w:t>
      </w:r>
      <w:r>
        <w:tab/>
        <w:t>123</w:t>
      </w:r>
    </w:p>
    <w:p>
      <w:pPr>
        <w:pStyle w:val="DefinedTerms"/>
      </w:pPr>
      <w:r>
        <w:t>prescribed prisoner</w:t>
      </w:r>
      <w:r>
        <w:tab/>
        <w:t>23(1)</w:t>
      </w:r>
    </w:p>
    <w:p>
      <w:pPr>
        <w:pStyle w:val="DefinedTerms"/>
      </w:pPr>
      <w:r>
        <w:t>prisoner</w:t>
      </w:r>
      <w:r>
        <w:tab/>
        <w:t>4(2), 11A(1), 13(1), 14(1), 19, 25(1), 74A</w:t>
      </w:r>
    </w:p>
    <w:p>
      <w:pPr>
        <w:pStyle w:val="DefinedTerms"/>
      </w:pPr>
      <w:r>
        <w:t>prisoner management report</w:t>
      </w:r>
      <w:r>
        <w:tab/>
        <w:t>11A(2)</w:t>
      </w:r>
    </w:p>
    <w:p>
      <w:pPr>
        <w:pStyle w:val="DefinedTerms"/>
      </w:pPr>
      <w:r>
        <w:t>PSSO</w:t>
      </w:r>
      <w:r>
        <w:tab/>
        <w:t>4(3)</w:t>
      </w:r>
    </w:p>
    <w:p>
      <w:pPr>
        <w:pStyle w:val="DefinedTerms"/>
      </w:pPr>
      <w:r>
        <w:t>PSSO considerations</w:t>
      </w:r>
      <w:r>
        <w:tab/>
        <w:t>74A</w:t>
      </w:r>
    </w:p>
    <w:p>
      <w:pPr>
        <w:pStyle w:val="DefinedTerms"/>
      </w:pPr>
      <w:r>
        <w:t>PSSO period</w:t>
      </w:r>
      <w:r>
        <w:tab/>
        <w:t>74A, 74E(2)</w:t>
      </w:r>
    </w:p>
    <w:p>
      <w:pPr>
        <w:pStyle w:val="DefinedTerms"/>
      </w:pPr>
      <w:r>
        <w:t>public authority</w:t>
      </w:r>
      <w:r>
        <w:tab/>
        <w:t>97B(1)</w:t>
      </w:r>
    </w:p>
    <w:p>
      <w:pPr>
        <w:pStyle w:val="DefinedTerms"/>
      </w:pPr>
      <w:r>
        <w:t>re</w:t>
      </w:r>
      <w:r>
        <w:noBreakHyphen/>
        <w:t>entry release order</w:t>
      </w:r>
      <w:r>
        <w:tab/>
        <w:t>4(2)</w:t>
      </w:r>
    </w:p>
    <w:p>
      <w:pPr>
        <w:pStyle w:val="DefinedTerms"/>
      </w:pPr>
      <w:r>
        <w:t>release</w:t>
      </w:r>
      <w:r>
        <w:tab/>
        <w:t>4(2)</w:t>
      </w:r>
    </w:p>
    <w:p>
      <w:pPr>
        <w:pStyle w:val="DefinedTerms"/>
      </w:pPr>
      <w:r>
        <w:t>release action</w:t>
      </w:r>
      <w:r>
        <w:tab/>
        <w:t>66A</w:t>
      </w:r>
    </w:p>
    <w:p>
      <w:pPr>
        <w:pStyle w:val="DefinedTerms"/>
      </w:pPr>
      <w:r>
        <w:t>release considerations</w:t>
      </w:r>
      <w:r>
        <w:tab/>
        <w:t>4(2), 5A</w:t>
      </w:r>
    </w:p>
    <w:p>
      <w:pPr>
        <w:pStyle w:val="DefinedTerms"/>
      </w:pPr>
      <w:r>
        <w:t>release decision</w:t>
      </w:r>
      <w:r>
        <w:tab/>
        <w:t>66A</w:t>
      </w:r>
    </w:p>
    <w:p>
      <w:pPr>
        <w:pStyle w:val="DefinedTerms"/>
      </w:pPr>
      <w:r>
        <w:t>relevant information</w:t>
      </w:r>
      <w:r>
        <w:tab/>
        <w:t>97B(1)</w:t>
      </w:r>
    </w:p>
    <w:p>
      <w:pPr>
        <w:pStyle w:val="DefinedTerms"/>
      </w:pPr>
      <w:r>
        <w:t>relevant prisoner</w:t>
      </w:r>
      <w:r>
        <w:tab/>
        <w:t>66A</w:t>
      </w:r>
    </w:p>
    <w:p>
      <w:pPr>
        <w:pStyle w:val="DefinedTerms"/>
      </w:pPr>
      <w:r>
        <w:t>remains of the victim</w:t>
      </w:r>
      <w:r>
        <w:tab/>
        <w:t>66A</w:t>
      </w:r>
    </w:p>
    <w:p>
      <w:pPr>
        <w:pStyle w:val="DefinedTerms"/>
      </w:pPr>
      <w:r>
        <w:t>research</w:t>
      </w:r>
      <w:r>
        <w:tab/>
        <w:t>97B(1)</w:t>
      </w:r>
    </w:p>
    <w:p>
      <w:pPr>
        <w:pStyle w:val="DefinedTerms"/>
      </w:pPr>
      <w:r>
        <w:t>re</w:t>
      </w:r>
      <w:r>
        <w:noBreakHyphen/>
        <w:t>socialisation programme</w:t>
      </w:r>
      <w:r>
        <w:tab/>
        <w:t>4(2)</w:t>
      </w:r>
    </w:p>
    <w:p>
      <w:pPr>
        <w:pStyle w:val="DefinedTerms"/>
      </w:pPr>
      <w:r>
        <w:t>reviewable decision</w:t>
      </w:r>
      <w:r>
        <w:tab/>
        <w:t>115A(1)</w:t>
      </w:r>
    </w:p>
    <w:p>
      <w:pPr>
        <w:pStyle w:val="DefinedTerms"/>
      </w:pPr>
      <w:r>
        <w:t>RRO</w:t>
      </w:r>
      <w:r>
        <w:tab/>
        <w:t>4(3)</w:t>
      </w:r>
    </w:p>
    <w:p>
      <w:pPr>
        <w:pStyle w:val="DefinedTerms"/>
      </w:pPr>
      <w:r>
        <w:t>Schedule 3 prisoner</w:t>
      </w:r>
      <w:r>
        <w:tab/>
        <w:t>4(2)</w:t>
      </w:r>
    </w:p>
    <w:p>
      <w:pPr>
        <w:pStyle w:val="DefinedTerms"/>
      </w:pPr>
      <w:r>
        <w:t>sentence</w:t>
      </w:r>
      <w:r>
        <w:tab/>
        <w:t>4(2)</w:t>
      </w:r>
    </w:p>
    <w:p>
      <w:pPr>
        <w:pStyle w:val="DefinedTerms"/>
      </w:pPr>
      <w:r>
        <w:t>serious offence</w:t>
      </w:r>
      <w:r>
        <w:tab/>
        <w:t>4(2)</w:t>
      </w:r>
    </w:p>
    <w:p>
      <w:pPr>
        <w:pStyle w:val="DefinedTerms"/>
      </w:pPr>
      <w:r>
        <w:t>serious violent offence</w:t>
      </w:r>
      <w:r>
        <w:tab/>
        <w:t>74A</w:t>
      </w:r>
    </w:p>
    <w:p>
      <w:pPr>
        <w:pStyle w:val="DefinedTerms"/>
      </w:pPr>
      <w:r>
        <w:t>service provider</w:t>
      </w:r>
      <w:r>
        <w:tab/>
        <w:t>97B(1)</w:t>
      </w:r>
    </w:p>
    <w:p>
      <w:pPr>
        <w:pStyle w:val="DefinedTerms"/>
      </w:pPr>
      <w:r>
        <w:t>supervised offender</w:t>
      </w:r>
      <w:r>
        <w:tab/>
        <w:t>4(2), 74E(1)</w:t>
      </w:r>
    </w:p>
    <w:p>
      <w:pPr>
        <w:pStyle w:val="DefinedTerms"/>
      </w:pPr>
      <w:r>
        <w:t>T</w:t>
      </w:r>
      <w:r>
        <w:tab/>
        <w:t>69(6)</w:t>
      </w:r>
    </w:p>
    <w:p>
      <w:pPr>
        <w:pStyle w:val="DefinedTerms"/>
      </w:pPr>
      <w:r>
        <w:t>transitional period</w:t>
      </w:r>
      <w:r>
        <w:tab/>
        <w:t>123</w:t>
      </w:r>
    </w:p>
    <w:p>
      <w:pPr>
        <w:pStyle w:val="DefinedTerms"/>
      </w:pPr>
      <w:r>
        <w:t>victim</w:t>
      </w:r>
      <w:r>
        <w:tab/>
        <w:t>4(2), 5D(1)</w:t>
      </w:r>
    </w:p>
    <w:p>
      <w:pPr>
        <w:pStyle w:val="DefinedTerms"/>
      </w:pPr>
      <w:r>
        <w:t>victim’s submission</w:t>
      </w:r>
      <w:r>
        <w:tab/>
        <w:t>4(2), 5C(1)</w:t>
      </w:r>
    </w:p>
    <w:p>
      <w:pPr>
        <w:pStyle w:val="DefinedTerms"/>
      </w:pPr>
      <w:r>
        <w:t>violent personal offence</w:t>
      </w:r>
      <w:r>
        <w:tab/>
        <w:t>5D(1)</w:t>
      </w:r>
    </w:p>
    <w:p>
      <w:pPr>
        <w:pStyle w:val="DefinedTerms"/>
      </w:pPr>
      <w:r>
        <w:t>WDO</w:t>
      </w:r>
      <w:r>
        <w:tab/>
        <w:t>4(3)</w:t>
      </w:r>
    </w:p>
    <w:p>
      <w:pPr>
        <w:pStyle w:val="DefinedTerms"/>
      </w:pPr>
      <w:r>
        <w:t>work and development order</w:t>
      </w:r>
      <w:r>
        <w:tab/>
        <w:t>4(2)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91" w:name="Schedule"/>
    <w:bookmarkEnd w:id="6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applying to the Prisoners Review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95" w:name="Compilation"/>
    <w:bookmarkEnd w:id="79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7" w:name="DefinedTerms"/>
    <w:bookmarkEnd w:id="7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98" w:name="Coversheet"/>
    <w:bookmarkEnd w:id="79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680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0446"/>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 w:name="WAFER_20161130112752" w:val="RemoveTocBookmarks,RemoveUnusedBookmarks,RemoveLanguageTags,UsedStyles,ResetPageSize"/>
    <w:docVar w:name="WAFER_20161130112752_GUID" w:val="52c15341-e5c9-4f59-bce4-b391be6ba3c9"/>
    <w:docVar w:name="WAFER_20170131140446" w:val="RemoveTocBookmarks,RemoveUnusedBookmarks,RemoveLanguageTags,UsedStyles,ResetPageSize"/>
    <w:docVar w:name="WAFER_20170131140446_GUID" w:val="129923c7-fcef-43e3-a950-6eff2dfad0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ommentTextChar">
    <w:name w:val="Comment Text Char"/>
    <w:basedOn w:val="DefaultParagraphFont"/>
    <w:link w:val="CommentText"/>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ommentTextChar">
    <w:name w:val="Comment Text Char"/>
    <w:basedOn w:val="DefaultParagraphFont"/>
    <w:link w:val="CommentText"/>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514F0-307A-48E1-A6A9-11F2B85D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130</Pages>
  <Words>30287</Words>
  <Characters>141443</Characters>
  <Application>Microsoft Office Word</Application>
  <DocSecurity>0</DocSecurity>
  <Lines>4160</Lines>
  <Paragraphs>2488</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169242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2003 - 02-i0-01</dc:title>
  <dc:subject/>
  <dc:creator/>
  <cp:keywords/>
  <dc:description/>
  <cp:lastModifiedBy>svcMRProcess</cp:lastModifiedBy>
  <cp:revision>4</cp:revision>
  <cp:lastPrinted>2017-06-28T09:42:00Z</cp:lastPrinted>
  <dcterms:created xsi:type="dcterms:W3CDTF">2018-09-08T14:46:00Z</dcterms:created>
  <dcterms:modified xsi:type="dcterms:W3CDTF">2018-09-08T14:46:00Z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No">
    <vt:lpwstr>2</vt:lpwstr>
  </property>
  <property fmtid="{D5CDD505-2E9C-101B-9397-08002B2CF9AE}" pid="6" name="ReprintedAsAt">
    <vt:filetime>2011-03-31T16:00:00Z</vt:filetime>
  </property>
  <property fmtid="{D5CDD505-2E9C-101B-9397-08002B2CF9AE}" pid="7" name="CommencementDate">
    <vt:lpwstr>20180413</vt:lpwstr>
  </property>
  <property fmtid="{D5CDD505-2E9C-101B-9397-08002B2CF9AE}" pid="8" name="AsAtDate">
    <vt:lpwstr>13 Apr 2018</vt:lpwstr>
  </property>
  <property fmtid="{D5CDD505-2E9C-101B-9397-08002B2CF9AE}" pid="9" name="Suffix">
    <vt:lpwstr>02-i0-01</vt:lpwstr>
  </property>
</Properties>
</file>