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(Yakanarra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(Yakanarra Restricted Area)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_Toc511719936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_Toc511719937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 used: Yakanarra Aboriginal Community</w:t>
      </w:r>
      <w:r>
        <w:tab/>
      </w:r>
      <w:r>
        <w:fldChar w:fldCharType="begin"/>
      </w:r>
      <w:r>
        <w:instrText xml:space="preserve"> PAGEREF _Toc511719938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 is not part of regulation</w:t>
      </w:r>
      <w:r>
        <w:tab/>
      </w:r>
      <w:r>
        <w:fldChar w:fldCharType="begin"/>
      </w:r>
      <w:r>
        <w:instrText xml:space="preserve"> PAGEREF _Toc511719939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_Toc511719940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_Toc511719941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Prohibitions as to liquor in Yakanarra Aboriginal Community</w:t>
      </w:r>
      <w:r>
        <w:tab/>
      </w:r>
      <w:r>
        <w:fldChar w:fldCharType="begin"/>
      </w:r>
      <w:r>
        <w:instrText xml:space="preserve"> PAGEREF _Toc511719942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_Toc511719943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Period during which these regulations have effect</w:t>
      </w:r>
      <w:r>
        <w:tab/>
      </w:r>
      <w:r>
        <w:fldChar w:fldCharType="begin"/>
      </w:r>
      <w:r>
        <w:instrText xml:space="preserve"> PAGEREF _Toc511719944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_Toc511719946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(Yakanarra Restricted Area) Regulations 2010</w:t>
      </w:r>
    </w:p>
    <w:p>
      <w:pPr>
        <w:pStyle w:val="Heading5"/>
      </w:pPr>
      <w:bookmarkStart w:id="3" w:name="_Toc323283515"/>
      <w:bookmarkStart w:id="4" w:name="_Toc511719936"/>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(Yakanarra Restricted Area) Regulations 2010</w:t>
      </w:r>
      <w:r>
        <w:t>.</w:t>
      </w:r>
    </w:p>
    <w:p>
      <w:pPr>
        <w:pStyle w:val="Heading5"/>
        <w:rPr>
          <w:spacing w:val="-2"/>
        </w:rPr>
      </w:pPr>
      <w:bookmarkStart w:id="6" w:name="_Toc323283516"/>
      <w:bookmarkStart w:id="7" w:name="_Toc511719937"/>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323283517"/>
      <w:bookmarkStart w:id="9" w:name="_Toc511719938"/>
      <w:r>
        <w:rPr>
          <w:rStyle w:val="CharSectno"/>
        </w:rPr>
        <w:t>3</w:t>
      </w:r>
      <w:r>
        <w:t>.</w:t>
      </w:r>
      <w:r>
        <w:tab/>
        <w:t>Term used: Yakanarra Aboriginal Community</w:t>
      </w:r>
      <w:bookmarkEnd w:id="8"/>
      <w:bookmarkEnd w:id="9"/>
    </w:p>
    <w:p>
      <w:pPr>
        <w:pStyle w:val="Subsection"/>
      </w:pPr>
      <w:r>
        <w:tab/>
      </w:r>
      <w:r>
        <w:tab/>
        <w:t xml:space="preserve">In these regulations — </w:t>
      </w:r>
    </w:p>
    <w:p>
      <w:pPr>
        <w:pStyle w:val="Defstart"/>
      </w:pPr>
      <w:r>
        <w:tab/>
      </w:r>
      <w:r>
        <w:rPr>
          <w:rStyle w:val="CharDefText"/>
        </w:rPr>
        <w:t>Yakanarra Aboriginal Community</w:t>
      </w:r>
      <w:r>
        <w:t xml:space="preserve"> means the area of the land the subject of —</w:t>
      </w:r>
    </w:p>
    <w:p>
      <w:pPr>
        <w:pStyle w:val="Defpara"/>
      </w:pPr>
      <w:r>
        <w:tab/>
        <w:t>(a)</w:t>
      </w:r>
      <w:r>
        <w:tab/>
        <w:t xml:space="preserve">Record of Qualified Certificate of </w:t>
      </w:r>
      <w:smartTag w:uri="urn:schemas-microsoft-com:office:smarttags" w:element="place">
        <w:smartTag w:uri="urn:schemas-microsoft-com:office:smarttags" w:element="PlaceName">
          <w:r>
            <w:t>Crown</w:t>
          </w:r>
        </w:smartTag>
        <w:r>
          <w:t xml:space="preserve"> </w:t>
        </w:r>
        <w:smartTag w:uri="urn:schemas-microsoft-com:office:smarttags" w:element="PlaceType">
          <w:r>
            <w:t>Land</w:t>
          </w:r>
        </w:smartTag>
      </w:smartTag>
      <w:r>
        <w:t xml:space="preserve"> Title Volume LR3028 Folio 178; and</w:t>
      </w:r>
    </w:p>
    <w:p>
      <w:pPr>
        <w:pStyle w:val="Defpara"/>
      </w:pPr>
      <w:r>
        <w:tab/>
        <w:t>(b)</w:t>
      </w:r>
      <w:r>
        <w:tab/>
        <w:t xml:space="preserve">Record of Certificate of </w:t>
      </w:r>
      <w:smartTag w:uri="urn:schemas-microsoft-com:office:smarttags" w:element="place">
        <w:smartTag w:uri="urn:schemas-microsoft-com:office:smarttags" w:element="PlaceName">
          <w:r>
            <w:t>Crown</w:t>
          </w:r>
        </w:smartTag>
        <w:r>
          <w:t xml:space="preserve"> </w:t>
        </w:r>
        <w:smartTag w:uri="urn:schemas-microsoft-com:office:smarttags" w:element="PlaceType">
          <w:r>
            <w:t>Land</w:t>
          </w:r>
        </w:smartTag>
      </w:smartTag>
      <w:r>
        <w:t xml:space="preserve"> Title Volume LR3157 Folio 227.</w:t>
      </w:r>
    </w:p>
    <w:p>
      <w:pPr>
        <w:pStyle w:val="Heading5"/>
      </w:pPr>
      <w:bookmarkStart w:id="10" w:name="_Toc323283518"/>
      <w:bookmarkStart w:id="11" w:name="_Toc511719939"/>
      <w:r>
        <w:rPr>
          <w:rStyle w:val="CharSectno"/>
        </w:rPr>
        <w:t>4</w:t>
      </w:r>
      <w:r>
        <w:t>.</w:t>
      </w:r>
      <w:r>
        <w:tab/>
        <w:t>Note is not part of regulation</w:t>
      </w:r>
      <w:bookmarkEnd w:id="10"/>
      <w:bookmarkEnd w:id="11"/>
    </w:p>
    <w:p>
      <w:pPr>
        <w:pStyle w:val="Subsection"/>
      </w:pPr>
      <w:r>
        <w:tab/>
      </w:r>
      <w:r>
        <w:tab/>
        <w:t>The note after regulation 9 does not form part of these regulations.</w:t>
      </w:r>
    </w:p>
    <w:p>
      <w:pPr>
        <w:pStyle w:val="Heading5"/>
      </w:pPr>
      <w:bookmarkStart w:id="12" w:name="_Toc323283519"/>
      <w:bookmarkStart w:id="13" w:name="_Toc511719940"/>
      <w:r>
        <w:rPr>
          <w:rStyle w:val="CharSectno"/>
        </w:rPr>
        <w:t>5</w:t>
      </w:r>
      <w:r>
        <w:t>.</w:t>
      </w:r>
      <w:r>
        <w:tab/>
        <w:t>Declaration of restricted area</w:t>
      </w:r>
      <w:bookmarkEnd w:id="12"/>
      <w:bookmarkEnd w:id="13"/>
    </w:p>
    <w:p>
      <w:pPr>
        <w:pStyle w:val="Subsection"/>
      </w:pPr>
      <w:r>
        <w:tab/>
      </w:r>
      <w:r>
        <w:tab/>
        <w:t>The Yakanarra Aboriginal Community is declared to be a restricted area for the purposes of section 175(1a) of the Act.</w:t>
      </w:r>
    </w:p>
    <w:p>
      <w:pPr>
        <w:pStyle w:val="Heading5"/>
      </w:pPr>
      <w:bookmarkStart w:id="14" w:name="_Toc323283520"/>
      <w:bookmarkStart w:id="15" w:name="_Toc511719941"/>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Yakanarra Aboriginal Community continues to be a restricted area by operation of regulation 5 to be kept posted, at each place where a customary access route enters the Yakanarra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23283521"/>
      <w:bookmarkStart w:id="17" w:name="_Toc511719942"/>
      <w:r>
        <w:rPr>
          <w:rStyle w:val="CharSectno"/>
        </w:rPr>
        <w:t>7</w:t>
      </w:r>
      <w:r>
        <w:t>.</w:t>
      </w:r>
      <w:r>
        <w:tab/>
        <w:t>Prohibitions as to liquor in Yakanarra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Yakanarra Aboriginal Community; or</w:t>
      </w:r>
    </w:p>
    <w:p>
      <w:pPr>
        <w:pStyle w:val="Indenta"/>
      </w:pPr>
      <w:r>
        <w:tab/>
        <w:t>(b)</w:t>
      </w:r>
      <w:r>
        <w:tab/>
        <w:t>has liquor in his or her possession in the Yakanarra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23283522"/>
      <w:bookmarkStart w:id="19" w:name="_Toc511719943"/>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23283523"/>
      <w:bookmarkStart w:id="21" w:name="_Toc511719944"/>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that ends at the close of 30 April 2021.</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Gazette 27 Apr 2012 p. 1768; 24 Mar 2015 p. 1047; 17 Apr 2018 p. 1305.]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260312393"/>
      <w:bookmarkStart w:id="23" w:name="_Toc260312404"/>
      <w:bookmarkStart w:id="24" w:name="_Toc260320857"/>
      <w:bookmarkStart w:id="25" w:name="_Toc323283524"/>
      <w:bookmarkStart w:id="26" w:name="_Toc414889310"/>
      <w:bookmarkStart w:id="27" w:name="_Toc414891223"/>
      <w:bookmarkStart w:id="28" w:name="_Toc511719945"/>
      <w:r>
        <w:t>Notes</w:t>
      </w:r>
      <w:bookmarkEnd w:id="22"/>
      <w:bookmarkEnd w:id="23"/>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rPr>
        <w:t>Liquor Control (Yakanarra Restricted Area) Regulations 2010</w:t>
      </w:r>
      <w:r>
        <w:rPr>
          <w:vertAlign w:val="superscript"/>
        </w:rPr>
        <w:t xml:space="preserve"> 2</w:t>
      </w:r>
      <w:r>
        <w:rPr>
          <w:snapToGrid w:val="0"/>
        </w:rPr>
        <w:t xml:space="preserve"> and includes the amendments made by the other written laws referred to in the following table.</w:t>
      </w:r>
    </w:p>
    <w:p>
      <w:pPr>
        <w:pStyle w:val="nHeading3"/>
      </w:pPr>
      <w:bookmarkStart w:id="29" w:name="_Toc323283525"/>
      <w:bookmarkStart w:id="30" w:name="_Toc511719946"/>
      <w:r>
        <w:t>Compilation table</w:t>
      </w:r>
      <w:bookmarkEnd w:id="29"/>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Liquor Control (Yakanarra Restricted Area) Regulations 2010</w:t>
            </w:r>
          </w:p>
        </w:tc>
        <w:tc>
          <w:tcPr>
            <w:tcW w:w="1276" w:type="dxa"/>
            <w:tcBorders>
              <w:top w:val="single" w:sz="4" w:space="0" w:color="auto"/>
              <w:bottom w:val="nil"/>
            </w:tcBorders>
          </w:tcPr>
          <w:p>
            <w:pPr>
              <w:pStyle w:val="nTable"/>
              <w:spacing w:after="40"/>
            </w:pPr>
            <w:r>
              <w:t>30 Apr 2010 p. 1625-9</w:t>
            </w:r>
          </w:p>
        </w:tc>
        <w:tc>
          <w:tcPr>
            <w:tcW w:w="2693" w:type="dxa"/>
            <w:tcBorders>
              <w:top w:val="single" w:sz="4" w:space="0" w:color="auto"/>
              <w:bottom w:val="nil"/>
            </w:tcBorders>
          </w:tcPr>
          <w:p>
            <w:pPr>
              <w:pStyle w:val="nTable"/>
              <w:spacing w:after="40"/>
            </w:pPr>
            <w:r>
              <w:t>r. 1 and 2: 30 Apr 2010 (see r. 2(a));</w:t>
            </w:r>
            <w:r>
              <w:br/>
              <w:t>Regulations other than r. 1 and 2: 1 May 2010 (see r. 2(b))</w:t>
            </w:r>
          </w:p>
        </w:tc>
      </w:tr>
      <w:tr>
        <w:tc>
          <w:tcPr>
            <w:tcW w:w="3118" w:type="dxa"/>
            <w:tcBorders>
              <w:top w:val="nil"/>
              <w:bottom w:val="nil"/>
            </w:tcBorders>
          </w:tcPr>
          <w:p>
            <w:pPr>
              <w:pStyle w:val="nTable"/>
              <w:spacing w:after="40"/>
              <w:rPr>
                <w:i/>
              </w:rPr>
            </w:pPr>
            <w:r>
              <w:rPr>
                <w:i/>
              </w:rPr>
              <w:t>Liquor Control (Yakanarra Restricted Area) Amendment Regulations 2012</w:t>
            </w:r>
          </w:p>
        </w:tc>
        <w:tc>
          <w:tcPr>
            <w:tcW w:w="1276" w:type="dxa"/>
            <w:tcBorders>
              <w:top w:val="nil"/>
              <w:bottom w:val="nil"/>
            </w:tcBorders>
          </w:tcPr>
          <w:p>
            <w:pPr>
              <w:pStyle w:val="nTable"/>
              <w:spacing w:after="40"/>
            </w:pPr>
            <w:r>
              <w:t>27 Apr 2012 p. 1767</w:t>
            </w:r>
            <w:r>
              <w:noBreakHyphen/>
              <w:t>8</w:t>
            </w:r>
          </w:p>
        </w:tc>
        <w:tc>
          <w:tcPr>
            <w:tcW w:w="2693" w:type="dxa"/>
            <w:tcBorders>
              <w:top w:val="nil"/>
              <w:bottom w:val="nil"/>
            </w:tcBorders>
          </w:tcPr>
          <w:p>
            <w:pPr>
              <w:pStyle w:val="nTable"/>
              <w:spacing w:after="40"/>
            </w:pPr>
            <w:r>
              <w:rPr>
                <w:snapToGrid w:val="0"/>
                <w:spacing w:val="-2"/>
                <w:lang w:val="en-US"/>
              </w:rPr>
              <w:t>r. 1 and 2: 27 Apr 2012 (see r. 2(a));</w:t>
            </w:r>
            <w:r>
              <w:rPr>
                <w:snapToGrid w:val="0"/>
                <w:spacing w:val="-2"/>
                <w:lang w:val="en-US"/>
              </w:rPr>
              <w:br/>
              <w:t>Regulations other than r. 1 and 2: 28 Apr 2012 (see r. 2(b))</w:t>
            </w:r>
          </w:p>
        </w:tc>
      </w:tr>
      <w:tr>
        <w:tc>
          <w:tcPr>
            <w:tcW w:w="3118" w:type="dxa"/>
            <w:tcBorders>
              <w:top w:val="nil"/>
              <w:bottom w:val="nil"/>
            </w:tcBorders>
          </w:tcPr>
          <w:p>
            <w:pPr>
              <w:pStyle w:val="nTable"/>
              <w:spacing w:after="40"/>
              <w:rPr>
                <w:i/>
              </w:rPr>
            </w:pPr>
            <w:r>
              <w:rPr>
                <w:i/>
              </w:rPr>
              <w:t>Liquor Control (Yakanarra Restricted Area) Amendment Regulations 2015</w:t>
            </w:r>
          </w:p>
        </w:tc>
        <w:tc>
          <w:tcPr>
            <w:tcW w:w="1276" w:type="dxa"/>
            <w:tcBorders>
              <w:top w:val="nil"/>
              <w:bottom w:val="nil"/>
            </w:tcBorders>
          </w:tcPr>
          <w:p>
            <w:pPr>
              <w:pStyle w:val="nTable"/>
              <w:spacing w:after="40"/>
            </w:pPr>
            <w:r>
              <w:t>24 Mar 2015 p. 1046-7</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24 Mar 2015 (see r. 2(a));</w:t>
            </w:r>
            <w:r>
              <w:rPr>
                <w:snapToGrid w:val="0"/>
                <w:spacing w:val="-2"/>
                <w:lang w:val="en-US"/>
              </w:rPr>
              <w:br/>
              <w:t>Regulations other than r. 1 and 2: 25 Mar 2015 (see r. 2(b))</w:t>
            </w:r>
          </w:p>
        </w:tc>
      </w:tr>
      <w:tr>
        <w:tc>
          <w:tcPr>
            <w:tcW w:w="3118" w:type="dxa"/>
            <w:tcBorders>
              <w:top w:val="nil"/>
              <w:bottom w:val="single" w:sz="4" w:space="0" w:color="auto"/>
            </w:tcBorders>
          </w:tcPr>
          <w:p>
            <w:pPr>
              <w:pStyle w:val="nTable"/>
              <w:spacing w:after="40"/>
              <w:rPr>
                <w:i/>
              </w:rPr>
            </w:pPr>
            <w:r>
              <w:rPr>
                <w:i/>
              </w:rPr>
              <w:t>Liquor Control (Yakanarra Restricted Area) Amendment Regulations 2018</w:t>
            </w:r>
          </w:p>
        </w:tc>
        <w:tc>
          <w:tcPr>
            <w:tcW w:w="1276" w:type="dxa"/>
            <w:tcBorders>
              <w:top w:val="nil"/>
              <w:bottom w:val="single" w:sz="4" w:space="0" w:color="auto"/>
            </w:tcBorders>
          </w:tcPr>
          <w:p>
            <w:pPr>
              <w:pStyle w:val="nTable"/>
              <w:spacing w:after="40"/>
            </w:pPr>
            <w:r>
              <w:t>17 Apr 2018 p. 1305</w:t>
            </w:r>
          </w:p>
        </w:tc>
        <w:tc>
          <w:tcPr>
            <w:tcW w:w="2693" w:type="dxa"/>
            <w:tcBorders>
              <w:top w:val="nil"/>
              <w:bottom w:val="single" w:sz="4" w:space="0" w:color="auto"/>
            </w:tcBorders>
          </w:tcPr>
          <w:p>
            <w:pPr>
              <w:pStyle w:val="nTable"/>
              <w:spacing w:after="40"/>
              <w:rPr>
                <w:snapToGrid w:val="0"/>
                <w:spacing w:val="-2"/>
                <w:lang w:val="en-US"/>
              </w:rPr>
            </w:pPr>
            <w:r>
              <w:rPr>
                <w:snapToGrid w:val="0"/>
                <w:spacing w:val="-2"/>
                <w:lang w:val="en-US"/>
              </w:rPr>
              <w:t>r. 1 and 2: 17 Apr 2018 (see r. 2(a));</w:t>
            </w:r>
            <w:r>
              <w:rPr>
                <w:snapToGrid w:val="0"/>
                <w:spacing w:val="-2"/>
                <w:lang w:val="en-US"/>
              </w:rPr>
              <w:br/>
              <w:t>Regulations other than r. 1 and 2: 18 Apr 2018 (see r. 2(b))</w:t>
            </w:r>
          </w:p>
        </w:tc>
      </w:tr>
    </w:tbl>
    <w:p>
      <w:pPr>
        <w:pStyle w:val="nSubsection"/>
      </w:pPr>
      <w:r>
        <w:rPr>
          <w:vertAlign w:val="superscript"/>
        </w:rPr>
        <w:t>2</w:t>
      </w:r>
      <w:r>
        <w:tab/>
        <w:t>These regulations expire at the close of 30 Apr 2021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2" w:name="_Toc414891225"/>
      <w:bookmarkStart w:id="33" w:name="_Toc511719947"/>
      <w:r>
        <w:rPr>
          <w:sz w:val="28"/>
        </w:rPr>
        <w:t>Defined terms</w:t>
      </w:r>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Yakanarra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942"/>
    <w:docVar w:name="WAFER_20150323155022" w:val="ResetPageSize,UpdateArrangement,UpdateNTable"/>
    <w:docVar w:name="WAFER_20150323155022_GUID" w:val="0a1b4180-e09f-498a-b1ab-6c36bb890c86"/>
    <w:docVar w:name="WAFER_20151126102930" w:val="UpdateStyles"/>
    <w:docVar w:name="WAFER_20151126102930_GUID" w:val="35fa455c-5ffe-4a6d-8e65-b1ebc69ef577"/>
    <w:docVar w:name="WAFER_20151126103942" w:val="UsedStyles"/>
    <w:docVar w:name="WAFER_20151126103942_GUID" w:val="7290687e-22e5-4026-a815-4c211340c8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910</Words>
  <Characters>4483</Characters>
  <Application>Microsoft Office Word</Application>
  <DocSecurity>0</DocSecurity>
  <Lines>166</Lines>
  <Paragraphs>112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(Yakanarra Restricted Area) Regulations 2010 - 00-d0-03</dc:title>
  <dc:subject/>
  <dc:creator/>
  <cp:keywords/>
  <dc:description/>
  <cp:lastModifiedBy>svcMRProcess</cp:lastModifiedBy>
  <cp:revision>4</cp:revision>
  <cp:lastPrinted>2010-02-22T02:01:00Z</cp:lastPrinted>
  <dcterms:created xsi:type="dcterms:W3CDTF">2019-01-17T08:27:00Z</dcterms:created>
  <dcterms:modified xsi:type="dcterms:W3CDTF">2019-01-17T08:27:00Z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Apr 2010 p 1625-9</vt:lpwstr>
  </property>
  <property fmtid="{D5CDD505-2E9C-101B-9397-08002B2CF9AE}" pid="3" name="OWLSUId">
    <vt:i4>461</vt:i4>
  </property>
  <property fmtid="{D5CDD505-2E9C-101B-9397-08002B2CF9AE}" pid="4" name="DocumentType">
    <vt:lpwstr>Reg</vt:lpwstr>
  </property>
  <property fmtid="{D5CDD505-2E9C-101B-9397-08002B2CF9AE}" pid="5" name="CommencementDate">
    <vt:lpwstr>20180418</vt:lpwstr>
  </property>
  <property fmtid="{D5CDD505-2E9C-101B-9397-08002B2CF9AE}" pid="6" name="AsAtDate">
    <vt:lpwstr>18 Apr 2018</vt:lpwstr>
  </property>
  <property fmtid="{D5CDD505-2E9C-101B-9397-08002B2CF9AE}" pid="7" name="Suffix">
    <vt:lpwstr>00-d0-03</vt:lpwstr>
  </property>
</Properties>
</file>