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Health (Miscellaneous Provisions) Act 1911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Health (Miscellaneous Provisions) Act 1911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_Toc512323612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_Toc512323613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Savings</w:t>
      </w:r>
      <w:r>
        <w:tab/>
      </w:r>
      <w:r>
        <w:fldChar w:fldCharType="begin"/>
      </w:r>
      <w:r>
        <w:instrText xml:space="preserve"> PAGEREF _Toc512323614 \h </w:instrText>
      </w:r>
      <w:r>
        <w:fldChar w:fldCharType="separate"/>
      </w:r>
      <w:r>
        <w:t>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Power to suspend operation of Act</w:t>
      </w:r>
      <w:r>
        <w:tab/>
      </w:r>
      <w:r>
        <w:fldChar w:fldCharType="begin"/>
      </w:r>
      <w:r>
        <w:instrText xml:space="preserve"> PAGEREF _Toc512323615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Minister, CEO and Chief Health Officer</w:t>
      </w:r>
    </w:p>
    <w:p>
      <w:pPr>
        <w:pStyle w:val="TOC8"/>
        <w:rPr>
          <w:rFonts w:asciiTheme="minorHAnsi" w:eastAsiaTheme="minorEastAsia" w:hAnsiTheme="minorHAnsi" w:cstheme="minorBidi"/>
          <w:szCs w:val="22"/>
        </w:rPr>
      </w:pPr>
      <w:r>
        <w:t>7</w:t>
      </w:r>
      <w:r>
        <w:rPr>
          <w:snapToGrid w:val="0"/>
        </w:rPr>
        <w:t>.</w:t>
      </w:r>
      <w:r>
        <w:rPr>
          <w:snapToGrid w:val="0"/>
        </w:rPr>
        <w:tab/>
        <w:t>Minister</w:t>
      </w:r>
      <w:r>
        <w:tab/>
      </w:r>
      <w:r>
        <w:fldChar w:fldCharType="begin"/>
      </w:r>
      <w:r>
        <w:instrText xml:space="preserve"> PAGEREF _Toc512323618 \h </w:instrText>
      </w:r>
      <w:r>
        <w:fldChar w:fldCharType="separate"/>
      </w:r>
      <w:r>
        <w:t>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Minister to be body corporate</w:t>
      </w:r>
      <w:r>
        <w:tab/>
      </w:r>
      <w:r>
        <w:fldChar w:fldCharType="begin"/>
      </w:r>
      <w:r>
        <w:instrText xml:space="preserve"> PAGEREF _Toc512323619 \h </w:instrText>
      </w:r>
      <w:r>
        <w:fldChar w:fldCharType="separate"/>
      </w:r>
      <w:r>
        <w:t>12</w:t>
      </w:r>
      <w:r>
        <w:fldChar w:fldCharType="end"/>
      </w:r>
    </w:p>
    <w:p>
      <w:pPr>
        <w:pStyle w:val="TOC8"/>
        <w:rPr>
          <w:rFonts w:asciiTheme="minorHAnsi" w:eastAsiaTheme="minorEastAsia" w:hAnsiTheme="minorHAnsi" w:cstheme="minorBidi"/>
          <w:szCs w:val="22"/>
        </w:rPr>
      </w:pPr>
      <w:r>
        <w:t>12.</w:t>
      </w:r>
      <w:r>
        <w:tab/>
        <w:t>Powers of Chief Health Officer and authorised officers</w:t>
      </w:r>
      <w:r>
        <w:tab/>
      </w:r>
      <w:r>
        <w:fldChar w:fldCharType="begin"/>
      </w:r>
      <w:r>
        <w:instrText xml:space="preserve"> PAGEREF _Toc512323620 \h </w:instrText>
      </w:r>
      <w:r>
        <w:fldChar w:fldCharType="separate"/>
      </w:r>
      <w:r>
        <w:t>13</w:t>
      </w:r>
      <w:r>
        <w:fldChar w:fldCharType="end"/>
      </w:r>
    </w:p>
    <w:p>
      <w:pPr>
        <w:pStyle w:val="TOC8"/>
        <w:rPr>
          <w:rFonts w:asciiTheme="minorHAnsi" w:eastAsiaTheme="minorEastAsia" w:hAnsiTheme="minorHAnsi" w:cstheme="minorBidi"/>
          <w:szCs w:val="22"/>
        </w:rPr>
      </w:pPr>
      <w:r>
        <w:t>13A.</w:t>
      </w:r>
      <w:r>
        <w:tab/>
        <w:t>CEO and Chief Health Officer may delegate</w:t>
      </w:r>
      <w:r>
        <w:tab/>
      </w:r>
      <w:r>
        <w:fldChar w:fldCharType="begin"/>
      </w:r>
      <w:r>
        <w:instrText xml:space="preserve"> PAGEREF _Toc512323621 \h </w:instrText>
      </w:r>
      <w:r>
        <w:fldChar w:fldCharType="separate"/>
      </w:r>
      <w:r>
        <w:t>13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Chief Health Officer may act where no local government</w:t>
      </w:r>
      <w:r>
        <w:tab/>
      </w:r>
      <w:r>
        <w:fldChar w:fldCharType="begin"/>
      </w:r>
      <w:r>
        <w:instrText xml:space="preserve"> PAGEREF _Toc512323622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Expenditure to be paid out of appropriated moneys</w:t>
      </w:r>
      <w:r>
        <w:tab/>
      </w:r>
      <w:r>
        <w:fldChar w:fldCharType="begin"/>
      </w:r>
      <w:r>
        <w:instrText xml:space="preserve"> PAGEREF _Toc512323623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Local governments</w:t>
      </w:r>
    </w:p>
    <w:p>
      <w:pPr>
        <w:pStyle w:val="TOC8"/>
        <w:rPr>
          <w:rFonts w:asciiTheme="minorHAnsi" w:eastAsiaTheme="minorEastAsia" w:hAnsiTheme="minorHAnsi" w:cstheme="minorBidi"/>
          <w:szCs w:val="22"/>
        </w:rPr>
      </w:pPr>
      <w:r>
        <w:t>22</w:t>
      </w:r>
      <w:r>
        <w:rPr>
          <w:snapToGrid w:val="0"/>
        </w:rPr>
        <w:t>.</w:t>
      </w:r>
      <w:r>
        <w:rPr>
          <w:snapToGrid w:val="0"/>
        </w:rPr>
        <w:tab/>
        <w:t>Annexation</w:t>
      </w:r>
      <w:r>
        <w:tab/>
      </w:r>
      <w:r>
        <w:fldChar w:fldCharType="begin"/>
      </w:r>
      <w:r>
        <w:instrText xml:space="preserve"> PAGEREF _Toc512323625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District may include water</w:t>
      </w:r>
      <w:r>
        <w:tab/>
      </w:r>
      <w:r>
        <w:fldChar w:fldCharType="begin"/>
      </w:r>
      <w:r>
        <w:instrText xml:space="preserve"> PAGEREF _Toc512323626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Powers of local government</w:t>
      </w:r>
      <w:r>
        <w:tab/>
      </w:r>
      <w:r>
        <w:fldChar w:fldCharType="begin"/>
      </w:r>
      <w:r>
        <w:instrText xml:space="preserve"> PAGEREF _Toc512323627 \h </w:instrText>
      </w:r>
      <w:r>
        <w:fldChar w:fldCharType="separate"/>
      </w:r>
      <w:r>
        <w:t>16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Proceedings on default of local government</w:t>
      </w:r>
      <w:r>
        <w:tab/>
      </w:r>
      <w:r>
        <w:fldChar w:fldCharType="begin"/>
      </w:r>
      <w:r>
        <w:instrText xml:space="preserve"> PAGEREF _Toc512323628 \h </w:instrText>
      </w:r>
      <w:r>
        <w:fldChar w:fldCharType="separate"/>
      </w:r>
      <w:r>
        <w:t>17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Review of orders and decisions of local governments by SAT</w:t>
      </w:r>
      <w:r>
        <w:tab/>
      </w:r>
      <w:r>
        <w:fldChar w:fldCharType="begin"/>
      </w:r>
      <w:r>
        <w:instrText xml:space="preserve"> PAGEREF _Toc512323629 \h </w:instrText>
      </w:r>
      <w:r>
        <w:fldChar w:fldCharType="separate"/>
      </w:r>
      <w:r>
        <w:t>18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Local governments to report annually</w:t>
      </w:r>
      <w:r>
        <w:tab/>
      </w:r>
      <w:r>
        <w:fldChar w:fldCharType="begin"/>
      </w:r>
      <w:r>
        <w:instrText xml:space="preserve"> PAGEREF _Toc512323630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The exercise of ministerial control</w:t>
      </w:r>
    </w:p>
    <w:p>
      <w:pPr>
        <w:pStyle w:val="TOC8"/>
        <w:rPr>
          <w:rFonts w:asciiTheme="minorHAnsi" w:eastAsiaTheme="minorEastAsia" w:hAnsiTheme="minorHAnsi" w:cstheme="minorBidi"/>
          <w:szCs w:val="22"/>
        </w:rPr>
      </w:pPr>
      <w:r>
        <w:t>39</w:t>
      </w:r>
      <w:r>
        <w:rPr>
          <w:snapToGrid w:val="0"/>
        </w:rPr>
        <w:t>.</w:t>
      </w:r>
      <w:r>
        <w:rPr>
          <w:snapToGrid w:val="0"/>
        </w:rPr>
        <w:tab/>
        <w:t>Powers of Minister</w:t>
      </w:r>
      <w:r>
        <w:tab/>
      </w:r>
      <w:r>
        <w:fldChar w:fldCharType="begin"/>
      </w:r>
      <w:r>
        <w:instrText xml:space="preserve"> PAGEREF _Toc512323632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III — Financial</w:t>
      </w:r>
    </w:p>
    <w:p>
      <w:pPr>
        <w:pStyle w:val="TOC8"/>
        <w:rPr>
          <w:rFonts w:asciiTheme="minorHAnsi" w:eastAsiaTheme="minorEastAsia" w:hAnsiTheme="minorHAnsi" w:cstheme="minorBidi"/>
          <w:szCs w:val="22"/>
        </w:rPr>
      </w:pPr>
      <w:r>
        <w:t>40</w:t>
      </w:r>
      <w:r>
        <w:rPr>
          <w:snapToGrid w:val="0"/>
        </w:rPr>
        <w:t>.</w:t>
      </w:r>
      <w:r>
        <w:rPr>
          <w:snapToGrid w:val="0"/>
        </w:rPr>
        <w:tab/>
        <w:t>Power to levy general health rate</w:t>
      </w:r>
      <w:r>
        <w:tab/>
      </w:r>
      <w:r>
        <w:fldChar w:fldCharType="begin"/>
      </w:r>
      <w:r>
        <w:instrText xml:space="preserve"> PAGEREF _Toc512323634 \h </w:instrText>
      </w:r>
      <w:r>
        <w:fldChar w:fldCharType="separate"/>
      </w:r>
      <w:r>
        <w:t>21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Sanitary rate</w:t>
      </w:r>
      <w:r>
        <w:tab/>
      </w:r>
      <w:r>
        <w:fldChar w:fldCharType="begin"/>
      </w:r>
      <w:r>
        <w:instrText xml:space="preserve"> PAGEREF _Toc512323635 \h </w:instrText>
      </w:r>
      <w:r>
        <w:fldChar w:fldCharType="separate"/>
      </w:r>
      <w:r>
        <w:t>22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Supplementary rates</w:t>
      </w:r>
      <w:r>
        <w:tab/>
      </w:r>
      <w:r>
        <w:fldChar w:fldCharType="begin"/>
      </w:r>
      <w:r>
        <w:instrText xml:space="preserve"> PAGEREF _Toc512323636 \h </w:instrText>
      </w:r>
      <w:r>
        <w:fldChar w:fldCharType="separate"/>
      </w:r>
      <w:r>
        <w:t>23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Borrowing powers</w:t>
      </w:r>
      <w:r>
        <w:tab/>
      </w:r>
      <w:r>
        <w:fldChar w:fldCharType="begin"/>
      </w:r>
      <w:r>
        <w:instrText xml:space="preserve"> PAGEREF _Toc512323637 \h </w:instrText>
      </w:r>
      <w:r>
        <w:fldChar w:fldCharType="separate"/>
      </w:r>
      <w:r>
        <w:t>23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Special loan rate</w:t>
      </w:r>
      <w:r>
        <w:tab/>
      </w:r>
      <w:r>
        <w:fldChar w:fldCharType="begin"/>
      </w:r>
      <w:r>
        <w:instrText xml:space="preserve"> PAGEREF _Toc512323638 \h </w:instrText>
      </w:r>
      <w:r>
        <w:fldChar w:fldCharType="separate"/>
      </w:r>
      <w:r>
        <w:t>24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 xml:space="preserve">Application of rating provisions of </w:t>
      </w:r>
      <w:r>
        <w:rPr>
          <w:i/>
          <w:iCs/>
          <w:snapToGrid w:val="0"/>
        </w:rPr>
        <w:t>Local Government Act 1995</w:t>
      </w:r>
      <w:r>
        <w:tab/>
      </w:r>
      <w:r>
        <w:fldChar w:fldCharType="begin"/>
      </w:r>
      <w:r>
        <w:instrText xml:space="preserve"> PAGEREF _Toc512323639 \h </w:instrText>
      </w:r>
      <w:r>
        <w:fldChar w:fldCharType="separate"/>
      </w:r>
      <w:r>
        <w:t>25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Health rate to be regarded in determining borrowing powers</w:t>
      </w:r>
      <w:r>
        <w:tab/>
      </w:r>
      <w:r>
        <w:fldChar w:fldCharType="begin"/>
      </w:r>
      <w:r>
        <w:instrText xml:space="preserve"> PAGEREF _Toc512323640 \h </w:instrText>
      </w:r>
      <w:r>
        <w:fldChar w:fldCharType="separate"/>
      </w:r>
      <w:r>
        <w:t>26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Time for giving notice of rate may be extended</w:t>
      </w:r>
      <w:r>
        <w:tab/>
      </w:r>
      <w:r>
        <w:fldChar w:fldCharType="begin"/>
      </w:r>
      <w:r>
        <w:instrText xml:space="preserve"> PAGEREF _Toc512323641 \h </w:instrText>
      </w:r>
      <w:r>
        <w:fldChar w:fldCharType="separate"/>
      </w:r>
      <w:r>
        <w:t>26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Accounts and audit</w:t>
      </w:r>
      <w:r>
        <w:tab/>
      </w:r>
      <w:r>
        <w:fldChar w:fldCharType="begin"/>
      </w:r>
      <w:r>
        <w:instrText xml:space="preserve"> PAGEREF _Toc512323642 \h </w:instrText>
      </w:r>
      <w:r>
        <w:fldChar w:fldCharType="separate"/>
      </w:r>
      <w:r>
        <w:t>27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Financial adjustment</w:t>
      </w:r>
      <w:r>
        <w:tab/>
      </w:r>
      <w:r>
        <w:fldChar w:fldCharType="begin"/>
      </w:r>
      <w:r>
        <w:instrText xml:space="preserve"> PAGEREF _Toc512323643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IV — Sanitary provisions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Sewerage and drainage schemes</w:t>
      </w:r>
    </w:p>
    <w:p>
      <w:pPr>
        <w:pStyle w:val="TOC8"/>
        <w:rPr>
          <w:rFonts w:asciiTheme="minorHAnsi" w:eastAsiaTheme="minorEastAsia" w:hAnsiTheme="minorHAnsi" w:cstheme="minorBidi"/>
          <w:szCs w:val="22"/>
        </w:rPr>
      </w:pPr>
      <w:r>
        <w:t>53</w:t>
      </w:r>
      <w:r>
        <w:rPr>
          <w:snapToGrid w:val="0"/>
        </w:rPr>
        <w:t>.</w:t>
      </w:r>
      <w:r>
        <w:rPr>
          <w:snapToGrid w:val="0"/>
        </w:rPr>
        <w:tab/>
        <w:t>Sewers vested in local government</w:t>
      </w:r>
      <w:r>
        <w:tab/>
      </w:r>
      <w:r>
        <w:fldChar w:fldCharType="begin"/>
      </w:r>
      <w:r>
        <w:instrText xml:space="preserve"> PAGEREF _Toc512323646 \h </w:instrText>
      </w:r>
      <w:r>
        <w:fldChar w:fldCharType="separate"/>
      </w:r>
      <w:r>
        <w:t>29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Power of local government to construct and maintain sewers</w:t>
      </w:r>
      <w:r>
        <w:tab/>
      </w:r>
      <w:r>
        <w:fldChar w:fldCharType="begin"/>
      </w:r>
      <w:r>
        <w:instrText xml:space="preserve"> PAGEREF _Toc512323647 \h </w:instrText>
      </w:r>
      <w:r>
        <w:fldChar w:fldCharType="separate"/>
      </w:r>
      <w:r>
        <w:t>29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Governor’s approval necessary to all schemes</w:t>
      </w:r>
      <w:r>
        <w:tab/>
      </w:r>
      <w:r>
        <w:fldChar w:fldCharType="begin"/>
      </w:r>
      <w:r>
        <w:instrText xml:space="preserve"> PAGEREF _Toc512323648 \h </w:instrText>
      </w:r>
      <w:r>
        <w:fldChar w:fldCharType="separate"/>
      </w:r>
      <w:r>
        <w:t>30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Power to do acts preliminary to formulating scheme</w:t>
      </w:r>
      <w:r>
        <w:tab/>
      </w:r>
      <w:r>
        <w:fldChar w:fldCharType="begin"/>
      </w:r>
      <w:r>
        <w:instrText xml:space="preserve"> PAGEREF _Toc512323649 \h </w:instrText>
      </w:r>
      <w:r>
        <w:fldChar w:fldCharType="separate"/>
      </w:r>
      <w:r>
        <w:t>31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Notice of plans and specifications</w:t>
      </w:r>
      <w:r>
        <w:tab/>
      </w:r>
      <w:r>
        <w:fldChar w:fldCharType="begin"/>
      </w:r>
      <w:r>
        <w:instrText xml:space="preserve"> PAGEREF _Toc512323650 \h </w:instrText>
      </w:r>
      <w:r>
        <w:fldChar w:fldCharType="separate"/>
      </w:r>
      <w:r>
        <w:t>31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Objections</w:t>
      </w:r>
      <w:r>
        <w:tab/>
      </w:r>
      <w:r>
        <w:fldChar w:fldCharType="begin"/>
      </w:r>
      <w:r>
        <w:instrText xml:space="preserve"> PAGEREF _Toc512323651 \h </w:instrText>
      </w:r>
      <w:r>
        <w:fldChar w:fldCharType="separate"/>
      </w:r>
      <w:r>
        <w:t>32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r>
      <w:r>
        <w:rPr>
          <w:snapToGrid w:val="0"/>
          <w:spacing w:val="-4"/>
        </w:rPr>
        <w:t>Copies of plans and specifications to be available for inspection</w:t>
      </w:r>
      <w:r>
        <w:tab/>
      </w:r>
      <w:r>
        <w:fldChar w:fldCharType="begin"/>
      </w:r>
      <w:r>
        <w:instrText xml:space="preserve"> PAGEREF _Toc512323652 \h </w:instrText>
      </w:r>
      <w:r>
        <w:fldChar w:fldCharType="separate"/>
      </w:r>
      <w:r>
        <w:t>33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Conditions on which Minister may recommend scheme to Governor</w:t>
      </w:r>
      <w:r>
        <w:tab/>
      </w:r>
      <w:r>
        <w:fldChar w:fldCharType="begin"/>
      </w:r>
      <w:r>
        <w:instrText xml:space="preserve"> PAGEREF _Toc512323653 \h </w:instrText>
      </w:r>
      <w:r>
        <w:fldChar w:fldCharType="separate"/>
      </w:r>
      <w:r>
        <w:t>33</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Apportionment of costs and maintenance of joint schemes</w:t>
      </w:r>
      <w:r>
        <w:tab/>
      </w:r>
      <w:r>
        <w:fldChar w:fldCharType="begin"/>
      </w:r>
      <w:r>
        <w:instrText xml:space="preserve"> PAGEREF _Toc512323654 \h </w:instrText>
      </w:r>
      <w:r>
        <w:fldChar w:fldCharType="separate"/>
      </w:r>
      <w:r>
        <w:t>34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Powers of local government in carrying out works</w:t>
      </w:r>
      <w:r>
        <w:tab/>
      </w:r>
      <w:r>
        <w:fldChar w:fldCharType="begin"/>
      </w:r>
      <w:r>
        <w:instrText xml:space="preserve"> PAGEREF _Toc512323655 \h </w:instrText>
      </w:r>
      <w:r>
        <w:fldChar w:fldCharType="separate"/>
      </w:r>
      <w:r>
        <w:t>34</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Recovery of cost of limited schemes from owners of premises served</w:t>
      </w:r>
      <w:r>
        <w:tab/>
      </w:r>
      <w:r>
        <w:fldChar w:fldCharType="begin"/>
      </w:r>
      <w:r>
        <w:instrText xml:space="preserve"> PAGEREF _Toc512323656 \h </w:instrText>
      </w:r>
      <w:r>
        <w:fldChar w:fldCharType="separate"/>
      </w:r>
      <w:r>
        <w:t>36</w:t>
      </w:r>
      <w:r>
        <w:fldChar w:fldCharType="end"/>
      </w:r>
    </w:p>
    <w:p>
      <w:pPr>
        <w:pStyle w:val="TOC8"/>
        <w:rPr>
          <w:rFonts w:asciiTheme="minorHAnsi" w:eastAsiaTheme="minorEastAsia" w:hAnsiTheme="minorHAnsi" w:cstheme="minorBidi"/>
          <w:szCs w:val="22"/>
        </w:rPr>
      </w:pPr>
      <w:r>
        <w:t>63A</w:t>
      </w:r>
      <w:r>
        <w:rPr>
          <w:snapToGrid w:val="0"/>
        </w:rPr>
        <w:t xml:space="preserve">. </w:t>
      </w:r>
      <w:r>
        <w:rPr>
          <w:snapToGrid w:val="0"/>
        </w:rPr>
        <w:tab/>
        <w:t>Interpretation</w:t>
      </w:r>
      <w:r>
        <w:tab/>
      </w:r>
      <w:r>
        <w:fldChar w:fldCharType="begin"/>
      </w:r>
      <w:r>
        <w:instrText xml:space="preserve"> PAGEREF _Toc512323657 \h </w:instrText>
      </w:r>
      <w:r>
        <w:fldChar w:fldCharType="separate"/>
      </w:r>
      <w:r>
        <w:t>37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Agreements for recouping costs and paying maintenance in case of limited schemes</w:t>
      </w:r>
      <w:r>
        <w:tab/>
      </w:r>
      <w:r>
        <w:fldChar w:fldCharType="begin"/>
      </w:r>
      <w:r>
        <w:instrText xml:space="preserve"> PAGEREF _Toc512323658 \h </w:instrText>
      </w:r>
      <w:r>
        <w:fldChar w:fldCharType="separate"/>
      </w:r>
      <w:r>
        <w:t>37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Power to acquire land</w:t>
      </w:r>
      <w:r>
        <w:tab/>
      </w:r>
      <w:r>
        <w:fldChar w:fldCharType="begin"/>
      </w:r>
      <w:r>
        <w:instrText xml:space="preserve"> PAGEREF _Toc512323659 \h </w:instrText>
      </w:r>
      <w:r>
        <w:fldChar w:fldCharType="separate"/>
      </w:r>
      <w:r>
        <w:t>40</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Duty of local government where street broken up</w:t>
      </w:r>
      <w:r>
        <w:tab/>
      </w:r>
      <w:r>
        <w:fldChar w:fldCharType="begin"/>
      </w:r>
      <w:r>
        <w:instrText xml:space="preserve"> PAGEREF _Toc512323660 \h </w:instrText>
      </w:r>
      <w:r>
        <w:fldChar w:fldCharType="separate"/>
      </w:r>
      <w:r>
        <w:t>40</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Interfering with works of other authorities</w:t>
      </w:r>
      <w:r>
        <w:tab/>
      </w:r>
      <w:r>
        <w:fldChar w:fldCharType="begin"/>
      </w:r>
      <w:r>
        <w:instrText xml:space="preserve"> PAGEREF _Toc512323661 \h </w:instrText>
      </w:r>
      <w:r>
        <w:fldChar w:fldCharType="separate"/>
      </w:r>
      <w:r>
        <w:t>40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Alteration of sewerage works</w:t>
      </w:r>
      <w:r>
        <w:tab/>
      </w:r>
      <w:r>
        <w:fldChar w:fldCharType="begin"/>
      </w:r>
      <w:r>
        <w:instrText xml:space="preserve"> PAGEREF _Toc512323662 \h </w:instrText>
      </w:r>
      <w:r>
        <w:fldChar w:fldCharType="separate"/>
      </w:r>
      <w:r>
        <w:t>41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Ventilating shafts etc. may be attached to walls and buildings</w:t>
      </w:r>
      <w:r>
        <w:tab/>
      </w:r>
      <w:r>
        <w:fldChar w:fldCharType="begin"/>
      </w:r>
      <w:r>
        <w:instrText xml:space="preserve"> PAGEREF _Toc512323663 \h </w:instrText>
      </w:r>
      <w:r>
        <w:fldChar w:fldCharType="separate"/>
      </w:r>
      <w:r>
        <w:t>41</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Maps of systems to be kept</w:t>
      </w:r>
      <w:r>
        <w:tab/>
      </w:r>
      <w:r>
        <w:fldChar w:fldCharType="begin"/>
      </w:r>
      <w:r>
        <w:instrText xml:space="preserve"> PAGEREF _Toc512323664 \h </w:instrText>
      </w:r>
      <w:r>
        <w:fldChar w:fldCharType="separate"/>
      </w:r>
      <w:r>
        <w:t>42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Sewers to be kept cleansed</w:t>
      </w:r>
      <w:r>
        <w:tab/>
      </w:r>
      <w:r>
        <w:fldChar w:fldCharType="begin"/>
      </w:r>
      <w:r>
        <w:instrText xml:space="preserve"> PAGEREF _Toc512323665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Connection of premises to drains and sewers of local government</w:t>
      </w:r>
    </w:p>
    <w:p>
      <w:pPr>
        <w:pStyle w:val="TOC8"/>
        <w:rPr>
          <w:rFonts w:asciiTheme="minorHAnsi" w:eastAsiaTheme="minorEastAsia" w:hAnsiTheme="minorHAnsi" w:cstheme="minorBidi"/>
          <w:szCs w:val="22"/>
        </w:rPr>
      </w:pPr>
      <w:r>
        <w:t>72</w:t>
      </w:r>
      <w:r>
        <w:rPr>
          <w:snapToGrid w:val="0"/>
        </w:rPr>
        <w:t>.</w:t>
      </w:r>
      <w:r>
        <w:rPr>
          <w:snapToGrid w:val="0"/>
        </w:rPr>
        <w:tab/>
        <w:t>Owners or occupiers may be compelled to connect premises when works complete</w:t>
      </w:r>
      <w:r>
        <w:tab/>
      </w:r>
      <w:r>
        <w:fldChar w:fldCharType="begin"/>
      </w:r>
      <w:r>
        <w:instrText xml:space="preserve"> PAGEREF _Toc512323667 \h </w:instrText>
      </w:r>
      <w:r>
        <w:fldChar w:fldCharType="separate"/>
      </w:r>
      <w:r>
        <w:t>43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Notice to owner or occupier to carry out installation of fittings</w:t>
      </w:r>
      <w:r>
        <w:tab/>
      </w:r>
      <w:r>
        <w:fldChar w:fldCharType="begin"/>
      </w:r>
      <w:r>
        <w:instrText xml:space="preserve"> PAGEREF _Toc512323668 \h </w:instrText>
      </w:r>
      <w:r>
        <w:fldChar w:fldCharType="separate"/>
      </w:r>
      <w:r>
        <w:t>43</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Where local government makes installations it may enter into agreements with persons responsible for payment of cost</w:t>
      </w:r>
      <w:r>
        <w:tab/>
      </w:r>
      <w:r>
        <w:fldChar w:fldCharType="begin"/>
      </w:r>
      <w:r>
        <w:instrText xml:space="preserve"> PAGEREF _Toc512323669 \h </w:instrText>
      </w:r>
      <w:r>
        <w:fldChar w:fldCharType="separate"/>
      </w:r>
      <w:r>
        <w:t>44</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Right of owner or occupier to connect drains with sewer</w:t>
      </w:r>
      <w:r>
        <w:tab/>
      </w:r>
      <w:r>
        <w:fldChar w:fldCharType="begin"/>
      </w:r>
      <w:r>
        <w:instrText xml:space="preserve"> PAGEREF _Toc512323670 \h </w:instrText>
      </w:r>
      <w:r>
        <w:fldChar w:fldCharType="separate"/>
      </w:r>
      <w:r>
        <w:t>45</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Owner or occupier of land outside district may connect sewer on conditions imposed by local government</w:t>
      </w:r>
      <w:r>
        <w:tab/>
      </w:r>
      <w:r>
        <w:fldChar w:fldCharType="begin"/>
      </w:r>
      <w:r>
        <w:instrText xml:space="preserve"> PAGEREF _Toc512323671 \h </w:instrText>
      </w:r>
      <w:r>
        <w:fldChar w:fldCharType="separate"/>
      </w:r>
      <w:r>
        <w:t>45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Restrictions on construction or alteration of certain drains and fittings</w:t>
      </w:r>
      <w:r>
        <w:tab/>
      </w:r>
      <w:r>
        <w:fldChar w:fldCharType="begin"/>
      </w:r>
      <w:r>
        <w:instrText xml:space="preserve"> PAGEREF _Toc512323672 \h </w:instrText>
      </w:r>
      <w:r>
        <w:fldChar w:fldCharType="separate"/>
      </w:r>
      <w:r>
        <w:t>46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Owner or occupier responsible for cleaning private drains</w:t>
      </w:r>
      <w:r>
        <w:tab/>
      </w:r>
      <w:r>
        <w:fldChar w:fldCharType="begin"/>
      </w:r>
      <w:r>
        <w:instrText xml:space="preserve"> PAGEREF _Toc512323673 \h </w:instrText>
      </w:r>
      <w:r>
        <w:fldChar w:fldCharType="separate"/>
      </w:r>
      <w:r>
        <w:t>46</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Obstructing or encroaching on sewers</w:t>
      </w:r>
      <w:r>
        <w:tab/>
      </w:r>
      <w:r>
        <w:fldChar w:fldCharType="begin"/>
      </w:r>
      <w:r>
        <w:instrText xml:space="preserve"> PAGEREF _Toc512323674 \h </w:instrText>
      </w:r>
      <w:r>
        <w:fldChar w:fldCharType="separate"/>
      </w:r>
      <w:r>
        <w:t>47</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Local government may enforce drainage of undrained houses</w:t>
      </w:r>
      <w:r>
        <w:tab/>
      </w:r>
      <w:r>
        <w:fldChar w:fldCharType="begin"/>
      </w:r>
      <w:r>
        <w:instrText xml:space="preserve"> PAGEREF _Toc512323675 \h </w:instrText>
      </w:r>
      <w:r>
        <w:fldChar w:fldCharType="separate"/>
      </w:r>
      <w:r>
        <w:t>48</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Owner may be required to connect premises with public sewer</w:t>
      </w:r>
      <w:r>
        <w:tab/>
      </w:r>
      <w:r>
        <w:fldChar w:fldCharType="begin"/>
      </w:r>
      <w:r>
        <w:instrText xml:space="preserve"> PAGEREF _Toc512323676 \h </w:instrText>
      </w:r>
      <w:r>
        <w:fldChar w:fldCharType="separate"/>
      </w:r>
      <w:r>
        <w:t>48</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Buildings without drains</w:t>
      </w:r>
      <w:r>
        <w:tab/>
      </w:r>
      <w:r>
        <w:fldChar w:fldCharType="begin"/>
      </w:r>
      <w:r>
        <w:instrText xml:space="preserve"> PAGEREF _Toc512323677 \h </w:instrText>
      </w:r>
      <w:r>
        <w:fldChar w:fldCharType="separate"/>
      </w:r>
      <w:r>
        <w:t>50</w:t>
      </w:r>
      <w:r>
        <w:fldChar w:fldCharType="end"/>
      </w:r>
    </w:p>
    <w:p>
      <w:pPr>
        <w:pStyle w:val="TOC8"/>
        <w:rPr>
          <w:rFonts w:asciiTheme="minorHAnsi" w:eastAsiaTheme="minorEastAsia" w:hAnsiTheme="minorHAnsi" w:cstheme="minorBidi"/>
          <w:szCs w:val="22"/>
        </w:rPr>
      </w:pPr>
      <w:r>
        <w:t>82A</w:t>
      </w:r>
      <w:r>
        <w:rPr>
          <w:snapToGrid w:val="0"/>
        </w:rPr>
        <w:t>.</w:t>
      </w:r>
      <w:r>
        <w:rPr>
          <w:snapToGrid w:val="0"/>
        </w:rPr>
        <w:tab/>
        <w:t>Where local government makes connections with sewers it may enter into agreement with person responsible for payment of cost</w:t>
      </w:r>
      <w:r>
        <w:tab/>
      </w:r>
      <w:r>
        <w:fldChar w:fldCharType="begin"/>
      </w:r>
      <w:r>
        <w:instrText xml:space="preserve"> PAGEREF _Toc512323678 \h </w:instrText>
      </w:r>
      <w:r>
        <w:fldChar w:fldCharType="separate"/>
      </w:r>
      <w:r>
        <w:t>50</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Making sewers and drains under private land</w:t>
      </w:r>
      <w:r>
        <w:tab/>
      </w:r>
      <w:r>
        <w:fldChar w:fldCharType="begin"/>
      </w:r>
      <w:r>
        <w:instrText xml:space="preserve"> PAGEREF _Toc512323679 \h </w:instrText>
      </w:r>
      <w:r>
        <w:fldChar w:fldCharType="separate"/>
      </w:r>
      <w:r>
        <w:t>51</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Recovery of expenses incurred by local government</w:t>
      </w:r>
      <w:r>
        <w:tab/>
      </w:r>
      <w:r>
        <w:fldChar w:fldCharType="begin"/>
      </w:r>
      <w:r>
        <w:instrText xml:space="preserve"> PAGEREF _Toc512323680 \h </w:instrText>
      </w:r>
      <w:r>
        <w:fldChar w:fldCharType="separate"/>
      </w:r>
      <w:r>
        <w:t>53</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Dwelling</w:t>
      </w:r>
      <w:r>
        <w:rPr>
          <w:snapToGrid w:val="0"/>
        </w:rPr>
        <w:noBreakHyphen/>
        <w:t>houses on low lying land</w:t>
      </w:r>
      <w:r>
        <w:tab/>
      </w:r>
      <w:r>
        <w:fldChar w:fldCharType="begin"/>
      </w:r>
      <w:r>
        <w:instrText xml:space="preserve"> PAGEREF _Toc512323681 \h </w:instrText>
      </w:r>
      <w:r>
        <w:fldChar w:fldCharType="separate"/>
      </w:r>
      <w:r>
        <w:t>53</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Filling up low lying land</w:t>
      </w:r>
      <w:r>
        <w:tab/>
      </w:r>
      <w:r>
        <w:fldChar w:fldCharType="begin"/>
      </w:r>
      <w:r>
        <w:instrText xml:space="preserve"> PAGEREF _Toc512323682 \h </w:instrText>
      </w:r>
      <w:r>
        <w:fldChar w:fldCharType="separate"/>
      </w:r>
      <w:r>
        <w:t>54</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Stagnant water holes</w:t>
      </w:r>
      <w:r>
        <w:tab/>
      </w:r>
      <w:r>
        <w:fldChar w:fldCharType="begin"/>
      </w:r>
      <w:r>
        <w:instrText xml:space="preserve"> PAGEREF _Toc512323683 \h </w:instrText>
      </w:r>
      <w:r>
        <w:fldChar w:fldCharType="separate"/>
      </w:r>
      <w:r>
        <w:t>54</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Stagnant water in cellars etc.</w:t>
      </w:r>
      <w:r>
        <w:tab/>
      </w:r>
      <w:r>
        <w:fldChar w:fldCharType="begin"/>
      </w:r>
      <w:r>
        <w:instrText xml:space="preserve"> PAGEREF _Toc512323684 \h </w:instrText>
      </w:r>
      <w:r>
        <w:fldChar w:fldCharType="separate"/>
      </w:r>
      <w:r>
        <w:t>55</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Paving and asphalting of cellars</w:t>
      </w:r>
      <w:r>
        <w:tab/>
      </w:r>
      <w:r>
        <w:fldChar w:fldCharType="begin"/>
      </w:r>
      <w:r>
        <w:instrText xml:space="preserve"> PAGEREF _Toc512323685 \h </w:instrText>
      </w:r>
      <w:r>
        <w:fldChar w:fldCharType="separate"/>
      </w:r>
      <w:r>
        <w:t>56</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Brickmaking and other excavations to be fenced</w:t>
      </w:r>
      <w:r>
        <w:tab/>
      </w:r>
      <w:r>
        <w:fldChar w:fldCharType="begin"/>
      </w:r>
      <w:r>
        <w:instrText xml:space="preserve"> PAGEREF _Toc512323686 \h </w:instrText>
      </w:r>
      <w:r>
        <w:fldChar w:fldCharType="separate"/>
      </w:r>
      <w:r>
        <w:t>56</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Storm water to be allowed its natural channel</w:t>
      </w:r>
      <w:r>
        <w:tab/>
      </w:r>
      <w:r>
        <w:fldChar w:fldCharType="begin"/>
      </w:r>
      <w:r>
        <w:instrText xml:space="preserve"> PAGEREF _Toc512323687 \h </w:instrText>
      </w:r>
      <w:r>
        <w:fldChar w:fldCharType="separate"/>
      </w:r>
      <w:r>
        <w:t>57</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Unauthorised building over sewers and under streets</w:t>
      </w:r>
      <w:r>
        <w:tab/>
      </w:r>
      <w:r>
        <w:fldChar w:fldCharType="begin"/>
      </w:r>
      <w:r>
        <w:instrText xml:space="preserve"> PAGEREF _Toc512323688 \h </w:instrText>
      </w:r>
      <w:r>
        <w:fldChar w:fldCharType="separate"/>
      </w:r>
      <w:r>
        <w:t>57</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Injurious matter not to pass into sewers</w:t>
      </w:r>
      <w:r>
        <w:tab/>
      </w:r>
      <w:r>
        <w:fldChar w:fldCharType="begin"/>
      </w:r>
      <w:r>
        <w:instrText xml:space="preserve"> PAGEREF _Toc512323689 \h </w:instrText>
      </w:r>
      <w:r>
        <w:fldChar w:fldCharType="separate"/>
      </w:r>
      <w:r>
        <w:t>58</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Chemical refuse, steam etc. not to be turned into sewers</w:t>
      </w:r>
      <w:r>
        <w:tab/>
      </w:r>
      <w:r>
        <w:fldChar w:fldCharType="begin"/>
      </w:r>
      <w:r>
        <w:instrText xml:space="preserve"> PAGEREF _Toc512323690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Disposal of sewage</w:t>
      </w:r>
    </w:p>
    <w:p>
      <w:pPr>
        <w:pStyle w:val="TOC8"/>
        <w:rPr>
          <w:rFonts w:asciiTheme="minorHAnsi" w:eastAsiaTheme="minorEastAsia" w:hAnsiTheme="minorHAnsi" w:cstheme="minorBidi"/>
          <w:szCs w:val="22"/>
        </w:rPr>
      </w:pPr>
      <w:r>
        <w:t>95</w:t>
      </w:r>
      <w:r>
        <w:rPr>
          <w:snapToGrid w:val="0"/>
        </w:rPr>
        <w:t>.</w:t>
      </w:r>
      <w:r>
        <w:rPr>
          <w:snapToGrid w:val="0"/>
        </w:rPr>
        <w:tab/>
        <w:t>Disposing of sewage</w:t>
      </w:r>
      <w:r>
        <w:tab/>
      </w:r>
      <w:r>
        <w:fldChar w:fldCharType="begin"/>
      </w:r>
      <w:r>
        <w:instrText xml:space="preserve"> PAGEREF _Toc512323692 \h </w:instrText>
      </w:r>
      <w:r>
        <w:fldChar w:fldCharType="separate"/>
      </w:r>
      <w:r>
        <w:t>59</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Communication of sewers with sewers of adjoining district</w:t>
      </w:r>
      <w:r>
        <w:tab/>
      </w:r>
      <w:r>
        <w:fldChar w:fldCharType="begin"/>
      </w:r>
      <w:r>
        <w:instrText xml:space="preserve"> PAGEREF _Toc512323693 \h </w:instrText>
      </w:r>
      <w:r>
        <w:fldChar w:fldCharType="separate"/>
      </w:r>
      <w:r>
        <w:t>59</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Dealing with land appropriated to sewage purposes</w:t>
      </w:r>
      <w:r>
        <w:tab/>
      </w:r>
      <w:r>
        <w:fldChar w:fldCharType="begin"/>
      </w:r>
      <w:r>
        <w:instrText xml:space="preserve"> PAGEREF _Toc512323694 \h </w:instrText>
      </w:r>
      <w:r>
        <w:fldChar w:fldCharType="separate"/>
      </w:r>
      <w:r>
        <w:t>60</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Punishment for placing sewage in streets etc.</w:t>
      </w:r>
      <w:r>
        <w:tab/>
      </w:r>
      <w:r>
        <w:fldChar w:fldCharType="begin"/>
      </w:r>
      <w:r>
        <w:instrText xml:space="preserve"> PAGEREF _Toc512323695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Sanitary conveniences</w:t>
      </w:r>
    </w:p>
    <w:p>
      <w:pPr>
        <w:pStyle w:val="TOC8"/>
        <w:rPr>
          <w:rFonts w:asciiTheme="minorHAnsi" w:eastAsiaTheme="minorEastAsia" w:hAnsiTheme="minorHAnsi" w:cstheme="minorBidi"/>
          <w:szCs w:val="22"/>
        </w:rPr>
      </w:pPr>
      <w:r>
        <w:t>99</w:t>
      </w:r>
      <w:r>
        <w:rPr>
          <w:snapToGrid w:val="0"/>
        </w:rPr>
        <w:t>.</w:t>
      </w:r>
      <w:r>
        <w:rPr>
          <w:snapToGrid w:val="0"/>
        </w:rPr>
        <w:tab/>
        <w:t>Houses to have sanitary conveniences</w:t>
      </w:r>
      <w:r>
        <w:tab/>
      </w:r>
      <w:r>
        <w:fldChar w:fldCharType="begin"/>
      </w:r>
      <w:r>
        <w:instrText xml:space="preserve"> PAGEREF _Toc512323697 \h </w:instrText>
      </w:r>
      <w:r>
        <w:fldChar w:fldCharType="separate"/>
      </w:r>
      <w:r>
        <w:t>61</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Provision of apparatus for treatment of sewage</w:t>
      </w:r>
      <w:r>
        <w:tab/>
      </w:r>
      <w:r>
        <w:fldChar w:fldCharType="begin"/>
      </w:r>
      <w:r>
        <w:instrText xml:space="preserve"> PAGEREF _Toc512323698 \h </w:instrText>
      </w:r>
      <w:r>
        <w:fldChar w:fldCharType="separate"/>
      </w:r>
      <w:r>
        <w:t>62</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Sanitary conveniences for workshops etc.</w:t>
      </w:r>
      <w:r>
        <w:tab/>
      </w:r>
      <w:r>
        <w:fldChar w:fldCharType="begin"/>
      </w:r>
      <w:r>
        <w:instrText xml:space="preserve"> PAGEREF _Toc512323699 \h </w:instrText>
      </w:r>
      <w:r>
        <w:fldChar w:fldCharType="separate"/>
      </w:r>
      <w:r>
        <w:t>64</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Sanitary conveniences in connection with works</w:t>
      </w:r>
      <w:r>
        <w:tab/>
      </w:r>
      <w:r>
        <w:fldChar w:fldCharType="begin"/>
      </w:r>
      <w:r>
        <w:instrText xml:space="preserve"> PAGEREF _Toc512323700 \h </w:instrText>
      </w:r>
      <w:r>
        <w:fldChar w:fldCharType="separate"/>
      </w:r>
      <w:r>
        <w:t>65</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Persons to carry out sanitary work in certain cases</w:t>
      </w:r>
      <w:r>
        <w:tab/>
      </w:r>
      <w:r>
        <w:fldChar w:fldCharType="begin"/>
      </w:r>
      <w:r>
        <w:instrText xml:space="preserve"> PAGEREF _Toc512323701 \h </w:instrText>
      </w:r>
      <w:r>
        <w:fldChar w:fldCharType="separate"/>
      </w:r>
      <w:r>
        <w:t>65</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Earth</w:t>
      </w:r>
      <w:r>
        <w:rPr>
          <w:snapToGrid w:val="0"/>
        </w:rPr>
        <w:noBreakHyphen/>
        <w:t>closets</w:t>
      </w:r>
      <w:r>
        <w:tab/>
      </w:r>
      <w:r>
        <w:fldChar w:fldCharType="begin"/>
      </w:r>
      <w:r>
        <w:instrText xml:space="preserve"> PAGEREF _Toc512323702 \h </w:instrText>
      </w:r>
      <w:r>
        <w:fldChar w:fldCharType="separate"/>
      </w:r>
      <w:r>
        <w:t>65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Public sanitary conveniences</w:t>
      </w:r>
      <w:r>
        <w:tab/>
      </w:r>
      <w:r>
        <w:fldChar w:fldCharType="begin"/>
      </w:r>
      <w:r>
        <w:instrText xml:space="preserve"> PAGEREF _Toc512323703 \h </w:instrText>
      </w:r>
      <w:r>
        <w:fldChar w:fldCharType="separate"/>
      </w:r>
      <w:r>
        <w:t>66</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Power to make pan charges</w:t>
      </w:r>
      <w:r>
        <w:tab/>
      </w:r>
      <w:r>
        <w:fldChar w:fldCharType="begin"/>
      </w:r>
      <w:r>
        <w:instrText xml:space="preserve"> PAGEREF _Toc512323704 \h </w:instrText>
      </w:r>
      <w:r>
        <w:fldChar w:fldCharType="separate"/>
      </w:r>
      <w:r>
        <w:t>66</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Drains, privies etc. to be properly kept</w:t>
      </w:r>
      <w:r>
        <w:tab/>
      </w:r>
      <w:r>
        <w:fldChar w:fldCharType="begin"/>
      </w:r>
      <w:r>
        <w:instrText xml:space="preserve"> PAGEREF _Toc512323705 \h </w:instrText>
      </w:r>
      <w:r>
        <w:fldChar w:fldCharType="separate"/>
      </w:r>
      <w:r>
        <w:t>67</w:t>
      </w:r>
      <w:r>
        <w:fldChar w:fldCharType="end"/>
      </w:r>
    </w:p>
    <w:p>
      <w:pPr>
        <w:pStyle w:val="TOC8"/>
        <w:rPr>
          <w:rFonts w:asciiTheme="minorHAnsi" w:eastAsiaTheme="minorEastAsia" w:hAnsiTheme="minorHAnsi" w:cstheme="minorBidi"/>
          <w:szCs w:val="22"/>
        </w:rPr>
      </w:pPr>
      <w:r>
        <w:t>107A</w:t>
      </w:r>
      <w:r>
        <w:rPr>
          <w:snapToGrid w:val="0"/>
        </w:rPr>
        <w:t xml:space="preserve">. </w:t>
      </w:r>
      <w:r>
        <w:rPr>
          <w:snapToGrid w:val="0"/>
        </w:rPr>
        <w:tab/>
        <w:t>Articles in use in construction or operation of sewers etc. to be of prescribed standard</w:t>
      </w:r>
      <w:r>
        <w:tab/>
      </w:r>
      <w:r>
        <w:fldChar w:fldCharType="begin"/>
      </w:r>
      <w:r>
        <w:instrText xml:space="preserve"> PAGEREF _Toc512323706 \h </w:instrText>
      </w:r>
      <w:r>
        <w:fldChar w:fldCharType="separate"/>
      </w:r>
      <w:r>
        <w:t>69</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Examination of drains etc.</w:t>
      </w:r>
      <w:r>
        <w:tab/>
      </w:r>
      <w:r>
        <w:fldChar w:fldCharType="begin"/>
      </w:r>
      <w:r>
        <w:instrText xml:space="preserve"> PAGEREF _Toc512323707 \h </w:instrText>
      </w:r>
      <w:r>
        <w:fldChar w:fldCharType="separate"/>
      </w:r>
      <w:r>
        <w:t>69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Local government may require filling up of certain cesspools</w:t>
      </w:r>
      <w:r>
        <w:tab/>
      </w:r>
      <w:r>
        <w:fldChar w:fldCharType="begin"/>
      </w:r>
      <w:r>
        <w:instrText xml:space="preserve"> PAGEREF _Toc512323708 \h </w:instrText>
      </w:r>
      <w:r>
        <w:fldChar w:fldCharType="separate"/>
      </w:r>
      <w:r>
        <w:t>71</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New cesspools for nightsoil forbidden</w:t>
      </w:r>
      <w:r>
        <w:tab/>
      </w:r>
      <w:r>
        <w:fldChar w:fldCharType="begin"/>
      </w:r>
      <w:r>
        <w:instrText xml:space="preserve"> PAGEREF _Toc512323709 \h </w:instrText>
      </w:r>
      <w:r>
        <w:fldChar w:fldCharType="separate"/>
      </w:r>
      <w:r>
        <w:t>71</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Local government may supply receptacles</w:t>
      </w:r>
      <w:r>
        <w:tab/>
      </w:r>
      <w:r>
        <w:fldChar w:fldCharType="begin"/>
      </w:r>
      <w:r>
        <w:instrText xml:space="preserve"> PAGEREF _Toc512323710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Scavenging, cleansing, etc.</w:t>
      </w:r>
    </w:p>
    <w:p>
      <w:pPr>
        <w:pStyle w:val="TOC8"/>
        <w:rPr>
          <w:rFonts w:asciiTheme="minorHAnsi" w:eastAsiaTheme="minorEastAsia" w:hAnsiTheme="minorHAnsi" w:cstheme="minorBidi"/>
          <w:szCs w:val="22"/>
        </w:rPr>
      </w:pPr>
      <w:r>
        <w:t>112</w:t>
      </w:r>
      <w:r>
        <w:rPr>
          <w:snapToGrid w:val="0"/>
        </w:rPr>
        <w:t>.</w:t>
      </w:r>
      <w:r>
        <w:rPr>
          <w:snapToGrid w:val="0"/>
        </w:rPr>
        <w:tab/>
        <w:t>Local government to provide for removal of refuse and cleansing works</w:t>
      </w:r>
      <w:r>
        <w:tab/>
      </w:r>
      <w:r>
        <w:fldChar w:fldCharType="begin"/>
      </w:r>
      <w:r>
        <w:instrText xml:space="preserve"> PAGEREF _Toc512323712 \h </w:instrText>
      </w:r>
      <w:r>
        <w:fldChar w:fldCharType="separate"/>
      </w:r>
      <w:r>
        <w:t>72</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Power of contractor to recover</w:t>
      </w:r>
      <w:r>
        <w:tab/>
      </w:r>
      <w:r>
        <w:fldChar w:fldCharType="begin"/>
      </w:r>
      <w:r>
        <w:instrText xml:space="preserve"> PAGEREF _Toc512323713 \h </w:instrText>
      </w:r>
      <w:r>
        <w:fldChar w:fldCharType="separate"/>
      </w:r>
      <w:r>
        <w:t>73</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Obstruction or hindrance of certain works penalised</w:t>
      </w:r>
      <w:r>
        <w:tab/>
      </w:r>
      <w:r>
        <w:fldChar w:fldCharType="begin"/>
      </w:r>
      <w:r>
        <w:instrText xml:space="preserve"> PAGEREF _Toc512323714 \h </w:instrText>
      </w:r>
      <w:r>
        <w:fldChar w:fldCharType="separate"/>
      </w:r>
      <w:r>
        <w:t>73</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Procedure when local government undertakes work</w:t>
      </w:r>
      <w:r>
        <w:tab/>
      </w:r>
      <w:r>
        <w:fldChar w:fldCharType="begin"/>
      </w:r>
      <w:r>
        <w:instrText xml:space="preserve"> PAGEREF _Toc512323715 \h </w:instrText>
      </w:r>
      <w:r>
        <w:fldChar w:fldCharType="separate"/>
      </w:r>
      <w:r>
        <w:t>74</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Cleansing common courts and passages</w:t>
      </w:r>
      <w:r>
        <w:tab/>
      </w:r>
      <w:r>
        <w:fldChar w:fldCharType="begin"/>
      </w:r>
      <w:r>
        <w:instrText xml:space="preserve"> PAGEREF _Toc512323716 \h </w:instrText>
      </w:r>
      <w:r>
        <w:fldChar w:fldCharType="separate"/>
      </w:r>
      <w:r>
        <w:t>74</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Reserves for deposit of sewage, rubbish or refuse</w:t>
      </w:r>
      <w:r>
        <w:tab/>
      </w:r>
      <w:r>
        <w:fldChar w:fldCharType="begin"/>
      </w:r>
      <w:r>
        <w:instrText xml:space="preserve"> PAGEREF _Toc512323717 \h </w:instrText>
      </w:r>
      <w:r>
        <w:fldChar w:fldCharType="separate"/>
      </w:r>
      <w:r>
        <w:t>75</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Power to close depots</w:t>
      </w:r>
      <w:r>
        <w:tab/>
      </w:r>
      <w:r>
        <w:fldChar w:fldCharType="begin"/>
      </w:r>
      <w:r>
        <w:instrText xml:space="preserve"> PAGEREF _Toc512323718 \h </w:instrText>
      </w:r>
      <w:r>
        <w:fldChar w:fldCharType="separate"/>
      </w:r>
      <w:r>
        <w:t>76</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Building on sanitary depots</w:t>
      </w:r>
      <w:r>
        <w:tab/>
      </w:r>
      <w:r>
        <w:fldChar w:fldCharType="begin"/>
      </w:r>
      <w:r>
        <w:instrText xml:space="preserve"> PAGEREF _Toc512323719 \h </w:instrText>
      </w:r>
      <w:r>
        <w:fldChar w:fldCharType="separate"/>
      </w:r>
      <w:r>
        <w:t>76</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Provision for obtaining order for cleansing offensive watercourse or ditch on boundaries of districts</w:t>
      </w:r>
      <w:r>
        <w:tab/>
      </w:r>
      <w:r>
        <w:fldChar w:fldCharType="begin"/>
      </w:r>
      <w:r>
        <w:instrText xml:space="preserve"> PAGEREF _Toc512323720 \h </w:instrText>
      </w:r>
      <w:r>
        <w:fldChar w:fldCharType="separate"/>
      </w:r>
      <w:r>
        <w:t>77</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Access to sanitary reserves</w:t>
      </w:r>
      <w:r>
        <w:tab/>
      </w:r>
      <w:r>
        <w:fldChar w:fldCharType="begin"/>
      </w:r>
      <w:r>
        <w:instrText xml:space="preserve"> PAGEREF _Toc512323721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Pollution of water</w:t>
      </w:r>
    </w:p>
    <w:p>
      <w:pPr>
        <w:pStyle w:val="TOC8"/>
        <w:rPr>
          <w:rFonts w:asciiTheme="minorHAnsi" w:eastAsiaTheme="minorEastAsia" w:hAnsiTheme="minorHAnsi" w:cstheme="minorBidi"/>
          <w:szCs w:val="22"/>
        </w:rPr>
      </w:pPr>
      <w:r>
        <w:t>129</w:t>
      </w:r>
      <w:r>
        <w:rPr>
          <w:snapToGrid w:val="0"/>
        </w:rPr>
        <w:t>.</w:t>
      </w:r>
      <w:r>
        <w:rPr>
          <w:snapToGrid w:val="0"/>
        </w:rPr>
        <w:tab/>
        <w:t>Pollution of water supply</w:t>
      </w:r>
      <w:r>
        <w:tab/>
      </w:r>
      <w:r>
        <w:fldChar w:fldCharType="begin"/>
      </w:r>
      <w:r>
        <w:instrText xml:space="preserve"> PAGEREF _Toc512323723 \h </w:instrText>
      </w:r>
      <w:r>
        <w:fldChar w:fldCharType="separate"/>
      </w:r>
      <w:r>
        <w:t>79</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Riparian rights</w:t>
      </w:r>
      <w:r>
        <w:tab/>
      </w:r>
      <w:r>
        <w:fldChar w:fldCharType="begin"/>
      </w:r>
      <w:r>
        <w:instrText xml:space="preserve"> PAGEREF _Toc512323724 \h </w:instrText>
      </w:r>
      <w:r>
        <w:fldChar w:fldCharType="separate"/>
      </w:r>
      <w:r>
        <w:t>80</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Sources of water supply may be closed</w:t>
      </w:r>
      <w:r>
        <w:tab/>
      </w:r>
      <w:r>
        <w:fldChar w:fldCharType="begin"/>
      </w:r>
      <w:r>
        <w:instrText xml:space="preserve"> PAGEREF _Toc512323725 \h </w:instrText>
      </w:r>
      <w:r>
        <w:fldChar w:fldCharType="separate"/>
      </w:r>
      <w:r>
        <w:t>80</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Power to seize and destroy pigs etc. trespassing on rivers etc.</w:t>
      </w:r>
      <w:r>
        <w:tab/>
      </w:r>
      <w:r>
        <w:fldChar w:fldCharType="begin"/>
      </w:r>
      <w:r>
        <w:instrText xml:space="preserve"> PAGEREF _Toc512323726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Morgues</w:t>
      </w:r>
    </w:p>
    <w:p>
      <w:pPr>
        <w:pStyle w:val="TOC8"/>
        <w:rPr>
          <w:rFonts w:asciiTheme="minorHAnsi" w:eastAsiaTheme="minorEastAsia" w:hAnsiTheme="minorHAnsi" w:cstheme="minorBidi"/>
          <w:szCs w:val="22"/>
        </w:rPr>
      </w:pPr>
      <w:r>
        <w:t>133</w:t>
      </w:r>
      <w:r>
        <w:rPr>
          <w:snapToGrid w:val="0"/>
        </w:rPr>
        <w:t>.</w:t>
      </w:r>
      <w:r>
        <w:rPr>
          <w:snapToGrid w:val="0"/>
        </w:rPr>
        <w:tab/>
        <w:t>Local government may license morgues</w:t>
      </w:r>
      <w:r>
        <w:tab/>
      </w:r>
      <w:r>
        <w:fldChar w:fldCharType="begin"/>
      </w:r>
      <w:r>
        <w:instrText xml:space="preserve"> PAGEREF _Toc512323728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Local laws</w:t>
      </w:r>
    </w:p>
    <w:p>
      <w:pPr>
        <w:pStyle w:val="TOC8"/>
        <w:rPr>
          <w:rFonts w:asciiTheme="minorHAnsi" w:eastAsiaTheme="minorEastAsia" w:hAnsiTheme="minorHAnsi" w:cstheme="minorBidi"/>
          <w:szCs w:val="22"/>
        </w:rPr>
      </w:pPr>
      <w:r>
        <w:t>134</w:t>
      </w:r>
      <w:r>
        <w:rPr>
          <w:snapToGrid w:val="0"/>
        </w:rPr>
        <w:t>.</w:t>
      </w:r>
      <w:r>
        <w:rPr>
          <w:snapToGrid w:val="0"/>
        </w:rPr>
        <w:tab/>
        <w:t>Purposes for which local laws may be made</w:t>
      </w:r>
      <w:r>
        <w:tab/>
      </w:r>
      <w:r>
        <w:fldChar w:fldCharType="begin"/>
      </w:r>
      <w:r>
        <w:instrText xml:space="preserve"> PAGEREF _Toc512323730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V — Dwellings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Houses unfit for occupation</w:t>
      </w:r>
    </w:p>
    <w:p>
      <w:pPr>
        <w:pStyle w:val="TOC8"/>
        <w:rPr>
          <w:rFonts w:asciiTheme="minorHAnsi" w:eastAsiaTheme="minorEastAsia" w:hAnsiTheme="minorHAnsi" w:cstheme="minorBidi"/>
          <w:szCs w:val="22"/>
        </w:rPr>
      </w:pPr>
      <w:r>
        <w:t>135</w:t>
      </w:r>
      <w:r>
        <w:rPr>
          <w:snapToGrid w:val="0"/>
        </w:rPr>
        <w:t>.</w:t>
      </w:r>
      <w:r>
        <w:rPr>
          <w:snapToGrid w:val="0"/>
        </w:rPr>
        <w:tab/>
        <w:t>Dwellings unfit for habitation</w:t>
      </w:r>
      <w:r>
        <w:tab/>
      </w:r>
      <w:r>
        <w:fldChar w:fldCharType="begin"/>
      </w:r>
      <w:r>
        <w:instrText xml:space="preserve"> PAGEREF _Toc512323733 \h </w:instrText>
      </w:r>
      <w:r>
        <w:fldChar w:fldCharType="separate"/>
      </w:r>
      <w:r>
        <w:t>89</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Such house not to be let or occupied</w:t>
      </w:r>
      <w:r>
        <w:tab/>
      </w:r>
      <w:r>
        <w:fldChar w:fldCharType="begin"/>
      </w:r>
      <w:r>
        <w:instrText xml:space="preserve"> PAGEREF _Toc512323734 \h </w:instrText>
      </w:r>
      <w:r>
        <w:fldChar w:fldCharType="separate"/>
      </w:r>
      <w:r>
        <w:t>89</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Condemned building to be amended or removed</w:t>
      </w:r>
      <w:r>
        <w:tab/>
      </w:r>
      <w:r>
        <w:fldChar w:fldCharType="begin"/>
      </w:r>
      <w:r>
        <w:instrText xml:space="preserve"> PAGEREF _Toc512323735 \h </w:instrText>
      </w:r>
      <w:r>
        <w:fldChar w:fldCharType="separate"/>
      </w:r>
      <w:r>
        <w:t>89</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Land to be cleaned up after removal of house or building therefrom</w:t>
      </w:r>
      <w:r>
        <w:tab/>
      </w:r>
      <w:r>
        <w:fldChar w:fldCharType="begin"/>
      </w:r>
      <w:r>
        <w:instrText xml:space="preserve"> PAGEREF _Toc512323736 \h </w:instrText>
      </w:r>
      <w:r>
        <w:fldChar w:fldCharType="separate"/>
      </w:r>
      <w:r>
        <w:t>90</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Owner may be required to clean or repair house</w:t>
      </w:r>
      <w:r>
        <w:tab/>
      </w:r>
      <w:r>
        <w:fldChar w:fldCharType="begin"/>
      </w:r>
      <w:r>
        <w:instrText xml:space="preserve"> PAGEREF _Toc512323737 \h </w:instrText>
      </w:r>
      <w:r>
        <w:fldChar w:fldCharType="separate"/>
      </w:r>
      <w:r>
        <w:t>90</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Local government may act in default of owner</w:t>
      </w:r>
      <w:r>
        <w:tab/>
      </w:r>
      <w:r>
        <w:fldChar w:fldCharType="begin"/>
      </w:r>
      <w:r>
        <w:instrText xml:space="preserve"> PAGEREF _Toc512323738 \h </w:instrText>
      </w:r>
      <w:r>
        <w:fldChar w:fldCharType="separate"/>
      </w:r>
      <w:r>
        <w:t>90</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Penalty for erecting buildings on ground filled up with offensive matter</w:t>
      </w:r>
      <w:r>
        <w:tab/>
      </w:r>
      <w:r>
        <w:fldChar w:fldCharType="begin"/>
      </w:r>
      <w:r>
        <w:instrText xml:space="preserve"> PAGEREF _Toc512323739 \h </w:instrText>
      </w:r>
      <w:r>
        <w:fldChar w:fldCharType="separate"/>
      </w:r>
      <w:r>
        <w:t>91</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Occupying cellar dwellings</w:t>
      </w:r>
      <w:r>
        <w:tab/>
      </w:r>
      <w:r>
        <w:fldChar w:fldCharType="begin"/>
      </w:r>
      <w:r>
        <w:instrText xml:space="preserve"> PAGEREF _Toc512323740 \h </w:instrText>
      </w:r>
      <w:r>
        <w:fldChar w:fldCharType="separate"/>
      </w:r>
      <w:r>
        <w:t>92</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Plans of buildings to be submitted to local government</w:t>
      </w:r>
      <w:r>
        <w:tab/>
      </w:r>
      <w:r>
        <w:fldChar w:fldCharType="begin"/>
      </w:r>
      <w:r>
        <w:instrText xml:space="preserve"> PAGEREF _Toc512323741 \h </w:instrText>
      </w:r>
      <w:r>
        <w:fldChar w:fldCharType="separate"/>
      </w:r>
      <w:r>
        <w:t>92</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Building not erected as dwelling not to be converted into one</w:t>
      </w:r>
      <w:r>
        <w:tab/>
      </w:r>
      <w:r>
        <w:fldChar w:fldCharType="begin"/>
      </w:r>
      <w:r>
        <w:instrText xml:space="preserve"> PAGEREF _Toc512323742 \h </w:instrText>
      </w:r>
      <w:r>
        <w:fldChar w:fldCharType="separate"/>
      </w:r>
      <w:r>
        <w:t>93</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Authorised officer may order house or things to be cleansed</w:t>
      </w:r>
      <w:r>
        <w:tab/>
      </w:r>
      <w:r>
        <w:fldChar w:fldCharType="begin"/>
      </w:r>
      <w:r>
        <w:instrText xml:space="preserve"> PAGEREF _Toc512323743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Lodging</w:t>
      </w:r>
      <w:r>
        <w:noBreakHyphen/>
        <w:t>houses</w:t>
      </w:r>
    </w:p>
    <w:p>
      <w:pPr>
        <w:pStyle w:val="TOC8"/>
        <w:rPr>
          <w:rFonts w:asciiTheme="minorHAnsi" w:eastAsiaTheme="minorEastAsia" w:hAnsiTheme="minorHAnsi" w:cstheme="minorBidi"/>
          <w:szCs w:val="22"/>
        </w:rPr>
      </w:pPr>
      <w:r>
        <w:t>146</w:t>
      </w:r>
      <w:r>
        <w:rPr>
          <w:snapToGrid w:val="0"/>
        </w:rPr>
        <w:t>.</w:t>
      </w:r>
      <w:r>
        <w:rPr>
          <w:snapToGrid w:val="0"/>
        </w:rPr>
        <w:tab/>
        <w:t>Registers of lodging</w:t>
      </w:r>
      <w:r>
        <w:rPr>
          <w:snapToGrid w:val="0"/>
        </w:rPr>
        <w:noBreakHyphen/>
        <w:t>houses</w:t>
      </w:r>
      <w:r>
        <w:tab/>
      </w:r>
      <w:r>
        <w:fldChar w:fldCharType="begin"/>
      </w:r>
      <w:r>
        <w:instrText xml:space="preserve"> PAGEREF _Toc512323745 \h </w:instrText>
      </w:r>
      <w:r>
        <w:fldChar w:fldCharType="separate"/>
      </w:r>
      <w:r>
        <w:t>94</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Registration</w:t>
      </w:r>
      <w:r>
        <w:tab/>
      </w:r>
      <w:r>
        <w:fldChar w:fldCharType="begin"/>
      </w:r>
      <w:r>
        <w:instrText xml:space="preserve"> PAGEREF _Toc512323746 \h </w:instrText>
      </w:r>
      <w:r>
        <w:fldChar w:fldCharType="separate"/>
      </w:r>
      <w:r>
        <w:t>94</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Conditions of registration</w:t>
      </w:r>
      <w:r>
        <w:tab/>
      </w:r>
      <w:r>
        <w:fldChar w:fldCharType="begin"/>
      </w:r>
      <w:r>
        <w:instrText xml:space="preserve"> PAGEREF _Toc512323747 \h </w:instrText>
      </w:r>
      <w:r>
        <w:fldChar w:fldCharType="separate"/>
      </w:r>
      <w:r>
        <w:t>95</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Notice of registration to be affixed</w:t>
      </w:r>
      <w:r>
        <w:tab/>
      </w:r>
      <w:r>
        <w:fldChar w:fldCharType="begin"/>
      </w:r>
      <w:r>
        <w:instrText xml:space="preserve"> PAGEREF _Toc512323748 \h </w:instrText>
      </w:r>
      <w:r>
        <w:fldChar w:fldCharType="separate"/>
      </w:r>
      <w:r>
        <w:t>95</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Supply of water</w:t>
      </w:r>
      <w:r>
        <w:tab/>
      </w:r>
      <w:r>
        <w:fldChar w:fldCharType="begin"/>
      </w:r>
      <w:r>
        <w:instrText xml:space="preserve"> PAGEREF _Toc512323749 \h </w:instrText>
      </w:r>
      <w:r>
        <w:fldChar w:fldCharType="separate"/>
      </w:r>
      <w:r>
        <w:t>95</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Cleansing of walls etc.</w:t>
      </w:r>
      <w:r>
        <w:tab/>
      </w:r>
      <w:r>
        <w:fldChar w:fldCharType="begin"/>
      </w:r>
      <w:r>
        <w:instrText xml:space="preserve"> PAGEREF _Toc512323750 \h </w:instrText>
      </w:r>
      <w:r>
        <w:fldChar w:fldCharType="separate"/>
      </w:r>
      <w:r>
        <w:t>96</w:t>
      </w:r>
      <w:r>
        <w:fldChar w:fldCharType="end"/>
      </w:r>
    </w:p>
    <w:p>
      <w:pPr>
        <w:pStyle w:val="TOC8"/>
        <w:rPr>
          <w:rFonts w:asciiTheme="minorHAnsi" w:eastAsiaTheme="minorEastAsia" w:hAnsiTheme="minorHAnsi" w:cstheme="minorBidi"/>
          <w:szCs w:val="22"/>
        </w:rPr>
      </w:pPr>
      <w:r>
        <w:rPr>
          <w:snapToGrid w:val="0"/>
        </w:rPr>
        <w:t>152.</w:t>
      </w:r>
      <w:r>
        <w:rPr>
          <w:snapToGrid w:val="0"/>
        </w:rPr>
        <w:tab/>
        <w:t>Notification of disease</w:t>
      </w:r>
      <w:r>
        <w:tab/>
      </w:r>
      <w:r>
        <w:fldChar w:fldCharType="begin"/>
      </w:r>
      <w:r>
        <w:instrText xml:space="preserve"> PAGEREF _Toc512323751 \h </w:instrText>
      </w:r>
      <w:r>
        <w:fldChar w:fldCharType="separate"/>
      </w:r>
      <w:r>
        <w:t>96</w:t>
      </w:r>
      <w:r>
        <w:fldChar w:fldCharType="end"/>
      </w:r>
    </w:p>
    <w:p>
      <w:pPr>
        <w:pStyle w:val="TOC8"/>
        <w:rPr>
          <w:rFonts w:asciiTheme="minorHAnsi" w:eastAsiaTheme="minorEastAsia" w:hAnsiTheme="minorHAnsi" w:cstheme="minorBidi"/>
          <w:szCs w:val="22"/>
        </w:rPr>
      </w:pPr>
      <w:r>
        <w:rPr>
          <w:snapToGrid w:val="0"/>
        </w:rPr>
        <w:t>153.</w:t>
      </w:r>
      <w:r>
        <w:rPr>
          <w:snapToGrid w:val="0"/>
        </w:rPr>
        <w:tab/>
        <w:t>Inspection</w:t>
      </w:r>
      <w:r>
        <w:tab/>
      </w:r>
      <w:r>
        <w:fldChar w:fldCharType="begin"/>
      </w:r>
      <w:r>
        <w:instrText xml:space="preserve"> PAGEREF _Toc512323752 \h </w:instrText>
      </w:r>
      <w:r>
        <w:fldChar w:fldCharType="separate"/>
      </w:r>
      <w:r>
        <w:t>96</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Offences by keepers</w:t>
      </w:r>
      <w:r>
        <w:tab/>
      </w:r>
      <w:r>
        <w:fldChar w:fldCharType="begin"/>
      </w:r>
      <w:r>
        <w:instrText xml:space="preserve"> PAGEREF _Toc512323753 \h </w:instrText>
      </w:r>
      <w:r>
        <w:fldChar w:fldCharType="separate"/>
      </w:r>
      <w:r>
        <w:t>96</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Conviction for third offence</w:t>
      </w:r>
      <w:r>
        <w:tab/>
      </w:r>
      <w:r>
        <w:fldChar w:fldCharType="begin"/>
      </w:r>
      <w:r>
        <w:instrText xml:space="preserve"> PAGEREF _Toc512323754 \h </w:instrText>
      </w:r>
      <w:r>
        <w:fldChar w:fldCharType="separate"/>
      </w:r>
      <w:r>
        <w:t>97</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Lodging</w:t>
      </w:r>
      <w:r>
        <w:rPr>
          <w:snapToGrid w:val="0"/>
        </w:rPr>
        <w:noBreakHyphen/>
        <w:t>house keepers to report deaths</w:t>
      </w:r>
      <w:r>
        <w:tab/>
      </w:r>
      <w:r>
        <w:fldChar w:fldCharType="begin"/>
      </w:r>
      <w:r>
        <w:instrText xml:space="preserve"> PAGEREF _Toc512323755 \h </w:instrText>
      </w:r>
      <w:r>
        <w:fldChar w:fldCharType="separate"/>
      </w:r>
      <w:r>
        <w:t>97</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Register of lodgers to be kept</w:t>
      </w:r>
      <w:r>
        <w:tab/>
      </w:r>
      <w:r>
        <w:fldChar w:fldCharType="begin"/>
      </w:r>
      <w:r>
        <w:instrText xml:space="preserve"> PAGEREF _Toc512323756 \h </w:instrText>
      </w:r>
      <w:r>
        <w:fldChar w:fldCharType="separate"/>
      </w:r>
      <w:r>
        <w:t>97</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Local laws in respect of lodging</w:t>
      </w:r>
      <w:r>
        <w:rPr>
          <w:snapToGrid w:val="0"/>
        </w:rPr>
        <w:noBreakHyphen/>
        <w:t>house</w:t>
      </w:r>
      <w:r>
        <w:tab/>
      </w:r>
      <w:r>
        <w:fldChar w:fldCharType="begin"/>
      </w:r>
      <w:r>
        <w:instrText xml:space="preserve"> PAGEREF _Toc512323757 \h </w:instrText>
      </w:r>
      <w:r>
        <w:fldChar w:fldCharType="separate"/>
      </w:r>
      <w:r>
        <w:t>98</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Evidence as to family in proceedings</w:t>
      </w:r>
      <w:r>
        <w:tab/>
      </w:r>
      <w:r>
        <w:fldChar w:fldCharType="begin"/>
      </w:r>
      <w:r>
        <w:instrText xml:space="preserve"> PAGEREF _Toc512323758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VI — Public buildings</w:t>
      </w:r>
    </w:p>
    <w:p>
      <w:pPr>
        <w:pStyle w:val="TOC8"/>
        <w:rPr>
          <w:rFonts w:asciiTheme="minorHAnsi" w:eastAsiaTheme="minorEastAsia" w:hAnsiTheme="minorHAnsi" w:cstheme="minorBidi"/>
          <w:szCs w:val="22"/>
        </w:rPr>
      </w:pPr>
      <w:r>
        <w:t>173</w:t>
      </w:r>
      <w:r>
        <w:rPr>
          <w:snapToGrid w:val="0"/>
        </w:rPr>
        <w:t>.</w:t>
      </w:r>
      <w:r>
        <w:rPr>
          <w:snapToGrid w:val="0"/>
        </w:rPr>
        <w:tab/>
        <w:t>Terms used</w:t>
      </w:r>
      <w:r>
        <w:tab/>
      </w:r>
      <w:r>
        <w:fldChar w:fldCharType="begin"/>
      </w:r>
      <w:r>
        <w:instrText xml:space="preserve"> PAGEREF _Toc512323760 \h </w:instrText>
      </w:r>
      <w:r>
        <w:fldChar w:fldCharType="separate"/>
      </w:r>
      <w:r>
        <w:t>101</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Application to Crown</w:t>
      </w:r>
      <w:r>
        <w:tab/>
      </w:r>
      <w:r>
        <w:fldChar w:fldCharType="begin"/>
      </w:r>
      <w:r>
        <w:instrText xml:space="preserve"> PAGEREF _Toc512323761 \h </w:instrText>
      </w:r>
      <w:r>
        <w:fldChar w:fldCharType="separate"/>
      </w:r>
      <w:r>
        <w:t>102</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Relationship to other laws</w:t>
      </w:r>
      <w:r>
        <w:tab/>
      </w:r>
      <w:r>
        <w:fldChar w:fldCharType="begin"/>
      </w:r>
      <w:r>
        <w:instrText xml:space="preserve"> PAGEREF _Toc512323762 \h </w:instrText>
      </w:r>
      <w:r>
        <w:fldChar w:fldCharType="separate"/>
      </w:r>
      <w:r>
        <w:t>102</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Approval of plans</w:t>
      </w:r>
      <w:r>
        <w:tab/>
      </w:r>
      <w:r>
        <w:fldChar w:fldCharType="begin"/>
      </w:r>
      <w:r>
        <w:instrText xml:space="preserve"> PAGEREF _Toc512323763 \h </w:instrText>
      </w:r>
      <w:r>
        <w:fldChar w:fldCharType="separate"/>
      </w:r>
      <w:r>
        <w:t>102</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Approval</w:t>
      </w:r>
      <w:r>
        <w:tab/>
      </w:r>
      <w:r>
        <w:fldChar w:fldCharType="begin"/>
      </w:r>
      <w:r>
        <w:instrText xml:space="preserve"> PAGEREF _Toc512323764 \h </w:instrText>
      </w:r>
      <w:r>
        <w:fldChar w:fldCharType="separate"/>
      </w:r>
      <w:r>
        <w:t>103</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Certificate of approval</w:t>
      </w:r>
      <w:r>
        <w:tab/>
      </w:r>
      <w:r>
        <w:fldChar w:fldCharType="begin"/>
      </w:r>
      <w:r>
        <w:instrText xml:space="preserve"> PAGEREF _Toc512323765 \h </w:instrText>
      </w:r>
      <w:r>
        <w:fldChar w:fldCharType="separate"/>
      </w:r>
      <w:r>
        <w:t>103</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Inspection and control of public buildings</w:t>
      </w:r>
      <w:r>
        <w:tab/>
      </w:r>
      <w:r>
        <w:fldChar w:fldCharType="begin"/>
      </w:r>
      <w:r>
        <w:instrText xml:space="preserve"> PAGEREF _Toc512323766 \h </w:instrText>
      </w:r>
      <w:r>
        <w:fldChar w:fldCharType="separate"/>
      </w:r>
      <w:r>
        <w:t>104</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Regulations</w:t>
      </w:r>
      <w:r>
        <w:tab/>
      </w:r>
      <w:r>
        <w:fldChar w:fldCharType="begin"/>
      </w:r>
      <w:r>
        <w:instrText xml:space="preserve"> PAGEREF _Toc512323767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Part VII — Nuisances and offensive trades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Nuisances</w:t>
      </w:r>
    </w:p>
    <w:p>
      <w:pPr>
        <w:pStyle w:val="TOC8"/>
        <w:rPr>
          <w:rFonts w:asciiTheme="minorHAnsi" w:eastAsiaTheme="minorEastAsia" w:hAnsiTheme="minorHAnsi" w:cstheme="minorBidi"/>
          <w:szCs w:val="22"/>
        </w:rPr>
      </w:pPr>
      <w:r>
        <w:t>181</w:t>
      </w:r>
      <w:r>
        <w:rPr>
          <w:snapToGrid w:val="0"/>
        </w:rPr>
        <w:t>.</w:t>
      </w:r>
      <w:r>
        <w:rPr>
          <w:snapToGrid w:val="0"/>
        </w:rPr>
        <w:tab/>
        <w:t>Removal of offensive matter</w:t>
      </w:r>
      <w:r>
        <w:tab/>
      </w:r>
      <w:r>
        <w:fldChar w:fldCharType="begin"/>
      </w:r>
      <w:r>
        <w:instrText xml:space="preserve"> PAGEREF _Toc512323770 \h </w:instrText>
      </w:r>
      <w:r>
        <w:fldChar w:fldCharType="separate"/>
      </w:r>
      <w:r>
        <w:t>109</w:t>
      </w:r>
      <w:r>
        <w:fldChar w:fldCharType="end"/>
      </w:r>
    </w:p>
    <w:p>
      <w:pPr>
        <w:pStyle w:val="TOC8"/>
        <w:rPr>
          <w:rFonts w:asciiTheme="minorHAnsi" w:eastAsiaTheme="minorEastAsia" w:hAnsiTheme="minorHAnsi" w:cstheme="minorBidi"/>
          <w:szCs w:val="22"/>
        </w:rPr>
      </w:pPr>
      <w:r>
        <w:t>182</w:t>
      </w:r>
      <w:r>
        <w:rPr>
          <w:snapToGrid w:val="0"/>
        </w:rPr>
        <w:t>.</w:t>
      </w:r>
      <w:r>
        <w:rPr>
          <w:snapToGrid w:val="0"/>
        </w:rPr>
        <w:tab/>
        <w:t>Definition of nuisances</w:t>
      </w:r>
      <w:r>
        <w:tab/>
      </w:r>
      <w:r>
        <w:fldChar w:fldCharType="begin"/>
      </w:r>
      <w:r>
        <w:instrText xml:space="preserve"> PAGEREF _Toc512323771 \h </w:instrText>
      </w:r>
      <w:r>
        <w:fldChar w:fldCharType="separate"/>
      </w:r>
      <w:r>
        <w:t>110</w:t>
      </w:r>
      <w:r>
        <w:fldChar w:fldCharType="end"/>
      </w:r>
    </w:p>
    <w:p>
      <w:pPr>
        <w:pStyle w:val="TOC8"/>
        <w:rPr>
          <w:rFonts w:asciiTheme="minorHAnsi" w:eastAsiaTheme="minorEastAsia" w:hAnsiTheme="minorHAnsi" w:cstheme="minorBidi"/>
          <w:szCs w:val="22"/>
        </w:rPr>
      </w:pPr>
      <w:r>
        <w:t>182A</w:t>
      </w:r>
      <w:r>
        <w:rPr>
          <w:snapToGrid w:val="0"/>
        </w:rPr>
        <w:t>.</w:t>
      </w:r>
      <w:r>
        <w:rPr>
          <w:snapToGrid w:val="0"/>
        </w:rPr>
        <w:tab/>
        <w:t>Regulations as to section 182(13)</w:t>
      </w:r>
      <w:r>
        <w:tab/>
      </w:r>
      <w:r>
        <w:fldChar w:fldCharType="begin"/>
      </w:r>
      <w:r>
        <w:instrText xml:space="preserve"> PAGEREF _Toc512323772 \h </w:instrText>
      </w:r>
      <w:r>
        <w:fldChar w:fldCharType="separate"/>
      </w:r>
      <w:r>
        <w:t>112</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Immediate action in respect of nuisances</w:t>
      </w:r>
      <w:r>
        <w:tab/>
      </w:r>
      <w:r>
        <w:fldChar w:fldCharType="begin"/>
      </w:r>
      <w:r>
        <w:instrText xml:space="preserve"> PAGEREF _Toc512323773 \h </w:instrText>
      </w:r>
      <w:r>
        <w:fldChar w:fldCharType="separate"/>
      </w:r>
      <w:r>
        <w:t>113</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Mode of dealing with nuisances</w:t>
      </w:r>
      <w:r>
        <w:tab/>
      </w:r>
      <w:r>
        <w:fldChar w:fldCharType="begin"/>
      </w:r>
      <w:r>
        <w:instrText xml:space="preserve"> PAGEREF _Toc512323774 \h </w:instrText>
      </w:r>
      <w:r>
        <w:fldChar w:fldCharType="separate"/>
      </w:r>
      <w:r>
        <w:t>113</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Proceedings when nuisance caused by default outside district</w:t>
      </w:r>
      <w:r>
        <w:tab/>
      </w:r>
      <w:r>
        <w:fldChar w:fldCharType="begin"/>
      </w:r>
      <w:r>
        <w:instrText xml:space="preserve"> PAGEREF _Toc512323775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Offensive trades</w:t>
      </w:r>
    </w:p>
    <w:p>
      <w:pPr>
        <w:pStyle w:val="TOC8"/>
        <w:rPr>
          <w:rFonts w:asciiTheme="minorHAnsi" w:eastAsiaTheme="minorEastAsia" w:hAnsiTheme="minorHAnsi" w:cstheme="minorBidi"/>
          <w:szCs w:val="22"/>
        </w:rPr>
      </w:pPr>
      <w:r>
        <w:t>186</w:t>
      </w:r>
      <w:r>
        <w:rPr>
          <w:snapToGrid w:val="0"/>
        </w:rPr>
        <w:t>.</w:t>
      </w:r>
      <w:r>
        <w:rPr>
          <w:snapToGrid w:val="0"/>
        </w:rPr>
        <w:tab/>
        <w:t>Term used: offensive trade</w:t>
      </w:r>
      <w:r>
        <w:tab/>
      </w:r>
      <w:r>
        <w:fldChar w:fldCharType="begin"/>
      </w:r>
      <w:r>
        <w:instrText xml:space="preserve"> PAGEREF _Toc512323777 \h </w:instrText>
      </w:r>
      <w:r>
        <w:fldChar w:fldCharType="separate"/>
      </w:r>
      <w:r>
        <w:t>114</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Consent necessary for establishing offensive trade</w:t>
      </w:r>
      <w:r>
        <w:tab/>
      </w:r>
      <w:r>
        <w:fldChar w:fldCharType="begin"/>
      </w:r>
      <w:r>
        <w:instrText xml:space="preserve"> PAGEREF _Toc512323778 \h </w:instrText>
      </w:r>
      <w:r>
        <w:fldChar w:fldCharType="separate"/>
      </w:r>
      <w:r>
        <w:t>115</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Penalty for breach</w:t>
      </w:r>
      <w:r>
        <w:tab/>
      </w:r>
      <w:r>
        <w:fldChar w:fldCharType="begin"/>
      </w:r>
      <w:r>
        <w:instrText xml:space="preserve"> PAGEREF _Toc512323779 \h </w:instrText>
      </w:r>
      <w:r>
        <w:fldChar w:fldCharType="separate"/>
      </w:r>
      <w:r>
        <w:t>115</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Penalty for illegally carrying on offensive trade</w:t>
      </w:r>
      <w:r>
        <w:tab/>
      </w:r>
      <w:r>
        <w:fldChar w:fldCharType="begin"/>
      </w:r>
      <w:r>
        <w:instrText xml:space="preserve"> PAGEREF _Toc512323780 \h </w:instrText>
      </w:r>
      <w:r>
        <w:fldChar w:fldCharType="separate"/>
      </w:r>
      <w:r>
        <w:t>116</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Local laws regulating offensive trades</w:t>
      </w:r>
      <w:r>
        <w:tab/>
      </w:r>
      <w:r>
        <w:fldChar w:fldCharType="begin"/>
      </w:r>
      <w:r>
        <w:instrText xml:space="preserve"> PAGEREF _Toc512323781 \h </w:instrText>
      </w:r>
      <w:r>
        <w:fldChar w:fldCharType="separate"/>
      </w:r>
      <w:r>
        <w:t>116</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Offensive trades to be registered</w:t>
      </w:r>
      <w:r>
        <w:tab/>
      </w:r>
      <w:r>
        <w:fldChar w:fldCharType="begin"/>
      </w:r>
      <w:r>
        <w:instrText xml:space="preserve"> PAGEREF _Toc512323782 \h </w:instrText>
      </w:r>
      <w:r>
        <w:fldChar w:fldCharType="separate"/>
      </w:r>
      <w:r>
        <w:t>116</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Local government may refuse to register or to renew registration</w:t>
      </w:r>
      <w:r>
        <w:tab/>
      </w:r>
      <w:r>
        <w:fldChar w:fldCharType="begin"/>
      </w:r>
      <w:r>
        <w:instrText xml:space="preserve"> PAGEREF _Toc512323783 \h </w:instrText>
      </w:r>
      <w:r>
        <w:fldChar w:fldCharType="separate"/>
      </w:r>
      <w:r>
        <w:t>117</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Power to restrict offensive trades to certain portions of proclaimed areas</w:t>
      </w:r>
      <w:r>
        <w:tab/>
      </w:r>
      <w:r>
        <w:fldChar w:fldCharType="begin"/>
      </w:r>
      <w:r>
        <w:instrText xml:space="preserve"> PAGEREF _Toc512323784 \h </w:instrText>
      </w:r>
      <w:r>
        <w:fldChar w:fldCharType="separate"/>
      </w:r>
      <w:r>
        <w:t>117</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Offensive trades</w:t>
      </w:r>
      <w:r>
        <w:tab/>
      </w:r>
      <w:r>
        <w:fldChar w:fldCharType="begin"/>
      </w:r>
      <w:r>
        <w:instrText xml:space="preserve"> PAGEREF _Toc512323785 \h </w:instrText>
      </w:r>
      <w:r>
        <w:fldChar w:fldCharType="separate"/>
      </w:r>
      <w:r>
        <w:t>118</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Construction, drainage and equipment of slaughter</w:t>
      </w:r>
      <w:r>
        <w:rPr>
          <w:snapToGrid w:val="0"/>
        </w:rPr>
        <w:noBreakHyphen/>
        <w:t>houses</w:t>
      </w:r>
      <w:r>
        <w:tab/>
      </w:r>
      <w:r>
        <w:fldChar w:fldCharType="begin"/>
      </w:r>
      <w:r>
        <w:instrText xml:space="preserve"> PAGEREF _Toc512323786 \h </w:instrText>
      </w:r>
      <w:r>
        <w:fldChar w:fldCharType="separate"/>
      </w:r>
      <w:r>
        <w:t>119</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Slaughter</w:t>
      </w:r>
      <w:r>
        <w:rPr>
          <w:snapToGrid w:val="0"/>
        </w:rPr>
        <w:noBreakHyphen/>
        <w:t>houses to be kept in accordance with Act</w:t>
      </w:r>
      <w:r>
        <w:tab/>
      </w:r>
      <w:r>
        <w:fldChar w:fldCharType="begin"/>
      </w:r>
      <w:r>
        <w:instrText xml:space="preserve"> PAGEREF _Toc512323787 \h </w:instrText>
      </w:r>
      <w:r>
        <w:fldChar w:fldCharType="separate"/>
      </w:r>
      <w:r>
        <w:t>119</w:t>
      </w:r>
      <w:r>
        <w:fldChar w:fldCharType="end"/>
      </w:r>
    </w:p>
    <w:p>
      <w:pPr>
        <w:pStyle w:val="TOC8"/>
        <w:rPr>
          <w:rFonts w:asciiTheme="minorHAnsi" w:eastAsiaTheme="minorEastAsia" w:hAnsiTheme="minorHAnsi" w:cstheme="minorBidi"/>
          <w:szCs w:val="22"/>
        </w:rPr>
      </w:pPr>
      <w:r>
        <w:t>197</w:t>
      </w:r>
      <w:r>
        <w:rPr>
          <w:snapToGrid w:val="0"/>
        </w:rPr>
        <w:t>.</w:t>
      </w:r>
      <w:r>
        <w:rPr>
          <w:snapToGrid w:val="0"/>
        </w:rPr>
        <w:tab/>
        <w:t>No swine, dog or poultry to be kept at slaughter</w:t>
      </w:r>
      <w:r>
        <w:rPr>
          <w:snapToGrid w:val="0"/>
        </w:rPr>
        <w:noBreakHyphen/>
        <w:t>house</w:t>
      </w:r>
      <w:r>
        <w:tab/>
      </w:r>
      <w:r>
        <w:fldChar w:fldCharType="begin"/>
      </w:r>
      <w:r>
        <w:instrText xml:space="preserve"> PAGEREF _Toc512323788 \h </w:instrText>
      </w:r>
      <w:r>
        <w:fldChar w:fldCharType="separate"/>
      </w:r>
      <w:r>
        <w:t>120</w:t>
      </w:r>
      <w:r>
        <w:fldChar w:fldCharType="end"/>
      </w:r>
    </w:p>
    <w:p>
      <w:pPr>
        <w:pStyle w:val="TOC8"/>
        <w:rPr>
          <w:rFonts w:asciiTheme="minorHAnsi" w:eastAsiaTheme="minorEastAsia" w:hAnsiTheme="minorHAnsi" w:cstheme="minorBidi"/>
          <w:szCs w:val="22"/>
        </w:rPr>
      </w:pPr>
      <w:r>
        <w:t>198</w:t>
      </w:r>
      <w:r>
        <w:rPr>
          <w:snapToGrid w:val="0"/>
        </w:rPr>
        <w:t>.</w:t>
      </w:r>
      <w:r>
        <w:rPr>
          <w:snapToGrid w:val="0"/>
        </w:rPr>
        <w:tab/>
        <w:t>Swine not to be fed on raw offal etc.</w:t>
      </w:r>
      <w:r>
        <w:tab/>
      </w:r>
      <w:r>
        <w:fldChar w:fldCharType="begin"/>
      </w:r>
      <w:r>
        <w:instrText xml:space="preserve"> PAGEREF _Toc512323789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Local laws</w:t>
      </w:r>
    </w:p>
    <w:p>
      <w:pPr>
        <w:pStyle w:val="TOC8"/>
        <w:rPr>
          <w:rFonts w:asciiTheme="minorHAnsi" w:eastAsiaTheme="minorEastAsia" w:hAnsiTheme="minorHAnsi" w:cstheme="minorBidi"/>
          <w:szCs w:val="22"/>
        </w:rPr>
      </w:pPr>
      <w:r>
        <w:t>199</w:t>
      </w:r>
      <w:r>
        <w:rPr>
          <w:snapToGrid w:val="0"/>
        </w:rPr>
        <w:t>.</w:t>
      </w:r>
      <w:r>
        <w:rPr>
          <w:snapToGrid w:val="0"/>
        </w:rPr>
        <w:tab/>
        <w:t>Local laws in respect of nuisances and offensive trades</w:t>
      </w:r>
      <w:r>
        <w:tab/>
      </w:r>
      <w:r>
        <w:fldChar w:fldCharType="begin"/>
      </w:r>
      <w:r>
        <w:instrText xml:space="preserve"> PAGEREF _Toc512323791 \h </w:instrText>
      </w:r>
      <w:r>
        <w:fldChar w:fldCharType="separate"/>
      </w:r>
      <w:r>
        <w:t>120</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Regulations as to medical examinations for persons in prescribed industries</w:t>
      </w:r>
      <w:r>
        <w:tab/>
      </w:r>
      <w:r>
        <w:fldChar w:fldCharType="begin"/>
      </w:r>
      <w:r>
        <w:instrText xml:space="preserve"> PAGEREF _Toc512323792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Part VIIA</w:t>
      </w:r>
      <w:r>
        <w:rPr>
          <w:b w:val="0"/>
        </w:rPr>
        <w:t> </w:t>
      </w:r>
      <w:r>
        <w:t>—</w:t>
      </w:r>
      <w:r>
        <w:rPr>
          <w:b w:val="0"/>
        </w:rPr>
        <w:t> </w:t>
      </w:r>
      <w:r>
        <w:t>Pesticides</w:t>
      </w:r>
    </w:p>
    <w:p>
      <w:pPr>
        <w:pStyle w:val="TOC4"/>
        <w:tabs>
          <w:tab w:val="right" w:leader="dot" w:pos="7077"/>
        </w:tabs>
        <w:rPr>
          <w:rFonts w:asciiTheme="minorHAnsi" w:eastAsiaTheme="minorEastAsia" w:hAnsiTheme="minorHAnsi" w:cstheme="minorBidi"/>
          <w:b w:val="0"/>
          <w:szCs w:val="22"/>
        </w:rPr>
      </w:pPr>
      <w:r>
        <w:t>Division 1 — Registration of analysts</w:t>
      </w:r>
    </w:p>
    <w:p>
      <w:pPr>
        <w:pStyle w:val="TOC8"/>
        <w:rPr>
          <w:rFonts w:asciiTheme="minorHAnsi" w:eastAsiaTheme="minorEastAsia" w:hAnsiTheme="minorHAnsi" w:cstheme="minorBidi"/>
          <w:szCs w:val="22"/>
        </w:rPr>
      </w:pPr>
      <w:r>
        <w:t>203</w:t>
      </w:r>
      <w:r>
        <w:rPr>
          <w:snapToGrid w:val="0"/>
        </w:rPr>
        <w:t>.</w:t>
      </w:r>
      <w:r>
        <w:rPr>
          <w:snapToGrid w:val="0"/>
        </w:rPr>
        <w:tab/>
        <w:t>Registration of analysts</w:t>
      </w:r>
      <w:r>
        <w:tab/>
      </w:r>
      <w:r>
        <w:fldChar w:fldCharType="begin"/>
      </w:r>
      <w:r>
        <w:instrText xml:space="preserve"> PAGEREF _Toc512323795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Pesticides</w:t>
      </w:r>
    </w:p>
    <w:p>
      <w:pPr>
        <w:pStyle w:val="TOC8"/>
        <w:rPr>
          <w:rFonts w:asciiTheme="minorHAnsi" w:eastAsiaTheme="minorEastAsia" w:hAnsiTheme="minorHAnsi" w:cstheme="minorBidi"/>
          <w:szCs w:val="22"/>
        </w:rPr>
      </w:pPr>
      <w:r>
        <w:t>246</w:t>
      </w:r>
      <w:r>
        <w:rPr>
          <w:snapToGrid w:val="0"/>
        </w:rPr>
        <w:t>.</w:t>
      </w:r>
      <w:r>
        <w:rPr>
          <w:snapToGrid w:val="0"/>
        </w:rPr>
        <w:tab/>
        <w:t>Term used: Pesticides Advisory Committee</w:t>
      </w:r>
      <w:r>
        <w:tab/>
      </w:r>
      <w:r>
        <w:fldChar w:fldCharType="begin"/>
      </w:r>
      <w:r>
        <w:instrText xml:space="preserve"> PAGEREF _Toc512323797 \h </w:instrText>
      </w:r>
      <w:r>
        <w:fldChar w:fldCharType="separate"/>
      </w:r>
      <w:r>
        <w:t>125</w:t>
      </w:r>
      <w:r>
        <w:fldChar w:fldCharType="end"/>
      </w:r>
    </w:p>
    <w:p>
      <w:pPr>
        <w:pStyle w:val="TOC8"/>
        <w:rPr>
          <w:rFonts w:asciiTheme="minorHAnsi" w:eastAsiaTheme="minorEastAsia" w:hAnsiTheme="minorHAnsi" w:cstheme="minorBidi"/>
          <w:szCs w:val="22"/>
        </w:rPr>
      </w:pPr>
      <w:r>
        <w:t>246A</w:t>
      </w:r>
      <w:r>
        <w:rPr>
          <w:snapToGrid w:val="0"/>
        </w:rPr>
        <w:t>.</w:t>
      </w:r>
      <w:r>
        <w:rPr>
          <w:snapToGrid w:val="0"/>
        </w:rPr>
        <w:tab/>
      </w:r>
      <w:r>
        <w:t>C</w:t>
      </w:r>
      <w:r>
        <w:rPr>
          <w:bCs/>
          <w:iCs/>
        </w:rPr>
        <w:t xml:space="preserve">rown bound, but </w:t>
      </w:r>
      <w:r>
        <w:rPr>
          <w:bCs/>
          <w:i/>
          <w:iCs/>
        </w:rPr>
        <w:t>Health Practitioner Regulation National Law (Western Australia)</w:t>
      </w:r>
      <w:r>
        <w:rPr>
          <w:bCs/>
          <w:iCs/>
        </w:rPr>
        <w:t xml:space="preserve"> and </w:t>
      </w:r>
      <w:r>
        <w:rPr>
          <w:i/>
          <w:snapToGrid w:val="0"/>
        </w:rPr>
        <w:t xml:space="preserve">Medicines and Poisons Act 2014 </w:t>
      </w:r>
      <w:r>
        <w:rPr>
          <w:bCs/>
          <w:iCs/>
        </w:rPr>
        <w:t>not affected by Division 8</w:t>
      </w:r>
      <w:r>
        <w:tab/>
      </w:r>
      <w:r>
        <w:fldChar w:fldCharType="begin"/>
      </w:r>
      <w:r>
        <w:instrText xml:space="preserve"> PAGEREF _Toc512323798 \h </w:instrText>
      </w:r>
      <w:r>
        <w:fldChar w:fldCharType="separate"/>
      </w:r>
      <w:r>
        <w:t>125</w:t>
      </w:r>
      <w:r>
        <w:fldChar w:fldCharType="end"/>
      </w:r>
    </w:p>
    <w:p>
      <w:pPr>
        <w:pStyle w:val="TOC8"/>
        <w:rPr>
          <w:rFonts w:asciiTheme="minorHAnsi" w:eastAsiaTheme="minorEastAsia" w:hAnsiTheme="minorHAnsi" w:cstheme="minorBidi"/>
          <w:szCs w:val="22"/>
        </w:rPr>
      </w:pPr>
      <w:r>
        <w:t>246B</w:t>
      </w:r>
      <w:r>
        <w:rPr>
          <w:snapToGrid w:val="0"/>
        </w:rPr>
        <w:t xml:space="preserve">. </w:t>
      </w:r>
      <w:r>
        <w:rPr>
          <w:snapToGrid w:val="0"/>
        </w:rPr>
        <w:tab/>
        <w:t>Pesticides Advisory Committee</w:t>
      </w:r>
      <w:r>
        <w:tab/>
      </w:r>
      <w:r>
        <w:fldChar w:fldCharType="begin"/>
      </w:r>
      <w:r>
        <w:instrText xml:space="preserve"> PAGEREF _Toc512323799 \h </w:instrText>
      </w:r>
      <w:r>
        <w:fldChar w:fldCharType="separate"/>
      </w:r>
      <w:r>
        <w:t>125</w:t>
      </w:r>
      <w:r>
        <w:fldChar w:fldCharType="end"/>
      </w:r>
    </w:p>
    <w:p>
      <w:pPr>
        <w:pStyle w:val="TOC8"/>
        <w:rPr>
          <w:rFonts w:asciiTheme="minorHAnsi" w:eastAsiaTheme="minorEastAsia" w:hAnsiTheme="minorHAnsi" w:cstheme="minorBidi"/>
          <w:szCs w:val="22"/>
        </w:rPr>
      </w:pPr>
      <w:r>
        <w:t>246BA</w:t>
      </w:r>
      <w:r>
        <w:rPr>
          <w:snapToGrid w:val="0"/>
        </w:rPr>
        <w:t xml:space="preserve">. </w:t>
      </w:r>
      <w:r>
        <w:rPr>
          <w:snapToGrid w:val="0"/>
        </w:rPr>
        <w:tab/>
        <w:t>General powers of Pesticides Advisory Committee</w:t>
      </w:r>
      <w:r>
        <w:tab/>
      </w:r>
      <w:r>
        <w:fldChar w:fldCharType="begin"/>
      </w:r>
      <w:r>
        <w:instrText xml:space="preserve"> PAGEREF _Toc512323800 \h </w:instrText>
      </w:r>
      <w:r>
        <w:fldChar w:fldCharType="separate"/>
      </w:r>
      <w:r>
        <w:t>128</w:t>
      </w:r>
      <w:r>
        <w:fldChar w:fldCharType="end"/>
      </w:r>
    </w:p>
    <w:p>
      <w:pPr>
        <w:pStyle w:val="TOC8"/>
        <w:rPr>
          <w:rFonts w:asciiTheme="minorHAnsi" w:eastAsiaTheme="minorEastAsia" w:hAnsiTheme="minorHAnsi" w:cstheme="minorBidi"/>
          <w:szCs w:val="22"/>
        </w:rPr>
      </w:pPr>
      <w:r>
        <w:t>246C</w:t>
      </w:r>
      <w:r>
        <w:rPr>
          <w:snapToGrid w:val="0"/>
        </w:rPr>
        <w:t xml:space="preserve">. </w:t>
      </w:r>
      <w:r>
        <w:rPr>
          <w:snapToGrid w:val="0"/>
        </w:rPr>
        <w:tab/>
        <w:t>Regulations relating to pesticides</w:t>
      </w:r>
      <w:r>
        <w:tab/>
      </w:r>
      <w:r>
        <w:fldChar w:fldCharType="begin"/>
      </w:r>
      <w:r>
        <w:instrText xml:space="preserve"> PAGEREF _Toc512323801 \h </w:instrText>
      </w:r>
      <w:r>
        <w:fldChar w:fldCharType="separate"/>
      </w:r>
      <w:r>
        <w:t>128</w:t>
      </w:r>
      <w:r>
        <w:fldChar w:fldCharType="end"/>
      </w:r>
    </w:p>
    <w:p>
      <w:pPr>
        <w:pStyle w:val="TOC2"/>
        <w:tabs>
          <w:tab w:val="right" w:leader="dot" w:pos="7077"/>
        </w:tabs>
        <w:rPr>
          <w:rFonts w:asciiTheme="minorHAnsi" w:eastAsiaTheme="minorEastAsia" w:hAnsiTheme="minorHAnsi" w:cstheme="minorBidi"/>
          <w:b w:val="0"/>
          <w:sz w:val="22"/>
          <w:szCs w:val="22"/>
        </w:rPr>
      </w:pPr>
      <w:r>
        <w:t>Part VIIIA — Analytical services</w:t>
      </w:r>
    </w:p>
    <w:p>
      <w:pPr>
        <w:pStyle w:val="TOC8"/>
        <w:rPr>
          <w:rFonts w:asciiTheme="minorHAnsi" w:eastAsiaTheme="minorEastAsia" w:hAnsiTheme="minorHAnsi" w:cstheme="minorBidi"/>
          <w:szCs w:val="22"/>
        </w:rPr>
      </w:pPr>
      <w:r>
        <w:t>247AA.</w:t>
      </w:r>
      <w:r>
        <w:tab/>
        <w:t>Terms used</w:t>
      </w:r>
      <w:r>
        <w:tab/>
      </w:r>
      <w:r>
        <w:fldChar w:fldCharType="begin"/>
      </w:r>
      <w:r>
        <w:instrText xml:space="preserve"> PAGEREF _Toc512323803 \h </w:instrText>
      </w:r>
      <w:r>
        <w:fldChar w:fldCharType="separate"/>
      </w:r>
      <w:r>
        <w:t>132</w:t>
      </w:r>
      <w:r>
        <w:fldChar w:fldCharType="end"/>
      </w:r>
    </w:p>
    <w:p>
      <w:pPr>
        <w:pStyle w:val="TOC8"/>
        <w:rPr>
          <w:rFonts w:asciiTheme="minorHAnsi" w:eastAsiaTheme="minorEastAsia" w:hAnsiTheme="minorHAnsi" w:cstheme="minorBidi"/>
          <w:szCs w:val="22"/>
        </w:rPr>
      </w:pPr>
      <w:r>
        <w:t>247A</w:t>
      </w:r>
      <w:r>
        <w:rPr>
          <w:snapToGrid w:val="0"/>
        </w:rPr>
        <w:t xml:space="preserve">. </w:t>
      </w:r>
      <w:r>
        <w:rPr>
          <w:snapToGrid w:val="0"/>
        </w:rPr>
        <w:tab/>
        <w:t>Local Health Authorities Analytical Committee</w:t>
      </w:r>
      <w:r>
        <w:tab/>
      </w:r>
      <w:r>
        <w:fldChar w:fldCharType="begin"/>
      </w:r>
      <w:r>
        <w:instrText xml:space="preserve"> PAGEREF _Toc512323804 \h </w:instrText>
      </w:r>
      <w:r>
        <w:fldChar w:fldCharType="separate"/>
      </w:r>
      <w:r>
        <w:t>132</w:t>
      </w:r>
      <w:r>
        <w:fldChar w:fldCharType="end"/>
      </w:r>
    </w:p>
    <w:p>
      <w:pPr>
        <w:pStyle w:val="TOC8"/>
        <w:rPr>
          <w:rFonts w:asciiTheme="minorHAnsi" w:eastAsiaTheme="minorEastAsia" w:hAnsiTheme="minorHAnsi" w:cstheme="minorBidi"/>
          <w:szCs w:val="22"/>
        </w:rPr>
      </w:pPr>
      <w:r>
        <w:t>247BA.</w:t>
      </w:r>
      <w:r>
        <w:tab/>
        <w:t>Term of office and vacation of office</w:t>
      </w:r>
      <w:r>
        <w:tab/>
      </w:r>
      <w:r>
        <w:fldChar w:fldCharType="begin"/>
      </w:r>
      <w:r>
        <w:instrText xml:space="preserve"> PAGEREF _Toc512323805 \h </w:instrText>
      </w:r>
      <w:r>
        <w:fldChar w:fldCharType="separate"/>
      </w:r>
      <w:r>
        <w:t>133</w:t>
      </w:r>
      <w:r>
        <w:fldChar w:fldCharType="end"/>
      </w:r>
    </w:p>
    <w:p>
      <w:pPr>
        <w:pStyle w:val="TOC8"/>
        <w:rPr>
          <w:rFonts w:asciiTheme="minorHAnsi" w:eastAsiaTheme="minorEastAsia" w:hAnsiTheme="minorHAnsi" w:cstheme="minorBidi"/>
          <w:szCs w:val="22"/>
        </w:rPr>
      </w:pPr>
      <w:r>
        <w:t>247B</w:t>
      </w:r>
      <w:r>
        <w:rPr>
          <w:snapToGrid w:val="0"/>
        </w:rPr>
        <w:t xml:space="preserve">. </w:t>
      </w:r>
      <w:r>
        <w:rPr>
          <w:snapToGrid w:val="0"/>
        </w:rPr>
        <w:tab/>
        <w:t>Meetings and procedure of Analytical Committee</w:t>
      </w:r>
      <w:r>
        <w:tab/>
      </w:r>
      <w:r>
        <w:fldChar w:fldCharType="begin"/>
      </w:r>
      <w:r>
        <w:instrText xml:space="preserve"> PAGEREF _Toc512323806 \h </w:instrText>
      </w:r>
      <w:r>
        <w:fldChar w:fldCharType="separate"/>
      </w:r>
      <w:r>
        <w:t>134</w:t>
      </w:r>
      <w:r>
        <w:fldChar w:fldCharType="end"/>
      </w:r>
    </w:p>
    <w:p>
      <w:pPr>
        <w:pStyle w:val="TOC8"/>
        <w:rPr>
          <w:rFonts w:asciiTheme="minorHAnsi" w:eastAsiaTheme="minorEastAsia" w:hAnsiTheme="minorHAnsi" w:cstheme="minorBidi"/>
          <w:szCs w:val="22"/>
        </w:rPr>
      </w:pPr>
      <w:r>
        <w:t>247C</w:t>
      </w:r>
      <w:r>
        <w:rPr>
          <w:snapToGrid w:val="0"/>
        </w:rPr>
        <w:t xml:space="preserve">. </w:t>
      </w:r>
      <w:r>
        <w:rPr>
          <w:snapToGrid w:val="0"/>
        </w:rPr>
        <w:tab/>
        <w:t>Powers and functions of Analytical Committee</w:t>
      </w:r>
      <w:r>
        <w:tab/>
      </w:r>
      <w:r>
        <w:fldChar w:fldCharType="begin"/>
      </w:r>
      <w:r>
        <w:instrText xml:space="preserve"> PAGEREF _Toc512323807 \h </w:instrText>
      </w:r>
      <w:r>
        <w:fldChar w:fldCharType="separate"/>
      </w:r>
      <w:r>
        <w:t>136</w:t>
      </w:r>
      <w:r>
        <w:fldChar w:fldCharType="end"/>
      </w:r>
    </w:p>
    <w:p>
      <w:pPr>
        <w:pStyle w:val="TOC8"/>
        <w:rPr>
          <w:rFonts w:asciiTheme="minorHAnsi" w:eastAsiaTheme="minorEastAsia" w:hAnsiTheme="minorHAnsi" w:cstheme="minorBidi"/>
          <w:szCs w:val="22"/>
        </w:rPr>
      </w:pPr>
      <w:r>
        <w:t>247D</w:t>
      </w:r>
      <w:r>
        <w:rPr>
          <w:snapToGrid w:val="0"/>
        </w:rPr>
        <w:t>.</w:t>
      </w:r>
      <w:r>
        <w:rPr>
          <w:snapToGrid w:val="0"/>
        </w:rPr>
        <w:tab/>
        <w:t>Participation in scheme by local governments</w:t>
      </w:r>
      <w:r>
        <w:tab/>
      </w:r>
      <w:r>
        <w:fldChar w:fldCharType="begin"/>
      </w:r>
      <w:r>
        <w:instrText xml:space="preserve"> PAGEREF _Toc512323808 \h </w:instrText>
      </w:r>
      <w:r>
        <w:fldChar w:fldCharType="separate"/>
      </w:r>
      <w:r>
        <w:t>136</w:t>
      </w:r>
      <w:r>
        <w:fldChar w:fldCharType="end"/>
      </w:r>
    </w:p>
    <w:p>
      <w:pPr>
        <w:pStyle w:val="TOC8"/>
        <w:rPr>
          <w:rFonts w:asciiTheme="minorHAnsi" w:eastAsiaTheme="minorEastAsia" w:hAnsiTheme="minorHAnsi" w:cstheme="minorBidi"/>
          <w:szCs w:val="22"/>
        </w:rPr>
      </w:pPr>
      <w:r>
        <w:t>247E</w:t>
      </w:r>
      <w:r>
        <w:rPr>
          <w:snapToGrid w:val="0"/>
        </w:rPr>
        <w:t xml:space="preserve">. </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_Toc512323809 \h </w:instrText>
      </w:r>
      <w:r>
        <w:fldChar w:fldCharType="separate"/>
      </w:r>
      <w:r>
        <w:t>137</w:t>
      </w:r>
      <w:r>
        <w:fldChar w:fldCharType="end"/>
      </w:r>
    </w:p>
    <w:p>
      <w:pPr>
        <w:pStyle w:val="TOC8"/>
        <w:rPr>
          <w:rFonts w:asciiTheme="minorHAnsi" w:eastAsiaTheme="minorEastAsia" w:hAnsiTheme="minorHAnsi" w:cstheme="minorBidi"/>
          <w:szCs w:val="22"/>
        </w:rPr>
      </w:pPr>
      <w:r>
        <w:t>247F</w:t>
      </w:r>
      <w:r>
        <w:rPr>
          <w:snapToGrid w:val="0"/>
        </w:rPr>
        <w:t xml:space="preserve">. </w:t>
      </w:r>
      <w:r>
        <w:rPr>
          <w:snapToGrid w:val="0"/>
        </w:rPr>
        <w:tab/>
        <w:t>Regulations as to Part VIIIA</w:t>
      </w:r>
      <w:r>
        <w:tab/>
      </w:r>
      <w:r>
        <w:fldChar w:fldCharType="begin"/>
      </w:r>
      <w:r>
        <w:instrText xml:space="preserve"> PAGEREF _Toc512323810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IX — Infectious diseases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provisions</w:t>
      </w:r>
    </w:p>
    <w:p>
      <w:pPr>
        <w:pStyle w:val="TOC8"/>
        <w:rPr>
          <w:rFonts w:asciiTheme="minorHAnsi" w:eastAsiaTheme="minorEastAsia" w:hAnsiTheme="minorHAnsi" w:cstheme="minorBidi"/>
          <w:szCs w:val="22"/>
        </w:rPr>
      </w:pPr>
      <w:r>
        <w:t>249</w:t>
      </w:r>
      <w:r>
        <w:rPr>
          <w:snapToGrid w:val="0"/>
        </w:rPr>
        <w:t>.</w:t>
      </w:r>
      <w:r>
        <w:rPr>
          <w:snapToGrid w:val="0"/>
        </w:rPr>
        <w:tab/>
        <w:t>Local laws to prevent spread of infectious disease</w:t>
      </w:r>
      <w:r>
        <w:tab/>
      </w:r>
      <w:r>
        <w:fldChar w:fldCharType="begin"/>
      </w:r>
      <w:r>
        <w:instrText xml:space="preserve"> PAGEREF _Toc512323813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Part IXA — Prevention and alleviation of certain non</w:t>
      </w:r>
      <w:r>
        <w:noBreakHyphen/>
        <w:t>infectious disease processes and physical or functional abnormalities</w:t>
      </w:r>
    </w:p>
    <w:p>
      <w:pPr>
        <w:pStyle w:val="TOC8"/>
        <w:rPr>
          <w:rFonts w:asciiTheme="minorHAnsi" w:eastAsiaTheme="minorEastAsia" w:hAnsiTheme="minorHAnsi" w:cstheme="minorBidi"/>
          <w:szCs w:val="22"/>
        </w:rPr>
      </w:pPr>
      <w:r>
        <w:t>289A</w:t>
      </w:r>
      <w:r>
        <w:rPr>
          <w:snapToGrid w:val="0"/>
        </w:rPr>
        <w:t>.</w:t>
      </w:r>
      <w:r>
        <w:rPr>
          <w:snapToGrid w:val="0"/>
        </w:rPr>
        <w:tab/>
        <w:t>Objects of this Part</w:t>
      </w:r>
      <w:r>
        <w:tab/>
      </w:r>
      <w:r>
        <w:fldChar w:fldCharType="begin"/>
      </w:r>
      <w:r>
        <w:instrText xml:space="preserve"> PAGEREF _Toc512323815 \h </w:instrText>
      </w:r>
      <w:r>
        <w:fldChar w:fldCharType="separate"/>
      </w:r>
      <w:r>
        <w:t>141</w:t>
      </w:r>
      <w:r>
        <w:fldChar w:fldCharType="end"/>
      </w:r>
    </w:p>
    <w:p>
      <w:pPr>
        <w:pStyle w:val="TOC8"/>
        <w:rPr>
          <w:rFonts w:asciiTheme="minorHAnsi" w:eastAsiaTheme="minorEastAsia" w:hAnsiTheme="minorHAnsi" w:cstheme="minorBidi"/>
          <w:szCs w:val="22"/>
        </w:rPr>
      </w:pPr>
      <w:r>
        <w:t>289B</w:t>
      </w:r>
      <w:r>
        <w:rPr>
          <w:snapToGrid w:val="0"/>
        </w:rPr>
        <w:t>.</w:t>
      </w:r>
      <w:r>
        <w:rPr>
          <w:snapToGrid w:val="0"/>
        </w:rPr>
        <w:tab/>
        <w:t>Term used: prescribed condition of health</w:t>
      </w:r>
      <w:r>
        <w:tab/>
      </w:r>
      <w:r>
        <w:fldChar w:fldCharType="begin"/>
      </w:r>
      <w:r>
        <w:instrText xml:space="preserve"> PAGEREF _Toc512323816 \h </w:instrText>
      </w:r>
      <w:r>
        <w:fldChar w:fldCharType="separate"/>
      </w:r>
      <w:r>
        <w:t>141</w:t>
      </w:r>
      <w:r>
        <w:fldChar w:fldCharType="end"/>
      </w:r>
    </w:p>
    <w:p>
      <w:pPr>
        <w:pStyle w:val="TOC8"/>
        <w:rPr>
          <w:rFonts w:asciiTheme="minorHAnsi" w:eastAsiaTheme="minorEastAsia" w:hAnsiTheme="minorHAnsi" w:cstheme="minorBidi"/>
          <w:szCs w:val="22"/>
        </w:rPr>
      </w:pPr>
      <w:r>
        <w:t>289C</w:t>
      </w:r>
      <w:r>
        <w:rPr>
          <w:snapToGrid w:val="0"/>
        </w:rPr>
        <w:t>.</w:t>
      </w:r>
      <w:r>
        <w:rPr>
          <w:snapToGrid w:val="0"/>
        </w:rPr>
        <w:tab/>
        <w:t>Regulation as to Part IXA</w:t>
      </w:r>
      <w:r>
        <w:tab/>
      </w:r>
      <w:r>
        <w:fldChar w:fldCharType="begin"/>
      </w:r>
      <w:r>
        <w:instrText xml:space="preserve"> PAGEREF _Toc512323817 \h </w:instrText>
      </w:r>
      <w:r>
        <w:fldChar w:fldCharType="separate"/>
      </w:r>
      <w:r>
        <w:t>141</w:t>
      </w:r>
      <w:r>
        <w:fldChar w:fldCharType="end"/>
      </w:r>
    </w:p>
    <w:p>
      <w:pPr>
        <w:pStyle w:val="TOC8"/>
        <w:rPr>
          <w:rFonts w:asciiTheme="minorHAnsi" w:eastAsiaTheme="minorEastAsia" w:hAnsiTheme="minorHAnsi" w:cstheme="minorBidi"/>
          <w:szCs w:val="22"/>
        </w:rPr>
      </w:pPr>
      <w:r>
        <w:t>289D</w:t>
      </w:r>
      <w:r>
        <w:rPr>
          <w:snapToGrid w:val="0"/>
        </w:rPr>
        <w:t xml:space="preserve">. </w:t>
      </w:r>
      <w:r>
        <w:rPr>
          <w:snapToGrid w:val="0"/>
        </w:rPr>
        <w:tab/>
        <w:t>Powers conferred by this Part are cumulative</w:t>
      </w:r>
      <w:r>
        <w:tab/>
      </w:r>
      <w:r>
        <w:fldChar w:fldCharType="begin"/>
      </w:r>
      <w:r>
        <w:instrText xml:space="preserve"> PAGEREF _Toc512323818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XII — Hospitals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Public hospital</w:t>
      </w:r>
    </w:p>
    <w:p>
      <w:pPr>
        <w:pStyle w:val="TOC8"/>
        <w:rPr>
          <w:rFonts w:asciiTheme="minorHAnsi" w:eastAsiaTheme="minorEastAsia" w:hAnsiTheme="minorHAnsi" w:cstheme="minorBidi"/>
          <w:szCs w:val="22"/>
        </w:rPr>
      </w:pPr>
      <w:r>
        <w:t>324</w:t>
      </w:r>
      <w:r>
        <w:rPr>
          <w:snapToGrid w:val="0"/>
        </w:rPr>
        <w:t>.</w:t>
      </w:r>
      <w:r>
        <w:rPr>
          <w:snapToGrid w:val="0"/>
        </w:rPr>
        <w:tab/>
        <w:t>Local governments may establish or subsidise hospitals</w:t>
      </w:r>
      <w:r>
        <w:tab/>
      </w:r>
      <w:r>
        <w:fldChar w:fldCharType="begin"/>
      </w:r>
      <w:r>
        <w:instrText xml:space="preserve"> PAGEREF _Toc512323821 \h </w:instrText>
      </w:r>
      <w:r>
        <w:fldChar w:fldCharType="separate"/>
      </w:r>
      <w:r>
        <w:t>143</w:t>
      </w:r>
      <w:r>
        <w:fldChar w:fldCharType="end"/>
      </w:r>
    </w:p>
    <w:p>
      <w:pPr>
        <w:pStyle w:val="TOC8"/>
        <w:rPr>
          <w:rFonts w:asciiTheme="minorHAnsi" w:eastAsiaTheme="minorEastAsia" w:hAnsiTheme="minorHAnsi" w:cstheme="minorBidi"/>
          <w:szCs w:val="22"/>
        </w:rPr>
      </w:pPr>
      <w: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r>
        <w:tab/>
      </w:r>
      <w:r>
        <w:fldChar w:fldCharType="begin"/>
      </w:r>
      <w:r>
        <w:instrText xml:space="preserve"> PAGEREF _Toc512323822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Part XIIA — Community health centres, etc.</w:t>
      </w:r>
    </w:p>
    <w:p>
      <w:pPr>
        <w:pStyle w:val="TOC8"/>
        <w:rPr>
          <w:rFonts w:asciiTheme="minorHAnsi" w:eastAsiaTheme="minorEastAsia" w:hAnsiTheme="minorHAnsi" w:cstheme="minorBidi"/>
          <w:szCs w:val="22"/>
        </w:rPr>
      </w:pPr>
      <w:r>
        <w:t>330A</w:t>
      </w:r>
      <w:r>
        <w:rPr>
          <w:snapToGrid w:val="0"/>
        </w:rPr>
        <w:t xml:space="preserve">. </w:t>
      </w:r>
      <w:r>
        <w:rPr>
          <w:snapToGrid w:val="0"/>
        </w:rPr>
        <w:tab/>
        <w:t>Land may be acquired or leased for community health centres</w:t>
      </w:r>
      <w:r>
        <w:tab/>
      </w:r>
      <w:r>
        <w:fldChar w:fldCharType="begin"/>
      </w:r>
      <w:r>
        <w:instrText xml:space="preserve"> PAGEREF _Toc512323824 \h </w:instrText>
      </w:r>
      <w:r>
        <w:fldChar w:fldCharType="separate"/>
      </w:r>
      <w:r>
        <w:t>145</w:t>
      </w:r>
      <w:r>
        <w:fldChar w:fldCharType="end"/>
      </w:r>
    </w:p>
    <w:p>
      <w:pPr>
        <w:pStyle w:val="TOC8"/>
        <w:rPr>
          <w:rFonts w:asciiTheme="minorHAnsi" w:eastAsiaTheme="minorEastAsia" w:hAnsiTheme="minorHAnsi" w:cstheme="minorBidi"/>
          <w:szCs w:val="22"/>
        </w:rPr>
      </w:pPr>
      <w:r>
        <w:t>330B</w:t>
      </w:r>
      <w:r>
        <w:rPr>
          <w:snapToGrid w:val="0"/>
        </w:rPr>
        <w:t xml:space="preserve">. </w:t>
      </w:r>
      <w:r>
        <w:rPr>
          <w:snapToGrid w:val="0"/>
        </w:rPr>
        <w:tab/>
        <w:t>Local governments may subsidise certain medical centres</w:t>
      </w:r>
      <w:r>
        <w:tab/>
      </w:r>
      <w:r>
        <w:fldChar w:fldCharType="begin"/>
      </w:r>
      <w:r>
        <w:instrText xml:space="preserve"> PAGEREF _Toc512323825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Part XIII — Child health and preventive medicine</w:t>
      </w:r>
    </w:p>
    <w:p>
      <w:pPr>
        <w:pStyle w:val="TOC8"/>
        <w:rPr>
          <w:rFonts w:asciiTheme="minorHAnsi" w:eastAsiaTheme="minorEastAsia" w:hAnsiTheme="minorHAnsi" w:cstheme="minorBidi"/>
          <w:szCs w:val="22"/>
        </w:rPr>
      </w:pPr>
      <w:r>
        <w:t>331.</w:t>
      </w:r>
      <w:r>
        <w:tab/>
        <w:t>Terms used</w:t>
      </w:r>
      <w:r>
        <w:tab/>
      </w:r>
      <w:r>
        <w:fldChar w:fldCharType="begin"/>
      </w:r>
      <w:r>
        <w:instrText xml:space="preserve"> PAGEREF _Toc512323827 \h </w:instrText>
      </w:r>
      <w:r>
        <w:fldChar w:fldCharType="separate"/>
      </w:r>
      <w:r>
        <w:t>147</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Regulations</w:t>
      </w:r>
      <w:r>
        <w:tab/>
      </w:r>
      <w:r>
        <w:fldChar w:fldCharType="begin"/>
      </w:r>
      <w:r>
        <w:instrText xml:space="preserve"> PAGEREF _Toc512323828 \h </w:instrText>
      </w:r>
      <w:r>
        <w:fldChar w:fldCharType="separate"/>
      </w:r>
      <w:r>
        <w:t>147</w:t>
      </w:r>
      <w:r>
        <w:fldChar w:fldCharType="end"/>
      </w:r>
    </w:p>
    <w:p>
      <w:pPr>
        <w:pStyle w:val="TOC8"/>
        <w:rPr>
          <w:rFonts w:asciiTheme="minorHAnsi" w:eastAsiaTheme="minorEastAsia" w:hAnsiTheme="minorHAnsi" w:cstheme="minorBidi"/>
          <w:szCs w:val="22"/>
        </w:rPr>
      </w:pPr>
      <w:r>
        <w:t>334.</w:t>
      </w:r>
      <w:r>
        <w:tab/>
        <w:t>Performance of abortions</w:t>
      </w:r>
      <w:r>
        <w:tab/>
      </w:r>
      <w:r>
        <w:fldChar w:fldCharType="begin"/>
      </w:r>
      <w:r>
        <w:instrText xml:space="preserve"> PAGEREF _Toc512323829 \h </w:instrText>
      </w:r>
      <w:r>
        <w:fldChar w:fldCharType="separate"/>
      </w:r>
      <w:r>
        <w:t>147</w:t>
      </w:r>
      <w:r>
        <w:fldChar w:fldCharType="end"/>
      </w:r>
    </w:p>
    <w:p>
      <w:pPr>
        <w:pStyle w:val="TOC8"/>
        <w:rPr>
          <w:rFonts w:asciiTheme="minorHAnsi" w:eastAsiaTheme="minorEastAsia" w:hAnsiTheme="minorHAnsi" w:cstheme="minorBidi"/>
          <w:szCs w:val="22"/>
        </w:rPr>
      </w:pPr>
      <w:r>
        <w:t>335</w:t>
      </w:r>
      <w:r>
        <w:rPr>
          <w:snapToGrid w:val="0"/>
        </w:rPr>
        <w:t>.</w:t>
      </w:r>
      <w:r>
        <w:rPr>
          <w:snapToGrid w:val="0"/>
        </w:rPr>
        <w:tab/>
        <w:t>Reports to be furnished</w:t>
      </w:r>
      <w:r>
        <w:tab/>
      </w:r>
      <w:r>
        <w:fldChar w:fldCharType="begin"/>
      </w:r>
      <w:r>
        <w:instrText xml:space="preserve"> PAGEREF _Toc512323830 \h </w:instrText>
      </w:r>
      <w:r>
        <w:fldChar w:fldCharType="separate"/>
      </w:r>
      <w:r>
        <w:t>150</w:t>
      </w:r>
      <w:r>
        <w:fldChar w:fldCharType="end"/>
      </w:r>
    </w:p>
    <w:p>
      <w:pPr>
        <w:pStyle w:val="TOC8"/>
        <w:rPr>
          <w:rFonts w:asciiTheme="minorHAnsi" w:eastAsiaTheme="minorEastAsia" w:hAnsiTheme="minorHAnsi" w:cstheme="minorBidi"/>
          <w:szCs w:val="22"/>
        </w:rPr>
      </w:pPr>
      <w:r>
        <w:t>336</w:t>
      </w:r>
      <w:r>
        <w:rPr>
          <w:snapToGrid w:val="0"/>
        </w:rPr>
        <w:t>.</w:t>
      </w:r>
      <w:r>
        <w:rPr>
          <w:snapToGrid w:val="0"/>
        </w:rPr>
        <w:tab/>
        <w:t>Death of woman as result of pregnancy or childbirth to be reported to Chief Health Officer</w:t>
      </w:r>
      <w:r>
        <w:tab/>
      </w:r>
      <w:r>
        <w:fldChar w:fldCharType="begin"/>
      </w:r>
      <w:r>
        <w:instrText xml:space="preserve"> PAGEREF _Toc512323831 \h </w:instrText>
      </w:r>
      <w:r>
        <w:fldChar w:fldCharType="separate"/>
      </w:r>
      <w:r>
        <w:t>152</w:t>
      </w:r>
      <w:r>
        <w:fldChar w:fldCharType="end"/>
      </w:r>
    </w:p>
    <w:p>
      <w:pPr>
        <w:pStyle w:val="TOC8"/>
        <w:rPr>
          <w:rFonts w:asciiTheme="minorHAnsi" w:eastAsiaTheme="minorEastAsia" w:hAnsiTheme="minorHAnsi" w:cstheme="minorBidi"/>
          <w:szCs w:val="22"/>
        </w:rPr>
      </w:pPr>
      <w:r>
        <w:t>336A</w:t>
      </w:r>
      <w:r>
        <w:rPr>
          <w:snapToGrid w:val="0"/>
        </w:rPr>
        <w:t xml:space="preserve">. </w:t>
      </w:r>
      <w:r>
        <w:rPr>
          <w:snapToGrid w:val="0"/>
        </w:rPr>
        <w:tab/>
        <w:t>Certain deaths of children to be reported to Chief Health Officer</w:t>
      </w:r>
      <w:r>
        <w:tab/>
      </w:r>
      <w:r>
        <w:fldChar w:fldCharType="begin"/>
      </w:r>
      <w:r>
        <w:instrText xml:space="preserve"> PAGEREF _Toc512323832 \h </w:instrText>
      </w:r>
      <w:r>
        <w:fldChar w:fldCharType="separate"/>
      </w:r>
      <w:r>
        <w:t>154</w:t>
      </w:r>
      <w:r>
        <w:fldChar w:fldCharType="end"/>
      </w:r>
    </w:p>
    <w:p>
      <w:pPr>
        <w:pStyle w:val="TOC8"/>
        <w:rPr>
          <w:rFonts w:asciiTheme="minorHAnsi" w:eastAsiaTheme="minorEastAsia" w:hAnsiTheme="minorHAnsi" w:cstheme="minorBidi"/>
          <w:szCs w:val="22"/>
        </w:rPr>
      </w:pPr>
      <w:r>
        <w:t>336B</w:t>
      </w:r>
      <w:r>
        <w:rPr>
          <w:snapToGrid w:val="0"/>
        </w:rPr>
        <w:t xml:space="preserve">. </w:t>
      </w:r>
      <w:r>
        <w:rPr>
          <w:snapToGrid w:val="0"/>
        </w:rPr>
        <w:tab/>
        <w:t>Death of persons under anaesthetic to be reported to Chief Health Officer</w:t>
      </w:r>
      <w:r>
        <w:tab/>
      </w:r>
      <w:r>
        <w:fldChar w:fldCharType="begin"/>
      </w:r>
      <w:r>
        <w:instrText xml:space="preserve"> PAGEREF _Toc512323833 \h </w:instrText>
      </w:r>
      <w:r>
        <w:fldChar w:fldCharType="separate"/>
      </w:r>
      <w:r>
        <w:t>156</w:t>
      </w:r>
      <w:r>
        <w:fldChar w:fldCharType="end"/>
      </w:r>
    </w:p>
    <w:p>
      <w:pPr>
        <w:pStyle w:val="TOC8"/>
        <w:rPr>
          <w:rFonts w:asciiTheme="minorHAnsi" w:eastAsiaTheme="minorEastAsia" w:hAnsiTheme="minorHAnsi" w:cstheme="minorBidi"/>
          <w:szCs w:val="22"/>
        </w:rPr>
      </w:pPr>
      <w:r>
        <w:t>337</w:t>
      </w:r>
      <w:r>
        <w:rPr>
          <w:snapToGrid w:val="0"/>
        </w:rPr>
        <w:t>.</w:t>
      </w:r>
      <w:r>
        <w:rPr>
          <w:snapToGrid w:val="0"/>
        </w:rPr>
        <w:tab/>
        <w:t>Examination of school children</w:t>
      </w:r>
      <w:r>
        <w:tab/>
      </w:r>
      <w:r>
        <w:fldChar w:fldCharType="begin"/>
      </w:r>
      <w:r>
        <w:instrText xml:space="preserve"> PAGEREF _Toc512323834 \h </w:instrText>
      </w:r>
      <w:r>
        <w:fldChar w:fldCharType="separate"/>
      </w:r>
      <w:r>
        <w:t>158</w:t>
      </w:r>
      <w:r>
        <w:fldChar w:fldCharType="end"/>
      </w:r>
    </w:p>
    <w:p>
      <w:pPr>
        <w:pStyle w:val="TOC8"/>
        <w:rPr>
          <w:rFonts w:asciiTheme="minorHAnsi" w:eastAsiaTheme="minorEastAsia" w:hAnsiTheme="minorHAnsi" w:cstheme="minorBidi"/>
          <w:szCs w:val="22"/>
        </w:rPr>
      </w:pPr>
      <w:r>
        <w:t>337A</w:t>
      </w:r>
      <w:r>
        <w:rPr>
          <w:snapToGrid w:val="0"/>
        </w:rPr>
        <w:t xml:space="preserve">. </w:t>
      </w:r>
      <w:r>
        <w:rPr>
          <w:snapToGrid w:val="0"/>
        </w:rPr>
        <w:tab/>
        <w:t>Schools dental service</w:t>
      </w:r>
      <w:r>
        <w:tab/>
      </w:r>
      <w:r>
        <w:fldChar w:fldCharType="begin"/>
      </w:r>
      <w:r>
        <w:instrText xml:space="preserve"> PAGEREF _Toc512323835 \h </w:instrText>
      </w:r>
      <w:r>
        <w:fldChar w:fldCharType="separate"/>
      </w:r>
      <w:r>
        <w:t>159</w:t>
      </w:r>
      <w:r>
        <w:fldChar w:fldCharType="end"/>
      </w:r>
    </w:p>
    <w:p>
      <w:pPr>
        <w:pStyle w:val="TOC2"/>
        <w:tabs>
          <w:tab w:val="right" w:leader="dot" w:pos="7077"/>
        </w:tabs>
        <w:rPr>
          <w:rFonts w:asciiTheme="minorHAnsi" w:eastAsiaTheme="minorEastAsia" w:hAnsiTheme="minorHAnsi" w:cstheme="minorBidi"/>
          <w:b w:val="0"/>
          <w:sz w:val="22"/>
          <w:szCs w:val="22"/>
        </w:rPr>
      </w:pPr>
      <w:r>
        <w:t>Part XIIIA — Maternal Mortality Committee</w:t>
      </w:r>
    </w:p>
    <w:p>
      <w:pPr>
        <w:pStyle w:val="TOC8"/>
        <w:rPr>
          <w:rFonts w:asciiTheme="minorHAnsi" w:eastAsiaTheme="minorEastAsia" w:hAnsiTheme="minorHAnsi" w:cstheme="minorBidi"/>
          <w:szCs w:val="22"/>
        </w:rPr>
      </w:pPr>
      <w:r>
        <w:t>340A</w:t>
      </w:r>
      <w:r>
        <w:rPr>
          <w:snapToGrid w:val="0"/>
        </w:rPr>
        <w:t>.</w:t>
      </w:r>
      <w:r>
        <w:rPr>
          <w:snapToGrid w:val="0"/>
        </w:rPr>
        <w:tab/>
        <w:t>Terms used</w:t>
      </w:r>
      <w:r>
        <w:tab/>
      </w:r>
      <w:r>
        <w:fldChar w:fldCharType="begin"/>
      </w:r>
      <w:r>
        <w:instrText xml:space="preserve"> PAGEREF _Toc512323837 \h </w:instrText>
      </w:r>
      <w:r>
        <w:fldChar w:fldCharType="separate"/>
      </w:r>
      <w:r>
        <w:t>161</w:t>
      </w:r>
      <w:r>
        <w:fldChar w:fldCharType="end"/>
      </w:r>
    </w:p>
    <w:p>
      <w:pPr>
        <w:pStyle w:val="TOC8"/>
        <w:rPr>
          <w:rFonts w:asciiTheme="minorHAnsi" w:eastAsiaTheme="minorEastAsia" w:hAnsiTheme="minorHAnsi" w:cstheme="minorBidi"/>
          <w:szCs w:val="22"/>
        </w:rPr>
      </w:pPr>
      <w:r>
        <w:t>340B</w:t>
      </w:r>
      <w:r>
        <w:rPr>
          <w:snapToGrid w:val="0"/>
        </w:rPr>
        <w:t>.</w:t>
      </w:r>
      <w:r>
        <w:rPr>
          <w:snapToGrid w:val="0"/>
        </w:rPr>
        <w:tab/>
        <w:t>Constitution and offices of Committee</w:t>
      </w:r>
      <w:r>
        <w:tab/>
      </w:r>
      <w:r>
        <w:fldChar w:fldCharType="begin"/>
      </w:r>
      <w:r>
        <w:instrText xml:space="preserve"> PAGEREF _Toc512323838 \h </w:instrText>
      </w:r>
      <w:r>
        <w:fldChar w:fldCharType="separate"/>
      </w:r>
      <w:r>
        <w:t>161</w:t>
      </w:r>
      <w:r>
        <w:fldChar w:fldCharType="end"/>
      </w:r>
    </w:p>
    <w:p>
      <w:pPr>
        <w:pStyle w:val="TOC8"/>
        <w:rPr>
          <w:rFonts w:asciiTheme="minorHAnsi" w:eastAsiaTheme="minorEastAsia" w:hAnsiTheme="minorHAnsi" w:cstheme="minorBidi"/>
          <w:szCs w:val="22"/>
        </w:rPr>
      </w:pPr>
      <w:r>
        <w:t>340C</w:t>
      </w:r>
      <w:r>
        <w:rPr>
          <w:snapToGrid w:val="0"/>
        </w:rPr>
        <w:t xml:space="preserve">. </w:t>
      </w:r>
      <w:r>
        <w:rPr>
          <w:snapToGrid w:val="0"/>
        </w:rPr>
        <w:tab/>
        <w:t>Appointment of deputies</w:t>
      </w:r>
      <w:r>
        <w:tab/>
      </w:r>
      <w:r>
        <w:fldChar w:fldCharType="begin"/>
      </w:r>
      <w:r>
        <w:instrText xml:space="preserve"> PAGEREF _Toc512323839 \h </w:instrText>
      </w:r>
      <w:r>
        <w:fldChar w:fldCharType="separate"/>
      </w:r>
      <w:r>
        <w:t>162</w:t>
      </w:r>
      <w:r>
        <w:fldChar w:fldCharType="end"/>
      </w:r>
    </w:p>
    <w:p>
      <w:pPr>
        <w:pStyle w:val="TOC8"/>
        <w:rPr>
          <w:rFonts w:asciiTheme="minorHAnsi" w:eastAsiaTheme="minorEastAsia" w:hAnsiTheme="minorHAnsi" w:cstheme="minorBidi"/>
          <w:szCs w:val="22"/>
        </w:rPr>
      </w:pPr>
      <w:r>
        <w:t>340D</w:t>
      </w:r>
      <w:r>
        <w:rPr>
          <w:snapToGrid w:val="0"/>
        </w:rPr>
        <w:t xml:space="preserve">. </w:t>
      </w:r>
      <w:r>
        <w:rPr>
          <w:snapToGrid w:val="0"/>
        </w:rPr>
        <w:tab/>
        <w:t>Nominations to be made to Minister</w:t>
      </w:r>
      <w:r>
        <w:tab/>
      </w:r>
      <w:r>
        <w:fldChar w:fldCharType="begin"/>
      </w:r>
      <w:r>
        <w:instrText xml:space="preserve"> PAGEREF _Toc512323840 \h </w:instrText>
      </w:r>
      <w:r>
        <w:fldChar w:fldCharType="separate"/>
      </w:r>
      <w:r>
        <w:t>162</w:t>
      </w:r>
      <w:r>
        <w:fldChar w:fldCharType="end"/>
      </w:r>
    </w:p>
    <w:p>
      <w:pPr>
        <w:pStyle w:val="TOC8"/>
        <w:rPr>
          <w:rFonts w:asciiTheme="minorHAnsi" w:eastAsiaTheme="minorEastAsia" w:hAnsiTheme="minorHAnsi" w:cstheme="minorBidi"/>
          <w:szCs w:val="22"/>
        </w:rPr>
      </w:pPr>
      <w:r>
        <w:t>340E</w:t>
      </w:r>
      <w:r>
        <w:rPr>
          <w:snapToGrid w:val="0"/>
        </w:rPr>
        <w:t xml:space="preserve">. </w:t>
      </w:r>
      <w:r>
        <w:rPr>
          <w:snapToGrid w:val="0"/>
        </w:rPr>
        <w:tab/>
        <w:t>Tenure of office</w:t>
      </w:r>
      <w:r>
        <w:tab/>
      </w:r>
      <w:r>
        <w:fldChar w:fldCharType="begin"/>
      </w:r>
      <w:r>
        <w:instrText xml:space="preserve"> PAGEREF _Toc512323841 \h </w:instrText>
      </w:r>
      <w:r>
        <w:fldChar w:fldCharType="separate"/>
      </w:r>
      <w:r>
        <w:t>163</w:t>
      </w:r>
      <w:r>
        <w:fldChar w:fldCharType="end"/>
      </w:r>
    </w:p>
    <w:p>
      <w:pPr>
        <w:pStyle w:val="TOC8"/>
        <w:rPr>
          <w:rFonts w:asciiTheme="minorHAnsi" w:eastAsiaTheme="minorEastAsia" w:hAnsiTheme="minorHAnsi" w:cstheme="minorBidi"/>
          <w:szCs w:val="22"/>
        </w:rPr>
      </w:pPr>
      <w:r>
        <w:t>340F.</w:t>
      </w:r>
      <w:r>
        <w:tab/>
        <w:t>When office of member becomes vacant</w:t>
      </w:r>
      <w:r>
        <w:tab/>
      </w:r>
      <w:r>
        <w:fldChar w:fldCharType="begin"/>
      </w:r>
      <w:r>
        <w:instrText xml:space="preserve"> PAGEREF _Toc512323842 \h </w:instrText>
      </w:r>
      <w:r>
        <w:fldChar w:fldCharType="separate"/>
      </w:r>
      <w:r>
        <w:t>163</w:t>
      </w:r>
      <w:r>
        <w:fldChar w:fldCharType="end"/>
      </w:r>
    </w:p>
    <w:p>
      <w:pPr>
        <w:pStyle w:val="TOC8"/>
        <w:rPr>
          <w:rFonts w:asciiTheme="minorHAnsi" w:eastAsiaTheme="minorEastAsia" w:hAnsiTheme="minorHAnsi" w:cstheme="minorBidi"/>
          <w:szCs w:val="22"/>
        </w:rPr>
      </w:pPr>
      <w:r>
        <w:t>340G</w:t>
      </w:r>
      <w:r>
        <w:rPr>
          <w:snapToGrid w:val="0"/>
        </w:rPr>
        <w:t xml:space="preserve">. </w:t>
      </w:r>
      <w:r>
        <w:rPr>
          <w:snapToGrid w:val="0"/>
        </w:rPr>
        <w:tab/>
        <w:t>Vacancies in offices of members to be filled</w:t>
      </w:r>
      <w:r>
        <w:tab/>
      </w:r>
      <w:r>
        <w:fldChar w:fldCharType="begin"/>
      </w:r>
      <w:r>
        <w:instrText xml:space="preserve"> PAGEREF _Toc512323843 \h </w:instrText>
      </w:r>
      <w:r>
        <w:fldChar w:fldCharType="separate"/>
      </w:r>
      <w:r>
        <w:t>165</w:t>
      </w:r>
      <w:r>
        <w:fldChar w:fldCharType="end"/>
      </w:r>
    </w:p>
    <w:p>
      <w:pPr>
        <w:pStyle w:val="TOC8"/>
        <w:rPr>
          <w:rFonts w:asciiTheme="minorHAnsi" w:eastAsiaTheme="minorEastAsia" w:hAnsiTheme="minorHAnsi" w:cstheme="minorBidi"/>
          <w:szCs w:val="22"/>
        </w:rPr>
      </w:pPr>
      <w:r>
        <w:t>340H.</w:t>
      </w:r>
      <w:r>
        <w:tab/>
        <w:t>Meetings and procedure of Committee</w:t>
      </w:r>
      <w:r>
        <w:tab/>
      </w:r>
      <w:r>
        <w:fldChar w:fldCharType="begin"/>
      </w:r>
      <w:r>
        <w:instrText xml:space="preserve"> PAGEREF _Toc512323844 \h </w:instrText>
      </w:r>
      <w:r>
        <w:fldChar w:fldCharType="separate"/>
      </w:r>
      <w:r>
        <w:t>165</w:t>
      </w:r>
      <w:r>
        <w:fldChar w:fldCharType="end"/>
      </w:r>
    </w:p>
    <w:p>
      <w:pPr>
        <w:pStyle w:val="TOC8"/>
        <w:rPr>
          <w:rFonts w:asciiTheme="minorHAnsi" w:eastAsiaTheme="minorEastAsia" w:hAnsiTheme="minorHAnsi" w:cstheme="minorBidi"/>
          <w:szCs w:val="22"/>
        </w:rPr>
      </w:pPr>
      <w:r>
        <w:t>340I</w:t>
      </w:r>
      <w:r>
        <w:rPr>
          <w:snapToGrid w:val="0"/>
        </w:rPr>
        <w:t xml:space="preserve">. </w:t>
      </w:r>
      <w:r>
        <w:rPr>
          <w:snapToGrid w:val="0"/>
        </w:rPr>
        <w:tab/>
        <w:t>Reimbursement of expenses of members of Committee</w:t>
      </w:r>
      <w:r>
        <w:tab/>
      </w:r>
      <w:r>
        <w:fldChar w:fldCharType="begin"/>
      </w:r>
      <w:r>
        <w:instrText xml:space="preserve"> PAGEREF _Toc512323845 \h </w:instrText>
      </w:r>
      <w:r>
        <w:fldChar w:fldCharType="separate"/>
      </w:r>
      <w:r>
        <w:t>166</w:t>
      </w:r>
      <w:r>
        <w:fldChar w:fldCharType="end"/>
      </w:r>
    </w:p>
    <w:p>
      <w:pPr>
        <w:pStyle w:val="TOC8"/>
        <w:rPr>
          <w:rFonts w:asciiTheme="minorHAnsi" w:eastAsiaTheme="minorEastAsia" w:hAnsiTheme="minorHAnsi" w:cstheme="minorBidi"/>
          <w:szCs w:val="22"/>
        </w:rPr>
      </w:pPr>
      <w:r>
        <w:t>340J</w:t>
      </w:r>
      <w:r>
        <w:rPr>
          <w:snapToGrid w:val="0"/>
        </w:rPr>
        <w:t xml:space="preserve">. </w:t>
      </w:r>
      <w:r>
        <w:rPr>
          <w:snapToGrid w:val="0"/>
        </w:rPr>
        <w:tab/>
        <w:t>Appointment of investigator</w:t>
      </w:r>
      <w:r>
        <w:tab/>
      </w:r>
      <w:r>
        <w:fldChar w:fldCharType="begin"/>
      </w:r>
      <w:r>
        <w:instrText xml:space="preserve"> PAGEREF _Toc512323846 \h </w:instrText>
      </w:r>
      <w:r>
        <w:fldChar w:fldCharType="separate"/>
      </w:r>
      <w:r>
        <w:t>166</w:t>
      </w:r>
      <w:r>
        <w:fldChar w:fldCharType="end"/>
      </w:r>
    </w:p>
    <w:p>
      <w:pPr>
        <w:pStyle w:val="TOC8"/>
        <w:rPr>
          <w:rFonts w:asciiTheme="minorHAnsi" w:eastAsiaTheme="minorEastAsia" w:hAnsiTheme="minorHAnsi" w:cstheme="minorBidi"/>
          <w:szCs w:val="22"/>
        </w:rPr>
      </w:pPr>
      <w:r>
        <w:t>340K.</w:t>
      </w:r>
      <w:r>
        <w:tab/>
        <w:t>Functions of Committee</w:t>
      </w:r>
      <w:r>
        <w:tab/>
      </w:r>
      <w:r>
        <w:fldChar w:fldCharType="begin"/>
      </w:r>
      <w:r>
        <w:instrText xml:space="preserve"> PAGEREF _Toc512323847 \h </w:instrText>
      </w:r>
      <w:r>
        <w:fldChar w:fldCharType="separate"/>
      </w:r>
      <w:r>
        <w:t>167</w:t>
      </w:r>
      <w:r>
        <w:fldChar w:fldCharType="end"/>
      </w:r>
    </w:p>
    <w:p>
      <w:pPr>
        <w:pStyle w:val="TOC8"/>
        <w:rPr>
          <w:rFonts w:asciiTheme="minorHAnsi" w:eastAsiaTheme="minorEastAsia" w:hAnsiTheme="minorHAnsi" w:cstheme="minorBidi"/>
          <w:szCs w:val="22"/>
        </w:rPr>
      </w:pPr>
      <w:r>
        <w:t>340LA.</w:t>
      </w:r>
      <w:r>
        <w:tab/>
        <w:t>Further provisions relating to proceedings of Committee</w:t>
      </w:r>
      <w:r>
        <w:tab/>
      </w:r>
      <w:r>
        <w:fldChar w:fldCharType="begin"/>
      </w:r>
      <w:r>
        <w:instrText xml:space="preserve"> PAGEREF _Toc512323848 \h </w:instrText>
      </w:r>
      <w:r>
        <w:fldChar w:fldCharType="separate"/>
      </w:r>
      <w:r>
        <w:t>168</w:t>
      </w:r>
      <w:r>
        <w:fldChar w:fldCharType="end"/>
      </w:r>
    </w:p>
    <w:p>
      <w:pPr>
        <w:pStyle w:val="TOC8"/>
        <w:rPr>
          <w:rFonts w:asciiTheme="minorHAnsi" w:eastAsiaTheme="minorEastAsia" w:hAnsiTheme="minorHAnsi" w:cstheme="minorBidi"/>
          <w:szCs w:val="22"/>
        </w:rPr>
      </w:pPr>
      <w:r>
        <w:t>340LB.</w:t>
      </w:r>
      <w:r>
        <w:tab/>
        <w:t>Contents of notification confidential</w:t>
      </w:r>
      <w:r>
        <w:tab/>
      </w:r>
      <w:r>
        <w:fldChar w:fldCharType="begin"/>
      </w:r>
      <w:r>
        <w:instrText xml:space="preserve"> PAGEREF _Toc512323849 \h </w:instrText>
      </w:r>
      <w:r>
        <w:fldChar w:fldCharType="separate"/>
      </w:r>
      <w:r>
        <w:t>169</w:t>
      </w:r>
      <w:r>
        <w:fldChar w:fldCharType="end"/>
      </w:r>
    </w:p>
    <w:p>
      <w:pPr>
        <w:pStyle w:val="TOC8"/>
        <w:rPr>
          <w:rFonts w:asciiTheme="minorHAnsi" w:eastAsiaTheme="minorEastAsia" w:hAnsiTheme="minorHAnsi" w:cstheme="minorBidi"/>
          <w:szCs w:val="22"/>
        </w:rPr>
      </w:pPr>
      <w:r>
        <w:t>340L</w:t>
      </w:r>
      <w:r>
        <w:rPr>
          <w:snapToGrid w:val="0"/>
        </w:rPr>
        <w:t xml:space="preserve">. </w:t>
      </w:r>
      <w:r>
        <w:rPr>
          <w:snapToGrid w:val="0"/>
        </w:rPr>
        <w:tab/>
        <w:t>When report of investigator may be published</w:t>
      </w:r>
      <w:r>
        <w:tab/>
      </w:r>
      <w:r>
        <w:fldChar w:fldCharType="begin"/>
      </w:r>
      <w:r>
        <w:instrText xml:space="preserve"> PAGEREF _Toc512323850 \h </w:instrText>
      </w:r>
      <w:r>
        <w:fldChar w:fldCharType="separate"/>
      </w:r>
      <w:r>
        <w:t>169</w:t>
      </w:r>
      <w:r>
        <w:fldChar w:fldCharType="end"/>
      </w:r>
    </w:p>
    <w:p>
      <w:pPr>
        <w:pStyle w:val="TOC8"/>
        <w:rPr>
          <w:rFonts w:asciiTheme="minorHAnsi" w:eastAsiaTheme="minorEastAsia" w:hAnsiTheme="minorHAnsi" w:cstheme="minorBidi"/>
          <w:szCs w:val="22"/>
        </w:rPr>
      </w:pPr>
      <w:r>
        <w:t>340M</w:t>
      </w:r>
      <w:r>
        <w:rPr>
          <w:snapToGrid w:val="0"/>
        </w:rPr>
        <w:t xml:space="preserve">. </w:t>
      </w:r>
      <w:r>
        <w:rPr>
          <w:snapToGrid w:val="0"/>
        </w:rPr>
        <w:tab/>
        <w:t>Information given for research not to be disclosed</w:t>
      </w:r>
      <w:r>
        <w:tab/>
      </w:r>
      <w:r>
        <w:fldChar w:fldCharType="begin"/>
      </w:r>
      <w:r>
        <w:instrText xml:space="preserve"> PAGEREF _Toc512323851 \h </w:instrText>
      </w:r>
      <w:r>
        <w:fldChar w:fldCharType="separate"/>
      </w:r>
      <w:r>
        <w:t>170</w:t>
      </w:r>
      <w:r>
        <w:fldChar w:fldCharType="end"/>
      </w:r>
    </w:p>
    <w:p>
      <w:pPr>
        <w:pStyle w:val="TOC2"/>
        <w:tabs>
          <w:tab w:val="right" w:leader="dot" w:pos="7077"/>
        </w:tabs>
        <w:rPr>
          <w:rFonts w:asciiTheme="minorHAnsi" w:eastAsiaTheme="minorEastAsia" w:hAnsiTheme="minorHAnsi" w:cstheme="minorBidi"/>
          <w:b w:val="0"/>
          <w:sz w:val="22"/>
          <w:szCs w:val="22"/>
        </w:rPr>
      </w:pPr>
      <w:r>
        <w:t>Part XIIIB — Perinatal and Infant Mortality Committee</w:t>
      </w:r>
    </w:p>
    <w:p>
      <w:pPr>
        <w:pStyle w:val="TOC8"/>
        <w:rPr>
          <w:rFonts w:asciiTheme="minorHAnsi" w:eastAsiaTheme="minorEastAsia" w:hAnsiTheme="minorHAnsi" w:cstheme="minorBidi"/>
          <w:szCs w:val="22"/>
        </w:rPr>
      </w:pPr>
      <w:r>
        <w:t>340AA</w:t>
      </w:r>
      <w:r>
        <w:rPr>
          <w:snapToGrid w:val="0"/>
        </w:rPr>
        <w:t>.</w:t>
      </w:r>
      <w:r>
        <w:rPr>
          <w:snapToGrid w:val="0"/>
        </w:rPr>
        <w:tab/>
        <w:t>Terms used</w:t>
      </w:r>
      <w:r>
        <w:tab/>
      </w:r>
      <w:r>
        <w:fldChar w:fldCharType="begin"/>
      </w:r>
      <w:r>
        <w:instrText xml:space="preserve"> PAGEREF _Toc512323853 \h </w:instrText>
      </w:r>
      <w:r>
        <w:fldChar w:fldCharType="separate"/>
      </w:r>
      <w:r>
        <w:t>171</w:t>
      </w:r>
      <w:r>
        <w:fldChar w:fldCharType="end"/>
      </w:r>
    </w:p>
    <w:p>
      <w:pPr>
        <w:pStyle w:val="TOC8"/>
        <w:rPr>
          <w:rFonts w:asciiTheme="minorHAnsi" w:eastAsiaTheme="minorEastAsia" w:hAnsiTheme="minorHAnsi" w:cstheme="minorBidi"/>
          <w:szCs w:val="22"/>
        </w:rPr>
      </w:pPr>
      <w:r>
        <w:t>340AB</w:t>
      </w:r>
      <w:r>
        <w:rPr>
          <w:snapToGrid w:val="0"/>
        </w:rPr>
        <w:t>.</w:t>
      </w:r>
      <w:r>
        <w:rPr>
          <w:snapToGrid w:val="0"/>
        </w:rPr>
        <w:tab/>
        <w:t>Constitution and offices of Committee</w:t>
      </w:r>
      <w:r>
        <w:tab/>
      </w:r>
      <w:r>
        <w:fldChar w:fldCharType="begin"/>
      </w:r>
      <w:r>
        <w:instrText xml:space="preserve"> PAGEREF _Toc512323854 \h </w:instrText>
      </w:r>
      <w:r>
        <w:fldChar w:fldCharType="separate"/>
      </w:r>
      <w:r>
        <w:t>171</w:t>
      </w:r>
      <w:r>
        <w:fldChar w:fldCharType="end"/>
      </w:r>
    </w:p>
    <w:p>
      <w:pPr>
        <w:pStyle w:val="TOC8"/>
        <w:rPr>
          <w:rFonts w:asciiTheme="minorHAnsi" w:eastAsiaTheme="minorEastAsia" w:hAnsiTheme="minorHAnsi" w:cstheme="minorBidi"/>
          <w:szCs w:val="22"/>
        </w:rPr>
      </w:pPr>
      <w:r>
        <w:t>340AC</w:t>
      </w:r>
      <w:r>
        <w:rPr>
          <w:snapToGrid w:val="0"/>
        </w:rPr>
        <w:t>.</w:t>
      </w:r>
      <w:r>
        <w:rPr>
          <w:snapToGrid w:val="0"/>
        </w:rPr>
        <w:tab/>
        <w:t>Appointment of deputies</w:t>
      </w:r>
      <w:r>
        <w:tab/>
      </w:r>
      <w:r>
        <w:fldChar w:fldCharType="begin"/>
      </w:r>
      <w:r>
        <w:instrText xml:space="preserve"> PAGEREF _Toc512323855 \h </w:instrText>
      </w:r>
      <w:r>
        <w:fldChar w:fldCharType="separate"/>
      </w:r>
      <w:r>
        <w:t>173</w:t>
      </w:r>
      <w:r>
        <w:fldChar w:fldCharType="end"/>
      </w:r>
    </w:p>
    <w:p>
      <w:pPr>
        <w:pStyle w:val="TOC8"/>
        <w:rPr>
          <w:rFonts w:asciiTheme="minorHAnsi" w:eastAsiaTheme="minorEastAsia" w:hAnsiTheme="minorHAnsi" w:cstheme="minorBidi"/>
          <w:szCs w:val="22"/>
        </w:rPr>
      </w:pPr>
      <w:r>
        <w:t>340AD</w:t>
      </w:r>
      <w:r>
        <w:rPr>
          <w:snapToGrid w:val="0"/>
        </w:rPr>
        <w:t xml:space="preserve">. </w:t>
      </w:r>
      <w:r>
        <w:rPr>
          <w:snapToGrid w:val="0"/>
        </w:rPr>
        <w:tab/>
        <w:t>Nominations to be made to Minister</w:t>
      </w:r>
      <w:r>
        <w:tab/>
      </w:r>
      <w:r>
        <w:fldChar w:fldCharType="begin"/>
      </w:r>
      <w:r>
        <w:instrText xml:space="preserve"> PAGEREF _Toc512323856 \h </w:instrText>
      </w:r>
      <w:r>
        <w:fldChar w:fldCharType="separate"/>
      </w:r>
      <w:r>
        <w:t>173</w:t>
      </w:r>
      <w:r>
        <w:fldChar w:fldCharType="end"/>
      </w:r>
    </w:p>
    <w:p>
      <w:pPr>
        <w:pStyle w:val="TOC8"/>
        <w:rPr>
          <w:rFonts w:asciiTheme="minorHAnsi" w:eastAsiaTheme="minorEastAsia" w:hAnsiTheme="minorHAnsi" w:cstheme="minorBidi"/>
          <w:szCs w:val="22"/>
        </w:rPr>
      </w:pPr>
      <w:r>
        <w:t>340AE</w:t>
      </w:r>
      <w:r>
        <w:rPr>
          <w:snapToGrid w:val="0"/>
        </w:rPr>
        <w:t xml:space="preserve">. </w:t>
      </w:r>
      <w:r>
        <w:rPr>
          <w:snapToGrid w:val="0"/>
        </w:rPr>
        <w:tab/>
        <w:t>Tenure of office</w:t>
      </w:r>
      <w:r>
        <w:tab/>
      </w:r>
      <w:r>
        <w:fldChar w:fldCharType="begin"/>
      </w:r>
      <w:r>
        <w:instrText xml:space="preserve"> PAGEREF _Toc512323857 \h </w:instrText>
      </w:r>
      <w:r>
        <w:fldChar w:fldCharType="separate"/>
      </w:r>
      <w:r>
        <w:t>174</w:t>
      </w:r>
      <w:r>
        <w:fldChar w:fldCharType="end"/>
      </w:r>
    </w:p>
    <w:p>
      <w:pPr>
        <w:pStyle w:val="TOC8"/>
        <w:rPr>
          <w:rFonts w:asciiTheme="minorHAnsi" w:eastAsiaTheme="minorEastAsia" w:hAnsiTheme="minorHAnsi" w:cstheme="minorBidi"/>
          <w:szCs w:val="22"/>
        </w:rPr>
      </w:pPr>
      <w:r>
        <w:t>340AF.</w:t>
      </w:r>
      <w:r>
        <w:tab/>
        <w:t>When office of member becomes vacant</w:t>
      </w:r>
      <w:r>
        <w:tab/>
      </w:r>
      <w:r>
        <w:fldChar w:fldCharType="begin"/>
      </w:r>
      <w:r>
        <w:instrText xml:space="preserve"> PAGEREF _Toc512323858 \h </w:instrText>
      </w:r>
      <w:r>
        <w:fldChar w:fldCharType="separate"/>
      </w:r>
      <w:r>
        <w:t>174</w:t>
      </w:r>
      <w:r>
        <w:fldChar w:fldCharType="end"/>
      </w:r>
    </w:p>
    <w:p>
      <w:pPr>
        <w:pStyle w:val="TOC8"/>
        <w:rPr>
          <w:rFonts w:asciiTheme="minorHAnsi" w:eastAsiaTheme="minorEastAsia" w:hAnsiTheme="minorHAnsi" w:cstheme="minorBidi"/>
          <w:szCs w:val="22"/>
        </w:rPr>
      </w:pPr>
      <w:r>
        <w:t>340AG</w:t>
      </w:r>
      <w:r>
        <w:rPr>
          <w:snapToGrid w:val="0"/>
        </w:rPr>
        <w:t xml:space="preserve">. </w:t>
      </w:r>
      <w:r>
        <w:rPr>
          <w:snapToGrid w:val="0"/>
        </w:rPr>
        <w:tab/>
        <w:t>Vacancies in offices of members to be filled</w:t>
      </w:r>
      <w:r>
        <w:tab/>
      </w:r>
      <w:r>
        <w:fldChar w:fldCharType="begin"/>
      </w:r>
      <w:r>
        <w:instrText xml:space="preserve"> PAGEREF _Toc512323859 \h </w:instrText>
      </w:r>
      <w:r>
        <w:fldChar w:fldCharType="separate"/>
      </w:r>
      <w:r>
        <w:t>176</w:t>
      </w:r>
      <w:r>
        <w:fldChar w:fldCharType="end"/>
      </w:r>
    </w:p>
    <w:p>
      <w:pPr>
        <w:pStyle w:val="TOC8"/>
        <w:rPr>
          <w:rFonts w:asciiTheme="minorHAnsi" w:eastAsiaTheme="minorEastAsia" w:hAnsiTheme="minorHAnsi" w:cstheme="minorBidi"/>
          <w:szCs w:val="22"/>
        </w:rPr>
      </w:pPr>
      <w:r>
        <w:t>340AH.</w:t>
      </w:r>
      <w:r>
        <w:tab/>
        <w:t>Meetings and procedure of Committee</w:t>
      </w:r>
      <w:r>
        <w:tab/>
      </w:r>
      <w:r>
        <w:fldChar w:fldCharType="begin"/>
      </w:r>
      <w:r>
        <w:instrText xml:space="preserve"> PAGEREF _Toc512323860 \h </w:instrText>
      </w:r>
      <w:r>
        <w:fldChar w:fldCharType="separate"/>
      </w:r>
      <w:r>
        <w:t>176</w:t>
      </w:r>
      <w:r>
        <w:fldChar w:fldCharType="end"/>
      </w:r>
    </w:p>
    <w:p>
      <w:pPr>
        <w:pStyle w:val="TOC8"/>
        <w:rPr>
          <w:rFonts w:asciiTheme="minorHAnsi" w:eastAsiaTheme="minorEastAsia" w:hAnsiTheme="minorHAnsi" w:cstheme="minorBidi"/>
          <w:szCs w:val="22"/>
        </w:rPr>
      </w:pPr>
      <w:r>
        <w:t>340AI</w:t>
      </w:r>
      <w:r>
        <w:rPr>
          <w:snapToGrid w:val="0"/>
        </w:rPr>
        <w:t xml:space="preserve">. </w:t>
      </w:r>
      <w:r>
        <w:rPr>
          <w:snapToGrid w:val="0"/>
        </w:rPr>
        <w:tab/>
        <w:t>Reimbursement of expenses of members</w:t>
      </w:r>
      <w:r>
        <w:tab/>
      </w:r>
      <w:r>
        <w:fldChar w:fldCharType="begin"/>
      </w:r>
      <w:r>
        <w:instrText xml:space="preserve"> PAGEREF _Toc512323861 \h </w:instrText>
      </w:r>
      <w:r>
        <w:fldChar w:fldCharType="separate"/>
      </w:r>
      <w:r>
        <w:t>177</w:t>
      </w:r>
      <w:r>
        <w:fldChar w:fldCharType="end"/>
      </w:r>
    </w:p>
    <w:p>
      <w:pPr>
        <w:pStyle w:val="TOC8"/>
        <w:rPr>
          <w:rFonts w:asciiTheme="minorHAnsi" w:eastAsiaTheme="minorEastAsia" w:hAnsiTheme="minorHAnsi" w:cstheme="minorBidi"/>
          <w:szCs w:val="22"/>
        </w:rPr>
      </w:pPr>
      <w:r>
        <w:t>340AJ</w:t>
      </w:r>
      <w:r>
        <w:rPr>
          <w:snapToGrid w:val="0"/>
        </w:rPr>
        <w:t xml:space="preserve">. </w:t>
      </w:r>
      <w:r>
        <w:rPr>
          <w:snapToGrid w:val="0"/>
        </w:rPr>
        <w:tab/>
        <w:t>Appointment of investigator</w:t>
      </w:r>
      <w:r>
        <w:tab/>
      </w:r>
      <w:r>
        <w:fldChar w:fldCharType="begin"/>
      </w:r>
      <w:r>
        <w:instrText xml:space="preserve"> PAGEREF _Toc512323862 \h </w:instrText>
      </w:r>
      <w:r>
        <w:fldChar w:fldCharType="separate"/>
      </w:r>
      <w:r>
        <w:t>177</w:t>
      </w:r>
      <w:r>
        <w:fldChar w:fldCharType="end"/>
      </w:r>
    </w:p>
    <w:p>
      <w:pPr>
        <w:pStyle w:val="TOC8"/>
        <w:rPr>
          <w:rFonts w:asciiTheme="minorHAnsi" w:eastAsiaTheme="minorEastAsia" w:hAnsiTheme="minorHAnsi" w:cstheme="minorBidi"/>
          <w:szCs w:val="22"/>
        </w:rPr>
      </w:pPr>
      <w:r>
        <w:t>340AK.</w:t>
      </w:r>
      <w:r>
        <w:tab/>
        <w:t>Functions of Committee</w:t>
      </w:r>
      <w:r>
        <w:tab/>
      </w:r>
      <w:r>
        <w:fldChar w:fldCharType="begin"/>
      </w:r>
      <w:r>
        <w:instrText xml:space="preserve"> PAGEREF _Toc512323863 \h </w:instrText>
      </w:r>
      <w:r>
        <w:fldChar w:fldCharType="separate"/>
      </w:r>
      <w:r>
        <w:t>178</w:t>
      </w:r>
      <w:r>
        <w:fldChar w:fldCharType="end"/>
      </w:r>
    </w:p>
    <w:p>
      <w:pPr>
        <w:pStyle w:val="TOC8"/>
        <w:rPr>
          <w:rFonts w:asciiTheme="minorHAnsi" w:eastAsiaTheme="minorEastAsia" w:hAnsiTheme="minorHAnsi" w:cstheme="minorBidi"/>
          <w:szCs w:val="22"/>
        </w:rPr>
      </w:pPr>
      <w:r>
        <w:tab/>
        <w:t>340ALA. Further provisions relating to proceedings of Committee</w:t>
      </w:r>
      <w:r>
        <w:tab/>
      </w:r>
      <w:r>
        <w:fldChar w:fldCharType="begin"/>
      </w:r>
      <w:r>
        <w:instrText xml:space="preserve"> PAGEREF _Toc512323864 \h </w:instrText>
      </w:r>
      <w:r>
        <w:fldChar w:fldCharType="separate"/>
      </w:r>
      <w:r>
        <w:t>179</w:t>
      </w:r>
      <w:r>
        <w:fldChar w:fldCharType="end"/>
      </w:r>
    </w:p>
    <w:p>
      <w:pPr>
        <w:pStyle w:val="TOC8"/>
        <w:rPr>
          <w:rFonts w:asciiTheme="minorHAnsi" w:eastAsiaTheme="minorEastAsia" w:hAnsiTheme="minorHAnsi" w:cstheme="minorBidi"/>
          <w:szCs w:val="22"/>
        </w:rPr>
      </w:pPr>
      <w:r>
        <w:tab/>
        <w:t>340ALB. Contents of notification confidential</w:t>
      </w:r>
      <w:r>
        <w:tab/>
      </w:r>
      <w:r>
        <w:fldChar w:fldCharType="begin"/>
      </w:r>
      <w:r>
        <w:instrText xml:space="preserve"> PAGEREF _Toc512323865 \h </w:instrText>
      </w:r>
      <w:r>
        <w:fldChar w:fldCharType="separate"/>
      </w:r>
      <w:r>
        <w:t>180</w:t>
      </w:r>
      <w:r>
        <w:fldChar w:fldCharType="end"/>
      </w:r>
    </w:p>
    <w:p>
      <w:pPr>
        <w:pStyle w:val="TOC8"/>
        <w:rPr>
          <w:rFonts w:asciiTheme="minorHAnsi" w:eastAsiaTheme="minorEastAsia" w:hAnsiTheme="minorHAnsi" w:cstheme="minorBidi"/>
          <w:szCs w:val="22"/>
        </w:rPr>
      </w:pPr>
      <w:r>
        <w:t>340AL</w:t>
      </w:r>
      <w:r>
        <w:rPr>
          <w:snapToGrid w:val="0"/>
        </w:rPr>
        <w:t xml:space="preserve">. </w:t>
      </w:r>
      <w:r>
        <w:rPr>
          <w:snapToGrid w:val="0"/>
        </w:rPr>
        <w:tab/>
        <w:t>When report may be published</w:t>
      </w:r>
      <w:r>
        <w:tab/>
      </w:r>
      <w:r>
        <w:fldChar w:fldCharType="begin"/>
      </w:r>
      <w:r>
        <w:instrText xml:space="preserve"> PAGEREF _Toc512323866 \h </w:instrText>
      </w:r>
      <w:r>
        <w:fldChar w:fldCharType="separate"/>
      </w:r>
      <w:r>
        <w:t>180</w:t>
      </w:r>
      <w:r>
        <w:fldChar w:fldCharType="end"/>
      </w:r>
    </w:p>
    <w:p>
      <w:pPr>
        <w:pStyle w:val="TOC8"/>
        <w:rPr>
          <w:rFonts w:asciiTheme="minorHAnsi" w:eastAsiaTheme="minorEastAsia" w:hAnsiTheme="minorHAnsi" w:cstheme="minorBidi"/>
          <w:szCs w:val="22"/>
        </w:rPr>
      </w:pPr>
      <w:r>
        <w:t>340AM</w:t>
      </w:r>
      <w:r>
        <w:rPr>
          <w:snapToGrid w:val="0"/>
        </w:rPr>
        <w:t>.</w:t>
      </w:r>
      <w:r>
        <w:rPr>
          <w:snapToGrid w:val="0"/>
        </w:rPr>
        <w:tab/>
        <w:t>Information for research not to be disclosed</w:t>
      </w:r>
      <w:r>
        <w:tab/>
      </w:r>
      <w:r>
        <w:fldChar w:fldCharType="begin"/>
      </w:r>
      <w:r>
        <w:instrText xml:space="preserve"> PAGEREF _Toc512323867 \h </w:instrText>
      </w:r>
      <w:r>
        <w:fldChar w:fldCharType="separate"/>
      </w:r>
      <w:r>
        <w:t>181</w:t>
      </w:r>
      <w:r>
        <w:fldChar w:fldCharType="end"/>
      </w:r>
    </w:p>
    <w:p>
      <w:pPr>
        <w:pStyle w:val="TOC2"/>
        <w:tabs>
          <w:tab w:val="right" w:leader="dot" w:pos="7077"/>
        </w:tabs>
        <w:rPr>
          <w:rFonts w:asciiTheme="minorHAnsi" w:eastAsiaTheme="minorEastAsia" w:hAnsiTheme="minorHAnsi" w:cstheme="minorBidi"/>
          <w:b w:val="0"/>
          <w:sz w:val="22"/>
          <w:szCs w:val="22"/>
        </w:rPr>
      </w:pPr>
      <w:r>
        <w:t>Part XIIIC — Anaesthetic Mortality Committee</w:t>
      </w:r>
    </w:p>
    <w:p>
      <w:pPr>
        <w:pStyle w:val="TOC8"/>
        <w:rPr>
          <w:rFonts w:asciiTheme="minorHAnsi" w:eastAsiaTheme="minorEastAsia" w:hAnsiTheme="minorHAnsi" w:cstheme="minorBidi"/>
          <w:szCs w:val="22"/>
        </w:rPr>
      </w:pPr>
      <w:r>
        <w:t>340BA</w:t>
      </w:r>
      <w:r>
        <w:rPr>
          <w:snapToGrid w:val="0"/>
        </w:rPr>
        <w:t>.</w:t>
      </w:r>
      <w:r>
        <w:rPr>
          <w:snapToGrid w:val="0"/>
        </w:rPr>
        <w:tab/>
        <w:t>Terms used</w:t>
      </w:r>
      <w:r>
        <w:tab/>
      </w:r>
      <w:r>
        <w:fldChar w:fldCharType="begin"/>
      </w:r>
      <w:r>
        <w:instrText xml:space="preserve"> PAGEREF _Toc512323869 \h </w:instrText>
      </w:r>
      <w:r>
        <w:fldChar w:fldCharType="separate"/>
      </w:r>
      <w:r>
        <w:t>183</w:t>
      </w:r>
      <w:r>
        <w:fldChar w:fldCharType="end"/>
      </w:r>
    </w:p>
    <w:p>
      <w:pPr>
        <w:pStyle w:val="TOC8"/>
        <w:rPr>
          <w:rFonts w:asciiTheme="minorHAnsi" w:eastAsiaTheme="minorEastAsia" w:hAnsiTheme="minorHAnsi" w:cstheme="minorBidi"/>
          <w:szCs w:val="22"/>
        </w:rPr>
      </w:pPr>
      <w:r>
        <w:t>340BB</w:t>
      </w:r>
      <w:r>
        <w:rPr>
          <w:snapToGrid w:val="0"/>
        </w:rPr>
        <w:t xml:space="preserve">. </w:t>
      </w:r>
      <w:r>
        <w:rPr>
          <w:snapToGrid w:val="0"/>
        </w:rPr>
        <w:tab/>
        <w:t>Constitution and offices of Committee</w:t>
      </w:r>
      <w:r>
        <w:tab/>
      </w:r>
      <w:r>
        <w:fldChar w:fldCharType="begin"/>
      </w:r>
      <w:r>
        <w:instrText xml:space="preserve"> PAGEREF _Toc512323870 \h </w:instrText>
      </w:r>
      <w:r>
        <w:fldChar w:fldCharType="separate"/>
      </w:r>
      <w:r>
        <w:t>183</w:t>
      </w:r>
      <w:r>
        <w:fldChar w:fldCharType="end"/>
      </w:r>
    </w:p>
    <w:p>
      <w:pPr>
        <w:pStyle w:val="TOC8"/>
        <w:rPr>
          <w:rFonts w:asciiTheme="minorHAnsi" w:eastAsiaTheme="minorEastAsia" w:hAnsiTheme="minorHAnsi" w:cstheme="minorBidi"/>
          <w:szCs w:val="22"/>
        </w:rPr>
      </w:pPr>
      <w:r>
        <w:t>340BC</w:t>
      </w:r>
      <w:r>
        <w:rPr>
          <w:snapToGrid w:val="0"/>
        </w:rPr>
        <w:t xml:space="preserve">. </w:t>
      </w:r>
      <w:r>
        <w:rPr>
          <w:snapToGrid w:val="0"/>
        </w:rPr>
        <w:tab/>
        <w:t>Appointment of deputies</w:t>
      </w:r>
      <w:r>
        <w:tab/>
      </w:r>
      <w:r>
        <w:fldChar w:fldCharType="begin"/>
      </w:r>
      <w:r>
        <w:instrText xml:space="preserve"> PAGEREF _Toc512323871 \h </w:instrText>
      </w:r>
      <w:r>
        <w:fldChar w:fldCharType="separate"/>
      </w:r>
      <w:r>
        <w:t>185</w:t>
      </w:r>
      <w:r>
        <w:fldChar w:fldCharType="end"/>
      </w:r>
    </w:p>
    <w:p>
      <w:pPr>
        <w:pStyle w:val="TOC8"/>
        <w:rPr>
          <w:rFonts w:asciiTheme="minorHAnsi" w:eastAsiaTheme="minorEastAsia" w:hAnsiTheme="minorHAnsi" w:cstheme="minorBidi"/>
          <w:szCs w:val="22"/>
        </w:rPr>
      </w:pPr>
      <w:r>
        <w:t>340BD</w:t>
      </w:r>
      <w:r>
        <w:rPr>
          <w:snapToGrid w:val="0"/>
        </w:rPr>
        <w:t xml:space="preserve">. </w:t>
      </w:r>
      <w:r>
        <w:rPr>
          <w:snapToGrid w:val="0"/>
        </w:rPr>
        <w:tab/>
        <w:t>Nominations to be made to Minister</w:t>
      </w:r>
      <w:r>
        <w:tab/>
      </w:r>
      <w:r>
        <w:fldChar w:fldCharType="begin"/>
      </w:r>
      <w:r>
        <w:instrText xml:space="preserve"> PAGEREF _Toc512323872 \h </w:instrText>
      </w:r>
      <w:r>
        <w:fldChar w:fldCharType="separate"/>
      </w:r>
      <w:r>
        <w:t>185</w:t>
      </w:r>
      <w:r>
        <w:fldChar w:fldCharType="end"/>
      </w:r>
    </w:p>
    <w:p>
      <w:pPr>
        <w:pStyle w:val="TOC8"/>
        <w:rPr>
          <w:rFonts w:asciiTheme="minorHAnsi" w:eastAsiaTheme="minorEastAsia" w:hAnsiTheme="minorHAnsi" w:cstheme="minorBidi"/>
          <w:szCs w:val="22"/>
        </w:rPr>
      </w:pPr>
      <w:r>
        <w:t>340BE</w:t>
      </w:r>
      <w:r>
        <w:rPr>
          <w:snapToGrid w:val="0"/>
        </w:rPr>
        <w:t xml:space="preserve">. </w:t>
      </w:r>
      <w:r>
        <w:rPr>
          <w:snapToGrid w:val="0"/>
        </w:rPr>
        <w:tab/>
        <w:t>Tenure of office</w:t>
      </w:r>
      <w:r>
        <w:tab/>
      </w:r>
      <w:r>
        <w:fldChar w:fldCharType="begin"/>
      </w:r>
      <w:r>
        <w:instrText xml:space="preserve"> PAGEREF _Toc512323873 \h </w:instrText>
      </w:r>
      <w:r>
        <w:fldChar w:fldCharType="separate"/>
      </w:r>
      <w:r>
        <w:t>186</w:t>
      </w:r>
      <w:r>
        <w:fldChar w:fldCharType="end"/>
      </w:r>
    </w:p>
    <w:p>
      <w:pPr>
        <w:pStyle w:val="TOC8"/>
        <w:rPr>
          <w:rFonts w:asciiTheme="minorHAnsi" w:eastAsiaTheme="minorEastAsia" w:hAnsiTheme="minorHAnsi" w:cstheme="minorBidi"/>
          <w:szCs w:val="22"/>
        </w:rPr>
      </w:pPr>
      <w:r>
        <w:t>340BF.</w:t>
      </w:r>
      <w:r>
        <w:tab/>
        <w:t>When office of member becomes vacant</w:t>
      </w:r>
      <w:r>
        <w:tab/>
      </w:r>
      <w:r>
        <w:fldChar w:fldCharType="begin"/>
      </w:r>
      <w:r>
        <w:instrText xml:space="preserve"> PAGEREF _Toc512323874 \h </w:instrText>
      </w:r>
      <w:r>
        <w:fldChar w:fldCharType="separate"/>
      </w:r>
      <w:r>
        <w:t>186</w:t>
      </w:r>
      <w:r>
        <w:fldChar w:fldCharType="end"/>
      </w:r>
    </w:p>
    <w:p>
      <w:pPr>
        <w:pStyle w:val="TOC8"/>
        <w:rPr>
          <w:rFonts w:asciiTheme="minorHAnsi" w:eastAsiaTheme="minorEastAsia" w:hAnsiTheme="minorHAnsi" w:cstheme="minorBidi"/>
          <w:szCs w:val="22"/>
        </w:rPr>
      </w:pPr>
      <w:r>
        <w:t>340BG</w:t>
      </w:r>
      <w:r>
        <w:rPr>
          <w:snapToGrid w:val="0"/>
        </w:rPr>
        <w:t xml:space="preserve">. </w:t>
      </w:r>
      <w:r>
        <w:rPr>
          <w:snapToGrid w:val="0"/>
        </w:rPr>
        <w:tab/>
        <w:t>Vacancies in offices of members to be filled</w:t>
      </w:r>
      <w:r>
        <w:tab/>
      </w:r>
      <w:r>
        <w:fldChar w:fldCharType="begin"/>
      </w:r>
      <w:r>
        <w:instrText xml:space="preserve"> PAGEREF _Toc512323875 \h </w:instrText>
      </w:r>
      <w:r>
        <w:fldChar w:fldCharType="separate"/>
      </w:r>
      <w:r>
        <w:t>188</w:t>
      </w:r>
      <w:r>
        <w:fldChar w:fldCharType="end"/>
      </w:r>
    </w:p>
    <w:p>
      <w:pPr>
        <w:pStyle w:val="TOC8"/>
        <w:rPr>
          <w:rFonts w:asciiTheme="minorHAnsi" w:eastAsiaTheme="minorEastAsia" w:hAnsiTheme="minorHAnsi" w:cstheme="minorBidi"/>
          <w:szCs w:val="22"/>
        </w:rPr>
      </w:pPr>
      <w:r>
        <w:t>340BH.</w:t>
      </w:r>
      <w:r>
        <w:tab/>
        <w:t>Meetings and procedure of Committee</w:t>
      </w:r>
      <w:r>
        <w:tab/>
      </w:r>
      <w:r>
        <w:fldChar w:fldCharType="begin"/>
      </w:r>
      <w:r>
        <w:instrText xml:space="preserve"> PAGEREF _Toc512323876 \h </w:instrText>
      </w:r>
      <w:r>
        <w:fldChar w:fldCharType="separate"/>
      </w:r>
      <w:r>
        <w:t>188</w:t>
      </w:r>
      <w:r>
        <w:fldChar w:fldCharType="end"/>
      </w:r>
    </w:p>
    <w:p>
      <w:pPr>
        <w:pStyle w:val="TOC8"/>
        <w:rPr>
          <w:rFonts w:asciiTheme="minorHAnsi" w:eastAsiaTheme="minorEastAsia" w:hAnsiTheme="minorHAnsi" w:cstheme="minorBidi"/>
          <w:szCs w:val="22"/>
        </w:rPr>
      </w:pPr>
      <w:r>
        <w:t>340BI</w:t>
      </w:r>
      <w:r>
        <w:rPr>
          <w:snapToGrid w:val="0"/>
        </w:rPr>
        <w:t xml:space="preserve">. </w:t>
      </w:r>
      <w:r>
        <w:rPr>
          <w:snapToGrid w:val="0"/>
        </w:rPr>
        <w:tab/>
        <w:t>Reimbursement of expenses of members</w:t>
      </w:r>
      <w:r>
        <w:tab/>
      </w:r>
      <w:r>
        <w:fldChar w:fldCharType="begin"/>
      </w:r>
      <w:r>
        <w:instrText xml:space="preserve"> PAGEREF _Toc512323877 \h </w:instrText>
      </w:r>
      <w:r>
        <w:fldChar w:fldCharType="separate"/>
      </w:r>
      <w:r>
        <w:t>189</w:t>
      </w:r>
      <w:r>
        <w:fldChar w:fldCharType="end"/>
      </w:r>
    </w:p>
    <w:p>
      <w:pPr>
        <w:pStyle w:val="TOC8"/>
        <w:rPr>
          <w:rFonts w:asciiTheme="minorHAnsi" w:eastAsiaTheme="minorEastAsia" w:hAnsiTheme="minorHAnsi" w:cstheme="minorBidi"/>
          <w:szCs w:val="22"/>
        </w:rPr>
      </w:pPr>
      <w:r>
        <w:t>340BJ</w:t>
      </w:r>
      <w:r>
        <w:rPr>
          <w:snapToGrid w:val="0"/>
        </w:rPr>
        <w:t xml:space="preserve">. </w:t>
      </w:r>
      <w:r>
        <w:rPr>
          <w:snapToGrid w:val="0"/>
        </w:rPr>
        <w:tab/>
        <w:t>Appointment of investigator</w:t>
      </w:r>
      <w:r>
        <w:tab/>
      </w:r>
      <w:r>
        <w:fldChar w:fldCharType="begin"/>
      </w:r>
      <w:r>
        <w:instrText xml:space="preserve"> PAGEREF _Toc512323878 \h </w:instrText>
      </w:r>
      <w:r>
        <w:fldChar w:fldCharType="separate"/>
      </w:r>
      <w:r>
        <w:t>189</w:t>
      </w:r>
      <w:r>
        <w:fldChar w:fldCharType="end"/>
      </w:r>
    </w:p>
    <w:p>
      <w:pPr>
        <w:pStyle w:val="TOC8"/>
        <w:rPr>
          <w:rFonts w:asciiTheme="minorHAnsi" w:eastAsiaTheme="minorEastAsia" w:hAnsiTheme="minorHAnsi" w:cstheme="minorBidi"/>
          <w:szCs w:val="22"/>
        </w:rPr>
      </w:pPr>
      <w:r>
        <w:t>340BK.</w:t>
      </w:r>
      <w:r>
        <w:tab/>
        <w:t>Functions of Committee</w:t>
      </w:r>
      <w:r>
        <w:tab/>
      </w:r>
      <w:r>
        <w:fldChar w:fldCharType="begin"/>
      </w:r>
      <w:r>
        <w:instrText xml:space="preserve"> PAGEREF _Toc512323879 \h </w:instrText>
      </w:r>
      <w:r>
        <w:fldChar w:fldCharType="separate"/>
      </w:r>
      <w:r>
        <w:t>190</w:t>
      </w:r>
      <w:r>
        <w:fldChar w:fldCharType="end"/>
      </w:r>
    </w:p>
    <w:p>
      <w:pPr>
        <w:pStyle w:val="TOC8"/>
        <w:rPr>
          <w:rFonts w:asciiTheme="minorHAnsi" w:eastAsiaTheme="minorEastAsia" w:hAnsiTheme="minorHAnsi" w:cstheme="minorBidi"/>
          <w:szCs w:val="22"/>
        </w:rPr>
      </w:pPr>
      <w:r>
        <w:tab/>
        <w:t>340BLA. Further provisions relating to proceedings of Committee</w:t>
      </w:r>
      <w:r>
        <w:tab/>
      </w:r>
      <w:r>
        <w:fldChar w:fldCharType="begin"/>
      </w:r>
      <w:r>
        <w:instrText xml:space="preserve"> PAGEREF _Toc512323880 \h </w:instrText>
      </w:r>
      <w:r>
        <w:fldChar w:fldCharType="separate"/>
      </w:r>
      <w:r>
        <w:t>191</w:t>
      </w:r>
      <w:r>
        <w:fldChar w:fldCharType="end"/>
      </w:r>
    </w:p>
    <w:p>
      <w:pPr>
        <w:pStyle w:val="TOC8"/>
        <w:rPr>
          <w:rFonts w:asciiTheme="minorHAnsi" w:eastAsiaTheme="minorEastAsia" w:hAnsiTheme="minorHAnsi" w:cstheme="minorBidi"/>
          <w:szCs w:val="22"/>
        </w:rPr>
      </w:pPr>
      <w:r>
        <w:tab/>
        <w:t>340BLB. Contents of notification confidential</w:t>
      </w:r>
      <w:r>
        <w:tab/>
      </w:r>
      <w:r>
        <w:fldChar w:fldCharType="begin"/>
      </w:r>
      <w:r>
        <w:instrText xml:space="preserve"> PAGEREF _Toc512323881 \h </w:instrText>
      </w:r>
      <w:r>
        <w:fldChar w:fldCharType="separate"/>
      </w:r>
      <w:r>
        <w:t>192</w:t>
      </w:r>
      <w:r>
        <w:fldChar w:fldCharType="end"/>
      </w:r>
    </w:p>
    <w:p>
      <w:pPr>
        <w:pStyle w:val="TOC8"/>
        <w:rPr>
          <w:rFonts w:asciiTheme="minorHAnsi" w:eastAsiaTheme="minorEastAsia" w:hAnsiTheme="minorHAnsi" w:cstheme="minorBidi"/>
          <w:szCs w:val="22"/>
        </w:rPr>
      </w:pPr>
      <w:r>
        <w:t>340BL</w:t>
      </w:r>
      <w:r>
        <w:rPr>
          <w:snapToGrid w:val="0"/>
        </w:rPr>
        <w:t xml:space="preserve">. </w:t>
      </w:r>
      <w:r>
        <w:rPr>
          <w:snapToGrid w:val="0"/>
        </w:rPr>
        <w:tab/>
        <w:t>When report may be published</w:t>
      </w:r>
      <w:r>
        <w:tab/>
      </w:r>
      <w:r>
        <w:fldChar w:fldCharType="begin"/>
      </w:r>
      <w:r>
        <w:instrText xml:space="preserve"> PAGEREF _Toc512323882 \h </w:instrText>
      </w:r>
      <w:r>
        <w:fldChar w:fldCharType="separate"/>
      </w:r>
      <w:r>
        <w:t>192</w:t>
      </w:r>
      <w:r>
        <w:fldChar w:fldCharType="end"/>
      </w:r>
    </w:p>
    <w:p>
      <w:pPr>
        <w:pStyle w:val="TOC8"/>
        <w:rPr>
          <w:rFonts w:asciiTheme="minorHAnsi" w:eastAsiaTheme="minorEastAsia" w:hAnsiTheme="minorHAnsi" w:cstheme="minorBidi"/>
          <w:szCs w:val="22"/>
        </w:rPr>
      </w:pPr>
      <w:r>
        <w:t>340BM</w:t>
      </w:r>
      <w:r>
        <w:rPr>
          <w:snapToGrid w:val="0"/>
        </w:rPr>
        <w:t xml:space="preserve">. </w:t>
      </w:r>
      <w:r>
        <w:rPr>
          <w:snapToGrid w:val="0"/>
        </w:rPr>
        <w:tab/>
        <w:t>Information for research not to be disclosed</w:t>
      </w:r>
      <w:r>
        <w:tab/>
      </w:r>
      <w:r>
        <w:fldChar w:fldCharType="begin"/>
      </w:r>
      <w:r>
        <w:instrText xml:space="preserve"> PAGEREF _Toc512323883 \h </w:instrText>
      </w:r>
      <w:r>
        <w:fldChar w:fldCharType="separate"/>
      </w:r>
      <w:r>
        <w:t>192</w:t>
      </w:r>
      <w:r>
        <w:fldChar w:fldCharType="end"/>
      </w:r>
    </w:p>
    <w:p>
      <w:pPr>
        <w:pStyle w:val="TOC2"/>
        <w:tabs>
          <w:tab w:val="right" w:leader="dot" w:pos="7077"/>
        </w:tabs>
        <w:rPr>
          <w:rFonts w:asciiTheme="minorHAnsi" w:eastAsiaTheme="minorEastAsia" w:hAnsiTheme="minorHAnsi" w:cstheme="minorBidi"/>
          <w:b w:val="0"/>
          <w:sz w:val="22"/>
          <w:szCs w:val="22"/>
        </w:rPr>
      </w:pPr>
      <w:r>
        <w:t>Part XIV — Regulations and local laws</w:t>
      </w:r>
    </w:p>
    <w:p>
      <w:pPr>
        <w:pStyle w:val="TOC8"/>
        <w:rPr>
          <w:rFonts w:asciiTheme="minorHAnsi" w:eastAsiaTheme="minorEastAsia" w:hAnsiTheme="minorHAnsi" w:cstheme="minorBidi"/>
          <w:szCs w:val="22"/>
        </w:rPr>
      </w:pPr>
      <w:r>
        <w:t>341</w:t>
      </w:r>
      <w:r>
        <w:rPr>
          <w:snapToGrid w:val="0"/>
        </w:rPr>
        <w:t>.</w:t>
      </w:r>
      <w:r>
        <w:rPr>
          <w:snapToGrid w:val="0"/>
        </w:rPr>
        <w:tab/>
        <w:t>Regulations</w:t>
      </w:r>
      <w:r>
        <w:tab/>
      </w:r>
      <w:r>
        <w:fldChar w:fldCharType="begin"/>
      </w:r>
      <w:r>
        <w:instrText xml:space="preserve"> PAGEREF _Toc512323885 \h </w:instrText>
      </w:r>
      <w:r>
        <w:fldChar w:fldCharType="separate"/>
      </w:r>
      <w:r>
        <w:t>194</w:t>
      </w:r>
      <w:r>
        <w:fldChar w:fldCharType="end"/>
      </w:r>
    </w:p>
    <w:p>
      <w:pPr>
        <w:pStyle w:val="TOC8"/>
        <w:rPr>
          <w:rFonts w:asciiTheme="minorHAnsi" w:eastAsiaTheme="minorEastAsia" w:hAnsiTheme="minorHAnsi" w:cstheme="minorBidi"/>
          <w:szCs w:val="22"/>
        </w:rPr>
      </w:pPr>
      <w:r>
        <w:t>342</w:t>
      </w:r>
      <w:r>
        <w:rPr>
          <w:snapToGrid w:val="0"/>
        </w:rPr>
        <w:t>.</w:t>
      </w:r>
      <w:r>
        <w:rPr>
          <w:snapToGrid w:val="0"/>
        </w:rPr>
        <w:tab/>
        <w:t>Local laws</w:t>
      </w:r>
      <w:r>
        <w:tab/>
      </w:r>
      <w:r>
        <w:fldChar w:fldCharType="begin"/>
      </w:r>
      <w:r>
        <w:instrText xml:space="preserve"> PAGEREF _Toc512323886 \h </w:instrText>
      </w:r>
      <w:r>
        <w:fldChar w:fldCharType="separate"/>
      </w:r>
      <w:r>
        <w:t>194</w:t>
      </w:r>
      <w:r>
        <w:fldChar w:fldCharType="end"/>
      </w:r>
    </w:p>
    <w:p>
      <w:pPr>
        <w:pStyle w:val="TOC8"/>
        <w:rPr>
          <w:rFonts w:asciiTheme="minorHAnsi" w:eastAsiaTheme="minorEastAsia" w:hAnsiTheme="minorHAnsi" w:cstheme="minorBidi"/>
          <w:szCs w:val="22"/>
        </w:rPr>
      </w:pPr>
      <w:r>
        <w:t>343</w:t>
      </w:r>
      <w:r>
        <w:rPr>
          <w:snapToGrid w:val="0"/>
        </w:rPr>
        <w:t>.</w:t>
      </w:r>
      <w:r>
        <w:rPr>
          <w:snapToGrid w:val="0"/>
        </w:rPr>
        <w:tab/>
        <w:t>Model local laws</w:t>
      </w:r>
      <w:r>
        <w:tab/>
      </w:r>
      <w:r>
        <w:fldChar w:fldCharType="begin"/>
      </w:r>
      <w:r>
        <w:instrText xml:space="preserve"> PAGEREF _Toc512323887 \h </w:instrText>
      </w:r>
      <w:r>
        <w:fldChar w:fldCharType="separate"/>
      </w:r>
      <w:r>
        <w:t>195</w:t>
      </w:r>
      <w:r>
        <w:fldChar w:fldCharType="end"/>
      </w:r>
    </w:p>
    <w:p>
      <w:pPr>
        <w:pStyle w:val="TOC8"/>
        <w:rPr>
          <w:rFonts w:asciiTheme="minorHAnsi" w:eastAsiaTheme="minorEastAsia" w:hAnsiTheme="minorHAnsi" w:cstheme="minorBidi"/>
          <w:szCs w:val="22"/>
        </w:rPr>
      </w:pPr>
      <w:r>
        <w:t>343A</w:t>
      </w:r>
      <w:r>
        <w:rPr>
          <w:snapToGrid w:val="0"/>
        </w:rPr>
        <w:t xml:space="preserve">. </w:t>
      </w:r>
      <w:r>
        <w:rPr>
          <w:snapToGrid w:val="0"/>
        </w:rPr>
        <w:tab/>
        <w:t>Regulations to operate as local laws</w:t>
      </w:r>
      <w:r>
        <w:tab/>
      </w:r>
      <w:r>
        <w:fldChar w:fldCharType="begin"/>
      </w:r>
      <w:r>
        <w:instrText xml:space="preserve"> PAGEREF _Toc512323888 \h </w:instrText>
      </w:r>
      <w:r>
        <w:fldChar w:fldCharType="separate"/>
      </w:r>
      <w:r>
        <w:t>195</w:t>
      </w:r>
      <w:r>
        <w:fldChar w:fldCharType="end"/>
      </w:r>
    </w:p>
    <w:p>
      <w:pPr>
        <w:pStyle w:val="TOC8"/>
        <w:rPr>
          <w:rFonts w:asciiTheme="minorHAnsi" w:eastAsiaTheme="minorEastAsia" w:hAnsiTheme="minorHAnsi" w:cstheme="minorBidi"/>
          <w:szCs w:val="22"/>
        </w:rPr>
      </w:pPr>
      <w:r>
        <w:t>343B</w:t>
      </w:r>
      <w:r>
        <w:rPr>
          <w:snapToGrid w:val="0"/>
        </w:rPr>
        <w:t xml:space="preserve">. </w:t>
      </w:r>
      <w:r>
        <w:rPr>
          <w:snapToGrid w:val="0"/>
        </w:rPr>
        <w:tab/>
        <w:t>Governor may amend or repeal local laws</w:t>
      </w:r>
      <w:r>
        <w:tab/>
      </w:r>
      <w:r>
        <w:fldChar w:fldCharType="begin"/>
      </w:r>
      <w:r>
        <w:instrText xml:space="preserve"> PAGEREF _Toc512323889 \h </w:instrText>
      </w:r>
      <w:r>
        <w:fldChar w:fldCharType="separate"/>
      </w:r>
      <w:r>
        <w:t>196</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Penalties, fees etc.</w:t>
      </w:r>
      <w:r>
        <w:tab/>
      </w:r>
      <w:r>
        <w:fldChar w:fldCharType="begin"/>
      </w:r>
      <w:r>
        <w:instrText xml:space="preserve"> PAGEREF _Toc512323890 \h </w:instrText>
      </w:r>
      <w:r>
        <w:fldChar w:fldCharType="separate"/>
      </w:r>
      <w:r>
        <w:t>196</w:t>
      </w:r>
      <w:r>
        <w:fldChar w:fldCharType="end"/>
      </w:r>
    </w:p>
    <w:p>
      <w:pPr>
        <w:pStyle w:val="TOC8"/>
        <w:rPr>
          <w:rFonts w:asciiTheme="minorHAnsi" w:eastAsiaTheme="minorEastAsia" w:hAnsiTheme="minorHAnsi" w:cstheme="minorBidi"/>
          <w:szCs w:val="22"/>
        </w:rPr>
      </w:pPr>
      <w:r>
        <w:t>344A</w:t>
      </w:r>
      <w:r>
        <w:rPr>
          <w:snapToGrid w:val="0"/>
        </w:rPr>
        <w:t xml:space="preserve">. </w:t>
      </w:r>
      <w:r>
        <w:rPr>
          <w:snapToGrid w:val="0"/>
        </w:rPr>
        <w:tab/>
        <w:t>Incorporation by reference</w:t>
      </w:r>
      <w:r>
        <w:tab/>
      </w:r>
      <w:r>
        <w:fldChar w:fldCharType="begin"/>
      </w:r>
      <w:r>
        <w:instrText xml:space="preserve"> PAGEREF _Toc512323891 \h </w:instrText>
      </w:r>
      <w:r>
        <w:fldChar w:fldCharType="separate"/>
      </w:r>
      <w:r>
        <w:t>197</w:t>
      </w:r>
      <w:r>
        <w:fldChar w:fldCharType="end"/>
      </w:r>
    </w:p>
    <w:p>
      <w:pPr>
        <w:pStyle w:val="TOC8"/>
        <w:rPr>
          <w:rFonts w:asciiTheme="minorHAnsi" w:eastAsiaTheme="minorEastAsia" w:hAnsiTheme="minorHAnsi" w:cstheme="minorBidi"/>
          <w:szCs w:val="22"/>
        </w:rPr>
      </w:pPr>
      <w:r>
        <w:t>344B</w:t>
      </w:r>
      <w:r>
        <w:rPr>
          <w:snapToGrid w:val="0"/>
        </w:rPr>
        <w:t xml:space="preserve">. </w:t>
      </w:r>
      <w:r>
        <w:rPr>
          <w:snapToGrid w:val="0"/>
        </w:rPr>
        <w:tab/>
        <w:t>Evidence of contents of standard etc. adopted</w:t>
      </w:r>
      <w:r>
        <w:tab/>
      </w:r>
      <w:r>
        <w:fldChar w:fldCharType="begin"/>
      </w:r>
      <w:r>
        <w:instrText xml:space="preserve"> PAGEREF _Toc512323892 \h </w:instrText>
      </w:r>
      <w:r>
        <w:fldChar w:fldCharType="separate"/>
      </w:r>
      <w:r>
        <w:t>198</w:t>
      </w:r>
      <w:r>
        <w:fldChar w:fldCharType="end"/>
      </w:r>
    </w:p>
    <w:p>
      <w:pPr>
        <w:pStyle w:val="TOC8"/>
        <w:rPr>
          <w:rFonts w:asciiTheme="minorHAnsi" w:eastAsiaTheme="minorEastAsia" w:hAnsiTheme="minorHAnsi" w:cstheme="minorBidi"/>
          <w:szCs w:val="22"/>
        </w:rPr>
      </w:pPr>
      <w:r>
        <w:t>344C</w:t>
      </w:r>
      <w:r>
        <w:rPr>
          <w:snapToGrid w:val="0"/>
        </w:rPr>
        <w:t xml:space="preserve">. </w:t>
      </w:r>
      <w:r>
        <w:rPr>
          <w:snapToGrid w:val="0"/>
        </w:rPr>
        <w:tab/>
        <w:t>Fees and charges may be fixed by resolution</w:t>
      </w:r>
      <w:r>
        <w:tab/>
      </w:r>
      <w:r>
        <w:fldChar w:fldCharType="begin"/>
      </w:r>
      <w:r>
        <w:instrText xml:space="preserve"> PAGEREF _Toc512323893 \h </w:instrText>
      </w:r>
      <w:r>
        <w:fldChar w:fldCharType="separate"/>
      </w:r>
      <w:r>
        <w:t>198</w:t>
      </w:r>
      <w:r>
        <w:fldChar w:fldCharType="end"/>
      </w:r>
    </w:p>
    <w:p>
      <w:pPr>
        <w:pStyle w:val="TOC8"/>
        <w:rPr>
          <w:rFonts w:asciiTheme="minorHAnsi" w:eastAsiaTheme="minorEastAsia" w:hAnsiTheme="minorHAnsi" w:cstheme="minorBidi"/>
          <w:szCs w:val="22"/>
        </w:rPr>
      </w:pPr>
      <w:r>
        <w:t>345</w:t>
      </w:r>
      <w:r>
        <w:rPr>
          <w:snapToGrid w:val="0"/>
        </w:rPr>
        <w:t>.</w:t>
      </w:r>
      <w:r>
        <w:rPr>
          <w:snapToGrid w:val="0"/>
        </w:rPr>
        <w:tab/>
        <w:t>Regulations to be confirmed</w:t>
      </w:r>
      <w:r>
        <w:tab/>
      </w:r>
      <w:r>
        <w:fldChar w:fldCharType="begin"/>
      </w:r>
      <w:r>
        <w:instrText xml:space="preserve"> PAGEREF _Toc512323894 \h </w:instrText>
      </w:r>
      <w:r>
        <w:fldChar w:fldCharType="separate"/>
      </w:r>
      <w:r>
        <w:t>200</w:t>
      </w:r>
      <w:r>
        <w:fldChar w:fldCharType="end"/>
      </w:r>
    </w:p>
    <w:p>
      <w:pPr>
        <w:pStyle w:val="TOC8"/>
        <w:rPr>
          <w:rFonts w:asciiTheme="minorHAnsi" w:eastAsiaTheme="minorEastAsia" w:hAnsiTheme="minorHAnsi" w:cstheme="minorBidi"/>
          <w:szCs w:val="22"/>
        </w:rPr>
      </w:pPr>
      <w:r>
        <w:t>348</w:t>
      </w:r>
      <w:r>
        <w:rPr>
          <w:snapToGrid w:val="0"/>
        </w:rPr>
        <w:t>.</w:t>
      </w:r>
      <w:r>
        <w:rPr>
          <w:snapToGrid w:val="0"/>
        </w:rPr>
        <w:tab/>
        <w:t>Evidence of local laws</w:t>
      </w:r>
      <w:r>
        <w:tab/>
      </w:r>
      <w:r>
        <w:fldChar w:fldCharType="begin"/>
      </w:r>
      <w:r>
        <w:instrText xml:space="preserve"> PAGEREF _Toc512323895 \h </w:instrText>
      </w:r>
      <w:r>
        <w:fldChar w:fldCharType="separate"/>
      </w:r>
      <w:r>
        <w:t>200</w:t>
      </w:r>
      <w:r>
        <w:fldChar w:fldCharType="end"/>
      </w:r>
    </w:p>
    <w:p>
      <w:pPr>
        <w:pStyle w:val="TOC8"/>
        <w:rPr>
          <w:rFonts w:asciiTheme="minorHAnsi" w:eastAsiaTheme="minorEastAsia" w:hAnsiTheme="minorHAnsi" w:cstheme="minorBidi"/>
          <w:szCs w:val="22"/>
        </w:rPr>
      </w:pPr>
      <w:r>
        <w:t>348A</w:t>
      </w:r>
      <w:r>
        <w:rPr>
          <w:snapToGrid w:val="0"/>
        </w:rPr>
        <w:t xml:space="preserve">. </w:t>
      </w:r>
      <w:r>
        <w:rPr>
          <w:snapToGrid w:val="0"/>
        </w:rPr>
        <w:tab/>
        <w:t>Proclamations etc. may be revoked or varied</w:t>
      </w:r>
      <w:r>
        <w:tab/>
      </w:r>
      <w:r>
        <w:fldChar w:fldCharType="begin"/>
      </w:r>
      <w:r>
        <w:instrText xml:space="preserve"> PAGEREF _Toc512323896 \h </w:instrText>
      </w:r>
      <w:r>
        <w:fldChar w:fldCharType="separate"/>
      </w:r>
      <w:r>
        <w:t>201</w:t>
      </w:r>
      <w:r>
        <w:fldChar w:fldCharType="end"/>
      </w:r>
    </w:p>
    <w:p>
      <w:pPr>
        <w:pStyle w:val="TOC2"/>
        <w:tabs>
          <w:tab w:val="right" w:leader="dot" w:pos="7077"/>
        </w:tabs>
        <w:rPr>
          <w:rFonts w:asciiTheme="minorHAnsi" w:eastAsiaTheme="minorEastAsia" w:hAnsiTheme="minorHAnsi" w:cstheme="minorBidi"/>
          <w:b w:val="0"/>
          <w:sz w:val="22"/>
          <w:szCs w:val="22"/>
        </w:rPr>
      </w:pPr>
      <w:r>
        <w:t>Part XV — Miscellaneous provisions</w:t>
      </w:r>
    </w:p>
    <w:p>
      <w:pPr>
        <w:pStyle w:val="TOC8"/>
        <w:rPr>
          <w:rFonts w:asciiTheme="minorHAnsi" w:eastAsiaTheme="minorEastAsia" w:hAnsiTheme="minorHAnsi" w:cstheme="minorBidi"/>
          <w:szCs w:val="22"/>
        </w:rPr>
      </w:pPr>
      <w:r>
        <w:t>349</w:t>
      </w:r>
      <w:r>
        <w:rPr>
          <w:snapToGrid w:val="0"/>
        </w:rPr>
        <w:t>.</w:t>
      </w:r>
      <w:r>
        <w:rPr>
          <w:snapToGrid w:val="0"/>
        </w:rPr>
        <w:tab/>
        <w:t>Entry</w:t>
      </w:r>
      <w:r>
        <w:tab/>
      </w:r>
      <w:r>
        <w:fldChar w:fldCharType="begin"/>
      </w:r>
      <w:r>
        <w:instrText xml:space="preserve"> PAGEREF _Toc512323898 \h </w:instrText>
      </w:r>
      <w:r>
        <w:fldChar w:fldCharType="separate"/>
      </w:r>
      <w:r>
        <w:t>202</w:t>
      </w:r>
      <w:r>
        <w:fldChar w:fldCharType="end"/>
      </w:r>
    </w:p>
    <w:p>
      <w:pPr>
        <w:pStyle w:val="TOC8"/>
        <w:rPr>
          <w:rFonts w:asciiTheme="minorHAnsi" w:eastAsiaTheme="minorEastAsia" w:hAnsiTheme="minorHAnsi" w:cstheme="minorBidi"/>
          <w:szCs w:val="22"/>
        </w:rPr>
      </w:pPr>
      <w:r>
        <w:t>350</w:t>
      </w:r>
      <w:r>
        <w:rPr>
          <w:snapToGrid w:val="0"/>
        </w:rPr>
        <w:t>.</w:t>
      </w:r>
      <w:r>
        <w:rPr>
          <w:snapToGrid w:val="0"/>
        </w:rPr>
        <w:tab/>
        <w:t>Vessels</w:t>
      </w:r>
      <w:r>
        <w:tab/>
      </w:r>
      <w:r>
        <w:fldChar w:fldCharType="begin"/>
      </w:r>
      <w:r>
        <w:instrText xml:space="preserve"> PAGEREF _Toc512323899 \h </w:instrText>
      </w:r>
      <w:r>
        <w:fldChar w:fldCharType="separate"/>
      </w:r>
      <w:r>
        <w:t>202</w:t>
      </w:r>
      <w:r>
        <w:fldChar w:fldCharType="end"/>
      </w:r>
    </w:p>
    <w:p>
      <w:pPr>
        <w:pStyle w:val="TOC8"/>
        <w:rPr>
          <w:rFonts w:asciiTheme="minorHAnsi" w:eastAsiaTheme="minorEastAsia" w:hAnsiTheme="minorHAnsi" w:cstheme="minorBidi"/>
          <w:szCs w:val="22"/>
        </w:rPr>
      </w:pPr>
      <w:r>
        <w:t>351</w:t>
      </w:r>
      <w:r>
        <w:rPr>
          <w:snapToGrid w:val="0"/>
        </w:rPr>
        <w:t>.</w:t>
      </w:r>
      <w:r>
        <w:rPr>
          <w:snapToGrid w:val="0"/>
        </w:rPr>
        <w:tab/>
        <w:t>Obstructing execution of Act</w:t>
      </w:r>
      <w:r>
        <w:tab/>
      </w:r>
      <w:r>
        <w:fldChar w:fldCharType="begin"/>
      </w:r>
      <w:r>
        <w:instrText xml:space="preserve"> PAGEREF _Toc512323900 \h </w:instrText>
      </w:r>
      <w:r>
        <w:fldChar w:fldCharType="separate"/>
      </w:r>
      <w:r>
        <w:t>203</w:t>
      </w:r>
      <w:r>
        <w:fldChar w:fldCharType="end"/>
      </w:r>
    </w:p>
    <w:p>
      <w:pPr>
        <w:pStyle w:val="TOC8"/>
        <w:rPr>
          <w:rFonts w:asciiTheme="minorHAnsi" w:eastAsiaTheme="minorEastAsia" w:hAnsiTheme="minorHAnsi" w:cstheme="minorBidi"/>
          <w:szCs w:val="22"/>
        </w:rPr>
      </w:pPr>
      <w:r>
        <w:t>352</w:t>
      </w:r>
      <w:r>
        <w:rPr>
          <w:snapToGrid w:val="0"/>
        </w:rPr>
        <w:t>.</w:t>
      </w:r>
      <w:r>
        <w:rPr>
          <w:snapToGrid w:val="0"/>
        </w:rPr>
        <w:tab/>
        <w:t>Duty of police officers and authorised officers</w:t>
      </w:r>
      <w:r>
        <w:tab/>
      </w:r>
      <w:r>
        <w:fldChar w:fldCharType="begin"/>
      </w:r>
      <w:r>
        <w:instrText xml:space="preserve"> PAGEREF _Toc512323901 \h </w:instrText>
      </w:r>
      <w:r>
        <w:fldChar w:fldCharType="separate"/>
      </w:r>
      <w:r>
        <w:t>204</w:t>
      </w:r>
      <w:r>
        <w:fldChar w:fldCharType="end"/>
      </w:r>
    </w:p>
    <w:p>
      <w:pPr>
        <w:pStyle w:val="TOC8"/>
        <w:rPr>
          <w:rFonts w:asciiTheme="minorHAnsi" w:eastAsiaTheme="minorEastAsia" w:hAnsiTheme="minorHAnsi" w:cstheme="minorBidi"/>
          <w:szCs w:val="22"/>
        </w:rPr>
      </w:pPr>
      <w:r>
        <w:t>353</w:t>
      </w:r>
      <w:r>
        <w:rPr>
          <w:snapToGrid w:val="0"/>
        </w:rPr>
        <w:t>.</w:t>
      </w:r>
      <w:r>
        <w:rPr>
          <w:snapToGrid w:val="0"/>
        </w:rPr>
        <w:tab/>
        <w:t>Power to take possession of and lease land or premises on which expenses are due</w:t>
      </w:r>
      <w:r>
        <w:tab/>
      </w:r>
      <w:r>
        <w:fldChar w:fldCharType="begin"/>
      </w:r>
      <w:r>
        <w:instrText xml:space="preserve"> PAGEREF _Toc512323902 \h </w:instrText>
      </w:r>
      <w:r>
        <w:fldChar w:fldCharType="separate"/>
      </w:r>
      <w:r>
        <w:t>205</w:t>
      </w:r>
      <w:r>
        <w:fldChar w:fldCharType="end"/>
      </w:r>
    </w:p>
    <w:p>
      <w:pPr>
        <w:pStyle w:val="TOC8"/>
        <w:rPr>
          <w:rFonts w:asciiTheme="minorHAnsi" w:eastAsiaTheme="minorEastAsia" w:hAnsiTheme="minorHAnsi" w:cstheme="minorBidi"/>
          <w:szCs w:val="22"/>
        </w:rPr>
      </w:pPr>
      <w:r>
        <w:t>354</w:t>
      </w:r>
      <w:r>
        <w:rPr>
          <w:snapToGrid w:val="0"/>
        </w:rPr>
        <w:t>.</w:t>
      </w:r>
      <w:r>
        <w:rPr>
          <w:snapToGrid w:val="0"/>
        </w:rPr>
        <w:tab/>
        <w:t>Service of notice</w:t>
      </w:r>
      <w:r>
        <w:tab/>
      </w:r>
      <w:r>
        <w:fldChar w:fldCharType="begin"/>
      </w:r>
      <w:r>
        <w:instrText xml:space="preserve"> PAGEREF _Toc512323903 \h </w:instrText>
      </w:r>
      <w:r>
        <w:fldChar w:fldCharType="separate"/>
      </w:r>
      <w:r>
        <w:t>205</w:t>
      </w:r>
      <w:r>
        <w:fldChar w:fldCharType="end"/>
      </w:r>
    </w:p>
    <w:p>
      <w:pPr>
        <w:pStyle w:val="TOC8"/>
        <w:rPr>
          <w:rFonts w:asciiTheme="minorHAnsi" w:eastAsiaTheme="minorEastAsia" w:hAnsiTheme="minorHAnsi" w:cstheme="minorBidi"/>
          <w:szCs w:val="22"/>
        </w:rPr>
      </w:pPr>
      <w:r>
        <w:t>355</w:t>
      </w:r>
      <w:r>
        <w:rPr>
          <w:snapToGrid w:val="0"/>
        </w:rPr>
        <w:t>.</w:t>
      </w:r>
      <w:r>
        <w:rPr>
          <w:snapToGrid w:val="0"/>
        </w:rPr>
        <w:tab/>
        <w:t>Continued operation of notices and orders</w:t>
      </w:r>
      <w:r>
        <w:tab/>
      </w:r>
      <w:r>
        <w:fldChar w:fldCharType="begin"/>
      </w:r>
      <w:r>
        <w:instrText xml:space="preserve"> PAGEREF _Toc512323904 \h </w:instrText>
      </w:r>
      <w:r>
        <w:fldChar w:fldCharType="separate"/>
      </w:r>
      <w:r>
        <w:t>207</w:t>
      </w:r>
      <w:r>
        <w:fldChar w:fldCharType="end"/>
      </w:r>
    </w:p>
    <w:p>
      <w:pPr>
        <w:pStyle w:val="TOC8"/>
        <w:rPr>
          <w:rFonts w:asciiTheme="minorHAnsi" w:eastAsiaTheme="minorEastAsia" w:hAnsiTheme="minorHAnsi" w:cstheme="minorBidi"/>
          <w:szCs w:val="22"/>
        </w:rPr>
      </w:pPr>
      <w:r>
        <w:t>356</w:t>
      </w:r>
      <w:r>
        <w:rPr>
          <w:snapToGrid w:val="0"/>
        </w:rPr>
        <w:t>.</w:t>
      </w:r>
      <w:r>
        <w:rPr>
          <w:snapToGrid w:val="0"/>
        </w:rPr>
        <w:tab/>
        <w:t>Proof of ownership</w:t>
      </w:r>
      <w:r>
        <w:tab/>
      </w:r>
      <w:r>
        <w:fldChar w:fldCharType="begin"/>
      </w:r>
      <w:r>
        <w:instrText xml:space="preserve"> PAGEREF _Toc512323905 \h </w:instrText>
      </w:r>
      <w:r>
        <w:fldChar w:fldCharType="separate"/>
      </w:r>
      <w:r>
        <w:t>207</w:t>
      </w:r>
      <w:r>
        <w:fldChar w:fldCharType="end"/>
      </w:r>
    </w:p>
    <w:p>
      <w:pPr>
        <w:pStyle w:val="TOC8"/>
        <w:rPr>
          <w:rFonts w:asciiTheme="minorHAnsi" w:eastAsiaTheme="minorEastAsia" w:hAnsiTheme="minorHAnsi" w:cstheme="minorBidi"/>
          <w:szCs w:val="22"/>
        </w:rPr>
      </w:pPr>
      <w:r>
        <w:t>357</w:t>
      </w:r>
      <w:r>
        <w:rPr>
          <w:snapToGrid w:val="0"/>
        </w:rPr>
        <w:t>.</w:t>
      </w:r>
      <w:r>
        <w:rPr>
          <w:snapToGrid w:val="0"/>
        </w:rPr>
        <w:tab/>
        <w:t>Power to suspend or cancel licences</w:t>
      </w:r>
      <w:r>
        <w:tab/>
      </w:r>
      <w:r>
        <w:fldChar w:fldCharType="begin"/>
      </w:r>
      <w:r>
        <w:instrText xml:space="preserve"> PAGEREF _Toc512323906 \h </w:instrText>
      </w:r>
      <w:r>
        <w:fldChar w:fldCharType="separate"/>
      </w:r>
      <w:r>
        <w:t>209</w:t>
      </w:r>
      <w:r>
        <w:fldChar w:fldCharType="end"/>
      </w:r>
    </w:p>
    <w:p>
      <w:pPr>
        <w:pStyle w:val="TOC8"/>
        <w:rPr>
          <w:rFonts w:asciiTheme="minorHAnsi" w:eastAsiaTheme="minorEastAsia" w:hAnsiTheme="minorHAnsi" w:cstheme="minorBidi"/>
          <w:szCs w:val="22"/>
        </w:rPr>
      </w:pPr>
      <w:r>
        <w:t>358</w:t>
      </w:r>
      <w:r>
        <w:rPr>
          <w:snapToGrid w:val="0"/>
        </w:rPr>
        <w:t>.</w:t>
      </w:r>
      <w:r>
        <w:rPr>
          <w:snapToGrid w:val="0"/>
        </w:rPr>
        <w:tab/>
        <w:t>Prosecution of offences</w:t>
      </w:r>
      <w:r>
        <w:tab/>
      </w:r>
      <w:r>
        <w:fldChar w:fldCharType="begin"/>
      </w:r>
      <w:r>
        <w:instrText xml:space="preserve"> PAGEREF _Toc512323907 \h </w:instrText>
      </w:r>
      <w:r>
        <w:fldChar w:fldCharType="separate"/>
      </w:r>
      <w:r>
        <w:t>209</w:t>
      </w:r>
      <w:r>
        <w:fldChar w:fldCharType="end"/>
      </w:r>
    </w:p>
    <w:p>
      <w:pPr>
        <w:pStyle w:val="TOC8"/>
        <w:rPr>
          <w:rFonts w:asciiTheme="minorHAnsi" w:eastAsiaTheme="minorEastAsia" w:hAnsiTheme="minorHAnsi" w:cstheme="minorBidi"/>
          <w:szCs w:val="22"/>
        </w:rPr>
      </w:pPr>
      <w:r>
        <w:t>359</w:t>
      </w:r>
      <w:r>
        <w:rPr>
          <w:snapToGrid w:val="0"/>
        </w:rPr>
        <w:t>.</w:t>
      </w:r>
      <w:r>
        <w:rPr>
          <w:snapToGrid w:val="0"/>
        </w:rPr>
        <w:tab/>
        <w:t>No abatement</w:t>
      </w:r>
      <w:r>
        <w:tab/>
      </w:r>
      <w:r>
        <w:fldChar w:fldCharType="begin"/>
      </w:r>
      <w:r>
        <w:instrText xml:space="preserve"> PAGEREF _Toc512323908 \h </w:instrText>
      </w:r>
      <w:r>
        <w:fldChar w:fldCharType="separate"/>
      </w:r>
      <w:r>
        <w:t>209</w:t>
      </w:r>
      <w:r>
        <w:fldChar w:fldCharType="end"/>
      </w:r>
    </w:p>
    <w:p>
      <w:pPr>
        <w:pStyle w:val="TOC8"/>
        <w:rPr>
          <w:rFonts w:asciiTheme="minorHAnsi" w:eastAsiaTheme="minorEastAsia" w:hAnsiTheme="minorHAnsi" w:cstheme="minorBidi"/>
          <w:szCs w:val="22"/>
        </w:rPr>
      </w:pPr>
      <w:r>
        <w:t>360</w:t>
      </w:r>
      <w:r>
        <w:rPr>
          <w:snapToGrid w:val="0"/>
        </w:rPr>
        <w:t>.</w:t>
      </w:r>
      <w:r>
        <w:rPr>
          <w:snapToGrid w:val="0"/>
        </w:rPr>
        <w:tab/>
        <w:t>Penalties</w:t>
      </w:r>
      <w:r>
        <w:tab/>
      </w:r>
      <w:r>
        <w:fldChar w:fldCharType="begin"/>
      </w:r>
      <w:r>
        <w:instrText xml:space="preserve"> PAGEREF _Toc512323909 \h </w:instrText>
      </w:r>
      <w:r>
        <w:fldChar w:fldCharType="separate"/>
      </w:r>
      <w:r>
        <w:t>210</w:t>
      </w:r>
      <w:r>
        <w:fldChar w:fldCharType="end"/>
      </w:r>
    </w:p>
    <w:p>
      <w:pPr>
        <w:pStyle w:val="TOC8"/>
        <w:rPr>
          <w:rFonts w:asciiTheme="minorHAnsi" w:eastAsiaTheme="minorEastAsia" w:hAnsiTheme="minorHAnsi" w:cstheme="minorBidi"/>
          <w:szCs w:val="22"/>
        </w:rPr>
      </w:pPr>
      <w:r>
        <w:t>361</w:t>
      </w:r>
      <w:r>
        <w:rPr>
          <w:snapToGrid w:val="0"/>
        </w:rPr>
        <w:t>.</w:t>
      </w:r>
      <w:r>
        <w:rPr>
          <w:snapToGrid w:val="0"/>
        </w:rPr>
        <w:tab/>
        <w:t>General penalty</w:t>
      </w:r>
      <w:r>
        <w:tab/>
      </w:r>
      <w:r>
        <w:fldChar w:fldCharType="begin"/>
      </w:r>
      <w:r>
        <w:instrText xml:space="preserve"> PAGEREF _Toc512323910 \h </w:instrText>
      </w:r>
      <w:r>
        <w:fldChar w:fldCharType="separate"/>
      </w:r>
      <w:r>
        <w:t>214</w:t>
      </w:r>
      <w:r>
        <w:fldChar w:fldCharType="end"/>
      </w:r>
    </w:p>
    <w:p>
      <w:pPr>
        <w:pStyle w:val="TOC8"/>
        <w:rPr>
          <w:rFonts w:asciiTheme="minorHAnsi" w:eastAsiaTheme="minorEastAsia" w:hAnsiTheme="minorHAnsi" w:cstheme="minorBidi"/>
          <w:szCs w:val="22"/>
        </w:rPr>
      </w:pPr>
      <w:r>
        <w:t>362</w:t>
      </w:r>
      <w:r>
        <w:rPr>
          <w:snapToGrid w:val="0"/>
        </w:rPr>
        <w:t>.</w:t>
      </w:r>
      <w:r>
        <w:rPr>
          <w:snapToGrid w:val="0"/>
        </w:rPr>
        <w:tab/>
        <w:t>Proceedings for offence</w:t>
      </w:r>
      <w:r>
        <w:tab/>
      </w:r>
      <w:r>
        <w:fldChar w:fldCharType="begin"/>
      </w:r>
      <w:r>
        <w:instrText xml:space="preserve"> PAGEREF _Toc512323911 \h </w:instrText>
      </w:r>
      <w:r>
        <w:fldChar w:fldCharType="separate"/>
      </w:r>
      <w:r>
        <w:t>214</w:t>
      </w:r>
      <w:r>
        <w:fldChar w:fldCharType="end"/>
      </w:r>
    </w:p>
    <w:p>
      <w:pPr>
        <w:pStyle w:val="TOC8"/>
        <w:rPr>
          <w:rFonts w:asciiTheme="minorHAnsi" w:eastAsiaTheme="minorEastAsia" w:hAnsiTheme="minorHAnsi" w:cstheme="minorBidi"/>
          <w:szCs w:val="22"/>
        </w:rPr>
      </w:pPr>
      <w:r>
        <w:t>365</w:t>
      </w:r>
      <w:r>
        <w:rPr>
          <w:snapToGrid w:val="0"/>
        </w:rPr>
        <w:t>.</w:t>
      </w:r>
      <w:r>
        <w:rPr>
          <w:snapToGrid w:val="0"/>
        </w:rPr>
        <w:tab/>
        <w:t>Protection against personal liability</w:t>
      </w:r>
      <w:r>
        <w:tab/>
      </w:r>
      <w:r>
        <w:fldChar w:fldCharType="begin"/>
      </w:r>
      <w:r>
        <w:instrText xml:space="preserve"> PAGEREF _Toc512323912 \h </w:instrText>
      </w:r>
      <w:r>
        <w:fldChar w:fldCharType="separate"/>
      </w:r>
      <w:r>
        <w:t>215</w:t>
      </w:r>
      <w:r>
        <w:fldChar w:fldCharType="end"/>
      </w:r>
    </w:p>
    <w:p>
      <w:pPr>
        <w:pStyle w:val="TOC8"/>
        <w:rPr>
          <w:rFonts w:asciiTheme="minorHAnsi" w:eastAsiaTheme="minorEastAsia" w:hAnsiTheme="minorHAnsi" w:cstheme="minorBidi"/>
          <w:szCs w:val="22"/>
        </w:rPr>
      </w:pPr>
      <w:r>
        <w:t>366</w:t>
      </w:r>
      <w:r>
        <w:rPr>
          <w:snapToGrid w:val="0"/>
        </w:rPr>
        <w:t>.</w:t>
      </w:r>
      <w:r>
        <w:rPr>
          <w:snapToGrid w:val="0"/>
        </w:rPr>
        <w:tab/>
        <w:t>No officer to be concerned in contract</w:t>
      </w:r>
      <w:r>
        <w:tab/>
      </w:r>
      <w:r>
        <w:fldChar w:fldCharType="begin"/>
      </w:r>
      <w:r>
        <w:instrText xml:space="preserve"> PAGEREF _Toc512323913 \h </w:instrText>
      </w:r>
      <w:r>
        <w:fldChar w:fldCharType="separate"/>
      </w:r>
      <w:r>
        <w:t>215</w:t>
      </w:r>
      <w:r>
        <w:fldChar w:fldCharType="end"/>
      </w:r>
    </w:p>
    <w:p>
      <w:pPr>
        <w:pStyle w:val="TOC8"/>
        <w:rPr>
          <w:rFonts w:asciiTheme="minorHAnsi" w:eastAsiaTheme="minorEastAsia" w:hAnsiTheme="minorHAnsi" w:cstheme="minorBidi"/>
          <w:szCs w:val="22"/>
        </w:rPr>
      </w:pPr>
      <w:r>
        <w:t>367</w:t>
      </w:r>
      <w:r>
        <w:rPr>
          <w:snapToGrid w:val="0"/>
        </w:rPr>
        <w:t>.</w:t>
      </w:r>
      <w:r>
        <w:rPr>
          <w:snapToGrid w:val="0"/>
        </w:rPr>
        <w:tab/>
        <w:t>Recovery of expenses from local government</w:t>
      </w:r>
      <w:r>
        <w:tab/>
      </w:r>
      <w:r>
        <w:fldChar w:fldCharType="begin"/>
      </w:r>
      <w:r>
        <w:instrText xml:space="preserve"> PAGEREF _Toc512323914 \h </w:instrText>
      </w:r>
      <w:r>
        <w:fldChar w:fldCharType="separate"/>
      </w:r>
      <w:r>
        <w:t>216</w:t>
      </w:r>
      <w:r>
        <w:fldChar w:fldCharType="end"/>
      </w:r>
    </w:p>
    <w:p>
      <w:pPr>
        <w:pStyle w:val="TOC8"/>
        <w:rPr>
          <w:rFonts w:asciiTheme="minorHAnsi" w:eastAsiaTheme="minorEastAsia" w:hAnsiTheme="minorHAnsi" w:cstheme="minorBidi"/>
          <w:szCs w:val="22"/>
        </w:rPr>
      </w:pPr>
      <w:r>
        <w:t>368</w:t>
      </w:r>
      <w:r>
        <w:rPr>
          <w:snapToGrid w:val="0"/>
        </w:rPr>
        <w:t>.</w:t>
      </w:r>
      <w:r>
        <w:rPr>
          <w:snapToGrid w:val="0"/>
        </w:rPr>
        <w:tab/>
        <w:t>Contribution</w:t>
      </w:r>
      <w:r>
        <w:tab/>
      </w:r>
      <w:r>
        <w:fldChar w:fldCharType="begin"/>
      </w:r>
      <w:r>
        <w:instrText xml:space="preserve"> PAGEREF _Toc512323915 \h </w:instrText>
      </w:r>
      <w:r>
        <w:fldChar w:fldCharType="separate"/>
      </w:r>
      <w:r>
        <w:t>216</w:t>
      </w:r>
      <w:r>
        <w:fldChar w:fldCharType="end"/>
      </w:r>
    </w:p>
    <w:p>
      <w:pPr>
        <w:pStyle w:val="TOC8"/>
        <w:rPr>
          <w:rFonts w:asciiTheme="minorHAnsi" w:eastAsiaTheme="minorEastAsia" w:hAnsiTheme="minorHAnsi" w:cstheme="minorBidi"/>
          <w:szCs w:val="22"/>
        </w:rPr>
      </w:pPr>
      <w:r>
        <w:t>369</w:t>
      </w:r>
      <w:r>
        <w:rPr>
          <w:snapToGrid w:val="0"/>
        </w:rPr>
        <w:t>.</w:t>
      </w:r>
      <w:r>
        <w:rPr>
          <w:snapToGrid w:val="0"/>
        </w:rPr>
        <w:tab/>
        <w:t>Liability of owner and occupier under requisition or order</w:t>
      </w:r>
      <w:r>
        <w:tab/>
      </w:r>
      <w:r>
        <w:fldChar w:fldCharType="begin"/>
      </w:r>
      <w:r>
        <w:instrText xml:space="preserve"> PAGEREF _Toc512323916 \h </w:instrText>
      </w:r>
      <w:r>
        <w:fldChar w:fldCharType="separate"/>
      </w:r>
      <w:r>
        <w:t>217</w:t>
      </w:r>
      <w:r>
        <w:fldChar w:fldCharType="end"/>
      </w:r>
    </w:p>
    <w:p>
      <w:pPr>
        <w:pStyle w:val="TOC8"/>
        <w:rPr>
          <w:rFonts w:asciiTheme="minorHAnsi" w:eastAsiaTheme="minorEastAsia" w:hAnsiTheme="minorHAnsi" w:cstheme="minorBidi"/>
          <w:szCs w:val="22"/>
        </w:rPr>
      </w:pPr>
      <w:r>
        <w:t>370</w:t>
      </w:r>
      <w:r>
        <w:rPr>
          <w:snapToGrid w:val="0"/>
        </w:rPr>
        <w:t>.</w:t>
      </w:r>
      <w:r>
        <w:rPr>
          <w:snapToGrid w:val="0"/>
        </w:rPr>
        <w:tab/>
        <w:t>Penalty if owner or occupier hinders the other</w:t>
      </w:r>
      <w:r>
        <w:tab/>
      </w:r>
      <w:r>
        <w:fldChar w:fldCharType="begin"/>
      </w:r>
      <w:r>
        <w:instrText xml:space="preserve"> PAGEREF _Toc512323917 \h </w:instrText>
      </w:r>
      <w:r>
        <w:fldChar w:fldCharType="separate"/>
      </w:r>
      <w:r>
        <w:t>218</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Money owing to local government to be charge against land in certain cases</w:t>
      </w:r>
      <w:r>
        <w:tab/>
      </w:r>
      <w:r>
        <w:fldChar w:fldCharType="begin"/>
      </w:r>
      <w:r>
        <w:instrText xml:space="preserve"> PAGEREF _Toc512323918 \h </w:instrText>
      </w:r>
      <w:r>
        <w:fldChar w:fldCharType="separate"/>
      </w:r>
      <w:r>
        <w:t>218</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Provisions as to charge on land or premises</w:t>
      </w:r>
      <w:r>
        <w:tab/>
      </w:r>
      <w:r>
        <w:fldChar w:fldCharType="begin"/>
      </w:r>
      <w:r>
        <w:instrText xml:space="preserve"> PAGEREF _Toc512323919 \h </w:instrText>
      </w:r>
      <w:r>
        <w:fldChar w:fldCharType="separate"/>
      </w:r>
      <w:r>
        <w:t>218</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References to owner and occupier</w:t>
      </w:r>
      <w:r>
        <w:tab/>
      </w:r>
      <w:r>
        <w:fldChar w:fldCharType="begin"/>
      </w:r>
      <w:r>
        <w:instrText xml:space="preserve"> PAGEREF _Toc512323920 \h </w:instrText>
      </w:r>
      <w:r>
        <w:fldChar w:fldCharType="separate"/>
      </w:r>
      <w:r>
        <w:t>220</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Appearance of local governments in legal proceedings</w:t>
      </w:r>
      <w:r>
        <w:tab/>
      </w:r>
      <w:r>
        <w:fldChar w:fldCharType="begin"/>
      </w:r>
      <w:r>
        <w:instrText xml:space="preserve"> PAGEREF _Toc512323921 \h </w:instrText>
      </w:r>
      <w:r>
        <w:fldChar w:fldCharType="separate"/>
      </w:r>
      <w:r>
        <w:t>220</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Power to inspect register of births and deaths</w:t>
      </w:r>
      <w:r>
        <w:tab/>
      </w:r>
      <w:r>
        <w:fldChar w:fldCharType="begin"/>
      </w:r>
      <w:r>
        <w:instrText xml:space="preserve"> PAGEREF _Toc512323922 \h </w:instrText>
      </w:r>
      <w:r>
        <w:fldChar w:fldCharType="separate"/>
      </w:r>
      <w:r>
        <w:t>220</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Authentication of documents</w:t>
      </w:r>
      <w:r>
        <w:tab/>
      </w:r>
      <w:r>
        <w:fldChar w:fldCharType="begin"/>
      </w:r>
      <w:r>
        <w:instrText xml:space="preserve"> PAGEREF _Toc512323923 \h </w:instrText>
      </w:r>
      <w:r>
        <w:fldChar w:fldCharType="separate"/>
      </w:r>
      <w:r>
        <w:t>221</w:t>
      </w:r>
      <w:r>
        <w:fldChar w:fldCharType="end"/>
      </w:r>
    </w:p>
    <w:p>
      <w:pPr>
        <w:pStyle w:val="TOC8"/>
        <w:rPr>
          <w:rFonts w:asciiTheme="minorHAnsi" w:eastAsiaTheme="minorEastAsia" w:hAnsiTheme="minorHAnsi" w:cstheme="minorBidi"/>
          <w:szCs w:val="22"/>
        </w:rPr>
      </w:pPr>
      <w:r>
        <w:t>377</w:t>
      </w:r>
      <w:r>
        <w:rPr>
          <w:snapToGrid w:val="0"/>
        </w:rPr>
        <w:t>.</w:t>
      </w:r>
      <w:r>
        <w:rPr>
          <w:snapToGrid w:val="0"/>
        </w:rPr>
        <w:tab/>
        <w:t>Evidence</w:t>
      </w:r>
      <w:r>
        <w:tab/>
      </w:r>
      <w:r>
        <w:fldChar w:fldCharType="begin"/>
      </w:r>
      <w:r>
        <w:instrText xml:space="preserve"> PAGEREF _Toc512323924 \h </w:instrText>
      </w:r>
      <w:r>
        <w:fldChar w:fldCharType="separate"/>
      </w:r>
      <w:r>
        <w:t>221</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Regulations and local laws to be judicially noticed</w:t>
      </w:r>
      <w:r>
        <w:tab/>
      </w:r>
      <w:r>
        <w:fldChar w:fldCharType="begin"/>
      </w:r>
      <w:r>
        <w:instrText xml:space="preserve"> PAGEREF _Toc512323925 \h </w:instrText>
      </w:r>
      <w:r>
        <w:fldChar w:fldCharType="separate"/>
      </w:r>
      <w:r>
        <w:t>223</w:t>
      </w:r>
      <w:r>
        <w:fldChar w:fldCharType="end"/>
      </w:r>
    </w:p>
    <w:p>
      <w:pPr>
        <w:pStyle w:val="TOC8"/>
        <w:rPr>
          <w:rFonts w:asciiTheme="minorHAnsi" w:eastAsiaTheme="minorEastAsia" w:hAnsiTheme="minorHAnsi" w:cstheme="minorBidi"/>
          <w:szCs w:val="22"/>
        </w:rPr>
      </w:pPr>
      <w:r>
        <w:t>379.</w:t>
      </w:r>
      <w:r>
        <w:tab/>
        <w:t xml:space="preserve">Transitional provisions for </w:t>
      </w:r>
      <w:r>
        <w:rPr>
          <w:i/>
        </w:rPr>
        <w:t>Public Health (Consequential Provisions) Act 2016</w:t>
      </w:r>
      <w:r>
        <w:tab/>
      </w:r>
      <w:r>
        <w:fldChar w:fldCharType="begin"/>
      </w:r>
      <w:r>
        <w:instrText xml:space="preserve"> PAGEREF _Toc512323926 \h </w:instrText>
      </w:r>
      <w:r>
        <w:fldChar w:fldCharType="separate"/>
      </w:r>
      <w:r>
        <w:t>223</w:t>
      </w:r>
      <w:r>
        <w:fldChar w:fldCharType="end"/>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Offensive trades</w:t>
      </w:r>
    </w:p>
    <w:p>
      <w:pPr>
        <w:pStyle w:val="TOC2"/>
        <w:tabs>
          <w:tab w:val="right" w:leader="dot" w:pos="7077"/>
        </w:tabs>
        <w:rPr>
          <w:rFonts w:asciiTheme="minorHAnsi" w:eastAsiaTheme="minorEastAsia" w:hAnsiTheme="minorHAnsi" w:cstheme="minorBidi"/>
          <w:b w:val="0"/>
          <w:sz w:val="22"/>
          <w:szCs w:val="22"/>
        </w:rPr>
      </w:pPr>
      <w:r>
        <w:t>Schedule 5</w:t>
      </w:r>
    </w:p>
    <w:p>
      <w:pPr>
        <w:pStyle w:val="TOC2"/>
        <w:tabs>
          <w:tab w:val="right" w:leader="dot" w:pos="7077"/>
        </w:tabs>
        <w:rPr>
          <w:rFonts w:asciiTheme="minorHAnsi" w:eastAsiaTheme="minorEastAsia" w:hAnsiTheme="minorHAnsi" w:cstheme="minorBidi"/>
          <w:b w:val="0"/>
          <w:sz w:val="22"/>
          <w:szCs w:val="22"/>
        </w:rPr>
      </w:pPr>
      <w:r>
        <w:t>Penalties</w:t>
      </w:r>
    </w:p>
    <w:p>
      <w:pPr>
        <w:pStyle w:val="TOC2"/>
        <w:tabs>
          <w:tab w:val="right" w:leader="dot" w:pos="7077"/>
        </w:tabs>
        <w:rPr>
          <w:rFonts w:asciiTheme="minorHAnsi" w:eastAsiaTheme="minorEastAsia" w:hAnsiTheme="minorHAnsi" w:cstheme="minorBidi"/>
          <w:b w:val="0"/>
          <w:sz w:val="22"/>
          <w:szCs w:val="22"/>
        </w:rPr>
      </w:pPr>
      <w:r>
        <w:t xml:space="preserve">Schedule 6 — Transitional provisions for </w:t>
      </w:r>
      <w:r>
        <w:rPr>
          <w:i/>
        </w:rPr>
        <w:t>Public Health (Consequential Provisions) Act 2016</w:t>
      </w:r>
    </w:p>
    <w:p>
      <w:pPr>
        <w:pStyle w:val="TOC8"/>
        <w:rPr>
          <w:rFonts w:asciiTheme="minorHAnsi" w:eastAsiaTheme="minorEastAsia" w:hAnsiTheme="minorHAnsi" w:cstheme="minorBidi"/>
          <w:szCs w:val="22"/>
        </w:rPr>
      </w:pPr>
      <w:r>
        <w:t>1.</w:t>
      </w:r>
      <w:r>
        <w:tab/>
        <w:t xml:space="preserve">References to </w:t>
      </w:r>
      <w:r>
        <w:rPr>
          <w:i/>
        </w:rPr>
        <w:t>Health Act 1911</w:t>
      </w:r>
      <w:r>
        <w:t xml:space="preserve"> may be taken to be references to </w:t>
      </w:r>
      <w:r>
        <w:rPr>
          <w:i/>
        </w:rPr>
        <w:t>Health (Miscellaneous Provisions) Act 1911</w:t>
      </w:r>
      <w:r>
        <w:tab/>
      </w:r>
      <w:r>
        <w:fldChar w:fldCharType="begin"/>
      </w:r>
      <w:r>
        <w:instrText xml:space="preserve"> PAGEREF _Toc512323932 \h </w:instrText>
      </w:r>
      <w:r>
        <w:fldChar w:fldCharType="separate"/>
      </w:r>
      <w:r>
        <w:t>228</w:t>
      </w:r>
      <w:r>
        <w:fldChar w:fldCharType="end"/>
      </w:r>
    </w:p>
    <w:p>
      <w:pPr>
        <w:pStyle w:val="TOC8"/>
        <w:rPr>
          <w:rFonts w:asciiTheme="minorHAnsi" w:eastAsiaTheme="minorEastAsia" w:hAnsiTheme="minorHAnsi" w:cstheme="minorBidi"/>
          <w:szCs w:val="22"/>
        </w:rPr>
      </w:pPr>
      <w:r>
        <w:t>2.</w:t>
      </w:r>
      <w:r>
        <w:tab/>
        <w:t>Continuing effect of things done by Executive Director, Public Health and Executive Director, Personal Health</w:t>
      </w:r>
      <w:r>
        <w:tab/>
      </w:r>
      <w:r>
        <w:fldChar w:fldCharType="begin"/>
      </w:r>
      <w:r>
        <w:instrText xml:space="preserve"> PAGEREF _Toc512323933 \h </w:instrText>
      </w:r>
      <w:r>
        <w:fldChar w:fldCharType="separate"/>
      </w:r>
      <w:r>
        <w:t>228</w:t>
      </w:r>
      <w:r>
        <w:fldChar w:fldCharType="end"/>
      </w:r>
    </w:p>
    <w:p>
      <w:pPr>
        <w:pStyle w:val="TOC8"/>
        <w:rPr>
          <w:rFonts w:asciiTheme="minorHAnsi" w:eastAsiaTheme="minorEastAsia" w:hAnsiTheme="minorHAnsi" w:cstheme="minorBidi"/>
          <w:szCs w:val="22"/>
        </w:rPr>
      </w:pPr>
      <w:r>
        <w:t>3.</w:t>
      </w:r>
      <w:r>
        <w:tab/>
        <w:t>References to former titles</w:t>
      </w:r>
      <w:r>
        <w:tab/>
      </w:r>
      <w:r>
        <w:fldChar w:fldCharType="begin"/>
      </w:r>
      <w:r>
        <w:instrText xml:space="preserve"> PAGEREF _Toc512323934 \h </w:instrText>
      </w:r>
      <w:r>
        <w:fldChar w:fldCharType="separate"/>
      </w:r>
      <w:r>
        <w:t>228</w:t>
      </w:r>
      <w:r>
        <w:fldChar w:fldCharType="end"/>
      </w:r>
    </w:p>
    <w:p>
      <w:pPr>
        <w:pStyle w:val="TOC8"/>
        <w:rPr>
          <w:rFonts w:asciiTheme="minorHAnsi" w:eastAsiaTheme="minorEastAsia" w:hAnsiTheme="minorHAnsi" w:cstheme="minorBidi"/>
          <w:szCs w:val="22"/>
        </w:rPr>
      </w:pPr>
      <w:r>
        <w:t>4.</w:t>
      </w:r>
      <w:r>
        <w:tab/>
        <w:t>Transitional provisions for Local Health Authorities Analytical Committee</w:t>
      </w:r>
      <w:r>
        <w:tab/>
      </w:r>
      <w:r>
        <w:fldChar w:fldCharType="begin"/>
      </w:r>
      <w:r>
        <w:instrText xml:space="preserve"> PAGEREF _Toc512323935 \h </w:instrText>
      </w:r>
      <w:r>
        <w:fldChar w:fldCharType="separate"/>
      </w:r>
      <w:r>
        <w:t>229</w:t>
      </w:r>
      <w:r>
        <w:fldChar w:fldCharType="end"/>
      </w:r>
    </w:p>
    <w:p>
      <w:pPr>
        <w:pStyle w:val="TOC8"/>
        <w:rPr>
          <w:rFonts w:asciiTheme="minorHAnsi" w:eastAsiaTheme="minorEastAsia" w:hAnsiTheme="minorHAnsi" w:cstheme="minorBidi"/>
          <w:szCs w:val="22"/>
        </w:rPr>
      </w:pPr>
      <w:r>
        <w:t>5.</w:t>
      </w:r>
      <w:r>
        <w:tab/>
        <w:t>Transitional provisions for Maternal Mortality Committee, Perinatal and Infant Mortality Committee and Anaesthetic Mortality Committee</w:t>
      </w:r>
      <w:r>
        <w:tab/>
      </w:r>
      <w:r>
        <w:fldChar w:fldCharType="begin"/>
      </w:r>
      <w:r>
        <w:instrText xml:space="preserve"> PAGEREF _Toc512323936 \h </w:instrText>
      </w:r>
      <w:r>
        <w:fldChar w:fldCharType="separate"/>
      </w:r>
      <w:r>
        <w:t>229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_Toc512323938 \h </w:instrText>
      </w:r>
      <w:r>
        <w:fldChar w:fldCharType="separate"/>
      </w:r>
      <w:r>
        <w:t>231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_Toc512323939 \h </w:instrText>
      </w:r>
      <w:r>
        <w:fldChar w:fldCharType="separate"/>
      </w:r>
      <w:r>
        <w:t>242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400" w:after="880"/>
      </w:pPr>
      <w:r>
        <w:t>Health (Miscellaneous Provisions) Act 1911</w:t>
      </w:r>
    </w:p>
    <w:p>
      <w:pPr>
        <w:pStyle w:val="LongTitle"/>
        <w:spacing w:before="400"/>
        <w:rPr>
          <w:snapToGrid w:val="0"/>
        </w:rPr>
      </w:pPr>
      <w:r>
        <w:rPr>
          <w:snapToGrid w:val="0"/>
        </w:rPr>
        <w:t xml:space="preserve">An Act to </w:t>
      </w:r>
      <w:r>
        <w:t>deal</w:t>
      </w:r>
      <w:r>
        <w:rPr>
          <w:bCs/>
        </w:rPr>
        <w:t xml:space="preserve"> with certain matters concerning</w:t>
      </w:r>
      <w:r>
        <w:rPr>
          <w:snapToGrid w:val="0"/>
        </w:rPr>
        <w:t xml:space="preserve"> public health.</w:t>
      </w:r>
    </w:p>
    <w:p>
      <w:pPr>
        <w:pStyle w:val="Footnotelongtitle"/>
      </w:pPr>
      <w:r>
        <w:tab/>
        <w:t>[Long title amended by No. 19 of 2016 s. 4.]</w:t>
      </w:r>
    </w:p>
    <w:p>
      <w:pPr>
        <w:pStyle w:val="Heading2"/>
      </w:pPr>
      <w:bookmarkStart w:id="3" w:name="_Toc498000995"/>
      <w:bookmarkStart w:id="4" w:name="_Toc498001325"/>
      <w:bookmarkStart w:id="5" w:name="_Toc498002977"/>
      <w:bookmarkStart w:id="6" w:name="_Toc498003988"/>
      <w:bookmarkStart w:id="7" w:name="_Toc499029391"/>
      <w:bookmarkStart w:id="8" w:name="_Toc501098459"/>
      <w:bookmarkStart w:id="9" w:name="_Toc501101382"/>
      <w:bookmarkStart w:id="10" w:name="_Toc501115904"/>
      <w:bookmarkStart w:id="11" w:name="_Toc501117165"/>
      <w:bookmarkStart w:id="12" w:name="_Toc501698572"/>
      <w:bookmarkStart w:id="13" w:name="_Toc512323611"/>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4" w:name="_Toc512323612"/>
      <w:r>
        <w:rPr>
          <w:rStyle w:val="CharSectno"/>
        </w:rPr>
        <w:t>1</w:t>
      </w:r>
      <w:r>
        <w:rPr>
          <w:snapToGrid w:val="0"/>
        </w:rPr>
        <w:t>.</w:t>
      </w:r>
      <w:r>
        <w:rPr>
          <w:snapToGrid w:val="0"/>
        </w:rPr>
        <w:tab/>
        <w:t>Short title and commencement</w:t>
      </w:r>
      <w:bookmarkEnd w:id="14"/>
    </w:p>
    <w:p>
      <w:pPr>
        <w:pStyle w:val="Subsection"/>
        <w:rPr>
          <w:snapToGrid w:val="0"/>
        </w:rPr>
      </w:pPr>
      <w:r>
        <w:rPr>
          <w:snapToGrid w:val="0"/>
        </w:rPr>
        <w:tab/>
        <w:t>(1)</w:t>
      </w:r>
      <w:r>
        <w:rPr>
          <w:snapToGrid w:val="0"/>
        </w:rPr>
        <w:tab/>
        <w:t xml:space="preserve">This Act may be cited as the </w:t>
      </w:r>
      <w:r>
        <w:rPr>
          <w:i/>
          <w:snapToGrid w:val="0"/>
        </w:rPr>
        <w:t xml:space="preserve">Health </w:t>
      </w:r>
      <w:r>
        <w:rPr>
          <w:i/>
          <w:iCs/>
        </w:rPr>
        <w:t xml:space="preserve">(Miscellaneous Provisions) </w:t>
      </w:r>
      <w:r>
        <w:rPr>
          <w:i/>
          <w:snapToGrid w:val="0"/>
        </w:rPr>
        <w:t>Act 1911</w:t>
      </w:r>
      <w:r>
        <w:rPr>
          <w:snapToGrid w:val="0"/>
        </w:rPr>
        <w:t>, and shall come into operation on a day to be fixed by proclamation, not being later than 6 months from the passing of this Act</w:t>
      </w:r>
      <w:r>
        <w:rPr>
          <w:snapToGrid w:val="0"/>
          <w:vertAlign w:val="superscript"/>
        </w:rPr>
        <w:t> 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Footnotesection"/>
      </w:pPr>
      <w:r>
        <w:tab/>
        <w:t>[Section 1 amended by No. 19 of 2016 s. 5.]</w:t>
      </w:r>
    </w:p>
    <w:p>
      <w:pPr>
        <w:pStyle w:val="Ednotesection"/>
        <w:ind w:left="890" w:hanging="890"/>
        <w:outlineLvl w:val="9"/>
      </w:pPr>
      <w:r>
        <w:t>[</w:t>
      </w:r>
      <w:r>
        <w:rPr>
          <w:b/>
        </w:rPr>
        <w:t>2.</w:t>
      </w:r>
      <w:r>
        <w:tab/>
        <w:t>Deleted by No. 26 of 1985 s. 3.]</w:t>
      </w:r>
    </w:p>
    <w:p>
      <w:pPr>
        <w:pStyle w:val="Heading5"/>
        <w:rPr>
          <w:snapToGrid w:val="0"/>
        </w:rPr>
      </w:pPr>
      <w:bookmarkStart w:id="15" w:name="_Toc512323613"/>
      <w:r>
        <w:rPr>
          <w:rStyle w:val="CharSectno"/>
        </w:rPr>
        <w:t>3</w:t>
      </w:r>
      <w:r>
        <w:rPr>
          <w:snapToGrid w:val="0"/>
        </w:rPr>
        <w:t>.</w:t>
      </w:r>
      <w:r>
        <w:rPr>
          <w:snapToGrid w:val="0"/>
        </w:rPr>
        <w:tab/>
        <w:t>Terms used</w:t>
      </w:r>
      <w:bookmarkEnd w:id="15"/>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r>
      <w:r>
        <w:rPr>
          <w:rStyle w:val="CharDefText"/>
        </w:rPr>
        <w:t>Agvet Code of Western Australia</w:t>
      </w:r>
      <w:r>
        <w:t xml:space="preserve"> has the same meaning as it has in the </w:t>
      </w: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w:t>
      </w:r>
    </w:p>
    <w:p>
      <w:pPr>
        <w:pStyle w:val="Defstart"/>
      </w:pPr>
      <w:r>
        <w:rPr>
          <w:b/>
        </w:rPr>
        <w:tab/>
      </w:r>
      <w:r>
        <w:rPr>
          <w:rStyle w:val="CharDefText"/>
        </w:rPr>
        <w:t>analyst</w:t>
      </w:r>
      <w:r>
        <w:t xml:space="preserve"> means analyst registered under section 203;</w:t>
      </w:r>
    </w:p>
    <w:p>
      <w:pPr>
        <w:pStyle w:val="Defstart"/>
      </w:pPr>
      <w:r>
        <w:tab/>
      </w:r>
      <w:r>
        <w:rPr>
          <w:rStyle w:val="CharDefText"/>
        </w:rPr>
        <w:t>Analytical Committee</w:t>
      </w:r>
      <w:r>
        <w:t xml:space="preserve"> has the meaning given in section 247AA;</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Chief Health Officer and includes any buildings, fittings, works, or appliances used or required in connection with the bacteriolytic or aerobic treatment of sewage, and the disposal of effluent or any residue of such treatment;</w:t>
      </w:r>
    </w:p>
    <w:p>
      <w:pPr>
        <w:pStyle w:val="Defstart"/>
      </w:pPr>
      <w:r>
        <w:tab/>
      </w:r>
      <w:r>
        <w:rPr>
          <w:rStyle w:val="CharDefText"/>
        </w:rPr>
        <w:t>authorised officer</w:t>
      </w:r>
      <w:r>
        <w:t xml:space="preserve"> has the meaning given in subsection (2A);</w:t>
      </w:r>
    </w:p>
    <w:p>
      <w:pPr>
        <w:pStyle w:val="Defstart"/>
      </w:pPr>
      <w:r>
        <w:rPr>
          <w:b/>
        </w:rPr>
        <w:tab/>
      </w:r>
      <w:r>
        <w:rPr>
          <w:rStyle w:val="CharDefText"/>
        </w:rPr>
        <w:t>cellar</w:t>
      </w:r>
      <w:r>
        <w:t xml:space="preserve"> or </w:t>
      </w:r>
      <w:r>
        <w:rPr>
          <w:rStyle w:val="CharDefText"/>
        </w:rPr>
        <w:t>underground room</w:t>
      </w:r>
      <w:r>
        <w:t xml:space="preserve"> includes any room being part of a house, if the floor of such room is more than a depth of 1 m below the surface of the adjoining street, or of the land adjoining or nearest to such room;</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cesspool</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daily penalty</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r>
      <w:r>
        <w:rPr>
          <w:rStyle w:val="CharDefText"/>
        </w:rPr>
        <w:t>dairy</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r>
      <w:r>
        <w:rPr>
          <w:rStyle w:val="CharDefText"/>
        </w:rPr>
        <w:t>dairy produce</w:t>
      </w:r>
      <w:r>
        <w:t xml:space="preserve"> means milk, cream, butter, cheese, and any other product of milk intended for the food of man;</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disposal</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r>
      <w:r>
        <w:rPr>
          <w:rStyle w:val="CharDefText"/>
        </w:rPr>
        <w:t>drain</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conveyed, and includes the whole length of any combined system of drainage from several premises up to the point at which it enters the public sewer;</w:t>
      </w:r>
    </w:p>
    <w:p>
      <w:pPr>
        <w:pStyle w:val="Defstart"/>
      </w:pPr>
      <w:r>
        <w:tab/>
      </w:r>
      <w:r>
        <w:rPr>
          <w:rStyle w:val="CharDefText"/>
        </w:rPr>
        <w:t>food</w:t>
      </w:r>
      <w:r>
        <w:t xml:space="preserve"> has the meaning given to that term in the </w:t>
      </w:r>
      <w:r>
        <w:rPr>
          <w:i/>
          <w:iCs/>
        </w:rPr>
        <w:t>Food Act 2008</w:t>
      </w:r>
      <w:r>
        <w:t xml:space="preserve"> section 9;</w:t>
      </w:r>
    </w:p>
    <w:p>
      <w:pPr>
        <w:pStyle w:val="Defstart"/>
      </w:pPr>
      <w:r>
        <w:tab/>
      </w:r>
      <w:r>
        <w:rPr>
          <w:rStyle w:val="CharDefText"/>
        </w:rPr>
        <w:t>HIV infection</w:t>
      </w:r>
      <w:r>
        <w:t xml:space="preserve"> means human immunodeficiency virus infection;</w:t>
      </w:r>
    </w:p>
    <w:p>
      <w:pPr>
        <w:pStyle w:val="Defstart"/>
      </w:pPr>
      <w:r>
        <w:rPr>
          <w:b/>
        </w:rPr>
        <w:tab/>
      </w:r>
      <w:r>
        <w:rPr>
          <w:rStyle w:val="CharDefText"/>
        </w:rPr>
        <w:t>house</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t>Provided that where any building is let or occupied in flats, each flat shall be deemed to be a separate house;</w:t>
      </w:r>
    </w:p>
    <w:p>
      <w:pPr>
        <w:pStyle w:val="Defstart"/>
      </w:pPr>
      <w:r>
        <w:rPr>
          <w:b/>
        </w:rPr>
        <w:tab/>
      </w:r>
      <w:r>
        <w:rPr>
          <w:rStyle w:val="CharDefText"/>
        </w:rPr>
        <w:t>infectious disease</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r>
      <w:r>
        <w:rPr>
          <w:rStyle w:val="CharDefText"/>
        </w:rPr>
        <w:t>land</w:t>
      </w:r>
      <w:r>
        <w:t xml:space="preserve"> includes houses, buildings, and structures thereon, and rivers, streams, wells, and waters, and easements of every description;</w:t>
      </w:r>
    </w:p>
    <w:p>
      <w:pPr>
        <w:pStyle w:val="Defstart"/>
      </w:pPr>
      <w:r>
        <w:rPr>
          <w:b/>
        </w:rPr>
        <w:tab/>
      </w:r>
      <w:r>
        <w:rPr>
          <w:rStyle w:val="CharDefText"/>
        </w:rPr>
        <w:t>lodging</w:t>
      </w:r>
      <w:r>
        <w:rPr>
          <w:rStyle w:val="CharDefText"/>
        </w:rPr>
        <w:noBreakHyphen/>
        <w:t>house</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 or</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r>
      <w:r>
        <w:rPr>
          <w:rStyle w:val="CharDefText"/>
        </w:rPr>
        <w:t>meat</w:t>
      </w:r>
      <w:r>
        <w:t xml:space="preserve"> means the flesh of any animal when killed which is intended to be used for the food of man, whether fresh, or prepared by freezing, chilling, preserving, salting, or by any other process;</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rPr>
          <w:b/>
        </w:rPr>
        <w:tab/>
      </w:r>
      <w:r>
        <w:rPr>
          <w:rStyle w:val="CharDefText"/>
        </w:rPr>
        <w:t>milk</w:t>
      </w:r>
      <w:r>
        <w:t xml:space="preserve"> means the natural lacteal fluid, product of an animal;</w:t>
      </w:r>
    </w:p>
    <w:p>
      <w:pPr>
        <w:pStyle w:val="Defstart"/>
      </w:pPr>
      <w:r>
        <w:rPr>
          <w:b/>
        </w:rPr>
        <w:tab/>
      </w:r>
      <w:r>
        <w:rPr>
          <w:rStyle w:val="CharDefText"/>
        </w:rPr>
        <w:t>Minister</w:t>
      </w:r>
      <w:r>
        <w:t xml:space="preserve"> means the Minister of the Crown charged with the general administration of this Act;</w:t>
      </w:r>
    </w:p>
    <w:p>
      <w:pPr>
        <w:pStyle w:val="Defstart"/>
      </w:pPr>
      <w:r>
        <w:rPr>
          <w:b/>
        </w:rPr>
        <w:tab/>
      </w:r>
      <w:r>
        <w:rPr>
          <w:rStyle w:val="CharDefText"/>
        </w:rPr>
        <w:t>municipal fund</w:t>
      </w:r>
      <w:r>
        <w:t xml:space="preserve"> means the municipal fund of the local government established under section 6.6 of the </w:t>
      </w:r>
      <w:r>
        <w:rPr>
          <w:i/>
        </w:rPr>
        <w:t>Local Government Act 1995</w:t>
      </w:r>
      <w:r>
        <w:t>;</w:t>
      </w:r>
    </w:p>
    <w:p>
      <w:pPr>
        <w:pStyle w:val="Defstart"/>
      </w:pPr>
      <w:r>
        <w:rPr>
          <w:b/>
        </w:rPr>
        <w:tab/>
      </w:r>
      <w:r>
        <w:rPr>
          <w:rStyle w:val="CharDefText"/>
        </w:rPr>
        <w:t>newspaper</w:t>
      </w:r>
      <w:r>
        <w:t xml:space="preserve"> means a newspaper generally circulating in the district;</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the Register of Nurses kept under that Law;</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occupier</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r>
      <w:r>
        <w:rPr>
          <w:rStyle w:val="CharDefText"/>
        </w:rPr>
        <w:t>offensive</w:t>
      </w:r>
      <w:r>
        <w:t xml:space="preserve"> includes noxious;</w:t>
      </w:r>
    </w:p>
    <w:p>
      <w:pPr>
        <w:pStyle w:val="Defstart"/>
      </w:pPr>
      <w:r>
        <w:rPr>
          <w:b/>
        </w:rPr>
        <w:tab/>
      </w:r>
      <w:r>
        <w:rPr>
          <w:rStyle w:val="CharDefText"/>
        </w:rPr>
        <w:t>offensive matter</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r>
      <w:r>
        <w:rPr>
          <w:rStyle w:val="CharDefText"/>
        </w:rPr>
        <w:t>owner</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r>
      <w:r>
        <w:rPr>
          <w:rStyle w:val="CharDefText"/>
        </w:rPr>
        <w:t>pesticide</w:t>
      </w:r>
      <w:r>
        <w:t xml:space="preserve"> has the same meaning as </w:t>
      </w:r>
      <w:r>
        <w:rPr>
          <w:b/>
          <w:bCs/>
          <w:i/>
          <w:iCs/>
        </w:rPr>
        <w:t>agricultural chemical product</w:t>
      </w:r>
      <w:r>
        <w:t xml:space="preserve"> has in the Agvet Code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piggery</w:t>
      </w:r>
      <w:r>
        <w:t xml:space="preserve"> means any building, enclosure, or yard in which one or more pigs are kept, bred, reared, or fattened for purposes of trade;</w:t>
      </w:r>
    </w:p>
    <w:p>
      <w:pPr>
        <w:pStyle w:val="Defstart"/>
      </w:pPr>
      <w:r>
        <w:rPr>
          <w:b/>
        </w:rPr>
        <w:tab/>
      </w:r>
      <w:r>
        <w:rPr>
          <w:rStyle w:val="CharDefText"/>
        </w:rPr>
        <w:t>pig</w:t>
      </w:r>
      <w:r>
        <w:rPr>
          <w:rStyle w:val="CharDefText"/>
        </w:rPr>
        <w:noBreakHyphen/>
        <w:t>swill</w:t>
      </w:r>
      <w:r>
        <w:t xml:space="preserve"> means residues or wastes, whether solid or liquid or part of each, from kitchens, manufacturies, shops, abattoirs or markets, which residues or wastes may be used as food for pigs;</w:t>
      </w:r>
    </w:p>
    <w:p>
      <w:pPr>
        <w:pStyle w:val="Defstart"/>
      </w:pPr>
      <w:r>
        <w:rPr>
          <w:b/>
        </w:rPr>
        <w:tab/>
      </w:r>
      <w:r>
        <w:rPr>
          <w:rStyle w:val="CharDefText"/>
        </w:rPr>
        <w:t xml:space="preserve">premises </w:t>
      </w:r>
      <w:r>
        <w:t>includes messuages, buildings, lands, and hereditaments;</w:t>
      </w:r>
    </w:p>
    <w:p>
      <w:pPr>
        <w:pStyle w:val="Defstart"/>
      </w:pPr>
      <w:r>
        <w:rPr>
          <w:b/>
        </w:rPr>
        <w:tab/>
      </w:r>
      <w:r>
        <w:rPr>
          <w:rStyle w:val="CharDefText"/>
        </w:rPr>
        <w:t>prescribed</w:t>
      </w:r>
      <w:r>
        <w:t xml:space="preserve"> means prescribed by this Act or by any regulation or local law thereunder;</w:t>
      </w:r>
    </w:p>
    <w:p>
      <w:pPr>
        <w:pStyle w:val="Defstart"/>
      </w:pPr>
      <w:r>
        <w:rPr>
          <w:b/>
        </w:rPr>
        <w:tab/>
      </w:r>
      <w:r>
        <w:rPr>
          <w:rStyle w:val="CharDefText"/>
        </w:rPr>
        <w:t>private place</w:t>
      </w:r>
      <w:r>
        <w:t xml:space="preserve"> includes every place other than a public place;</w:t>
      </w:r>
    </w:p>
    <w:p>
      <w:pPr>
        <w:pStyle w:val="Defstart"/>
      </w:pPr>
      <w:r>
        <w:rPr>
          <w:b/>
        </w:rPr>
        <w:tab/>
      </w:r>
      <w:r>
        <w:rPr>
          <w:rStyle w:val="CharDefText"/>
        </w:rPr>
        <w:t>proclamation</w:t>
      </w:r>
      <w:r>
        <w:t xml:space="preserve"> means a proclamation by the Governor published in the </w:t>
      </w:r>
      <w:r>
        <w:rPr>
          <w:i/>
        </w:rPr>
        <w:t>Government Gazette</w:t>
      </w:r>
      <w:r>
        <w:t>;</w:t>
      </w:r>
    </w:p>
    <w:p>
      <w:pPr>
        <w:pStyle w:val="Defstart"/>
      </w:pPr>
      <w:r>
        <w:rPr>
          <w:b/>
        </w:rPr>
        <w:tab/>
      </w:r>
      <w:r>
        <w:rPr>
          <w:rStyle w:val="CharDefText"/>
        </w:rPr>
        <w:t>public house</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tab/>
      </w:r>
      <w:r>
        <w:rPr>
          <w:rStyle w:val="CharDefText"/>
        </w:rPr>
        <w:t>public place</w:t>
      </w:r>
      <w:r>
        <w:t xml:space="preserve"> includes every place to which the public ordinarily have access, whether by payment of fee or not;</w:t>
      </w:r>
    </w:p>
    <w:p>
      <w:pPr>
        <w:pStyle w:val="Defstart"/>
      </w:pPr>
      <w:r>
        <w:rPr>
          <w:b/>
        </w:rPr>
        <w:tab/>
      </w:r>
      <w:r>
        <w:rPr>
          <w:rStyle w:val="CharDefText"/>
        </w:rPr>
        <w:t>public vehicle</w:t>
      </w:r>
      <w:r>
        <w:t xml:space="preserve"> includes a coach, cab, omnibus, motor car, wagon, or other vehicle carrying passengers for hire, and includes a tramcar and railway carriage;</w:t>
      </w:r>
    </w:p>
    <w:p>
      <w:pPr>
        <w:pStyle w:val="Defstart"/>
      </w:pPr>
      <w:r>
        <w:rPr>
          <w:b/>
        </w:rPr>
        <w:tab/>
      </w:r>
      <w:r>
        <w:rPr>
          <w:rStyle w:val="CharDefText"/>
        </w:rPr>
        <w:t>rack</w:t>
      </w:r>
      <w:r>
        <w:rPr>
          <w:rStyle w:val="CharDefText"/>
        </w:rPr>
        <w:noBreakHyphen/>
        <w:t>rent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r>
      <w:r>
        <w:rPr>
          <w:rStyle w:val="CharDefText"/>
        </w:rPr>
        <w:t>regulation</w:t>
      </w:r>
      <w:r>
        <w:t>, except in Part VIII, means a regulation made under this Act;</w:t>
      </w:r>
    </w:p>
    <w:p>
      <w:pPr>
        <w:pStyle w:val="Defstart"/>
      </w:pPr>
      <w:r>
        <w:tab/>
      </w:r>
      <w:r>
        <w:rPr>
          <w:rStyle w:val="CharDefText"/>
        </w:rPr>
        <w:t>relative</w:t>
      </w:r>
      <w:r>
        <w:t>, in relation to a person, includes a de facto partner of the person;</w:t>
      </w:r>
    </w:p>
    <w:p>
      <w:pPr>
        <w:pStyle w:val="Defstart"/>
      </w:pPr>
      <w:r>
        <w:rPr>
          <w:b/>
        </w:rPr>
        <w:tab/>
      </w:r>
      <w:r>
        <w:rPr>
          <w:rStyle w:val="CharDefText"/>
        </w:rPr>
        <w:t>sanitary convenience</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r>
      <w:r>
        <w:rPr>
          <w:rStyle w:val="CharDefText"/>
        </w:rPr>
        <w:t>school</w:t>
      </w:r>
      <w:r>
        <w:t xml:space="preserve"> means and includes any premises in or upon which children or other persons are assembled for the purpose of instruction, including religious instruction;</w:t>
      </w:r>
    </w:p>
    <w:p>
      <w:pPr>
        <w:pStyle w:val="Defstart"/>
        <w:keepNex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spacing w:before="60"/>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r>
      <w:r>
        <w:rPr>
          <w:rStyle w:val="CharDefText"/>
        </w:rPr>
        <w:t>sewage</w:t>
      </w:r>
      <w:r>
        <w:t xml:space="preserve"> means any kind of sewage, nightsoil, faecal matter or urine, and any waste composed wholly or in part of liquid;</w:t>
      </w:r>
    </w:p>
    <w:p>
      <w:pPr>
        <w:pStyle w:val="Defstart"/>
      </w:pPr>
      <w:r>
        <w:rPr>
          <w:b/>
        </w:rPr>
        <w:tab/>
      </w:r>
      <w:r>
        <w:rPr>
          <w:rStyle w:val="CharDefText"/>
        </w:rPr>
        <w:t>sewer</w:t>
      </w:r>
      <w:r>
        <w:t xml:space="preserve"> includes sewers and drains of every description, except drains to which the word </w:t>
      </w:r>
      <w:r>
        <w:rPr>
          <w:b/>
          <w:bCs/>
          <w:i/>
          <w:iCs/>
        </w:rPr>
        <w:t>drain</w:t>
      </w:r>
      <w:r>
        <w:t xml:space="preserve"> as above defined applies, also water channels constructed of stone, brick, concrete, or any other material, the property of a local government;</w:t>
      </w:r>
    </w:p>
    <w:p>
      <w:pPr>
        <w:pStyle w:val="Defstart"/>
      </w:pPr>
      <w:r>
        <w:rPr>
          <w:b/>
        </w:rPr>
        <w:tab/>
      </w:r>
      <w:r>
        <w:rPr>
          <w:rStyle w:val="CharDefText"/>
        </w:rPr>
        <w:t>street</w:t>
      </w:r>
      <w:r>
        <w:t xml:space="preserve"> includes any highway, and any public bridge, and any road, lane, footway, square, court, alley or passage, whether a thoroughfare or not;</w:t>
      </w:r>
    </w:p>
    <w:p>
      <w:pPr>
        <w:pStyle w:val="Defstart"/>
        <w:keepNext/>
        <w:keepLines/>
      </w:pPr>
      <w:r>
        <w:rPr>
          <w:b/>
        </w:rPr>
        <w:tab/>
      </w:r>
      <w:r>
        <w:rPr>
          <w:rStyle w:val="CharDefText"/>
        </w:rPr>
        <w:t>therapeutic use</w:t>
      </w:r>
      <w:r>
        <w:t xml:space="preserve"> means a use for the purpose of —</w:t>
      </w:r>
    </w:p>
    <w:p>
      <w:pPr>
        <w:pStyle w:val="Defpara"/>
      </w:pPr>
      <w:r>
        <w:tab/>
        <w:t>(a)</w:t>
      </w:r>
      <w:r>
        <w:tab/>
        <w:t>preventing, diagnosing, curing or alleviating of a disease, ailment, defect or injury in persons;</w:t>
      </w:r>
    </w:p>
    <w:p>
      <w:pPr>
        <w:pStyle w:val="Defpara"/>
      </w:pPr>
      <w:r>
        <w:tab/>
        <w:t>(b)</w:t>
      </w:r>
      <w:r>
        <w:tab/>
        <w:t>influencing, inhibiting or modifying of a physiological process in persons;</w:t>
      </w:r>
    </w:p>
    <w:p>
      <w:pPr>
        <w:pStyle w:val="Defpara"/>
      </w:pPr>
      <w:r>
        <w:tab/>
        <w:t>(c)</w:t>
      </w:r>
      <w:r>
        <w:tab/>
        <w:t>testing of susceptibility to a disease or ailment in persons;</w:t>
      </w:r>
    </w:p>
    <w:p>
      <w:pPr>
        <w:pStyle w:val="Defstart"/>
      </w:pPr>
      <w:r>
        <w:rPr>
          <w:b/>
        </w:rPr>
        <w:tab/>
      </w:r>
      <w:r>
        <w:rPr>
          <w:rStyle w:val="CharDefText"/>
        </w:rPr>
        <w:t>this Act</w:t>
      </w:r>
      <w:r>
        <w:t xml:space="preserve"> includes the regulations and local laws made thereunder;</w:t>
      </w:r>
    </w:p>
    <w:p>
      <w:pPr>
        <w:pStyle w:val="Defstart"/>
      </w:pPr>
      <w:r>
        <w:rPr>
          <w:b/>
        </w:rPr>
        <w:tab/>
      </w:r>
      <w:r>
        <w:rPr>
          <w:rStyle w:val="CharDefText"/>
        </w:rPr>
        <w:t>trade</w:t>
      </w:r>
      <w:r>
        <w:t xml:space="preserve"> includes business and manufacture;</w:t>
      </w:r>
    </w:p>
    <w:p>
      <w:pPr>
        <w:pStyle w:val="Defstart"/>
      </w:pPr>
      <w:r>
        <w:rPr>
          <w:b/>
        </w:rPr>
        <w:tab/>
      </w:r>
      <w:r>
        <w:rPr>
          <w:rStyle w:val="CharDefText"/>
        </w:rPr>
        <w:t>venereal disease</w:t>
      </w:r>
      <w:r>
        <w:t xml:space="preserve"> means and includes gonorrhoea, syphilis (including congenital syphilis), soft chancre, venereal warts and granuloma;</w:t>
      </w:r>
    </w:p>
    <w:p>
      <w:pPr>
        <w:pStyle w:val="Defstart"/>
      </w:pPr>
      <w:r>
        <w:rPr>
          <w:b/>
        </w:rPr>
        <w:tab/>
      </w:r>
      <w:r>
        <w:rPr>
          <w:rStyle w:val="CharDefText"/>
        </w:rPr>
        <w:t>vessel</w:t>
      </w:r>
      <w:r>
        <w:t xml:space="preserve"> includes a ship;</w:t>
      </w:r>
    </w:p>
    <w:p>
      <w:pPr>
        <w:pStyle w:val="Defstart"/>
      </w:pPr>
      <w:r>
        <w:rPr>
          <w:b/>
        </w:rPr>
        <w:tab/>
      </w:r>
      <w:r>
        <w:rPr>
          <w:rStyle w:val="CharDefText"/>
        </w:rPr>
        <w:t>writing</w:t>
      </w:r>
      <w:r>
        <w:t xml:space="preserve"> includes printing, and other modes of repeating and reproducing words in visible form.</w:t>
      </w:r>
    </w:p>
    <w:p>
      <w:pPr>
        <w:pStyle w:val="Ednotesubsection"/>
        <w:tabs>
          <w:tab w:val="clear" w:pos="879"/>
          <w:tab w:val="left" w:pos="1080"/>
        </w:tabs>
        <w:spacing w:before="120"/>
      </w:pPr>
      <w:r>
        <w:tab/>
        <w:t>[(2)</w:t>
      </w:r>
      <w:r>
        <w:tab/>
        <w:t>deleted]</w:t>
      </w:r>
    </w:p>
    <w:p>
      <w:pPr>
        <w:pStyle w:val="Subsection"/>
      </w:pPr>
      <w:r>
        <w:tab/>
        <w:t>(2A)</w:t>
      </w:r>
      <w:r>
        <w:tab/>
        <w:t xml:space="preserve">A reference in a provision of this Act to an </w:t>
      </w:r>
      <w:r>
        <w:rPr>
          <w:rStyle w:val="CharDefText"/>
        </w:rPr>
        <w:t>authorised officer</w:t>
      </w:r>
      <w:r>
        <w:t xml:space="preserve"> is a reference to a person designated as an authorised officer under the </w:t>
      </w:r>
      <w:r>
        <w:rPr>
          <w:i/>
        </w:rPr>
        <w:t>Public Health Act 2016</w:t>
      </w:r>
      <w:r>
        <w:t xml:space="preserve"> section 24(1) whose designation has effect for the purposes of that provision.</w:t>
      </w:r>
    </w:p>
    <w:p>
      <w:pPr>
        <w:pStyle w:val="Footnotesection"/>
        <w:keepLines w:val="0"/>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Sch. 3 cl. 9; No. 22 of 2008 Sch. 3 cl. 23(2); No. 43 of 2008 s. 147(2) and (3); No. 35 of 2010 s. 69; No. 13 of 2014 s. 149; No. 17 of 2014 s. 23; No. 19 of 2016 s. 6 and 207.]</w:t>
      </w:r>
    </w:p>
    <w:p>
      <w:pPr>
        <w:pStyle w:val="Ednotesection"/>
        <w:spacing w:before="180"/>
        <w:ind w:left="890" w:hanging="890"/>
        <w:outlineLvl w:val="9"/>
      </w:pPr>
      <w:r>
        <w:t>[</w:t>
      </w:r>
      <w:r>
        <w:rPr>
          <w:b/>
        </w:rPr>
        <w:t>4.</w:t>
      </w:r>
      <w:r>
        <w:tab/>
        <w:t>Deleted by No. 14 of 1996 s. 4.]</w:t>
      </w:r>
    </w:p>
    <w:p>
      <w:pPr>
        <w:pStyle w:val="Heading5"/>
        <w:rPr>
          <w:snapToGrid w:val="0"/>
        </w:rPr>
      </w:pPr>
      <w:bookmarkStart w:id="16" w:name="_Toc512323614"/>
      <w:r>
        <w:rPr>
          <w:rStyle w:val="CharSectno"/>
        </w:rPr>
        <w:t>5</w:t>
      </w:r>
      <w:r>
        <w:rPr>
          <w:snapToGrid w:val="0"/>
        </w:rPr>
        <w:t>.</w:t>
      </w:r>
      <w:r>
        <w:rPr>
          <w:snapToGrid w:val="0"/>
        </w:rPr>
        <w:tab/>
        <w:t>Savings</w:t>
      </w:r>
      <w:bookmarkEnd w:id="16"/>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Chief Health Officer </w:t>
      </w:r>
      <w:r>
        <w:rPr>
          <w:snapToGrid w:val="0"/>
        </w:rPr>
        <w:t xml:space="preserve">or any local government (with the approval of the Minister) may, if in </w:t>
      </w:r>
      <w:r>
        <w:t>the Chief Health Officer’s</w:t>
      </w:r>
      <w:r>
        <w:rPr>
          <w:snapToGrid w:val="0"/>
        </w:rPr>
        <w:t xml:space="preserve">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the subject of such conviction was sold to him as and for a food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 (correction in Gazette 14 Dec 2010 p. 6301); No. 13 of 2014 s. 150; No. 19 of 2016 s. 7.]</w:t>
      </w:r>
    </w:p>
    <w:p>
      <w:pPr>
        <w:pStyle w:val="Heading5"/>
        <w:rPr>
          <w:snapToGrid w:val="0"/>
        </w:rPr>
      </w:pPr>
      <w:bookmarkStart w:id="17" w:name="_Toc512323615"/>
      <w:r>
        <w:rPr>
          <w:rStyle w:val="CharSectno"/>
        </w:rPr>
        <w:t>6</w:t>
      </w:r>
      <w:r>
        <w:rPr>
          <w:snapToGrid w:val="0"/>
        </w:rPr>
        <w:t>.</w:t>
      </w:r>
      <w:r>
        <w:rPr>
          <w:snapToGrid w:val="0"/>
        </w:rPr>
        <w:tab/>
        <w:t>Power to suspend operation of Act</w:t>
      </w:r>
      <w:bookmarkEnd w:id="17"/>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18" w:name="_Toc498001000"/>
      <w:bookmarkStart w:id="19" w:name="_Toc498001330"/>
      <w:bookmarkStart w:id="20" w:name="_Toc498002982"/>
      <w:bookmarkStart w:id="21" w:name="_Toc498003993"/>
      <w:bookmarkStart w:id="22" w:name="_Toc499029396"/>
      <w:bookmarkStart w:id="23" w:name="_Toc501098464"/>
      <w:bookmarkStart w:id="24" w:name="_Toc501101387"/>
      <w:bookmarkStart w:id="25" w:name="_Toc501115909"/>
      <w:bookmarkStart w:id="26" w:name="_Toc501117170"/>
      <w:bookmarkStart w:id="27" w:name="_Toc501698577"/>
      <w:bookmarkStart w:id="28" w:name="_Toc512323616"/>
      <w:r>
        <w:rPr>
          <w:rStyle w:val="CharPartNo"/>
        </w:rPr>
        <w:t>Part II</w:t>
      </w:r>
      <w:r>
        <w:t> — </w:t>
      </w:r>
      <w:r>
        <w:rPr>
          <w:rStyle w:val="CharPartText"/>
        </w:rPr>
        <w:t>Administration</w:t>
      </w:r>
      <w:bookmarkEnd w:id="18"/>
      <w:bookmarkEnd w:id="19"/>
      <w:bookmarkEnd w:id="20"/>
      <w:bookmarkEnd w:id="21"/>
      <w:bookmarkEnd w:id="22"/>
      <w:bookmarkEnd w:id="23"/>
      <w:bookmarkEnd w:id="24"/>
      <w:bookmarkEnd w:id="25"/>
      <w:bookmarkEnd w:id="26"/>
      <w:bookmarkEnd w:id="27"/>
      <w:bookmarkEnd w:id="28"/>
    </w:p>
    <w:p>
      <w:pPr>
        <w:pStyle w:val="Heading3"/>
      </w:pPr>
      <w:bookmarkStart w:id="29" w:name="_Toc498001001"/>
      <w:bookmarkStart w:id="30" w:name="_Toc498001331"/>
      <w:bookmarkStart w:id="31" w:name="_Toc498002983"/>
      <w:bookmarkStart w:id="32" w:name="_Toc498003994"/>
      <w:bookmarkStart w:id="33" w:name="_Toc499029397"/>
      <w:bookmarkStart w:id="34" w:name="_Toc501098465"/>
      <w:bookmarkStart w:id="35" w:name="_Toc501101388"/>
      <w:bookmarkStart w:id="36" w:name="_Toc501115910"/>
      <w:bookmarkStart w:id="37" w:name="_Toc501117171"/>
      <w:bookmarkStart w:id="38" w:name="_Toc501698578"/>
      <w:bookmarkStart w:id="39" w:name="_Toc512323617"/>
      <w:r>
        <w:rPr>
          <w:rStyle w:val="CharDivNo"/>
        </w:rPr>
        <w:t>Division 1</w:t>
      </w:r>
      <w:r>
        <w:rPr>
          <w:snapToGrid w:val="0"/>
        </w:rPr>
        <w:t> — </w:t>
      </w:r>
      <w:r>
        <w:rPr>
          <w:rStyle w:val="CharDivText"/>
        </w:rPr>
        <w:t>The Minister, CEO and Chief Health Officer</w:t>
      </w:r>
      <w:bookmarkEnd w:id="29"/>
      <w:bookmarkEnd w:id="30"/>
      <w:bookmarkEnd w:id="31"/>
      <w:bookmarkEnd w:id="32"/>
      <w:bookmarkEnd w:id="33"/>
      <w:bookmarkEnd w:id="34"/>
      <w:bookmarkEnd w:id="35"/>
      <w:bookmarkEnd w:id="36"/>
      <w:bookmarkEnd w:id="37"/>
      <w:bookmarkEnd w:id="38"/>
      <w:bookmarkEnd w:id="39"/>
    </w:p>
    <w:p>
      <w:pPr>
        <w:pStyle w:val="Footnoteheading"/>
      </w:pPr>
      <w:r>
        <w:tab/>
        <w:t>[Heading amended by No. 28 of 2006 s. 250; No. 19 of 2016 s. 99.]</w:t>
      </w:r>
    </w:p>
    <w:p>
      <w:pPr>
        <w:pStyle w:val="Heading5"/>
        <w:rPr>
          <w:snapToGrid w:val="0"/>
        </w:rPr>
      </w:pPr>
      <w:bookmarkStart w:id="40" w:name="_Toc512323618"/>
      <w:r>
        <w:rPr>
          <w:rStyle w:val="CharSectno"/>
        </w:rPr>
        <w:t>7</w:t>
      </w:r>
      <w:r>
        <w:rPr>
          <w:snapToGrid w:val="0"/>
        </w:rPr>
        <w:t>.</w:t>
      </w:r>
      <w:r>
        <w:rPr>
          <w:snapToGrid w:val="0"/>
        </w:rPr>
        <w:tab/>
        <w:t>Minister</w:t>
      </w:r>
      <w:bookmarkEnd w:id="40"/>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41" w:name="_Toc512323619"/>
      <w:r>
        <w:rPr>
          <w:rStyle w:val="CharSectno"/>
        </w:rPr>
        <w:t>8</w:t>
      </w:r>
      <w:r>
        <w:rPr>
          <w:snapToGrid w:val="0"/>
        </w:rPr>
        <w:t>.</w:t>
      </w:r>
      <w:r>
        <w:rPr>
          <w:snapToGrid w:val="0"/>
        </w:rPr>
        <w:tab/>
        <w:t>Minister to be body corporate</w:t>
      </w:r>
      <w:bookmarkEnd w:id="41"/>
    </w:p>
    <w:p>
      <w:pPr>
        <w:pStyle w:val="Subsection"/>
        <w:spacing w:before="120"/>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spacing w:before="120"/>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spacing w:before="120"/>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Deleted by No. 28 of 1984 s. 26.]</w:t>
      </w:r>
    </w:p>
    <w:p>
      <w:pPr>
        <w:pStyle w:val="Heading5"/>
      </w:pPr>
      <w:bookmarkStart w:id="42" w:name="_Toc512323620"/>
      <w:r>
        <w:rPr>
          <w:rStyle w:val="CharSectno"/>
        </w:rPr>
        <w:t>12</w:t>
      </w:r>
      <w:r>
        <w:t>.</w:t>
      </w:r>
      <w:r>
        <w:tab/>
        <w:t>Powers of Chief Health Officer and authorised officers</w:t>
      </w:r>
      <w:bookmarkEnd w:id="42"/>
    </w:p>
    <w:p>
      <w:pPr>
        <w:pStyle w:val="Subsection"/>
      </w:pPr>
      <w:r>
        <w:tab/>
        <w:t>(1)</w:t>
      </w:r>
      <w:r>
        <w:tab/>
        <w:t>The Chief Health Officer, and any authorised officer acting with the Chief Health Officer’s authority, has all the powers of an authorised officer of a local government, and may exercise those powers in any part of the State, and the Chief Health Officer has all the rights and powers that the local government would have in case its authorised officer exercised the power, or to enable its authorised officer to exercise the power.</w:t>
      </w:r>
    </w:p>
    <w:p>
      <w:pPr>
        <w:pStyle w:val="Subsection"/>
      </w:pPr>
      <w:r>
        <w:tab/>
        <w:t>(2)</w:t>
      </w:r>
      <w:r>
        <w:tab/>
        <w:t xml:space="preserve">Any provision of this Act conferring any power on an authorised officer of a local government, or relating to or connected with the exercise or intended exercise, or the consequences of the exercise of any power by an authorised officer of a local government, are to be construed and have effect for the purposes of this section as if — </w:t>
      </w:r>
    </w:p>
    <w:p>
      <w:pPr>
        <w:pStyle w:val="Indenta"/>
      </w:pPr>
      <w:r>
        <w:tab/>
        <w:t>(a)</w:t>
      </w:r>
      <w:r>
        <w:tab/>
        <w:t>the references in the provision to an authorised officer of the local government extended to the Chief Health Officer or any authorised officer acting with the Chief Health Officer’s authority; and</w:t>
      </w:r>
    </w:p>
    <w:p>
      <w:pPr>
        <w:pStyle w:val="Indenta"/>
      </w:pPr>
      <w:r>
        <w:tab/>
        <w:t>(b)</w:t>
      </w:r>
      <w:r>
        <w:tab/>
        <w:t>all references in the provision to a local government extended to the Chief Health Officer.</w:t>
      </w:r>
    </w:p>
    <w:p>
      <w:pPr>
        <w:pStyle w:val="Footnotesection"/>
      </w:pPr>
      <w:r>
        <w:tab/>
        <w:t>[Section 12 inserted by No. 19 of 2016 s. 8.]</w:t>
      </w:r>
    </w:p>
    <w:p>
      <w:pPr>
        <w:pStyle w:val="Heading5"/>
      </w:pPr>
      <w:bookmarkStart w:id="43" w:name="_Toc512323621"/>
      <w:r>
        <w:rPr>
          <w:rStyle w:val="CharSectno"/>
        </w:rPr>
        <w:t>13A</w:t>
      </w:r>
      <w:r>
        <w:t>.</w:t>
      </w:r>
      <w:r>
        <w:tab/>
        <w:t>CEO and Chief Health Officer may delegate</w:t>
      </w:r>
      <w:bookmarkEnd w:id="43"/>
    </w:p>
    <w:p>
      <w:pPr>
        <w:pStyle w:val="Subsection"/>
      </w:pPr>
      <w:r>
        <w:tab/>
        <w:t>(1)</w:t>
      </w:r>
      <w:r>
        <w:tab/>
        <w:t xml:space="preserve">In this section — </w:t>
      </w:r>
    </w:p>
    <w:p>
      <w:pPr>
        <w:pStyle w:val="Defstart"/>
      </w:pPr>
      <w:r>
        <w:tab/>
      </w:r>
      <w:r>
        <w:rPr>
          <w:rStyle w:val="CharDefText"/>
        </w:rPr>
        <w:t>departmental officer</w:t>
      </w:r>
      <w:r>
        <w:t xml:space="preserve"> — </w:t>
      </w:r>
    </w:p>
    <w:p>
      <w:pPr>
        <w:pStyle w:val="Defpara"/>
      </w:pPr>
      <w:r>
        <w:tab/>
        <w:t>(a)</w:t>
      </w:r>
      <w:r>
        <w:tab/>
        <w:t>means a public service officer employed in the Department; and</w:t>
      </w:r>
    </w:p>
    <w:p>
      <w:pPr>
        <w:pStyle w:val="Defpara"/>
        <w:rPr>
          <w:rFonts w:eastAsia="Arial Unicode MS"/>
        </w:rPr>
      </w:pPr>
      <w:r>
        <w:tab/>
        <w:t>(b)</w:t>
      </w:r>
      <w:r>
        <w:tab/>
        <w:t xml:space="preserve">includes </w:t>
      </w:r>
      <w:r>
        <w:rPr>
          <w:rFonts w:eastAsia="Arial Unicode MS"/>
        </w:rPr>
        <w:t xml:space="preserve">a public service officer appointed for the purposes of, or to assist in the administration of, an Act to which the </w:t>
      </w:r>
      <w:r>
        <w:rPr>
          <w:rFonts w:eastAsia="Arial Unicode MS"/>
          <w:i/>
        </w:rPr>
        <w:t>Health Legislation Administration Act 1984</w:t>
      </w:r>
      <w:r>
        <w:rPr>
          <w:rFonts w:eastAsia="Arial Unicode MS"/>
        </w:rPr>
        <w:t xml:space="preserve"> applies under section 4 of that Act;</w:t>
      </w:r>
    </w:p>
    <w:p>
      <w:pPr>
        <w:pStyle w:val="Defstart"/>
      </w:pPr>
      <w:r>
        <w:tab/>
      </w:r>
      <w:r>
        <w:rPr>
          <w:rStyle w:val="CharDefText"/>
        </w:rPr>
        <w:t>employed in the Department</w:t>
      </w:r>
      <w:r>
        <w:t xml:space="preserve"> includes seconded to perform functions or services for, or duties in the service of, the Department.</w:t>
      </w:r>
    </w:p>
    <w:p>
      <w:pPr>
        <w:pStyle w:val="Subsection"/>
        <w:spacing w:before="120"/>
      </w:pPr>
      <w:r>
        <w:tab/>
        <w:t>(2)</w:t>
      </w:r>
      <w:r>
        <w:tab/>
        <w:t>The CEO may delegate to a departmental officer all or any of the functions that the CEO has under this Act, other than this power of delegation.</w:t>
      </w:r>
    </w:p>
    <w:p>
      <w:pPr>
        <w:pStyle w:val="Subsection"/>
        <w:spacing w:before="120"/>
      </w:pPr>
      <w:r>
        <w:tab/>
        <w:t>(3)</w:t>
      </w:r>
      <w:r>
        <w:tab/>
        <w:t>The Chief Health Officer may delegate to a departmental officer all or any of the functions that the Chief Health Officer has under this Act, other than this power of delegation.</w:t>
      </w:r>
    </w:p>
    <w:p>
      <w:pPr>
        <w:pStyle w:val="Subsection"/>
        <w:spacing w:before="120"/>
      </w:pPr>
      <w:r>
        <w:tab/>
        <w:t>(4)</w:t>
      </w:r>
      <w:r>
        <w:tab/>
        <w:t>A delegation made under subsection (2) or (3) may expressly authorise the delegate to further delegate the function to another person.</w:t>
      </w:r>
    </w:p>
    <w:p>
      <w:pPr>
        <w:pStyle w:val="Subsection"/>
        <w:spacing w:before="120"/>
      </w:pPr>
      <w:r>
        <w:tab/>
        <w:t>(5)</w:t>
      </w:r>
      <w:r>
        <w:tab/>
        <w:t>A delegation or subdelegation made under this section must be in writing and signed by the delegator.</w:t>
      </w:r>
    </w:p>
    <w:p>
      <w:pPr>
        <w:pStyle w:val="Subsection"/>
        <w:spacing w:before="120"/>
      </w:pPr>
      <w:r>
        <w:tab/>
        <w:t>(6)</w:t>
      </w:r>
      <w:r>
        <w:tab/>
        <w:t>A person performing a function that has been delegated to the person under, or as authorised under, this section is to be taken to do so in accordance with the terms of the delegation unless the contrary is shown.</w:t>
      </w:r>
    </w:p>
    <w:p>
      <w:pPr>
        <w:pStyle w:val="Subsection"/>
        <w:spacing w:before="120"/>
      </w:pPr>
      <w:r>
        <w:tab/>
        <w:t>(7)</w:t>
      </w:r>
      <w:r>
        <w:tab/>
        <w:t>Nothing in this section limits the ability of the CEO or the Chief Health Officer to act through an officer or agent.</w:t>
      </w:r>
    </w:p>
    <w:p>
      <w:pPr>
        <w:pStyle w:val="Footnotesection"/>
      </w:pPr>
      <w:r>
        <w:tab/>
        <w:t>[Section 13A inserted by No. 19 of 2016 s. 8.]</w:t>
      </w:r>
    </w:p>
    <w:p>
      <w:pPr>
        <w:pStyle w:val="Ednotesection"/>
        <w:spacing w:before="180"/>
        <w:ind w:left="890" w:hanging="890"/>
        <w:outlineLvl w:val="9"/>
      </w:pPr>
      <w:r>
        <w:t>[</w:t>
      </w:r>
      <w:r>
        <w:rPr>
          <w:b/>
        </w:rPr>
        <w:t>13, 14.</w:t>
      </w:r>
      <w:r>
        <w:tab/>
        <w:t>Deleted by No. 19 of 2016 s. 212.]</w:t>
      </w:r>
    </w:p>
    <w:p>
      <w:pPr>
        <w:pStyle w:val="Ednotesection"/>
        <w:spacing w:before="180"/>
        <w:ind w:left="890" w:hanging="890"/>
        <w:outlineLvl w:val="9"/>
      </w:pPr>
      <w:r>
        <w:t>[</w:t>
      </w:r>
      <w:r>
        <w:rPr>
          <w:b/>
        </w:rPr>
        <w:t>15.</w:t>
      </w:r>
      <w:r>
        <w:tab/>
        <w:t>Deleted by No. 19 of 2016 s. 213.]</w:t>
      </w:r>
    </w:p>
    <w:p>
      <w:pPr>
        <w:pStyle w:val="Heading5"/>
        <w:rPr>
          <w:snapToGrid w:val="0"/>
        </w:rPr>
      </w:pPr>
      <w:bookmarkStart w:id="44" w:name="_Toc512323622"/>
      <w:r>
        <w:rPr>
          <w:rStyle w:val="CharSectno"/>
        </w:rPr>
        <w:t>16</w:t>
      </w:r>
      <w:r>
        <w:rPr>
          <w:snapToGrid w:val="0"/>
        </w:rPr>
        <w:t>.</w:t>
      </w:r>
      <w:r>
        <w:rPr>
          <w:snapToGrid w:val="0"/>
        </w:rPr>
        <w:tab/>
        <w:t>Chief Health Officer may act where no local government</w:t>
      </w:r>
      <w:bookmarkEnd w:id="44"/>
    </w:p>
    <w:p>
      <w:pPr>
        <w:pStyle w:val="Subsection"/>
        <w:rPr>
          <w:snapToGrid w:val="0"/>
        </w:rPr>
      </w:pPr>
      <w:r>
        <w:rPr>
          <w:snapToGrid w:val="0"/>
        </w:rPr>
        <w:tab/>
      </w:r>
      <w:r>
        <w:rPr>
          <w:snapToGrid w:val="0"/>
        </w:rPr>
        <w:tab/>
        <w:t xml:space="preserve">The </w:t>
      </w:r>
      <w:r>
        <w:t xml:space="preserve">Chief Health Officer </w:t>
      </w:r>
      <w:r>
        <w:rPr>
          <w:snapToGrid w:val="0"/>
        </w:rPr>
        <w:t>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 No. 19 of 2016 s. 100.]</w:t>
      </w:r>
    </w:p>
    <w:p>
      <w:pPr>
        <w:pStyle w:val="Heading5"/>
        <w:spacing w:before="180"/>
        <w:rPr>
          <w:snapToGrid w:val="0"/>
        </w:rPr>
      </w:pPr>
      <w:bookmarkStart w:id="45" w:name="_Toc512323623"/>
      <w:r>
        <w:rPr>
          <w:rStyle w:val="CharSectno"/>
        </w:rPr>
        <w:t>17</w:t>
      </w:r>
      <w:r>
        <w:rPr>
          <w:snapToGrid w:val="0"/>
        </w:rPr>
        <w:t>.</w:t>
      </w:r>
      <w:r>
        <w:rPr>
          <w:snapToGrid w:val="0"/>
        </w:rPr>
        <w:tab/>
        <w:t>Expenditure to be paid out of appropriated moneys</w:t>
      </w:r>
      <w:bookmarkEnd w:id="45"/>
    </w:p>
    <w:p>
      <w:pPr>
        <w:pStyle w:val="Subsection"/>
        <w:spacing w:before="100"/>
        <w:rPr>
          <w:snapToGrid w:val="0"/>
        </w:rPr>
      </w:pPr>
      <w:r>
        <w:rPr>
          <w:snapToGrid w:val="0"/>
        </w:rPr>
        <w:tab/>
      </w:r>
      <w:r>
        <w:rPr>
          <w:snapToGrid w:val="0"/>
        </w:rPr>
        <w:tab/>
        <w:t xml:space="preserve">All expenses incurred by the </w:t>
      </w:r>
      <w:r>
        <w:t xml:space="preserve">Chief Health Officer </w:t>
      </w:r>
      <w:r>
        <w:rPr>
          <w:snapToGrid w:val="0"/>
        </w:rPr>
        <w:t>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 No. 19 of 2016 s. 100.]</w:t>
      </w:r>
    </w:p>
    <w:p>
      <w:pPr>
        <w:pStyle w:val="Heading3"/>
        <w:spacing w:before="120"/>
        <w:rPr>
          <w:snapToGrid w:val="0"/>
        </w:rPr>
      </w:pPr>
      <w:bookmarkStart w:id="46" w:name="_Toc498001008"/>
      <w:bookmarkStart w:id="47" w:name="_Toc498001338"/>
      <w:bookmarkStart w:id="48" w:name="_Toc498002990"/>
      <w:bookmarkStart w:id="49" w:name="_Toc498004001"/>
      <w:bookmarkStart w:id="50" w:name="_Toc499029404"/>
      <w:bookmarkStart w:id="51" w:name="_Toc501098472"/>
      <w:bookmarkStart w:id="52" w:name="_Toc501101395"/>
      <w:bookmarkStart w:id="53" w:name="_Toc501115917"/>
      <w:bookmarkStart w:id="54" w:name="_Toc501117178"/>
      <w:bookmarkStart w:id="55" w:name="_Toc501698585"/>
      <w:bookmarkStart w:id="56" w:name="_Toc512323624"/>
      <w:r>
        <w:rPr>
          <w:rStyle w:val="CharDivNo"/>
        </w:rPr>
        <w:t>Division 2</w:t>
      </w:r>
      <w:r>
        <w:rPr>
          <w:snapToGrid w:val="0"/>
        </w:rPr>
        <w:t> — </w:t>
      </w:r>
      <w:r>
        <w:rPr>
          <w:rStyle w:val="CharDivText"/>
        </w:rPr>
        <w:t>Local governments</w:t>
      </w:r>
      <w:bookmarkEnd w:id="46"/>
      <w:bookmarkEnd w:id="47"/>
      <w:bookmarkEnd w:id="48"/>
      <w:bookmarkEnd w:id="49"/>
      <w:bookmarkEnd w:id="50"/>
      <w:bookmarkEnd w:id="51"/>
      <w:bookmarkEnd w:id="52"/>
      <w:bookmarkEnd w:id="53"/>
      <w:bookmarkEnd w:id="54"/>
      <w:bookmarkEnd w:id="55"/>
      <w:bookmarkEnd w:id="56"/>
    </w:p>
    <w:p>
      <w:pPr>
        <w:pStyle w:val="Footnoteheading"/>
        <w:ind w:left="890" w:hanging="890"/>
        <w:rPr>
          <w:snapToGrid w:val="0"/>
        </w:rPr>
      </w:pPr>
      <w:r>
        <w:rPr>
          <w:snapToGrid w:val="0"/>
        </w:rPr>
        <w:tab/>
        <w:t>[Heading amended by No. 14 of 1996 s. 4.]</w:t>
      </w:r>
    </w:p>
    <w:p>
      <w:pPr>
        <w:pStyle w:val="Ednotesection"/>
        <w:spacing w:before="180"/>
        <w:ind w:left="890" w:hanging="890"/>
        <w:outlineLvl w:val="9"/>
      </w:pPr>
      <w:r>
        <w:t>[</w:t>
      </w:r>
      <w:r>
        <w:rPr>
          <w:b/>
        </w:rPr>
        <w:t>18, 19, 19A.</w:t>
      </w:r>
      <w:r>
        <w:tab/>
        <w:t>Deleted by No. 14 of 1996 s. 4.]</w:t>
      </w:r>
    </w:p>
    <w:p>
      <w:pPr>
        <w:pStyle w:val="Ednotesection"/>
        <w:spacing w:before="180"/>
        <w:ind w:left="890" w:hanging="890"/>
        <w:outlineLvl w:val="9"/>
      </w:pPr>
      <w:r>
        <w:t>[</w:t>
      </w:r>
      <w:r>
        <w:rPr>
          <w:b/>
        </w:rPr>
        <w:t>20, 21.</w:t>
      </w:r>
      <w:r>
        <w:tab/>
        <w:t>Deleted by No. 57 of 1985 s. 12.]</w:t>
      </w:r>
    </w:p>
    <w:p>
      <w:pPr>
        <w:pStyle w:val="Heading5"/>
        <w:spacing w:before="120"/>
        <w:rPr>
          <w:snapToGrid w:val="0"/>
        </w:rPr>
      </w:pPr>
      <w:bookmarkStart w:id="57" w:name="_Toc512323625"/>
      <w:r>
        <w:rPr>
          <w:rStyle w:val="CharSectno"/>
        </w:rPr>
        <w:t>22</w:t>
      </w:r>
      <w:r>
        <w:rPr>
          <w:snapToGrid w:val="0"/>
        </w:rPr>
        <w:t>.</w:t>
      </w:r>
      <w:r>
        <w:rPr>
          <w:snapToGrid w:val="0"/>
        </w:rPr>
        <w:tab/>
        <w:t>Annexation</w:t>
      </w:r>
      <w:bookmarkEnd w:id="57"/>
    </w:p>
    <w:p>
      <w:pPr>
        <w:pStyle w:val="Subsection"/>
        <w:spacing w:before="120"/>
        <w:rPr>
          <w:snapToGrid w:val="0"/>
        </w:rPr>
      </w:pPr>
      <w:r>
        <w:rPr>
          <w:snapToGrid w:val="0"/>
        </w:rPr>
        <w:tab/>
        <w:t>(1)</w:t>
      </w:r>
      <w:r>
        <w:rPr>
          <w:snapToGrid w:val="0"/>
        </w:rPr>
        <w:tab/>
        <w:t xml:space="preserve">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w:t>
      </w:r>
      <w:r>
        <w:t>Chief Health Officer</w:t>
      </w:r>
      <w:r>
        <w:rPr>
          <w:snapToGrid w:val="0"/>
        </w:rPr>
        <w:t xml:space="preserve"> considers necessary as consequential to such removal shall be made as and in the manner the </w:t>
      </w:r>
      <w:r>
        <w:t>Chief Health Officer</w:t>
      </w:r>
      <w:r>
        <w:rPr>
          <w:snapToGrid w:val="0"/>
        </w:rPr>
        <w:t xml:space="preserve">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spacing w:before="100"/>
        <w:ind w:left="890" w:hanging="890"/>
      </w:pPr>
      <w:r>
        <w:tab/>
        <w:t>[Section 22, formerly section 21, renumbered as section 22 by No. 38 of 1933 s. 42; amended by No. 25 of 1950 s. 3; No. 28 of 1984 s. 45; No. 14 of 1996 s. 4; No. 19 of 2016 s. 100.]</w:t>
      </w:r>
    </w:p>
    <w:p>
      <w:pPr>
        <w:pStyle w:val="Ednotesection"/>
        <w:outlineLvl w:val="9"/>
      </w:pPr>
      <w:r>
        <w:t>[</w:t>
      </w:r>
      <w:r>
        <w:rPr>
          <w:b/>
        </w:rPr>
        <w:t>23, 24.</w:t>
      </w:r>
      <w:r>
        <w:tab/>
        <w:t>Deleted by No. 57 of 1985 s. 12.]</w:t>
      </w:r>
    </w:p>
    <w:p>
      <w:pPr>
        <w:pStyle w:val="Heading5"/>
        <w:rPr>
          <w:snapToGrid w:val="0"/>
        </w:rPr>
      </w:pPr>
      <w:bookmarkStart w:id="58" w:name="_Toc512323626"/>
      <w:r>
        <w:rPr>
          <w:rStyle w:val="CharSectno"/>
        </w:rPr>
        <w:t>25</w:t>
      </w:r>
      <w:r>
        <w:rPr>
          <w:snapToGrid w:val="0"/>
        </w:rPr>
        <w:t>.</w:t>
      </w:r>
      <w:r>
        <w:rPr>
          <w:snapToGrid w:val="0"/>
        </w:rPr>
        <w:tab/>
        <w:t>District may include water</w:t>
      </w:r>
      <w:bookmarkEnd w:id="58"/>
    </w:p>
    <w:p>
      <w:pPr>
        <w:pStyle w:val="Subsection"/>
        <w:spacing w:before="18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80"/>
        <w:rPr>
          <w:snapToGrid w:val="0"/>
        </w:rPr>
      </w:pPr>
      <w:r>
        <w:rPr>
          <w:snapToGrid w:val="0"/>
        </w:rPr>
        <w:tab/>
      </w:r>
      <w:r>
        <w:rPr>
          <w:snapToGrid w:val="0"/>
        </w:rPr>
        <w:tab/>
        <w:t>Provided that the Governor may revoke or vary any order made under this section.</w:t>
      </w:r>
    </w:p>
    <w:p>
      <w:pPr>
        <w:pStyle w:val="Footnoteheading"/>
        <w:rPr>
          <w:snapToGrid w:val="0"/>
        </w:rPr>
      </w:pPr>
      <w:r>
        <w:tab/>
        <w:t xml:space="preserve">[Section 25, formerly section 24, renumbered as section 25 by No. 38 of 1933 s. 42.] </w:t>
      </w:r>
    </w:p>
    <w:p>
      <w:pPr>
        <w:pStyle w:val="Heading5"/>
        <w:rPr>
          <w:snapToGrid w:val="0"/>
        </w:rPr>
      </w:pPr>
      <w:bookmarkStart w:id="59" w:name="_Toc512323627"/>
      <w:r>
        <w:rPr>
          <w:rStyle w:val="CharSectno"/>
        </w:rPr>
        <w:t>26</w:t>
      </w:r>
      <w:r>
        <w:rPr>
          <w:snapToGrid w:val="0"/>
        </w:rPr>
        <w:t>.</w:t>
      </w:r>
      <w:r>
        <w:rPr>
          <w:snapToGrid w:val="0"/>
        </w:rPr>
        <w:tab/>
        <w:t>Powers of local government</w:t>
      </w:r>
      <w:bookmarkEnd w:id="59"/>
    </w:p>
    <w:p>
      <w:pPr>
        <w:pStyle w:val="Subsection"/>
        <w:spacing w:before="18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8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formerly section 25, amended by No. 17 of 1918 s. 5; renumbered as section 26 by No. 38 of 1933 s. 42; amended by No. 14 of 1996 s. 4.]</w:t>
      </w:r>
    </w:p>
    <w:p>
      <w:pPr>
        <w:pStyle w:val="Ednotesection"/>
        <w:spacing w:before="180"/>
        <w:ind w:left="890" w:hanging="890"/>
        <w:outlineLvl w:val="9"/>
      </w:pPr>
      <w:r>
        <w:t>[</w:t>
      </w:r>
      <w:r>
        <w:rPr>
          <w:b/>
        </w:rPr>
        <w:t>27-34.</w:t>
      </w:r>
      <w:r>
        <w:tab/>
        <w:t>Deleted by No. 19 of 2016 s. 9.]</w:t>
      </w:r>
    </w:p>
    <w:p>
      <w:pPr>
        <w:pStyle w:val="Heading5"/>
        <w:pageBreakBefore/>
        <w:spacing w:before="0"/>
        <w:rPr>
          <w:snapToGrid w:val="0"/>
        </w:rPr>
      </w:pPr>
      <w:bookmarkStart w:id="60" w:name="_Toc512323628"/>
      <w:r>
        <w:rPr>
          <w:rStyle w:val="CharSectno"/>
        </w:rPr>
        <w:t>35</w:t>
      </w:r>
      <w:r>
        <w:rPr>
          <w:snapToGrid w:val="0"/>
        </w:rPr>
        <w:t>.</w:t>
      </w:r>
      <w:r>
        <w:rPr>
          <w:snapToGrid w:val="0"/>
        </w:rPr>
        <w:tab/>
        <w:t>Proceedings on default of local government</w:t>
      </w:r>
      <w:bookmarkEnd w:id="60"/>
    </w:p>
    <w:p>
      <w:pPr>
        <w:pStyle w:val="Subsection"/>
        <w:spacing w:before="180"/>
        <w:rPr>
          <w:snapToGrid w:val="0"/>
        </w:rPr>
      </w:pPr>
      <w:r>
        <w:rPr>
          <w:snapToGrid w:val="0"/>
        </w:rPr>
        <w:tab/>
        <w:t>(1)</w:t>
      </w:r>
      <w:r>
        <w:rPr>
          <w:snapToGrid w:val="0"/>
        </w:rPr>
        <w:tab/>
        <w:t xml:space="preserve">Where in the opinion of the </w:t>
      </w:r>
      <w:r>
        <w:t>Chief Health Officer</w:t>
      </w:r>
      <w:r>
        <w:rPr>
          <w:snapToGrid w:val="0"/>
        </w:rPr>
        <w:t xml:space="preserve"> any local government has made default in enforcing or carrying out or complying with any provisions of or in the exercise of any power conferred by this Act, or any local law or regulation thereunder, or of any order of the </w:t>
      </w:r>
      <w:r>
        <w:t>Chief Health Officer</w:t>
      </w:r>
      <w:r>
        <w:rPr>
          <w:snapToGrid w:val="0"/>
        </w:rPr>
        <w:t xml:space="preserve">, which it is the duty of such local government to enforce, carry out, comply with, or exercise, the </w:t>
      </w:r>
      <w:r>
        <w:t>Chief Health Officer</w:t>
      </w:r>
      <w:r>
        <w:rPr>
          <w:snapToGrid w:val="0"/>
        </w:rPr>
        <w:t xml:space="preserve"> may make an order limiting a time for the performance of the duty of the local government.</w:t>
      </w:r>
    </w:p>
    <w:p>
      <w:pPr>
        <w:pStyle w:val="Subsection"/>
        <w:spacing w:before="180"/>
        <w:rPr>
          <w:snapToGrid w:val="0"/>
        </w:rPr>
      </w:pPr>
      <w:r>
        <w:rPr>
          <w:snapToGrid w:val="0"/>
        </w:rPr>
        <w:tab/>
        <w:t>(2)</w:t>
      </w:r>
      <w:r>
        <w:rPr>
          <w:snapToGrid w:val="0"/>
        </w:rPr>
        <w:tab/>
        <w:t xml:space="preserve">If such duty is not performed within the time limited in such order, the performance of such duty may be enforced by writ of mandamus, or the </w:t>
      </w:r>
      <w:r>
        <w:t>Chief Health Officer</w:t>
      </w:r>
      <w:r>
        <w:rPr>
          <w:snapToGrid w:val="0"/>
        </w:rPr>
        <w:t xml:space="preserve">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spacing w:before="180"/>
        <w:rPr>
          <w:snapToGrid w:val="0"/>
        </w:rPr>
      </w:pPr>
      <w:r>
        <w:rPr>
          <w:snapToGrid w:val="0"/>
        </w:rPr>
        <w:tab/>
        <w:t>(3)</w:t>
      </w:r>
      <w:r>
        <w:rPr>
          <w:snapToGrid w:val="0"/>
        </w:rPr>
        <w:tab/>
        <w:t xml:space="preserve">Any person appointed under this section to perform the duty of a defaulting local government shall, in the performance, and for the purposes of such duty, be invested with all the powers of such local government, and may enter into contracts on its behalf, and the </w:t>
      </w:r>
      <w:r>
        <w:t>Chief Health Officer</w:t>
      </w:r>
      <w:r>
        <w:rPr>
          <w:snapToGrid w:val="0"/>
        </w:rPr>
        <w:t xml:space="preserve"> may, from time to time, remove any person so appointed, and appoint another in his place.</w:t>
      </w:r>
    </w:p>
    <w:p>
      <w:pPr>
        <w:pStyle w:val="Subsection"/>
        <w:spacing w:before="180"/>
        <w:rPr>
          <w:snapToGrid w:val="0"/>
        </w:rPr>
      </w:pPr>
      <w:r>
        <w:rPr>
          <w:snapToGrid w:val="0"/>
        </w:rPr>
        <w:tab/>
        <w:t>(4)</w:t>
      </w:r>
      <w:r>
        <w:rPr>
          <w:snapToGrid w:val="0"/>
        </w:rPr>
        <w:tab/>
        <w:t xml:space="preserve">When the </w:t>
      </w:r>
      <w:r>
        <w:t xml:space="preserve">Chief Health </w:t>
      </w:r>
      <w:r>
        <w:rPr>
          <w:snapToGrid w:val="0"/>
        </w:rPr>
        <w:t xml:space="preserve">Officer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w:t>
      </w:r>
      <w:r>
        <w:t>Chief Health Officer</w:t>
      </w:r>
      <w:r>
        <w:rPr>
          <w:snapToGrid w:val="0"/>
        </w:rPr>
        <w:t xml:space="preserve"> is willing to confirm, then the </w:t>
      </w:r>
      <w:r>
        <w:t>Chief Health Officer</w:t>
      </w:r>
      <w:r>
        <w:rPr>
          <w:snapToGrid w:val="0"/>
        </w:rPr>
        <w:t xml:space="preserve"> may, in lieu of the local government, make such local law as he shall consider ought to be made regarding such matter, and any local law so made by the </w:t>
      </w:r>
      <w:r>
        <w:t>Chief Health Officer</w:t>
      </w:r>
      <w:r>
        <w:rPr>
          <w:snapToGrid w:val="0"/>
        </w:rPr>
        <w:t xml:space="preserve"> shall, subject to section 345, have effect as if made by the local government.</w:t>
      </w:r>
    </w:p>
    <w:p>
      <w:pPr>
        <w:pStyle w:val="Footnotesection"/>
        <w:spacing w:before="80"/>
        <w:ind w:left="890" w:hanging="890"/>
      </w:pPr>
      <w:r>
        <w:tab/>
        <w:t>[Section 35, formerly section 34, amended by No. 17 of 1918 s. 7; renumbered as section 35 by No. 38 of 1933 s. 42; amended by No. 28 of 1984 s. 45; No. 14 of 1996 s. 4; No. 19 of 2016 s. 100.]</w:t>
      </w:r>
    </w:p>
    <w:p>
      <w:pPr>
        <w:pStyle w:val="Heading5"/>
        <w:spacing w:before="180"/>
        <w:rPr>
          <w:snapToGrid w:val="0"/>
        </w:rPr>
      </w:pPr>
      <w:bookmarkStart w:id="61" w:name="_Toc512323629"/>
      <w:r>
        <w:rPr>
          <w:rStyle w:val="CharSectno"/>
        </w:rPr>
        <w:t>36</w:t>
      </w:r>
      <w:r>
        <w:rPr>
          <w:snapToGrid w:val="0"/>
        </w:rPr>
        <w:t>.</w:t>
      </w:r>
      <w:r>
        <w:rPr>
          <w:snapToGrid w:val="0"/>
        </w:rPr>
        <w:tab/>
        <w:t>Review of orders and decisions of local governments by SAT</w:t>
      </w:r>
      <w:bookmarkEnd w:id="61"/>
    </w:p>
    <w:p>
      <w:pPr>
        <w:pStyle w:val="Subsection"/>
        <w:spacing w:before="120"/>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spacing w:before="120"/>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spacing w:before="80"/>
        <w:ind w:left="890" w:hanging="890"/>
      </w:pPr>
      <w:r>
        <w:tab/>
        <w:t>[Section 36, formerly section 35, renumbered as section 36 by No. 38 of 1933 s. 42; amended by No. 14 of 1996 s. 4; No. 55 of 2004 s. 479.]</w:t>
      </w:r>
    </w:p>
    <w:p>
      <w:pPr>
        <w:pStyle w:val="Ednotesection"/>
        <w:spacing w:before="180"/>
        <w:outlineLvl w:val="9"/>
      </w:pPr>
      <w:r>
        <w:t>[</w:t>
      </w:r>
      <w:r>
        <w:rPr>
          <w:b/>
        </w:rPr>
        <w:t>37.</w:t>
      </w:r>
      <w:r>
        <w:tab/>
        <w:t>Deleted by No. 55 of 2004 s. 480.]</w:t>
      </w:r>
    </w:p>
    <w:p>
      <w:pPr>
        <w:pStyle w:val="Heading5"/>
        <w:spacing w:before="180"/>
        <w:rPr>
          <w:snapToGrid w:val="0"/>
        </w:rPr>
      </w:pPr>
      <w:bookmarkStart w:id="62" w:name="_Toc512323630"/>
      <w:r>
        <w:rPr>
          <w:rStyle w:val="CharSectno"/>
        </w:rPr>
        <w:t>38</w:t>
      </w:r>
      <w:r>
        <w:rPr>
          <w:snapToGrid w:val="0"/>
        </w:rPr>
        <w:t>.</w:t>
      </w:r>
      <w:r>
        <w:rPr>
          <w:snapToGrid w:val="0"/>
        </w:rPr>
        <w:tab/>
        <w:t>Local governments to report annually</w:t>
      </w:r>
      <w:bookmarkEnd w:id="62"/>
    </w:p>
    <w:p>
      <w:pPr>
        <w:pStyle w:val="Subsection"/>
        <w:spacing w:before="150"/>
        <w:rPr>
          <w:snapToGrid w:val="0"/>
        </w:rPr>
      </w:pPr>
      <w:r>
        <w:rPr>
          <w:snapToGrid w:val="0"/>
        </w:rPr>
        <w:tab/>
      </w:r>
      <w:r>
        <w:rPr>
          <w:snapToGrid w:val="0"/>
        </w:rPr>
        <w:tab/>
        <w:t xml:space="preserve">Every local government shall, in the prescribed form, during the month of February in every year, and at such other times as the </w:t>
      </w:r>
      <w:r>
        <w:t>Chief Health Officer</w:t>
      </w:r>
      <w:r>
        <w:rPr>
          <w:snapToGrid w:val="0"/>
        </w:rPr>
        <w:t xml:space="preserve"> may direct, report to the </w:t>
      </w:r>
      <w:r>
        <w:t>Chief Health Officer</w:t>
      </w:r>
      <w:r>
        <w:rPr>
          <w:snapToGrid w:val="0"/>
        </w:rPr>
        <w:t xml:space="preserve"> concerning the sanitary conditions of its district, and all works executed and proceedings taken by the local government.</w:t>
      </w:r>
    </w:p>
    <w:p>
      <w:pPr>
        <w:pStyle w:val="Footnotesection"/>
        <w:spacing w:before="80"/>
        <w:ind w:left="890" w:hanging="890"/>
      </w:pPr>
      <w:r>
        <w:tab/>
        <w:t>[Section 38, formerly section 37, renumbered as section 38 by No. 38 of 1933 s. 42; amended by No. 28 of 1984 s. 45; No. 14 of 1996 s. 4; No. 19 of 2016 s. 100.]</w:t>
      </w:r>
    </w:p>
    <w:p>
      <w:pPr>
        <w:pStyle w:val="Heading3"/>
        <w:pageBreakBefore/>
        <w:widowControl w:val="0"/>
        <w:spacing w:before="0"/>
        <w:rPr>
          <w:snapToGrid w:val="0"/>
        </w:rPr>
      </w:pPr>
      <w:bookmarkStart w:id="63" w:name="_Toc498001015"/>
      <w:bookmarkStart w:id="64" w:name="_Toc498001345"/>
      <w:bookmarkStart w:id="65" w:name="_Toc498002997"/>
      <w:bookmarkStart w:id="66" w:name="_Toc498004008"/>
      <w:bookmarkStart w:id="67" w:name="_Toc499029411"/>
      <w:bookmarkStart w:id="68" w:name="_Toc501098479"/>
      <w:bookmarkStart w:id="69" w:name="_Toc501101402"/>
      <w:bookmarkStart w:id="70" w:name="_Toc501115924"/>
      <w:bookmarkStart w:id="71" w:name="_Toc501117185"/>
      <w:bookmarkStart w:id="72" w:name="_Toc501698592"/>
      <w:bookmarkStart w:id="73" w:name="_Toc512323631"/>
      <w:r>
        <w:rPr>
          <w:rStyle w:val="CharDivNo"/>
        </w:rPr>
        <w:t>Division 3</w:t>
      </w:r>
      <w:r>
        <w:rPr>
          <w:snapToGrid w:val="0"/>
        </w:rPr>
        <w:t> — </w:t>
      </w:r>
      <w:r>
        <w:rPr>
          <w:rStyle w:val="CharDivText"/>
        </w:rPr>
        <w:t>The exercise of ministerial control</w:t>
      </w:r>
      <w:bookmarkEnd w:id="63"/>
      <w:bookmarkEnd w:id="64"/>
      <w:bookmarkEnd w:id="65"/>
      <w:bookmarkEnd w:id="66"/>
      <w:bookmarkEnd w:id="67"/>
      <w:bookmarkEnd w:id="68"/>
      <w:bookmarkEnd w:id="69"/>
      <w:bookmarkEnd w:id="70"/>
      <w:bookmarkEnd w:id="71"/>
      <w:bookmarkEnd w:id="72"/>
      <w:bookmarkEnd w:id="73"/>
    </w:p>
    <w:p>
      <w:pPr>
        <w:pStyle w:val="Heading5"/>
        <w:keepNext w:val="0"/>
        <w:keepLines w:val="0"/>
        <w:widowControl w:val="0"/>
        <w:rPr>
          <w:snapToGrid w:val="0"/>
        </w:rPr>
      </w:pPr>
      <w:bookmarkStart w:id="74" w:name="_Toc512323632"/>
      <w:r>
        <w:rPr>
          <w:rStyle w:val="CharSectno"/>
        </w:rPr>
        <w:t>39</w:t>
      </w:r>
      <w:r>
        <w:rPr>
          <w:snapToGrid w:val="0"/>
        </w:rPr>
        <w:t>.</w:t>
      </w:r>
      <w:r>
        <w:rPr>
          <w:snapToGrid w:val="0"/>
        </w:rPr>
        <w:tab/>
        <w:t>Powers of Minister</w:t>
      </w:r>
      <w:bookmarkEnd w:id="74"/>
    </w:p>
    <w:p>
      <w:pPr>
        <w:pStyle w:val="Subsection"/>
        <w:widowControl w:val="0"/>
        <w:spacing w:before="200"/>
        <w:rPr>
          <w:snapToGrid w:val="0"/>
        </w:rPr>
      </w:pPr>
      <w:r>
        <w:rPr>
          <w:snapToGrid w:val="0"/>
        </w:rPr>
        <w:tab/>
        <w:t>(1)</w:t>
      </w:r>
      <w:r>
        <w:rPr>
          <w:snapToGrid w:val="0"/>
        </w:rPr>
        <w:tab/>
        <w:t>All the powers, rights, and authorities vested in the</w:t>
      </w:r>
      <w:r>
        <w:t xml:space="preserve"> CEO</w:t>
      </w:r>
      <w:r>
        <w:rPr>
          <w:snapToGrid w:val="0"/>
        </w:rPr>
        <w:t xml:space="preserve">, </w:t>
      </w:r>
      <w:r>
        <w:t xml:space="preserve">Chief Health Officer </w:t>
      </w:r>
      <w:r>
        <w:rPr>
          <w:snapToGrid w:val="0"/>
        </w:rPr>
        <w:t>or any local government shall, whenever he deems fit, be exercisable by the Minister, and when so exercised shall, if so ordered by the Minister, supersede any act, direction, notice, or order of the</w:t>
      </w:r>
      <w:r>
        <w:t xml:space="preserve"> CEO</w:t>
      </w:r>
      <w:r>
        <w:rPr>
          <w:snapToGrid w:val="0"/>
        </w:rPr>
        <w:t xml:space="preserve">, </w:t>
      </w:r>
      <w:r>
        <w:t xml:space="preserve">Chief Health Officer </w:t>
      </w:r>
      <w:r>
        <w:rPr>
          <w:snapToGrid w:val="0"/>
        </w:rPr>
        <w:t>or local government; and every officer, and employee of the local government (whether a member thereof or not) and the</w:t>
      </w:r>
      <w:r>
        <w:t xml:space="preserve"> CEO</w:t>
      </w:r>
      <w:r>
        <w:rPr>
          <w:snapToGrid w:val="0"/>
        </w:rPr>
        <w:t xml:space="preserve">, </w:t>
      </w:r>
      <w:r>
        <w:t xml:space="preserve">Chief Health Officer </w:t>
      </w:r>
      <w:r>
        <w:rPr>
          <w:snapToGrid w:val="0"/>
        </w:rPr>
        <w:t>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xml:space="preserve">, </w:t>
      </w:r>
      <w:r>
        <w:t xml:space="preserve">Chief Health Officer </w:t>
      </w:r>
      <w:r>
        <w:rPr>
          <w:snapToGrid w:val="0"/>
        </w:rPr>
        <w:t>or local government, whether conferred by Act, regulation, local law, or otherwise.</w:t>
      </w:r>
    </w:p>
    <w:p>
      <w:pPr>
        <w:pStyle w:val="Subsection"/>
        <w:spacing w:before="200"/>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xml:space="preserve">, </w:t>
      </w:r>
      <w:r>
        <w:t xml:space="preserve">Chief Health Officer </w:t>
      </w:r>
      <w:r>
        <w:rPr>
          <w:snapToGrid w:val="0"/>
        </w:rPr>
        <w:t>or local government.</w:t>
      </w:r>
    </w:p>
    <w:p>
      <w:pPr>
        <w:pStyle w:val="Subsection"/>
        <w:spacing w:before="200"/>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keepNext/>
        <w:spacing w:before="200"/>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formerly section 38, renumbered as section 39 by No. 38 of 1933 s. 42; amended by No. 28 of 1984 s. 27; No. 14 of 1996 s. 4; No. 28 of 1996 s. 20; No. 28 of 2006 s. 251; No. 19 of 2016 s. 10.]</w:t>
      </w:r>
    </w:p>
    <w:p>
      <w:pPr>
        <w:pStyle w:val="Heading2"/>
      </w:pPr>
      <w:bookmarkStart w:id="75" w:name="_Toc498001017"/>
      <w:bookmarkStart w:id="76" w:name="_Toc498001347"/>
      <w:bookmarkStart w:id="77" w:name="_Toc498002999"/>
      <w:bookmarkStart w:id="78" w:name="_Toc498004010"/>
      <w:bookmarkStart w:id="79" w:name="_Toc499029413"/>
      <w:bookmarkStart w:id="80" w:name="_Toc501098481"/>
      <w:bookmarkStart w:id="81" w:name="_Toc501101404"/>
      <w:bookmarkStart w:id="82" w:name="_Toc501115926"/>
      <w:bookmarkStart w:id="83" w:name="_Toc501117187"/>
      <w:bookmarkStart w:id="84" w:name="_Toc501698594"/>
      <w:bookmarkStart w:id="85" w:name="_Toc512323633"/>
      <w:r>
        <w:rPr>
          <w:rStyle w:val="CharPartNo"/>
        </w:rPr>
        <w:t>Part III</w:t>
      </w:r>
      <w:r>
        <w:rPr>
          <w:rStyle w:val="CharDivNo"/>
        </w:rPr>
        <w:t> </w:t>
      </w:r>
      <w:r>
        <w:t>—</w:t>
      </w:r>
      <w:r>
        <w:rPr>
          <w:rStyle w:val="CharDivText"/>
        </w:rPr>
        <w:t> </w:t>
      </w:r>
      <w:r>
        <w:rPr>
          <w:rStyle w:val="CharPartText"/>
        </w:rPr>
        <w:t>Financial</w:t>
      </w:r>
      <w:bookmarkEnd w:id="75"/>
      <w:bookmarkEnd w:id="76"/>
      <w:bookmarkEnd w:id="77"/>
      <w:bookmarkEnd w:id="78"/>
      <w:bookmarkEnd w:id="79"/>
      <w:bookmarkEnd w:id="80"/>
      <w:bookmarkEnd w:id="81"/>
      <w:bookmarkEnd w:id="82"/>
      <w:bookmarkEnd w:id="83"/>
      <w:bookmarkEnd w:id="84"/>
      <w:bookmarkEnd w:id="85"/>
    </w:p>
    <w:p>
      <w:pPr>
        <w:pStyle w:val="Heading5"/>
        <w:rPr>
          <w:snapToGrid w:val="0"/>
        </w:rPr>
      </w:pPr>
      <w:bookmarkStart w:id="86" w:name="_Toc512323634"/>
      <w:r>
        <w:rPr>
          <w:rStyle w:val="CharSectno"/>
        </w:rPr>
        <w:t>40</w:t>
      </w:r>
      <w:r>
        <w:rPr>
          <w:snapToGrid w:val="0"/>
        </w:rPr>
        <w:t>.</w:t>
      </w:r>
      <w:r>
        <w:rPr>
          <w:snapToGrid w:val="0"/>
        </w:rPr>
        <w:tab/>
        <w:t>Power to levy general health rate</w:t>
      </w:r>
      <w:bookmarkEnd w:id="86"/>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w:t>
      </w:r>
      <w:r>
        <w:rPr>
          <w:snapToGrid w:val="0"/>
          <w:vertAlign w:val="superscript"/>
        </w:rPr>
        <w:t>1</w:t>
      </w:r>
      <w:r>
        <w:rPr>
          <w:snapToGrid w:val="0"/>
        </w:rPr>
        <w:t>/</w:t>
      </w:r>
      <w:r>
        <w:rPr>
          <w:snapToGrid w:val="0"/>
          <w:vertAlign w:val="subscript"/>
        </w:rPr>
        <w:t>3</w:t>
      </w:r>
      <w:r>
        <w:rPr>
          <w:snapToGrid w:val="0"/>
        </w:rPr>
        <w:t xml:space="preserve">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formerly section 39, renumbered as section 40 by No. 38 of 1933 s. 42; amended by No. 25 of 1950 s. 4; No. 113 of 1965 s. 4(1); No. 76 of 1978 s. 50; No. 14 of 1996 s. 4.]</w:t>
      </w:r>
    </w:p>
    <w:p>
      <w:pPr>
        <w:pStyle w:val="Heading5"/>
        <w:rPr>
          <w:snapToGrid w:val="0"/>
        </w:rPr>
      </w:pPr>
      <w:bookmarkStart w:id="87" w:name="_Toc512323635"/>
      <w:r>
        <w:rPr>
          <w:rStyle w:val="CharSectno"/>
        </w:rPr>
        <w:t>41</w:t>
      </w:r>
      <w:r>
        <w:rPr>
          <w:snapToGrid w:val="0"/>
        </w:rPr>
        <w:t>.</w:t>
      </w:r>
      <w:r>
        <w:rPr>
          <w:snapToGrid w:val="0"/>
        </w:rPr>
        <w:tab/>
        <w:t>Sanitary rate</w:t>
      </w:r>
      <w:bookmarkEnd w:id="87"/>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sewage from such land.</w:t>
      </w:r>
    </w:p>
    <w:p>
      <w:pPr>
        <w:pStyle w:val="Footnotesection"/>
      </w:pPr>
      <w:r>
        <w:tab/>
        <w:t>[Section 41, formerly section 40, amended by No. 5 of 1933 s. 2; No. 38 of 1933 s. 2; renumbered as section 41 by No. 38 of 1933 s. 42; amended by No. 25 of 1950 s. 5; No. 113 of 1965 s. 4(1); No. 2 of 1975 s. 3; No. 76 of 1978 s. 51; No. 14 of 1996 s. 4; No. 36 of 2007 Sch. 4 cl. 4(2).]</w:t>
      </w:r>
    </w:p>
    <w:p>
      <w:pPr>
        <w:pStyle w:val="Heading5"/>
        <w:keepLines w:val="0"/>
        <w:spacing w:before="180"/>
        <w:rPr>
          <w:snapToGrid w:val="0"/>
        </w:rPr>
      </w:pPr>
      <w:bookmarkStart w:id="88" w:name="_Toc512323636"/>
      <w:r>
        <w:rPr>
          <w:rStyle w:val="CharSectno"/>
        </w:rPr>
        <w:t>42</w:t>
      </w:r>
      <w:r>
        <w:rPr>
          <w:snapToGrid w:val="0"/>
        </w:rPr>
        <w:t>.</w:t>
      </w:r>
      <w:r>
        <w:rPr>
          <w:snapToGrid w:val="0"/>
        </w:rPr>
        <w:tab/>
        <w:t>Supplementary rates</w:t>
      </w:r>
      <w:bookmarkEnd w:id="88"/>
    </w:p>
    <w:p>
      <w:pPr>
        <w:pStyle w:val="Subsection"/>
        <w:spacing w:before="120"/>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spacing w:before="100"/>
        <w:ind w:left="890" w:hanging="890"/>
      </w:pPr>
      <w:r>
        <w:tab/>
        <w:t>[Section 42, formerly section 41, renumbered as section 42 by No. 38 of 1933 s. 42; amended by No. 14 of 1996 s. 4.]</w:t>
      </w:r>
    </w:p>
    <w:p>
      <w:pPr>
        <w:pStyle w:val="Ednotesection"/>
        <w:outlineLvl w:val="9"/>
      </w:pPr>
      <w:r>
        <w:t>[</w:t>
      </w:r>
      <w:r>
        <w:rPr>
          <w:b/>
        </w:rPr>
        <w:t>43.</w:t>
      </w:r>
      <w:r>
        <w:tab/>
        <w:t>Deleted by No. 57 of 1985 s. 12.]</w:t>
      </w:r>
    </w:p>
    <w:p>
      <w:pPr>
        <w:pStyle w:val="Heading5"/>
        <w:rPr>
          <w:snapToGrid w:val="0"/>
        </w:rPr>
      </w:pPr>
      <w:bookmarkStart w:id="89" w:name="_Toc512323637"/>
      <w:r>
        <w:rPr>
          <w:rStyle w:val="CharSectno"/>
        </w:rPr>
        <w:t>44</w:t>
      </w:r>
      <w:r>
        <w:rPr>
          <w:snapToGrid w:val="0"/>
        </w:rPr>
        <w:t>.</w:t>
      </w:r>
      <w:r>
        <w:rPr>
          <w:snapToGrid w:val="0"/>
        </w:rPr>
        <w:tab/>
        <w:t>Borrowing powers</w:t>
      </w:r>
      <w:bookmarkEnd w:id="89"/>
    </w:p>
    <w:p>
      <w:pPr>
        <w:pStyle w:val="Subsection"/>
        <w:rPr>
          <w:snapToGrid w:val="0"/>
        </w:rPr>
      </w:pPr>
      <w:r>
        <w:rPr>
          <w:snapToGrid w:val="0"/>
        </w:rPr>
        <w:tab/>
        <w:t>(1)(a)</w:t>
      </w:r>
      <w:r>
        <w:rPr>
          <w:snapToGrid w:val="0"/>
        </w:rPr>
        <w:tab/>
        <w:t xml:space="preserve">Subject to any express provisions of this Act, every local government may from time to time under the borrowing powers conferred by the </w:t>
      </w:r>
      <w:r>
        <w:rPr>
          <w:i/>
          <w:iCs/>
          <w:snapToGrid w:val="0"/>
        </w:rPr>
        <w:t>Local Government Act 1995</w:t>
      </w:r>
      <w:r>
        <w:rPr>
          <w:snapToGrid w:val="0"/>
        </w:rPr>
        <w:t>,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formerly section 43, amended by No. 50 of 1926 s. 4; No. 30 of 1932 s. 7; No. 5 of 1933 s. 4; No. 38 of 1933 s. 3; renumbered as section 44 by No. 38 of 1933 s. 42; amended by No. 16 of 1935 s. 2; No. 32 of 1937 s. 3; No. 59 of 1991 s. 7; No. 14 of 1996 s. 4.]</w:t>
      </w:r>
    </w:p>
    <w:p>
      <w:pPr>
        <w:pStyle w:val="Heading5"/>
        <w:rPr>
          <w:snapToGrid w:val="0"/>
        </w:rPr>
      </w:pPr>
      <w:bookmarkStart w:id="90" w:name="_Toc512323638"/>
      <w:r>
        <w:rPr>
          <w:rStyle w:val="CharSectno"/>
        </w:rPr>
        <w:t>45</w:t>
      </w:r>
      <w:r>
        <w:rPr>
          <w:snapToGrid w:val="0"/>
        </w:rPr>
        <w:t>.</w:t>
      </w:r>
      <w:r>
        <w:rPr>
          <w:snapToGrid w:val="0"/>
        </w:rPr>
        <w:tab/>
        <w:t>Special loan rate</w:t>
      </w:r>
      <w:bookmarkEnd w:id="90"/>
    </w:p>
    <w:p>
      <w:pPr>
        <w:pStyle w:val="Subsection"/>
        <w:rPr>
          <w:snapToGrid w:val="0"/>
        </w:rPr>
      </w:pPr>
      <w:r>
        <w:rPr>
          <w:snapToGrid w:val="0"/>
        </w:rPr>
        <w:tab/>
      </w:r>
      <w:r>
        <w:rPr>
          <w:snapToGrid w:val="0"/>
        </w:rPr>
        <w:tab/>
        <w:t xml:space="preserve">Where in any year it becomes necessary to strike a rate for the purpose of providing the interest and sinking fund of any such loan, the local government shall, under the provisions of the </w:t>
      </w:r>
      <w:r>
        <w:rPr>
          <w:i/>
          <w:snapToGrid w:val="0"/>
        </w:rPr>
        <w:t>Local Government Act 1995</w:t>
      </w:r>
      <w:r>
        <w:rPr>
          <w:snapToGrid w:val="0"/>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and 42; amended by No. 27 of 1994 s. 42; No. 14 of 1996 s. 4.]</w:t>
      </w:r>
    </w:p>
    <w:p>
      <w:pPr>
        <w:pStyle w:val="Heading5"/>
        <w:rPr>
          <w:iCs/>
          <w:snapToGrid w:val="0"/>
        </w:rPr>
      </w:pPr>
      <w:bookmarkStart w:id="91" w:name="_Toc512323639"/>
      <w:r>
        <w:rPr>
          <w:rStyle w:val="CharSectno"/>
        </w:rPr>
        <w:t>46</w:t>
      </w:r>
      <w:r>
        <w:rPr>
          <w:snapToGrid w:val="0"/>
        </w:rPr>
        <w:t>.</w:t>
      </w:r>
      <w:r>
        <w:rPr>
          <w:snapToGrid w:val="0"/>
        </w:rPr>
        <w:tab/>
        <w:t xml:space="preserve">Application of rating provisions of </w:t>
      </w:r>
      <w:r>
        <w:rPr>
          <w:i/>
          <w:iCs/>
          <w:snapToGrid w:val="0"/>
        </w:rPr>
        <w:t>Local Government Act 1995</w:t>
      </w:r>
      <w:bookmarkEnd w:id="91"/>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spacing w:before="180"/>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ind w:left="890" w:hanging="890"/>
      </w:pPr>
      <w:r>
        <w:tab/>
        <w:t>[Section 46 inserted by No. 38 of 1933 s. 5 and 42; amended by No. 38 of 1933 s. 5; No. 14 of 1996 s. 4.]</w:t>
      </w:r>
    </w:p>
    <w:p>
      <w:pPr>
        <w:pStyle w:val="Heading5"/>
        <w:spacing w:before="180"/>
        <w:rPr>
          <w:snapToGrid w:val="0"/>
        </w:rPr>
      </w:pPr>
      <w:bookmarkStart w:id="92" w:name="_Toc512323640"/>
      <w:r>
        <w:rPr>
          <w:rStyle w:val="CharSectno"/>
        </w:rPr>
        <w:t>47</w:t>
      </w:r>
      <w:r>
        <w:rPr>
          <w:snapToGrid w:val="0"/>
        </w:rPr>
        <w:t>.</w:t>
      </w:r>
      <w:r>
        <w:rPr>
          <w:snapToGrid w:val="0"/>
        </w:rPr>
        <w:tab/>
        <w:t>Health rate to be regarded in determining borrowing powers</w:t>
      </w:r>
      <w:bookmarkEnd w:id="92"/>
    </w:p>
    <w:p>
      <w:pPr>
        <w:pStyle w:val="Subsection"/>
        <w:spacing w:before="120"/>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ind w:left="890" w:hanging="890"/>
      </w:pPr>
      <w:r>
        <w:tab/>
        <w:t>[Section 47, formerly section 46, renumbered as section 47 by No. 38 of 1933 s. 42; amended by No. 14 of 1996 s. 4.]</w:t>
      </w:r>
    </w:p>
    <w:p>
      <w:pPr>
        <w:pStyle w:val="Heading5"/>
        <w:spacing w:before="180"/>
        <w:rPr>
          <w:snapToGrid w:val="0"/>
        </w:rPr>
      </w:pPr>
      <w:bookmarkStart w:id="93" w:name="_Toc512323641"/>
      <w:r>
        <w:rPr>
          <w:rStyle w:val="CharSectno"/>
        </w:rPr>
        <w:t>48</w:t>
      </w:r>
      <w:r>
        <w:rPr>
          <w:snapToGrid w:val="0"/>
        </w:rPr>
        <w:t>.</w:t>
      </w:r>
      <w:r>
        <w:rPr>
          <w:snapToGrid w:val="0"/>
        </w:rPr>
        <w:tab/>
        <w:t>Time for giving notice of rate may be extended</w:t>
      </w:r>
      <w:bookmarkEnd w:id="93"/>
    </w:p>
    <w:p>
      <w:pPr>
        <w:pStyle w:val="Subsection"/>
        <w:spacing w:before="120"/>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ind w:left="890" w:hanging="890"/>
      </w:pPr>
      <w:r>
        <w:tab/>
        <w:t>[Section 48, formerly section 47, renumbered as section 48 by No. 38 of 1933 s. 42; amended by No. 14 of 1996 s. 4.]</w:t>
      </w:r>
    </w:p>
    <w:p>
      <w:pPr>
        <w:pStyle w:val="Heading5"/>
        <w:spacing w:before="180"/>
        <w:rPr>
          <w:snapToGrid w:val="0"/>
        </w:rPr>
      </w:pPr>
      <w:bookmarkStart w:id="94" w:name="_Toc512323642"/>
      <w:r>
        <w:rPr>
          <w:rStyle w:val="CharSectno"/>
        </w:rPr>
        <w:t>49</w:t>
      </w:r>
      <w:r>
        <w:rPr>
          <w:snapToGrid w:val="0"/>
        </w:rPr>
        <w:t>.</w:t>
      </w:r>
      <w:r>
        <w:rPr>
          <w:snapToGrid w:val="0"/>
        </w:rPr>
        <w:tab/>
        <w:t>Accounts and audit</w:t>
      </w:r>
      <w:bookmarkEnd w:id="94"/>
    </w:p>
    <w:p>
      <w:pPr>
        <w:pStyle w:val="Ednotesubsection"/>
        <w:keepNext/>
        <w:spacing w:before="120"/>
      </w:pPr>
      <w:r>
        <w:tab/>
        <w:t>[(1)</w:t>
      </w:r>
      <w:r>
        <w:tab/>
        <w:t>deleted]</w:t>
      </w:r>
    </w:p>
    <w:p>
      <w:pPr>
        <w:pStyle w:val="Subsection"/>
        <w:spacing w:before="120"/>
        <w:rPr>
          <w:snapToGrid w:val="0"/>
        </w:rPr>
      </w:pPr>
      <w:r>
        <w:rPr>
          <w:snapToGrid w:val="0"/>
        </w:rPr>
        <w:tab/>
        <w:t>(2)</w:t>
      </w:r>
      <w:r>
        <w:rPr>
          <w:snapToGrid w:val="0"/>
        </w:rPr>
        <w:tab/>
        <w:t xml:space="preserve">Every local government shall, within one month from the close of its financial year, forward to the </w:t>
      </w:r>
      <w:r>
        <w:t xml:space="preserve">Chief Health Officer </w:t>
      </w:r>
      <w:r>
        <w:rPr>
          <w:snapToGrid w:val="0"/>
        </w:rPr>
        <w:t xml:space="preserve">a full statement of its accounts in the prescribed form, and shall furnish from time to time such information in regard to the state of the accounts and of its liabilities and of its assets as may be required by the </w:t>
      </w:r>
      <w:r>
        <w:t>Chief Health Officer</w:t>
      </w:r>
      <w:r>
        <w:rPr>
          <w:snapToGrid w:val="0"/>
        </w:rPr>
        <w:t>.</w:t>
      </w:r>
    </w:p>
    <w:p>
      <w:pPr>
        <w:pStyle w:val="Footnotesection"/>
        <w:keepLines w:val="0"/>
        <w:ind w:left="890" w:hanging="890"/>
      </w:pPr>
      <w:r>
        <w:tab/>
        <w:t>[Section 49, formerly section 48, renumbered as section 49 by No. 38 of 1933 s. 42; amended by No. 28 of 1984 s. 45; No. 14 of 1996 s. 4; No. 19 of 2016 s. 100.]</w:t>
      </w:r>
    </w:p>
    <w:p>
      <w:pPr>
        <w:pStyle w:val="Ednotesection"/>
        <w:spacing w:before="240"/>
        <w:outlineLvl w:val="9"/>
      </w:pPr>
      <w:r>
        <w:t>[</w:t>
      </w:r>
      <w:r>
        <w:rPr>
          <w:b/>
        </w:rPr>
        <w:t>50.</w:t>
      </w:r>
      <w:r>
        <w:tab/>
        <w:t>Deleted by No. 57 of 1985 s. 12.]</w:t>
      </w:r>
    </w:p>
    <w:p>
      <w:pPr>
        <w:pStyle w:val="Ednotesection"/>
        <w:spacing w:before="240"/>
        <w:outlineLvl w:val="9"/>
      </w:pPr>
      <w:r>
        <w:t>[</w:t>
      </w:r>
      <w:r>
        <w:rPr>
          <w:b/>
        </w:rPr>
        <w:t>51.</w:t>
      </w:r>
      <w:r>
        <w:tab/>
        <w:t>Deleted by No. 14 of 1996 s. 4.]</w:t>
      </w:r>
    </w:p>
    <w:p>
      <w:pPr>
        <w:pStyle w:val="Heading5"/>
        <w:spacing w:before="240"/>
        <w:rPr>
          <w:snapToGrid w:val="0"/>
        </w:rPr>
      </w:pPr>
      <w:bookmarkStart w:id="95" w:name="_Toc512323643"/>
      <w:r>
        <w:rPr>
          <w:rStyle w:val="CharSectno"/>
        </w:rPr>
        <w:t>52</w:t>
      </w:r>
      <w:r>
        <w:rPr>
          <w:snapToGrid w:val="0"/>
        </w:rPr>
        <w:t>.</w:t>
      </w:r>
      <w:r>
        <w:rPr>
          <w:snapToGrid w:val="0"/>
        </w:rPr>
        <w:tab/>
        <w:t>Financial adjustment</w:t>
      </w:r>
      <w:bookmarkEnd w:id="95"/>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w:t>
      </w:r>
      <w:r>
        <w:rPr>
          <w:snapToGrid w:val="0"/>
          <w:vertAlign w:val="superscript"/>
        </w:rPr>
        <w:t> 3</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formerly section 51, renumbered as section 52 by No. 38 of 1933 s. 42; amended by No. 14 of 1996 s. 4.]</w:t>
      </w:r>
    </w:p>
    <w:p>
      <w:pPr>
        <w:pStyle w:val="Heading2"/>
      </w:pPr>
      <w:bookmarkStart w:id="96" w:name="_Toc498001028"/>
      <w:bookmarkStart w:id="97" w:name="_Toc498001358"/>
      <w:bookmarkStart w:id="98" w:name="_Toc498003010"/>
      <w:bookmarkStart w:id="99" w:name="_Toc498004021"/>
      <w:bookmarkStart w:id="100" w:name="_Toc499029424"/>
      <w:bookmarkStart w:id="101" w:name="_Toc501098492"/>
      <w:bookmarkStart w:id="102" w:name="_Toc501101415"/>
      <w:bookmarkStart w:id="103" w:name="_Toc501115937"/>
      <w:bookmarkStart w:id="104" w:name="_Toc501117198"/>
      <w:bookmarkStart w:id="105" w:name="_Toc501698605"/>
      <w:bookmarkStart w:id="106" w:name="_Toc512323644"/>
      <w:r>
        <w:rPr>
          <w:rStyle w:val="CharPartNo"/>
        </w:rPr>
        <w:t>Part IV</w:t>
      </w:r>
      <w:r>
        <w:t> — </w:t>
      </w:r>
      <w:r>
        <w:rPr>
          <w:rStyle w:val="CharPartText"/>
        </w:rPr>
        <w:t>Sanitary provisions</w:t>
      </w:r>
      <w:bookmarkEnd w:id="96"/>
      <w:bookmarkEnd w:id="97"/>
      <w:bookmarkEnd w:id="98"/>
      <w:bookmarkEnd w:id="99"/>
      <w:bookmarkEnd w:id="100"/>
      <w:bookmarkEnd w:id="101"/>
      <w:bookmarkEnd w:id="102"/>
      <w:bookmarkEnd w:id="103"/>
      <w:bookmarkEnd w:id="104"/>
      <w:bookmarkEnd w:id="105"/>
      <w:bookmarkEnd w:id="106"/>
    </w:p>
    <w:p>
      <w:pPr>
        <w:pStyle w:val="Heading3"/>
        <w:rPr>
          <w:snapToGrid w:val="0"/>
        </w:rPr>
      </w:pPr>
      <w:bookmarkStart w:id="107" w:name="_Toc498001029"/>
      <w:bookmarkStart w:id="108" w:name="_Toc498001359"/>
      <w:bookmarkStart w:id="109" w:name="_Toc498003011"/>
      <w:bookmarkStart w:id="110" w:name="_Toc498004022"/>
      <w:bookmarkStart w:id="111" w:name="_Toc499029425"/>
      <w:bookmarkStart w:id="112" w:name="_Toc501098493"/>
      <w:bookmarkStart w:id="113" w:name="_Toc501101416"/>
      <w:bookmarkStart w:id="114" w:name="_Toc501115938"/>
      <w:bookmarkStart w:id="115" w:name="_Toc501117199"/>
      <w:bookmarkStart w:id="116" w:name="_Toc501698606"/>
      <w:bookmarkStart w:id="117" w:name="_Toc512323645"/>
      <w:r>
        <w:rPr>
          <w:rStyle w:val="CharDivNo"/>
        </w:rPr>
        <w:t>Division 1</w:t>
      </w:r>
      <w:r>
        <w:rPr>
          <w:snapToGrid w:val="0"/>
        </w:rPr>
        <w:t> — </w:t>
      </w:r>
      <w:r>
        <w:rPr>
          <w:rStyle w:val="CharDivText"/>
        </w:rPr>
        <w:t>Sewerage and drainage schemes</w:t>
      </w:r>
      <w:bookmarkEnd w:id="107"/>
      <w:bookmarkEnd w:id="108"/>
      <w:bookmarkEnd w:id="109"/>
      <w:bookmarkEnd w:id="110"/>
      <w:bookmarkEnd w:id="111"/>
      <w:bookmarkEnd w:id="112"/>
      <w:bookmarkEnd w:id="113"/>
      <w:bookmarkEnd w:id="114"/>
      <w:bookmarkEnd w:id="115"/>
      <w:bookmarkEnd w:id="116"/>
      <w:bookmarkEnd w:id="117"/>
    </w:p>
    <w:p>
      <w:pPr>
        <w:pStyle w:val="Footnoteheading"/>
        <w:ind w:left="890" w:hanging="890"/>
        <w:rPr>
          <w:snapToGrid w:val="0"/>
        </w:rPr>
      </w:pPr>
      <w:r>
        <w:rPr>
          <w:snapToGrid w:val="0"/>
        </w:rPr>
        <w:tab/>
        <w:t>[Heading inserted by No. 38 of 1933 s. 42.]</w:t>
      </w:r>
    </w:p>
    <w:p>
      <w:pPr>
        <w:pStyle w:val="Heading5"/>
        <w:rPr>
          <w:snapToGrid w:val="0"/>
        </w:rPr>
      </w:pPr>
      <w:bookmarkStart w:id="118" w:name="_Toc512323646"/>
      <w:r>
        <w:rPr>
          <w:rStyle w:val="CharSectno"/>
        </w:rPr>
        <w:t>53</w:t>
      </w:r>
      <w:r>
        <w:rPr>
          <w:snapToGrid w:val="0"/>
        </w:rPr>
        <w:t>.</w:t>
      </w:r>
      <w:r>
        <w:rPr>
          <w:snapToGrid w:val="0"/>
        </w:rPr>
        <w:tab/>
        <w:t>Sewers vested in local government</w:t>
      </w:r>
      <w:bookmarkEnd w:id="118"/>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119" w:name="_Toc512323647"/>
      <w:r>
        <w:rPr>
          <w:rStyle w:val="CharSectno"/>
        </w:rPr>
        <w:t>54</w:t>
      </w:r>
      <w:r>
        <w:rPr>
          <w:snapToGrid w:val="0"/>
        </w:rPr>
        <w:t>.</w:t>
      </w:r>
      <w:r>
        <w:rPr>
          <w:snapToGrid w:val="0"/>
        </w:rPr>
        <w:tab/>
        <w:t>Power of local government to construct and maintain sewers</w:t>
      </w:r>
      <w:bookmarkEnd w:id="119"/>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ind w:left="890" w:hanging="890"/>
      </w:pPr>
      <w:r>
        <w:tab/>
        <w:t>[Section 54 inserted by No. 38 of 1933 s. 11 and 42; amended by No. 14 of 1996 s. 4; No. 28 of 1996 s. 5.]</w:t>
      </w:r>
    </w:p>
    <w:p>
      <w:pPr>
        <w:pStyle w:val="Heading5"/>
        <w:rPr>
          <w:snapToGrid w:val="0"/>
        </w:rPr>
      </w:pPr>
      <w:bookmarkStart w:id="120" w:name="_Toc512323648"/>
      <w:r>
        <w:rPr>
          <w:rStyle w:val="CharSectno"/>
        </w:rPr>
        <w:t>55</w:t>
      </w:r>
      <w:r>
        <w:rPr>
          <w:snapToGrid w:val="0"/>
        </w:rPr>
        <w:t>.</w:t>
      </w:r>
      <w:r>
        <w:rPr>
          <w:snapToGrid w:val="0"/>
        </w:rPr>
        <w:tab/>
        <w:t>Governor</w:t>
      </w:r>
      <w:r>
        <w:rPr>
          <w:snapToGrid w:val="0"/>
          <w:sz w:val="22"/>
        </w:rPr>
        <w:t>’</w:t>
      </w:r>
      <w:r>
        <w:rPr>
          <w:snapToGrid w:val="0"/>
        </w:rPr>
        <w:t>s approval necessary to all schemes</w:t>
      </w:r>
      <w:bookmarkEnd w:id="120"/>
    </w:p>
    <w:p>
      <w:pPr>
        <w:pStyle w:val="Subsection"/>
        <w:rPr>
          <w:snapToGrid w:val="0"/>
        </w:rPr>
      </w:pPr>
      <w:r>
        <w:rPr>
          <w:snapToGrid w:val="0"/>
        </w:rPr>
        <w:tab/>
        <w:t>(1)</w:t>
      </w:r>
      <w:r>
        <w:rPr>
          <w:snapToGrid w:val="0"/>
        </w:rPr>
        <w:tab/>
        <w:t xml:space="preserve">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w:t>
      </w:r>
      <w:r>
        <w:t>Chief Health Officer</w:t>
      </w:r>
      <w:r>
        <w:rPr>
          <w:snapToGrid w:val="0"/>
        </w:rPr>
        <w:t xml:space="preserve">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 xml:space="preserve">The general plan shall be on a scale of not less than </w:t>
      </w:r>
      <w:r>
        <w:t xml:space="preserve">1:1 000, </w:t>
      </w:r>
      <w:r>
        <w:rPr>
          <w:snapToGrid w:val="0"/>
        </w:rPr>
        <w:t>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 xml:space="preserve">The local government or authorities shall forward such general plan and description to the </w:t>
      </w:r>
      <w:r>
        <w:t>Chief Health Officer</w:t>
      </w:r>
      <w:r>
        <w:rPr>
          <w:snapToGrid w:val="0"/>
        </w:rPr>
        <w:t xml:space="preserve">. The </w:t>
      </w:r>
      <w:r>
        <w:t>Chief Health Officer</w:t>
      </w:r>
      <w:r>
        <w:rPr>
          <w:snapToGrid w:val="0"/>
        </w:rPr>
        <w:t xml:space="preserve">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 xml:space="preserve">The local government or authorities concerned, shall, if required by the </w:t>
      </w:r>
      <w:r>
        <w:t>Chief Health Officer</w:t>
      </w:r>
      <w:r>
        <w:rPr>
          <w:snapToGrid w:val="0"/>
        </w:rPr>
        <w:t>,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 No. 8 of 2009 s. 71(2); No. 19 of 2016 s. 100.]</w:t>
      </w:r>
    </w:p>
    <w:p>
      <w:pPr>
        <w:pStyle w:val="Heading5"/>
        <w:rPr>
          <w:snapToGrid w:val="0"/>
        </w:rPr>
      </w:pPr>
      <w:bookmarkStart w:id="121" w:name="_Toc512323649"/>
      <w:r>
        <w:rPr>
          <w:rStyle w:val="CharSectno"/>
        </w:rPr>
        <w:t>56</w:t>
      </w:r>
      <w:r>
        <w:rPr>
          <w:snapToGrid w:val="0"/>
        </w:rPr>
        <w:t>.</w:t>
      </w:r>
      <w:r>
        <w:rPr>
          <w:snapToGrid w:val="0"/>
        </w:rPr>
        <w:tab/>
        <w:t>Power to do acts preliminary to formulating scheme</w:t>
      </w:r>
      <w:bookmarkEnd w:id="121"/>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122" w:name="_Toc512323650"/>
      <w:r>
        <w:rPr>
          <w:rStyle w:val="CharSectno"/>
        </w:rPr>
        <w:t>57</w:t>
      </w:r>
      <w:r>
        <w:rPr>
          <w:snapToGrid w:val="0"/>
        </w:rPr>
        <w:t>.</w:t>
      </w:r>
      <w:r>
        <w:rPr>
          <w:snapToGrid w:val="0"/>
        </w:rPr>
        <w:tab/>
        <w:t>Notice of plans and specifications</w:t>
      </w:r>
      <w:bookmarkEnd w:id="122"/>
    </w:p>
    <w:p>
      <w:pPr>
        <w:pStyle w:val="Subsection"/>
        <w:rPr>
          <w:snapToGrid w:val="0"/>
        </w:rPr>
      </w:pPr>
      <w:r>
        <w:rPr>
          <w:snapToGrid w:val="0"/>
        </w:rPr>
        <w:tab/>
        <w:t>(1)</w:t>
      </w:r>
      <w:r>
        <w:rPr>
          <w:snapToGrid w:val="0"/>
        </w:rPr>
        <w:tab/>
        <w:t xml:space="preserve">A notice stating that the application and general plan and description have been forwarded to the </w:t>
      </w:r>
      <w:r>
        <w:t>Chief Health Officer</w:t>
      </w:r>
      <w:r>
        <w:rPr>
          <w:snapToGrid w:val="0"/>
        </w:rPr>
        <w:t>,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ind w:left="890" w:hanging="890"/>
      </w:pPr>
      <w:r>
        <w:tab/>
        <w:t>[Section 57 inserted by No. 38 of 1933 s. 14 and 42; amended by No. 28 of 1984 s. 45; No. 14 of 1996 s. 4; No. 19 of 2016 s. 100.]</w:t>
      </w:r>
    </w:p>
    <w:p>
      <w:pPr>
        <w:pStyle w:val="Heading5"/>
        <w:rPr>
          <w:snapToGrid w:val="0"/>
        </w:rPr>
      </w:pPr>
      <w:bookmarkStart w:id="123" w:name="_Toc512323651"/>
      <w:r>
        <w:rPr>
          <w:rStyle w:val="CharSectno"/>
        </w:rPr>
        <w:t>58</w:t>
      </w:r>
      <w:r>
        <w:rPr>
          <w:snapToGrid w:val="0"/>
        </w:rPr>
        <w:t>.</w:t>
      </w:r>
      <w:r>
        <w:rPr>
          <w:snapToGrid w:val="0"/>
        </w:rPr>
        <w:tab/>
        <w:t>Objections</w:t>
      </w:r>
      <w:bookmarkEnd w:id="123"/>
    </w:p>
    <w:p>
      <w:pPr>
        <w:pStyle w:val="Subsection"/>
        <w:spacing w:before="120"/>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keepNext/>
        <w:spacing w:before="120"/>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ind w:left="890" w:hanging="890"/>
      </w:pPr>
      <w:r>
        <w:tab/>
        <w:t>[Section 58 inserted by No. 38 of 1933 s. 15 and 42; amended by No. 14 of 1996 s. 4.]</w:t>
      </w:r>
    </w:p>
    <w:p>
      <w:pPr>
        <w:pStyle w:val="Heading5"/>
        <w:rPr>
          <w:snapToGrid w:val="0"/>
          <w:spacing w:val="-4"/>
        </w:rPr>
      </w:pPr>
      <w:bookmarkStart w:id="124" w:name="_Toc512323652"/>
      <w:r>
        <w:rPr>
          <w:rStyle w:val="CharSectno"/>
        </w:rPr>
        <w:t>59</w:t>
      </w:r>
      <w:r>
        <w:rPr>
          <w:snapToGrid w:val="0"/>
        </w:rPr>
        <w:t>.</w:t>
      </w:r>
      <w:r>
        <w:rPr>
          <w:snapToGrid w:val="0"/>
        </w:rPr>
        <w:tab/>
      </w:r>
      <w:r>
        <w:rPr>
          <w:snapToGrid w:val="0"/>
          <w:spacing w:val="-4"/>
        </w:rPr>
        <w:t>Copies of plans and specifications to be available for inspection</w:t>
      </w:r>
      <w:bookmarkEnd w:id="124"/>
    </w:p>
    <w:p>
      <w:pPr>
        <w:pStyle w:val="Subsection"/>
        <w:rPr>
          <w:snapToGrid w:val="0"/>
        </w:rPr>
      </w:pPr>
      <w:r>
        <w:rPr>
          <w:snapToGrid w:val="0"/>
        </w:rPr>
        <w:tab/>
      </w:r>
      <w:r>
        <w:rPr>
          <w:snapToGrid w:val="0"/>
        </w:rPr>
        <w:tab/>
        <w:t xml:space="preserve">A true copy of the application, and of the general plan and description forwarded to the </w:t>
      </w:r>
      <w:r>
        <w:t>Chief Health Officer</w:t>
      </w:r>
      <w:r>
        <w:rPr>
          <w:snapToGrid w:val="0"/>
        </w:rPr>
        <w:t xml:space="preserve">, shall be deposited for the inspection, without payment, of any person who desires to inspect the same, at the office of the local government and also at the office of the </w:t>
      </w:r>
      <w:r>
        <w:t>Chief Health Officer</w:t>
      </w:r>
      <w:r>
        <w:rPr>
          <w:snapToGrid w:val="0"/>
        </w:rPr>
        <w:t>.</w:t>
      </w:r>
    </w:p>
    <w:p>
      <w:pPr>
        <w:pStyle w:val="Footnotesection"/>
      </w:pPr>
      <w:r>
        <w:tab/>
        <w:t>[Section 59 inserted by No. 38 of 1933 s. 16 and 42; amended by No. 28 of 1984 s. 45; No. 14 of 1996 s. 4; No. 19 of 2016 s. 100.]</w:t>
      </w:r>
    </w:p>
    <w:p>
      <w:pPr>
        <w:pStyle w:val="Heading5"/>
        <w:spacing w:before="180"/>
        <w:rPr>
          <w:snapToGrid w:val="0"/>
        </w:rPr>
      </w:pPr>
      <w:bookmarkStart w:id="125" w:name="_Toc512323653"/>
      <w:r>
        <w:rPr>
          <w:rStyle w:val="CharSectno"/>
        </w:rPr>
        <w:t>60</w:t>
      </w:r>
      <w:r>
        <w:rPr>
          <w:snapToGrid w:val="0"/>
        </w:rPr>
        <w:t>.</w:t>
      </w:r>
      <w:r>
        <w:rPr>
          <w:snapToGrid w:val="0"/>
        </w:rPr>
        <w:tab/>
        <w:t>Conditions on which Minister may recommend scheme to Governor</w:t>
      </w:r>
      <w:bookmarkEnd w:id="125"/>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keepNext/>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126" w:name="_Toc512323654"/>
      <w:r>
        <w:rPr>
          <w:rStyle w:val="CharSectno"/>
        </w:rPr>
        <w:t>61</w:t>
      </w:r>
      <w:r>
        <w:rPr>
          <w:snapToGrid w:val="0"/>
        </w:rPr>
        <w:t>.</w:t>
      </w:r>
      <w:r>
        <w:rPr>
          <w:snapToGrid w:val="0"/>
        </w:rPr>
        <w:tab/>
        <w:t>Apportionment of costs and maintenance of joint schemes</w:t>
      </w:r>
      <w:bookmarkEnd w:id="126"/>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127" w:name="_Toc512323655"/>
      <w:r>
        <w:rPr>
          <w:rStyle w:val="CharSectno"/>
        </w:rPr>
        <w:t>62</w:t>
      </w:r>
      <w:r>
        <w:rPr>
          <w:snapToGrid w:val="0"/>
        </w:rPr>
        <w:t>.</w:t>
      </w:r>
      <w:r>
        <w:rPr>
          <w:snapToGrid w:val="0"/>
        </w:rPr>
        <w:tab/>
        <w:t>Powers of local government in carrying out works</w:t>
      </w:r>
      <w:bookmarkEnd w:id="127"/>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0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by No. 38 of 1933 s. 19 and 42; amended by No. 14 of 1996 s. 4; No. 31 of 1997 s. 32(1); No. 55 of 2004 s. 481.]</w:t>
      </w:r>
    </w:p>
    <w:p>
      <w:pPr>
        <w:pStyle w:val="MiscellaneousHeading"/>
        <w:keepNext w:val="0"/>
        <w:spacing w:before="120"/>
        <w:outlineLvl w:val="0"/>
        <w:rPr>
          <w:i/>
          <w:snapToGrid w:val="0"/>
        </w:rPr>
      </w:pPr>
      <w:r>
        <w:rPr>
          <w:i/>
          <w:snapToGrid w:val="0"/>
        </w:rPr>
        <w:t>Limited or party schemes</w:t>
      </w:r>
    </w:p>
    <w:p>
      <w:pPr>
        <w:pStyle w:val="Footnoteheading"/>
        <w:keepNext/>
        <w:keepLines/>
        <w:spacing w:before="140"/>
        <w:ind w:left="890" w:hanging="890"/>
        <w:rPr>
          <w:snapToGrid w:val="0"/>
        </w:rPr>
      </w:pPr>
      <w:r>
        <w:rPr>
          <w:snapToGrid w:val="0"/>
        </w:rPr>
        <w:tab/>
        <w:t>[Heading inserted by No. 38 of 1933 s. 19.]</w:t>
      </w:r>
    </w:p>
    <w:p>
      <w:pPr>
        <w:pStyle w:val="Heading5"/>
        <w:spacing w:before="120"/>
        <w:rPr>
          <w:snapToGrid w:val="0"/>
        </w:rPr>
      </w:pPr>
      <w:bookmarkStart w:id="128" w:name="_Toc512323656"/>
      <w:r>
        <w:rPr>
          <w:rStyle w:val="CharSectno"/>
        </w:rPr>
        <w:t>63</w:t>
      </w:r>
      <w:r>
        <w:rPr>
          <w:snapToGrid w:val="0"/>
        </w:rPr>
        <w:t>.</w:t>
      </w:r>
      <w:r>
        <w:rPr>
          <w:snapToGrid w:val="0"/>
        </w:rPr>
        <w:tab/>
        <w:t>Recovery of cost of limited schemes from owners of premises served</w:t>
      </w:r>
      <w:bookmarkEnd w:id="128"/>
    </w:p>
    <w:p>
      <w:pPr>
        <w:pStyle w:val="Subsection"/>
        <w:spacing w:before="100"/>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spacing w:before="10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spacing w:before="140"/>
        <w:ind w:left="890" w:hanging="890"/>
      </w:pPr>
      <w:r>
        <w:tab/>
        <w:t>[Section 63 inserted by No. 38 of 1933 s. 20 and 42; amended by No. 14 of 1996 s. 4; No. 55 of 2004 s. 482.]</w:t>
      </w:r>
    </w:p>
    <w:p>
      <w:pPr>
        <w:pStyle w:val="Heading5"/>
        <w:spacing w:before="240"/>
        <w:rPr>
          <w:snapToGrid w:val="0"/>
        </w:rPr>
      </w:pPr>
      <w:bookmarkStart w:id="129" w:name="_Toc512323657"/>
      <w:r>
        <w:rPr>
          <w:rStyle w:val="CharSectno"/>
        </w:rPr>
        <w:t>63A</w:t>
      </w:r>
      <w:r>
        <w:rPr>
          <w:snapToGrid w:val="0"/>
        </w:rPr>
        <w:t xml:space="preserve">. </w:t>
      </w:r>
      <w:r>
        <w:rPr>
          <w:snapToGrid w:val="0"/>
        </w:rPr>
        <w:tab/>
        <w:t>Interpretation</w:t>
      </w:r>
      <w:bookmarkEnd w:id="129"/>
    </w:p>
    <w:p>
      <w:pPr>
        <w:pStyle w:val="Subsection"/>
        <w:spacing w:before="180"/>
        <w:rPr>
          <w:snapToGrid w:val="0"/>
        </w:rPr>
      </w:pPr>
      <w:r>
        <w:rPr>
          <w:snapToGrid w:val="0"/>
        </w:rPr>
        <w:tab/>
      </w:r>
      <w:r>
        <w:rPr>
          <w:snapToGrid w:val="0"/>
        </w:rPr>
        <w:tab/>
        <w:t>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a</w:t>
      </w:r>
      <w:r>
        <w:t xml:space="preserve"> licensee as defined in the </w:t>
      </w:r>
      <w:r>
        <w:rPr>
          <w:i/>
          <w:iCs/>
        </w:rPr>
        <w:t xml:space="preserve">Water Services Act 2012 </w:t>
      </w:r>
      <w:r>
        <w:t xml:space="preserve">section 3(1) </w:t>
      </w:r>
      <w:r>
        <w:rPr>
          <w:snapToGrid w:val="0"/>
        </w:rPr>
        <w:t>and notwithstanding that the works or the sewer may not have been actually carried out or constructed by the local government.</w:t>
      </w:r>
    </w:p>
    <w:p>
      <w:pPr>
        <w:pStyle w:val="Footnotesection"/>
        <w:keepLines w:val="0"/>
        <w:spacing w:line="200" w:lineRule="atLeast"/>
        <w:ind w:left="890" w:hanging="890"/>
      </w:pPr>
      <w:r>
        <w:tab/>
        <w:t>[Section 63A inserted by No. 52 of 1968 s. 2; amended by No. 73 of 1995 s. 188; No. 14 of 1996 s. 4; No. 25 of 2012 s. 216.]</w:t>
      </w:r>
    </w:p>
    <w:p>
      <w:pPr>
        <w:pStyle w:val="Heading5"/>
        <w:spacing w:before="180"/>
        <w:rPr>
          <w:snapToGrid w:val="0"/>
        </w:rPr>
      </w:pPr>
      <w:bookmarkStart w:id="130" w:name="_Toc512323658"/>
      <w:r>
        <w:rPr>
          <w:rStyle w:val="CharSectno"/>
        </w:rPr>
        <w:t>64</w:t>
      </w:r>
      <w:r>
        <w:rPr>
          <w:snapToGrid w:val="0"/>
        </w:rPr>
        <w:t>.</w:t>
      </w:r>
      <w:r>
        <w:rPr>
          <w:snapToGrid w:val="0"/>
        </w:rPr>
        <w:tab/>
        <w:t>Agreements for recouping costs and paying maintenance in case of limited schemes</w:t>
      </w:r>
      <w:bookmarkEnd w:id="130"/>
    </w:p>
    <w:p>
      <w:pPr>
        <w:pStyle w:val="Subsection"/>
        <w:spacing w:before="100"/>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rPr>
        <w:t>Commercial Arbitration Act 2012</w:t>
      </w:r>
      <w: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rPr>
        <w:t>Commercial Arbitration Act 2012</w:t>
      </w:r>
      <w:r>
        <w:rPr>
          <w:snapToGrid w:val="0"/>
        </w:rPr>
        <w:t>, shall apply as if the parties had agreed to a reference of such question.</w:t>
      </w:r>
    </w:p>
    <w:p>
      <w:pPr>
        <w:pStyle w:val="Subsection"/>
        <w:keepLines/>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4</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spacing w:after="240"/>
        <w:ind w:left="890" w:hanging="890"/>
      </w:pPr>
      <w:r>
        <w:tab/>
        <w:t>[Section 64 inserted by No. 38 of 1933 s. 21 and 42; amended by No. 16 of 1935 s. 4; No. 109 of 1985 s. 3(1); No. 14 of 1996 s. 4; No. 23 of 2012 s. 45.]</w:t>
      </w:r>
    </w:p>
    <w:p>
      <w:pPr>
        <w:pStyle w:val="Heading5"/>
        <w:spacing w:before="180"/>
        <w:rPr>
          <w:snapToGrid w:val="0"/>
        </w:rPr>
      </w:pPr>
      <w:bookmarkStart w:id="131" w:name="_Toc512323659"/>
      <w:r>
        <w:rPr>
          <w:rStyle w:val="CharSectno"/>
        </w:rPr>
        <w:t>65</w:t>
      </w:r>
      <w:r>
        <w:rPr>
          <w:snapToGrid w:val="0"/>
        </w:rPr>
        <w:t>.</w:t>
      </w:r>
      <w:r>
        <w:rPr>
          <w:snapToGrid w:val="0"/>
        </w:rPr>
        <w:tab/>
        <w:t>Power to acquire land</w:t>
      </w:r>
      <w:bookmarkEnd w:id="131"/>
    </w:p>
    <w:p>
      <w:pPr>
        <w:pStyle w:val="Subsection"/>
        <w:spacing w:before="180"/>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spacing w:before="180"/>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spacing w:before="80"/>
        <w:ind w:left="890" w:hanging="890"/>
      </w:pPr>
      <w:r>
        <w:tab/>
        <w:t>[Section 65 inserted by No. 38 of 1933 s. 22 and 42; amended by No. 14 of 1996 s. 4; No. 31 of 1997 s. 142.]</w:t>
      </w:r>
    </w:p>
    <w:p>
      <w:pPr>
        <w:pStyle w:val="Heading5"/>
        <w:rPr>
          <w:snapToGrid w:val="0"/>
        </w:rPr>
      </w:pPr>
      <w:bookmarkStart w:id="132" w:name="_Toc512323660"/>
      <w:r>
        <w:rPr>
          <w:rStyle w:val="CharSectno"/>
        </w:rPr>
        <w:t>66</w:t>
      </w:r>
      <w:r>
        <w:rPr>
          <w:snapToGrid w:val="0"/>
        </w:rPr>
        <w:t>.</w:t>
      </w:r>
      <w:r>
        <w:rPr>
          <w:snapToGrid w:val="0"/>
        </w:rPr>
        <w:tab/>
        <w:t>Duty of local government where street broken up</w:t>
      </w:r>
      <w:bookmarkEnd w:id="132"/>
    </w:p>
    <w:p>
      <w:pPr>
        <w:pStyle w:val="Subsection"/>
        <w:spacing w:before="180"/>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ind w:left="890" w:hanging="890"/>
      </w:pPr>
      <w:r>
        <w:tab/>
        <w:t>[Section 66 inserted by No. 38 of 1933 s. 23 and 42; amended by No. 14 of 1996 s. 4.]</w:t>
      </w:r>
    </w:p>
    <w:p>
      <w:pPr>
        <w:pStyle w:val="Heading5"/>
        <w:rPr>
          <w:snapToGrid w:val="0"/>
        </w:rPr>
      </w:pPr>
      <w:bookmarkStart w:id="133" w:name="_Toc512323661"/>
      <w:r>
        <w:rPr>
          <w:rStyle w:val="CharSectno"/>
        </w:rPr>
        <w:t>67</w:t>
      </w:r>
      <w:r>
        <w:rPr>
          <w:snapToGrid w:val="0"/>
        </w:rPr>
        <w:t>.</w:t>
      </w:r>
      <w:r>
        <w:rPr>
          <w:snapToGrid w:val="0"/>
        </w:rPr>
        <w:tab/>
        <w:t>Interfering with works of other authorities</w:t>
      </w:r>
      <w:bookmarkEnd w:id="133"/>
    </w:p>
    <w:p>
      <w:pPr>
        <w:pStyle w:val="Subsection"/>
        <w:spacing w:before="180"/>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ind w:left="890" w:hanging="890"/>
      </w:pPr>
      <w:r>
        <w:tab/>
        <w:t>[Section 67 inserted by No. 38 of 1933 s. 24 and 42; amended by No. 14 of 1996 s. 4.]</w:t>
      </w:r>
    </w:p>
    <w:p>
      <w:pPr>
        <w:pStyle w:val="Heading5"/>
        <w:rPr>
          <w:snapToGrid w:val="0"/>
        </w:rPr>
      </w:pPr>
      <w:bookmarkStart w:id="134" w:name="_Toc512323662"/>
      <w:r>
        <w:rPr>
          <w:rStyle w:val="CharSectno"/>
        </w:rPr>
        <w:t>68</w:t>
      </w:r>
      <w:r>
        <w:rPr>
          <w:snapToGrid w:val="0"/>
        </w:rPr>
        <w:t>.</w:t>
      </w:r>
      <w:r>
        <w:rPr>
          <w:snapToGrid w:val="0"/>
        </w:rPr>
        <w:tab/>
        <w:t>Alteration of sewerage works</w:t>
      </w:r>
      <w:bookmarkEnd w:id="134"/>
    </w:p>
    <w:p>
      <w:pPr>
        <w:pStyle w:val="Subsection"/>
        <w:spacing w:before="180"/>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rPr>
          <w:snapToGrid w:val="0"/>
        </w:rPr>
      </w:pPr>
      <w:bookmarkStart w:id="135" w:name="_Toc512323663"/>
      <w:r>
        <w:rPr>
          <w:rStyle w:val="CharSectno"/>
        </w:rPr>
        <w:t>69</w:t>
      </w:r>
      <w:r>
        <w:rPr>
          <w:snapToGrid w:val="0"/>
        </w:rPr>
        <w:t>.</w:t>
      </w:r>
      <w:r>
        <w:rPr>
          <w:snapToGrid w:val="0"/>
        </w:rPr>
        <w:tab/>
        <w:t>Ventilating shafts etc. may be attached to walls and buildings</w:t>
      </w:r>
      <w:bookmarkEnd w:id="135"/>
    </w:p>
    <w:p>
      <w:pPr>
        <w:pStyle w:val="Subsection"/>
        <w:spacing w:before="180"/>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 higher than any window or door situated at a distance of 9 m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spacing w:before="180"/>
        <w:rPr>
          <w:snapToGrid w:val="0"/>
        </w:rPr>
      </w:pPr>
      <w:bookmarkStart w:id="136" w:name="_Toc512323664"/>
      <w:r>
        <w:rPr>
          <w:rStyle w:val="CharSectno"/>
        </w:rPr>
        <w:t>70</w:t>
      </w:r>
      <w:r>
        <w:rPr>
          <w:snapToGrid w:val="0"/>
        </w:rPr>
        <w:t>.</w:t>
      </w:r>
      <w:r>
        <w:rPr>
          <w:snapToGrid w:val="0"/>
        </w:rPr>
        <w:tab/>
        <w:t>Maps of systems to be kept</w:t>
      </w:r>
      <w:bookmarkEnd w:id="136"/>
    </w:p>
    <w:p>
      <w:pPr>
        <w:pStyle w:val="Subsection"/>
        <w:spacing w:before="120"/>
        <w:rPr>
          <w:snapToGrid w:val="0"/>
        </w:rPr>
      </w:pPr>
      <w:r>
        <w:rPr>
          <w:snapToGrid w:val="0"/>
        </w:rPr>
        <w:tab/>
      </w:r>
      <w:r>
        <w:rPr>
          <w:snapToGrid w:val="0"/>
        </w:rPr>
        <w:tab/>
        <w:t xml:space="preserve">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w:t>
      </w:r>
      <w:r>
        <w:t>Chief Health Officer</w:t>
      </w:r>
      <w:r>
        <w:rPr>
          <w:snapToGrid w:val="0"/>
        </w:rPr>
        <w:t>, and another copy shall be kept in the office of the local government, and shall be open at all reasonable times to the inspection of the owner or occupier of any land within the district of the local government.</w:t>
      </w:r>
    </w:p>
    <w:p>
      <w:pPr>
        <w:pStyle w:val="Footnotesection"/>
        <w:ind w:left="890" w:hanging="890"/>
      </w:pPr>
      <w:r>
        <w:tab/>
        <w:t>[Section 70 inserted by No. 38 of 1933 s. 27 and 42; amended by No. 28 of 1984 s. 45; No. 14 of 1996 s. 4; No. 19 of 2016 s. 100.]</w:t>
      </w:r>
    </w:p>
    <w:p>
      <w:pPr>
        <w:pStyle w:val="Heading5"/>
        <w:rPr>
          <w:snapToGrid w:val="0"/>
        </w:rPr>
      </w:pPr>
      <w:bookmarkStart w:id="137" w:name="_Toc512323665"/>
      <w:r>
        <w:rPr>
          <w:rStyle w:val="CharSectno"/>
        </w:rPr>
        <w:t>71</w:t>
      </w:r>
      <w:r>
        <w:rPr>
          <w:snapToGrid w:val="0"/>
        </w:rPr>
        <w:t>.</w:t>
      </w:r>
      <w:r>
        <w:rPr>
          <w:snapToGrid w:val="0"/>
        </w:rPr>
        <w:tab/>
        <w:t>Sewers to be kept cleansed</w:t>
      </w:r>
      <w:bookmarkEnd w:id="137"/>
    </w:p>
    <w:p>
      <w:pPr>
        <w:pStyle w:val="Subsection"/>
        <w:spacing w:before="100"/>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ind w:left="890" w:hanging="890"/>
      </w:pPr>
      <w:r>
        <w:tab/>
        <w:t>[Section 71 inserted by No. 38 of 1933 s. 28 and 42; amended by No. 14 of 1996 s. 4.]</w:t>
      </w:r>
    </w:p>
    <w:p>
      <w:pPr>
        <w:pStyle w:val="Heading3"/>
        <w:spacing w:before="280"/>
        <w:rPr>
          <w:snapToGrid w:val="0"/>
        </w:rPr>
      </w:pPr>
      <w:bookmarkStart w:id="138" w:name="_Toc498001050"/>
      <w:bookmarkStart w:id="139" w:name="_Toc498001380"/>
      <w:bookmarkStart w:id="140" w:name="_Toc498003032"/>
      <w:bookmarkStart w:id="141" w:name="_Toc498004043"/>
      <w:bookmarkStart w:id="142" w:name="_Toc499029446"/>
      <w:bookmarkStart w:id="143" w:name="_Toc501098514"/>
      <w:bookmarkStart w:id="144" w:name="_Toc501101437"/>
      <w:bookmarkStart w:id="145" w:name="_Toc501115959"/>
      <w:bookmarkStart w:id="146" w:name="_Toc501117220"/>
      <w:bookmarkStart w:id="147" w:name="_Toc501698627"/>
      <w:bookmarkStart w:id="148" w:name="_Toc512323666"/>
      <w:r>
        <w:rPr>
          <w:rStyle w:val="CharDivNo"/>
        </w:rPr>
        <w:t>Division 2</w:t>
      </w:r>
      <w:r>
        <w:rPr>
          <w:snapToGrid w:val="0"/>
        </w:rPr>
        <w:t> — </w:t>
      </w:r>
      <w:r>
        <w:rPr>
          <w:rStyle w:val="CharDivText"/>
        </w:rPr>
        <w:t>Connection of premises to drains and sewers of local government</w:t>
      </w:r>
      <w:bookmarkEnd w:id="138"/>
      <w:bookmarkEnd w:id="139"/>
      <w:bookmarkEnd w:id="140"/>
      <w:bookmarkEnd w:id="141"/>
      <w:bookmarkEnd w:id="142"/>
      <w:bookmarkEnd w:id="143"/>
      <w:bookmarkEnd w:id="144"/>
      <w:bookmarkEnd w:id="145"/>
      <w:bookmarkEnd w:id="146"/>
      <w:bookmarkEnd w:id="147"/>
      <w:bookmarkEnd w:id="148"/>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149" w:name="_Toc512323667"/>
      <w:r>
        <w:rPr>
          <w:rStyle w:val="CharSectno"/>
        </w:rPr>
        <w:t>72</w:t>
      </w:r>
      <w:r>
        <w:rPr>
          <w:snapToGrid w:val="0"/>
        </w:rPr>
        <w:t>.</w:t>
      </w:r>
      <w:r>
        <w:rPr>
          <w:snapToGrid w:val="0"/>
        </w:rPr>
        <w:tab/>
        <w:t>Owners or occupiers may be compelled to connect premises when works complete</w:t>
      </w:r>
      <w:bookmarkEnd w:id="149"/>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150" w:name="_Toc512323668"/>
      <w:r>
        <w:rPr>
          <w:rStyle w:val="CharSectno"/>
        </w:rPr>
        <w:t>73</w:t>
      </w:r>
      <w:r>
        <w:rPr>
          <w:snapToGrid w:val="0"/>
        </w:rPr>
        <w:t>.</w:t>
      </w:r>
      <w:r>
        <w:rPr>
          <w:snapToGrid w:val="0"/>
        </w:rPr>
        <w:tab/>
        <w:t>Notice to owner or occupier to carry out installation of fittings</w:t>
      </w:r>
      <w:bookmarkEnd w:id="150"/>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spacing w:before="180"/>
        <w:rPr>
          <w:snapToGrid w:val="0"/>
        </w:rPr>
      </w:pPr>
      <w:bookmarkStart w:id="151" w:name="_Toc512323669"/>
      <w:r>
        <w:rPr>
          <w:rStyle w:val="CharSectno"/>
        </w:rPr>
        <w:t>74</w:t>
      </w:r>
      <w:r>
        <w:rPr>
          <w:snapToGrid w:val="0"/>
        </w:rPr>
        <w:t>.</w:t>
      </w:r>
      <w:r>
        <w:rPr>
          <w:snapToGrid w:val="0"/>
        </w:rPr>
        <w:tab/>
        <w:t>Where local government makes installations it may enter into agreements with persons responsible for payment of cost</w:t>
      </w:r>
      <w:bookmarkEnd w:id="151"/>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spacing w:before="180"/>
        <w:rPr>
          <w:snapToGrid w:val="0"/>
        </w:rPr>
      </w:pPr>
      <w:bookmarkStart w:id="152" w:name="_Toc512323670"/>
      <w:r>
        <w:rPr>
          <w:rStyle w:val="CharSectno"/>
        </w:rPr>
        <w:t>75</w:t>
      </w:r>
      <w:r>
        <w:rPr>
          <w:snapToGrid w:val="0"/>
        </w:rPr>
        <w:t>.</w:t>
      </w:r>
      <w:r>
        <w:rPr>
          <w:snapToGrid w:val="0"/>
        </w:rPr>
        <w:tab/>
        <w:t>Right of owner or occupier to connect drains with sewer</w:t>
      </w:r>
      <w:bookmarkEnd w:id="152"/>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spacing w:before="180"/>
        <w:rPr>
          <w:snapToGrid w:val="0"/>
        </w:rPr>
      </w:pPr>
      <w:bookmarkStart w:id="153" w:name="_Toc512323671"/>
      <w:r>
        <w:rPr>
          <w:rStyle w:val="CharSectno"/>
        </w:rPr>
        <w:t>76</w:t>
      </w:r>
      <w:r>
        <w:rPr>
          <w:snapToGrid w:val="0"/>
        </w:rPr>
        <w:t>.</w:t>
      </w:r>
      <w:r>
        <w:rPr>
          <w:snapToGrid w:val="0"/>
        </w:rPr>
        <w:tab/>
        <w:t>Owner or occupier of land outside district may connect sewer on conditions imposed by local government</w:t>
      </w:r>
      <w:bookmarkEnd w:id="153"/>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spacing w:before="80"/>
        <w:ind w:left="890" w:hanging="890"/>
      </w:pPr>
      <w:r>
        <w:tab/>
        <w:t>[Section 76 inserted by No. 38 of 1933 s. 33 and 42; amended by No. 14 of 1996 s. 4.]</w:t>
      </w:r>
    </w:p>
    <w:p>
      <w:pPr>
        <w:pStyle w:val="Heading5"/>
        <w:spacing w:before="180"/>
        <w:rPr>
          <w:snapToGrid w:val="0"/>
        </w:rPr>
      </w:pPr>
      <w:bookmarkStart w:id="154" w:name="_Toc512323672"/>
      <w:r>
        <w:rPr>
          <w:rStyle w:val="CharSectno"/>
        </w:rPr>
        <w:t>77</w:t>
      </w:r>
      <w:r>
        <w:rPr>
          <w:snapToGrid w:val="0"/>
        </w:rPr>
        <w:t>.</w:t>
      </w:r>
      <w:r>
        <w:rPr>
          <w:snapToGrid w:val="0"/>
        </w:rPr>
        <w:tab/>
        <w:t>Restrictions on construction or alteration of certain drains and fittings</w:t>
      </w:r>
      <w:bookmarkEnd w:id="154"/>
    </w:p>
    <w:p>
      <w:pPr>
        <w:pStyle w:val="Subsection"/>
        <w:rPr>
          <w:snapToGrid w:val="0"/>
        </w:rPr>
      </w:pPr>
      <w:r>
        <w:rPr>
          <w:snapToGrid w:val="0"/>
        </w:rPr>
        <w:tab/>
      </w:r>
      <w:r>
        <w:rPr>
          <w:snapToGrid w:val="0"/>
        </w:rPr>
        <w:tab/>
        <w:t>A person who constructs or alters any drain or fitting connected with a sewer —</w:t>
      </w:r>
    </w:p>
    <w:p>
      <w:pPr>
        <w:pStyle w:val="Indenta"/>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rPr>
          <w:snapToGrid w:val="0"/>
        </w:rPr>
      </w:pPr>
      <w:r>
        <w:rPr>
          <w:snapToGrid w:val="0"/>
        </w:rPr>
        <w:tab/>
        <w:t>(b)</w:t>
      </w:r>
      <w:r>
        <w:rPr>
          <w:snapToGrid w:val="0"/>
        </w:rPr>
        <w:tab/>
        <w:t>otherwise than in accordance with —</w:t>
      </w:r>
    </w:p>
    <w:p>
      <w:pPr>
        <w:pStyle w:val="Indenti"/>
        <w:rPr>
          <w:snapToGrid w:val="0"/>
        </w:rPr>
      </w:pPr>
      <w:r>
        <w:rPr>
          <w:snapToGrid w:val="0"/>
        </w:rPr>
        <w:tab/>
        <w:t>(i)</w:t>
      </w:r>
      <w:r>
        <w:rPr>
          <w:snapToGrid w:val="0"/>
        </w:rPr>
        <w:tab/>
        <w:t>the conditions laid down in the local laws of the local government; and</w:t>
      </w:r>
    </w:p>
    <w:p>
      <w:pPr>
        <w:pStyle w:val="Indenti"/>
        <w:rPr>
          <w:snapToGrid w:val="0"/>
        </w:rPr>
      </w:pPr>
      <w:r>
        <w:rPr>
          <w:snapToGrid w:val="0"/>
        </w:rPr>
        <w:tab/>
        <w:t>(ii)</w:t>
      </w:r>
      <w:r>
        <w:rPr>
          <w:snapToGrid w:val="0"/>
        </w:rPr>
        <w:tab/>
        <w:t>such plans and in such manner as the local government directs,</w:t>
      </w:r>
    </w:p>
    <w:p>
      <w:pPr>
        <w:pStyle w:val="Subsection"/>
        <w:rPr>
          <w:snapToGrid w:val="0"/>
        </w:rPr>
      </w:pPr>
      <w:r>
        <w:rPr>
          <w:snapToGrid w:val="0"/>
        </w:rPr>
        <w:tab/>
      </w:r>
      <w:r>
        <w:rPr>
          <w:snapToGrid w:val="0"/>
        </w:rPr>
        <w:tab/>
        <w:t>commits an offence.</w:t>
      </w:r>
    </w:p>
    <w:p>
      <w:pPr>
        <w:pStyle w:val="Footnotesection"/>
        <w:keepLines w:val="0"/>
        <w:ind w:left="890" w:hanging="890"/>
      </w:pPr>
      <w:r>
        <w:tab/>
        <w:t>[Section 77 inserted by No. 80 of 1987 s. 5; amended by No. 14 of 1996 s. 4.]</w:t>
      </w:r>
    </w:p>
    <w:p>
      <w:pPr>
        <w:pStyle w:val="Heading5"/>
        <w:spacing w:before="180"/>
        <w:rPr>
          <w:snapToGrid w:val="0"/>
        </w:rPr>
      </w:pPr>
      <w:bookmarkStart w:id="155" w:name="_Toc512323673"/>
      <w:r>
        <w:rPr>
          <w:rStyle w:val="CharSectno"/>
        </w:rPr>
        <w:t>78</w:t>
      </w:r>
      <w:r>
        <w:rPr>
          <w:snapToGrid w:val="0"/>
        </w:rPr>
        <w:t>.</w:t>
      </w:r>
      <w:r>
        <w:rPr>
          <w:snapToGrid w:val="0"/>
        </w:rPr>
        <w:tab/>
        <w:t>Owner or occupier responsible for cleaning private drains</w:t>
      </w:r>
      <w:bookmarkEnd w:id="155"/>
    </w:p>
    <w:p>
      <w:pPr>
        <w:pStyle w:val="Subsection"/>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keepNext/>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ind w:left="890" w:hanging="890"/>
      </w:pPr>
      <w:r>
        <w:tab/>
        <w:t>[Section 78 inserted by No. 38 of 1933 s. 35 and 42; amended by No. 113 of 1965 s. 8(1); No. 80 of 1987 s. 6; No. 14 of 1996 s. 4.]</w:t>
      </w:r>
    </w:p>
    <w:p>
      <w:pPr>
        <w:pStyle w:val="Heading5"/>
        <w:rPr>
          <w:snapToGrid w:val="0"/>
        </w:rPr>
      </w:pPr>
      <w:bookmarkStart w:id="156" w:name="_Toc512323674"/>
      <w:r>
        <w:rPr>
          <w:rStyle w:val="CharSectno"/>
        </w:rPr>
        <w:t>79</w:t>
      </w:r>
      <w:r>
        <w:rPr>
          <w:snapToGrid w:val="0"/>
        </w:rPr>
        <w:t>.</w:t>
      </w:r>
      <w:r>
        <w:rPr>
          <w:snapToGrid w:val="0"/>
        </w:rPr>
        <w:tab/>
        <w:t>Obstructing or encroaching on sewers</w:t>
      </w:r>
      <w:bookmarkEnd w:id="156"/>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157" w:name="_Toc512323675"/>
      <w:r>
        <w:rPr>
          <w:rStyle w:val="CharSectno"/>
        </w:rPr>
        <w:t>80</w:t>
      </w:r>
      <w:r>
        <w:rPr>
          <w:snapToGrid w:val="0"/>
        </w:rPr>
        <w:t>.</w:t>
      </w:r>
      <w:r>
        <w:rPr>
          <w:snapToGrid w:val="0"/>
        </w:rPr>
        <w:tab/>
        <w:t>Local government may enforce drainage of undrained houses</w:t>
      </w:r>
      <w:bookmarkEnd w:id="157"/>
    </w:p>
    <w:p>
      <w:pPr>
        <w:pStyle w:val="Subsection"/>
        <w:spacing w:before="120"/>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158" w:name="_Toc512323676"/>
      <w:r>
        <w:rPr>
          <w:rStyle w:val="CharSectno"/>
        </w:rPr>
        <w:t>81</w:t>
      </w:r>
      <w:r>
        <w:rPr>
          <w:snapToGrid w:val="0"/>
        </w:rPr>
        <w:t>.</w:t>
      </w:r>
      <w:r>
        <w:rPr>
          <w:snapToGrid w:val="0"/>
        </w:rPr>
        <w:tab/>
        <w:t>Owner may be required to connect premises with public sewer</w:t>
      </w:r>
      <w:bookmarkEnd w:id="158"/>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pageBreakBefore/>
        <w:spacing w:before="0"/>
        <w:rPr>
          <w:snapToGrid w:val="0"/>
        </w:rPr>
      </w:pPr>
      <w:bookmarkStart w:id="159" w:name="_Toc512323677"/>
      <w:r>
        <w:rPr>
          <w:rStyle w:val="CharSectno"/>
        </w:rPr>
        <w:t>82</w:t>
      </w:r>
      <w:r>
        <w:rPr>
          <w:snapToGrid w:val="0"/>
        </w:rPr>
        <w:t>.</w:t>
      </w:r>
      <w:r>
        <w:rPr>
          <w:snapToGrid w:val="0"/>
        </w:rPr>
        <w:tab/>
        <w:t>Buildings without drains</w:t>
      </w:r>
      <w:bookmarkEnd w:id="159"/>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 or</w:t>
      </w:r>
    </w:p>
    <w:p>
      <w:pPr>
        <w:pStyle w:val="Indenta"/>
        <w:keepNext/>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ind w:left="890" w:hanging="890"/>
      </w:pPr>
      <w:r>
        <w:tab/>
        <w:t>[Section 82 inserted by No. 38 of 1933 s. 39 and 42; amended by No. 113 of 1965 s. 8(1); No. 94 of 1972 s. 4(1) (as amended by No. 83 of 1973 s. 4); No. 80 of 1987 s. 8; No. 14 of 1996 s. 4.]</w:t>
      </w:r>
    </w:p>
    <w:p>
      <w:pPr>
        <w:pStyle w:val="Heading5"/>
        <w:rPr>
          <w:snapToGrid w:val="0"/>
        </w:rPr>
      </w:pPr>
      <w:bookmarkStart w:id="160" w:name="_Toc512323678"/>
      <w:r>
        <w:rPr>
          <w:rStyle w:val="CharSectno"/>
        </w:rPr>
        <w:t>82A</w:t>
      </w:r>
      <w:r>
        <w:rPr>
          <w:snapToGrid w:val="0"/>
        </w:rPr>
        <w:t>.</w:t>
      </w:r>
      <w:r>
        <w:rPr>
          <w:snapToGrid w:val="0"/>
        </w:rPr>
        <w:tab/>
        <w:t>Where local government makes connections with sewers it may enter into agreement with person responsible for payment of cost</w:t>
      </w:r>
      <w:bookmarkEnd w:id="160"/>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keepLines/>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rPr>
          <w:snapToGrid w:val="0"/>
        </w:rPr>
      </w:pPr>
      <w:bookmarkStart w:id="161" w:name="_Toc512323679"/>
      <w:r>
        <w:rPr>
          <w:rStyle w:val="CharSectno"/>
        </w:rPr>
        <w:t>83</w:t>
      </w:r>
      <w:r>
        <w:rPr>
          <w:snapToGrid w:val="0"/>
        </w:rPr>
        <w:t>.</w:t>
      </w:r>
      <w:r>
        <w:rPr>
          <w:snapToGrid w:val="0"/>
        </w:rPr>
        <w:tab/>
        <w:t>Making sewers and drains under private land</w:t>
      </w:r>
      <w:bookmarkEnd w:id="161"/>
    </w:p>
    <w:p>
      <w:pPr>
        <w:pStyle w:val="Subsection"/>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rPr>
        <w:t>Land Administration Act 1997</w:t>
      </w:r>
      <w:r>
        <w:rPr>
          <w:snapToGrid w:val="0"/>
        </w:rPr>
        <w:t xml:space="preserve"> shall, with the necessary modifications, apply. There shall be payable to such owner in addition to any sum claimable under the last</w:t>
      </w:r>
      <w:r>
        <w:rPr>
          <w:snapToGrid w:val="0"/>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 and</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pageBreakBefore/>
        <w:spacing w:before="0"/>
        <w:rPr>
          <w:snapToGrid w:val="0"/>
        </w:rPr>
      </w:pPr>
      <w:bookmarkStart w:id="162" w:name="_Toc512323680"/>
      <w:r>
        <w:rPr>
          <w:rStyle w:val="CharSectno"/>
        </w:rPr>
        <w:t>84</w:t>
      </w:r>
      <w:r>
        <w:rPr>
          <w:snapToGrid w:val="0"/>
        </w:rPr>
        <w:t>.</w:t>
      </w:r>
      <w:r>
        <w:rPr>
          <w:snapToGrid w:val="0"/>
        </w:rPr>
        <w:tab/>
        <w:t>Recovery of expenses incurred by local government</w:t>
      </w:r>
      <w:bookmarkEnd w:id="162"/>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 and</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keepLines/>
        <w:rPr>
          <w:snapToGrid w:val="0"/>
        </w:rPr>
      </w:pPr>
      <w:r>
        <w:rPr>
          <w:snapToGrid w:val="0"/>
        </w:rPr>
        <w:tab/>
        <w:t>(c)</w:t>
      </w:r>
      <w:r>
        <w:rPr>
          <w:snapToGrid w:val="0"/>
        </w:rPr>
        <w:tab/>
        <w:t>as between several owners, in such proportions as the local government may fix,</w:t>
      </w:r>
    </w:p>
    <w:p>
      <w:pPr>
        <w:pStyle w:val="Subsection"/>
        <w:keepNext/>
        <w:keepLines/>
        <w:rPr>
          <w:snapToGrid w:val="0"/>
        </w:rPr>
      </w:pPr>
      <w:r>
        <w:rPr>
          <w:snapToGrid w:val="0"/>
        </w:rPr>
        <w:tab/>
      </w:r>
      <w:r>
        <w:rPr>
          <w:snapToGrid w:val="0"/>
        </w:rPr>
        <w:tab/>
        <w:t>and shall be recoverable in a court of competent jurisdiction.</w:t>
      </w:r>
    </w:p>
    <w:p>
      <w:pPr>
        <w:pStyle w:val="Footnotesection"/>
        <w:ind w:left="890" w:hanging="890"/>
      </w:pPr>
      <w:r>
        <w:tab/>
        <w:t>[Section 84, formerly section 64, renumbered as section 84 by No. 38 of 1933 s. 42; amended by No. 14 of 1996 s. 4; No. 59 of 2004 s. 141.]</w:t>
      </w:r>
    </w:p>
    <w:p>
      <w:pPr>
        <w:pStyle w:val="Heading5"/>
        <w:rPr>
          <w:snapToGrid w:val="0"/>
        </w:rPr>
      </w:pPr>
      <w:bookmarkStart w:id="163" w:name="_Toc512323681"/>
      <w:r>
        <w:rPr>
          <w:rStyle w:val="CharSectno"/>
        </w:rPr>
        <w:t>85</w:t>
      </w:r>
      <w:r>
        <w:rPr>
          <w:snapToGrid w:val="0"/>
        </w:rPr>
        <w:t>.</w:t>
      </w:r>
      <w:r>
        <w:rPr>
          <w:snapToGrid w:val="0"/>
        </w:rPr>
        <w:tab/>
        <w:t>Dwelling</w:t>
      </w:r>
      <w:r>
        <w:rPr>
          <w:snapToGrid w:val="0"/>
        </w:rPr>
        <w:noBreakHyphen/>
        <w:t>houses on low lying land</w:t>
      </w:r>
      <w:bookmarkEnd w:id="163"/>
    </w:p>
    <w:p>
      <w:pPr>
        <w:pStyle w:val="Subsection"/>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ind w:left="890" w:hanging="890"/>
      </w:pPr>
      <w:r>
        <w:tab/>
        <w:t>[Section 85, formerly section 65, renumbered as section 85 by No. 38 of 1933 s. 42; amended by No. 14 of 1996 s. 4.]</w:t>
      </w:r>
    </w:p>
    <w:p>
      <w:pPr>
        <w:pStyle w:val="Heading5"/>
        <w:keepLines w:val="0"/>
        <w:rPr>
          <w:snapToGrid w:val="0"/>
        </w:rPr>
      </w:pPr>
      <w:bookmarkStart w:id="164" w:name="_Toc512323682"/>
      <w:r>
        <w:rPr>
          <w:rStyle w:val="CharSectno"/>
        </w:rPr>
        <w:t>86</w:t>
      </w:r>
      <w:r>
        <w:rPr>
          <w:snapToGrid w:val="0"/>
        </w:rPr>
        <w:t>.</w:t>
      </w:r>
      <w:r>
        <w:rPr>
          <w:snapToGrid w:val="0"/>
        </w:rPr>
        <w:tab/>
        <w:t>Filling up low lying land</w:t>
      </w:r>
      <w:bookmarkEnd w:id="164"/>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spacing w:before="100"/>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spacing w:before="100"/>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formerly section 66, renumbered as section 86 by No. 38 of 1933 s. 42; amended by No. 113 of 1965 s. 8(1); No. 80 of 1987 s. 9; No. 14 of 1996 s. 4.]</w:t>
      </w:r>
    </w:p>
    <w:p>
      <w:pPr>
        <w:pStyle w:val="Heading5"/>
        <w:spacing w:before="120"/>
        <w:rPr>
          <w:snapToGrid w:val="0"/>
        </w:rPr>
      </w:pPr>
      <w:bookmarkStart w:id="165" w:name="_Toc512323683"/>
      <w:r>
        <w:rPr>
          <w:rStyle w:val="CharSectno"/>
        </w:rPr>
        <w:t>87</w:t>
      </w:r>
      <w:r>
        <w:rPr>
          <w:snapToGrid w:val="0"/>
        </w:rPr>
        <w:t>.</w:t>
      </w:r>
      <w:r>
        <w:rPr>
          <w:snapToGrid w:val="0"/>
        </w:rPr>
        <w:tab/>
        <w:t>Stagnant water holes</w:t>
      </w:r>
      <w:bookmarkEnd w:id="165"/>
    </w:p>
    <w:p>
      <w:pPr>
        <w:pStyle w:val="Subsection"/>
        <w:spacing w:before="100"/>
        <w:rPr>
          <w:snapToGrid w:val="0"/>
        </w:rPr>
      </w:pPr>
      <w:r>
        <w:rPr>
          <w:snapToGrid w:val="0"/>
        </w:rPr>
        <w:tab/>
      </w:r>
      <w:r>
        <w:rPr>
          <w:snapToGrid w:val="0"/>
        </w:rPr>
        <w:tab/>
        <w:t xml:space="preserve">The local government may, and, if required by the </w:t>
      </w:r>
      <w:r>
        <w:t>Chief Health Officer</w:t>
      </w:r>
      <w:r>
        <w:rPr>
          <w:snapToGrid w:val="0"/>
        </w:rPr>
        <w:t>,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formerly section 67, renumbered as section 87 by No. 38 of 1933 s. 42; amended by No. 28 of 1984 s. 45; No. 14 of 1996 s. 4; No. 19 of 2016 s. 100.]</w:t>
      </w:r>
    </w:p>
    <w:p>
      <w:pPr>
        <w:pStyle w:val="Heading5"/>
        <w:rPr>
          <w:snapToGrid w:val="0"/>
        </w:rPr>
      </w:pPr>
      <w:bookmarkStart w:id="166" w:name="_Toc512323684"/>
      <w:r>
        <w:rPr>
          <w:rStyle w:val="CharSectno"/>
        </w:rPr>
        <w:t>88</w:t>
      </w:r>
      <w:r>
        <w:rPr>
          <w:snapToGrid w:val="0"/>
        </w:rPr>
        <w:t>.</w:t>
      </w:r>
      <w:r>
        <w:rPr>
          <w:snapToGrid w:val="0"/>
        </w:rPr>
        <w:tab/>
        <w:t>Stagnant water in cellars etc.</w:t>
      </w:r>
      <w:bookmarkEnd w:id="166"/>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ind w:left="890" w:hanging="890"/>
      </w:pPr>
      <w:r>
        <w:tab/>
        <w:t>[Section 88, formerly section 68, renumbered as section 88 by No. 38 of 1933 s. 42; amended by No. 14 of 1996 s. 4.]</w:t>
      </w:r>
    </w:p>
    <w:p>
      <w:pPr>
        <w:pStyle w:val="Heading5"/>
        <w:spacing w:before="180"/>
        <w:rPr>
          <w:snapToGrid w:val="0"/>
        </w:rPr>
      </w:pPr>
      <w:bookmarkStart w:id="167" w:name="_Toc512323685"/>
      <w:r>
        <w:rPr>
          <w:rStyle w:val="CharSectno"/>
        </w:rPr>
        <w:t>89</w:t>
      </w:r>
      <w:r>
        <w:rPr>
          <w:snapToGrid w:val="0"/>
        </w:rPr>
        <w:t>.</w:t>
      </w:r>
      <w:r>
        <w:rPr>
          <w:snapToGrid w:val="0"/>
        </w:rPr>
        <w:tab/>
        <w:t>Paving and asphalting of cellars</w:t>
      </w:r>
      <w:bookmarkEnd w:id="167"/>
    </w:p>
    <w:p>
      <w:pPr>
        <w:pStyle w:val="Subsection"/>
        <w:spacing w:before="200"/>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spacing w:before="200"/>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keepLines w:val="0"/>
        <w:spacing w:before="200"/>
        <w:ind w:left="890" w:hanging="890"/>
      </w:pPr>
      <w:r>
        <w:tab/>
        <w:t>[Section 89, formerly section 69, renumbered as section 89 by No. 38 of 1933 s. 42; amended by No. 14 of 1996 s. 4; No. 59 of 2004 s. 141.]</w:t>
      </w:r>
    </w:p>
    <w:p>
      <w:pPr>
        <w:pStyle w:val="Heading5"/>
        <w:spacing w:before="240"/>
        <w:rPr>
          <w:snapToGrid w:val="0"/>
        </w:rPr>
      </w:pPr>
      <w:bookmarkStart w:id="168" w:name="_Toc512323686"/>
      <w:r>
        <w:rPr>
          <w:rStyle w:val="CharSectno"/>
        </w:rPr>
        <w:t>90</w:t>
      </w:r>
      <w:r>
        <w:rPr>
          <w:snapToGrid w:val="0"/>
        </w:rPr>
        <w:t>.</w:t>
      </w:r>
      <w:r>
        <w:rPr>
          <w:snapToGrid w:val="0"/>
        </w:rPr>
        <w:tab/>
        <w:t>Brickmaking and other excavations to be fenced</w:t>
      </w:r>
      <w:bookmarkEnd w:id="168"/>
    </w:p>
    <w:p>
      <w:pPr>
        <w:pStyle w:val="Subsection"/>
        <w:spacing w:before="200"/>
        <w:rPr>
          <w:snapToGrid w:val="0"/>
        </w:rPr>
      </w:pPr>
      <w:r>
        <w:rPr>
          <w:snapToGrid w:val="0"/>
        </w:rPr>
        <w:tab/>
      </w:r>
      <w:r>
        <w:rPr>
          <w:snapToGrid w:val="0"/>
        </w:rPr>
        <w:tab/>
        <w:t xml:space="preserve">Any local government may, and, when so required by the </w:t>
      </w:r>
      <w:r>
        <w:t>Chief Health Officer</w:t>
      </w:r>
      <w:r>
        <w:rPr>
          <w:snapToGrid w:val="0"/>
        </w:rPr>
        <w:t>, shall, by order addressed to the owner of any land which has been excavated for brickmaking, quarrying, mining, or other purposes, whether before or after the commencement of this Act,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ind w:left="890" w:hanging="890"/>
      </w:pPr>
      <w:r>
        <w:tab/>
        <w:t>[Section 90, formerly section 70, renumbered as section 90 by No. 38 of 1933 s. 42; amended by No. 28 of 1984 s. 45; No. 14 of 1996 s. 4; No. 19 of 2016 s. 100.]</w:t>
      </w:r>
    </w:p>
    <w:p>
      <w:pPr>
        <w:pStyle w:val="Heading5"/>
        <w:rPr>
          <w:snapToGrid w:val="0"/>
        </w:rPr>
      </w:pPr>
      <w:bookmarkStart w:id="169" w:name="_Toc512323687"/>
      <w:r>
        <w:rPr>
          <w:rStyle w:val="CharSectno"/>
        </w:rPr>
        <w:t>91</w:t>
      </w:r>
      <w:r>
        <w:rPr>
          <w:snapToGrid w:val="0"/>
        </w:rPr>
        <w:t>.</w:t>
      </w:r>
      <w:r>
        <w:rPr>
          <w:snapToGrid w:val="0"/>
        </w:rPr>
        <w:tab/>
        <w:t>Storm water to be allowed its natural channel</w:t>
      </w:r>
      <w:bookmarkEnd w:id="169"/>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ind w:left="890" w:hanging="890"/>
      </w:pPr>
      <w:r>
        <w:tab/>
        <w:t>[Section 91, formerly section 71, renumbered as section 91 by No. 38 of 1933 s. 42; amended by No. 113 of 1965 s. 8(1); No. 80 of 1987 s. 10; No. 14 of 1996 s. 4.]</w:t>
      </w:r>
    </w:p>
    <w:p>
      <w:pPr>
        <w:pStyle w:val="Heading5"/>
        <w:spacing w:before="180"/>
        <w:rPr>
          <w:snapToGrid w:val="0"/>
        </w:rPr>
      </w:pPr>
      <w:bookmarkStart w:id="170" w:name="_Toc512323688"/>
      <w:r>
        <w:rPr>
          <w:rStyle w:val="CharSectno"/>
        </w:rPr>
        <w:t>92</w:t>
      </w:r>
      <w:r>
        <w:rPr>
          <w:snapToGrid w:val="0"/>
        </w:rPr>
        <w:t>.</w:t>
      </w:r>
      <w:r>
        <w:rPr>
          <w:snapToGrid w:val="0"/>
        </w:rPr>
        <w:tab/>
        <w:t>Unauthorised building over sewers and under streets</w:t>
      </w:r>
      <w:bookmarkEnd w:id="170"/>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ind w:left="890" w:hanging="890"/>
      </w:pPr>
      <w:r>
        <w:tab/>
        <w:t>[Section 92, formerly section 72, renumbered as section 92 by No. 38 of 1933 s. 42; amended by No. 113 of 1965 s. 8(1); No. 80 of 1987 s. 11; No. 14 of 1996 s. 4.]</w:t>
      </w:r>
    </w:p>
    <w:p>
      <w:pPr>
        <w:pStyle w:val="Heading5"/>
        <w:spacing w:before="120"/>
        <w:rPr>
          <w:snapToGrid w:val="0"/>
        </w:rPr>
      </w:pPr>
      <w:bookmarkStart w:id="171" w:name="_Toc512323689"/>
      <w:r>
        <w:rPr>
          <w:rStyle w:val="CharSectno"/>
        </w:rPr>
        <w:t>93</w:t>
      </w:r>
      <w:r>
        <w:rPr>
          <w:snapToGrid w:val="0"/>
        </w:rPr>
        <w:t>.</w:t>
      </w:r>
      <w:r>
        <w:rPr>
          <w:snapToGrid w:val="0"/>
        </w:rPr>
        <w:tab/>
        <w:t>Injurious matter not to pass into sewers</w:t>
      </w:r>
      <w:bookmarkEnd w:id="171"/>
    </w:p>
    <w:p>
      <w:pPr>
        <w:pStyle w:val="Subsection"/>
        <w:spacing w:before="100"/>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ind w:left="890" w:hanging="890"/>
      </w:pPr>
      <w:r>
        <w:tab/>
        <w:t>[Section 93, formerly section 73, renumbered as section 93 by No. 38 of 1933 s. 42;</w:t>
      </w:r>
      <w:r>
        <w:rPr>
          <w:spacing w:val="-2"/>
        </w:rPr>
        <w:t xml:space="preserve"> </w:t>
      </w:r>
      <w:r>
        <w:t>amended by No. 113 of 1965 s. 8(1); No. 80 of 1987 s. 12; No. 14 of 1996 s. 4.]</w:t>
      </w:r>
    </w:p>
    <w:p>
      <w:pPr>
        <w:pStyle w:val="Heading5"/>
        <w:spacing w:before="120"/>
        <w:rPr>
          <w:snapToGrid w:val="0"/>
        </w:rPr>
      </w:pPr>
      <w:bookmarkStart w:id="172" w:name="_Toc512323690"/>
      <w:r>
        <w:rPr>
          <w:rStyle w:val="CharSectno"/>
        </w:rPr>
        <w:t>94</w:t>
      </w:r>
      <w:r>
        <w:rPr>
          <w:snapToGrid w:val="0"/>
        </w:rPr>
        <w:t>.</w:t>
      </w:r>
      <w:r>
        <w:rPr>
          <w:snapToGrid w:val="0"/>
        </w:rPr>
        <w:tab/>
        <w:t>Chemical refuse, steam etc. not to be turned into sewers</w:t>
      </w:r>
      <w:bookmarkEnd w:id="172"/>
    </w:p>
    <w:p>
      <w:pPr>
        <w:pStyle w:val="Subsection"/>
        <w:spacing w:before="100"/>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0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keepLines w:val="0"/>
        <w:ind w:left="890" w:hanging="890"/>
      </w:pPr>
      <w:r>
        <w:tab/>
        <w:t>[Section 94, formerly section 74, renumbered as section 94 by by No. 38 of 1933 s. 42;</w:t>
      </w:r>
      <w:r>
        <w:rPr>
          <w:spacing w:val="-2"/>
        </w:rPr>
        <w:t xml:space="preserve"> </w:t>
      </w:r>
      <w:r>
        <w:t>amended by No. 113 of 1965 s. 8(1); No. 94 of 1972 s. 4(1) (as amended by No. 83 of 1973 s. 4); No. 80 of 1987 s. 13; No. 14 of 1996 s. 4.]</w:t>
      </w:r>
    </w:p>
    <w:p>
      <w:pPr>
        <w:pStyle w:val="Heading3"/>
      </w:pPr>
      <w:bookmarkStart w:id="173" w:name="_Toc498001075"/>
      <w:bookmarkStart w:id="174" w:name="_Toc498001405"/>
      <w:bookmarkStart w:id="175" w:name="_Toc498003057"/>
      <w:bookmarkStart w:id="176" w:name="_Toc498004068"/>
      <w:bookmarkStart w:id="177" w:name="_Toc499029471"/>
      <w:bookmarkStart w:id="178" w:name="_Toc501098539"/>
      <w:bookmarkStart w:id="179" w:name="_Toc501101462"/>
      <w:bookmarkStart w:id="180" w:name="_Toc501115984"/>
      <w:bookmarkStart w:id="181" w:name="_Toc501117245"/>
      <w:bookmarkStart w:id="182" w:name="_Toc501698652"/>
      <w:bookmarkStart w:id="183" w:name="_Toc512323691"/>
      <w:r>
        <w:rPr>
          <w:rStyle w:val="CharDivNo"/>
        </w:rPr>
        <w:t>Division 3</w:t>
      </w:r>
      <w:r>
        <w:rPr>
          <w:snapToGrid w:val="0"/>
        </w:rPr>
        <w:t> — </w:t>
      </w:r>
      <w:r>
        <w:rPr>
          <w:rStyle w:val="CharDivText"/>
        </w:rPr>
        <w:t>Disposal of sewage</w:t>
      </w:r>
      <w:bookmarkEnd w:id="173"/>
      <w:bookmarkEnd w:id="174"/>
      <w:bookmarkEnd w:id="175"/>
      <w:bookmarkEnd w:id="176"/>
      <w:bookmarkEnd w:id="177"/>
      <w:bookmarkEnd w:id="178"/>
      <w:bookmarkEnd w:id="179"/>
      <w:bookmarkEnd w:id="180"/>
      <w:bookmarkEnd w:id="181"/>
      <w:bookmarkEnd w:id="182"/>
      <w:bookmarkEnd w:id="183"/>
    </w:p>
    <w:p>
      <w:pPr>
        <w:pStyle w:val="Footnoteheading"/>
        <w:keepNext/>
        <w:keepLines/>
        <w:tabs>
          <w:tab w:val="clear" w:pos="879"/>
          <w:tab w:val="left" w:pos="890"/>
        </w:tabs>
        <w:ind w:left="890" w:hanging="890"/>
      </w:pPr>
      <w:r>
        <w:tab/>
        <w:t>[Heading, formerly Divison 2, renumbered as Division 3 by </w:t>
      </w:r>
      <w:r>
        <w:rPr>
          <w:snapToGrid w:val="0"/>
        </w:rPr>
        <w:t xml:space="preserve">No. 38 of 1933 </w:t>
      </w:r>
      <w:r>
        <w:t>s. 42.]</w:t>
      </w:r>
    </w:p>
    <w:p>
      <w:pPr>
        <w:pStyle w:val="Heading5"/>
        <w:spacing w:before="240"/>
        <w:rPr>
          <w:snapToGrid w:val="0"/>
        </w:rPr>
      </w:pPr>
      <w:bookmarkStart w:id="184" w:name="_Toc512323692"/>
      <w:r>
        <w:rPr>
          <w:rStyle w:val="CharSectno"/>
        </w:rPr>
        <w:t>95</w:t>
      </w:r>
      <w:r>
        <w:rPr>
          <w:snapToGrid w:val="0"/>
        </w:rPr>
        <w:t>.</w:t>
      </w:r>
      <w:r>
        <w:rPr>
          <w:snapToGrid w:val="0"/>
        </w:rPr>
        <w:tab/>
        <w:t>Disposing of sewage</w:t>
      </w:r>
      <w:bookmarkEnd w:id="184"/>
    </w:p>
    <w:p>
      <w:pPr>
        <w:pStyle w:val="Subsection"/>
        <w:spacing w:before="180"/>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spacing w:before="120"/>
        <w:rPr>
          <w:snapToGrid w:val="0"/>
        </w:rPr>
      </w:pPr>
      <w:r>
        <w:rPr>
          <w:snapToGrid w:val="0"/>
        </w:rPr>
        <w:tab/>
        <w:t>(1)</w:t>
      </w:r>
      <w:r>
        <w:rPr>
          <w:snapToGrid w:val="0"/>
        </w:rPr>
        <w:tab/>
        <w:t>construct any works in the district or (subject to the provisions of this Act) beyond the district;</w:t>
      </w:r>
    </w:p>
    <w:p>
      <w:pPr>
        <w:pStyle w:val="Indenta"/>
        <w:spacing w:before="120"/>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spacing w:before="120"/>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spacing w:before="180"/>
        <w:rPr>
          <w:snapToGrid w:val="0"/>
        </w:rPr>
      </w:pPr>
      <w:r>
        <w:rPr>
          <w:snapToGrid w:val="0"/>
        </w:rPr>
        <w:tab/>
      </w:r>
      <w:r>
        <w:rPr>
          <w:snapToGrid w:val="0"/>
        </w:rPr>
        <w:tab/>
        <w:t>Provided that no nuisance shall be created in the exercise of any of the powers conferred by this section.</w:t>
      </w:r>
    </w:p>
    <w:p>
      <w:pPr>
        <w:pStyle w:val="Footnotesection"/>
        <w:ind w:left="890" w:hanging="890"/>
      </w:pPr>
      <w:r>
        <w:tab/>
        <w:t>[Section 95, formerly section 76, renumbered as section 95 by No. 38 of 1933 s. 42; amended by No. 14 of 1996 s. 4.]</w:t>
      </w:r>
    </w:p>
    <w:p>
      <w:pPr>
        <w:pStyle w:val="Heading5"/>
        <w:spacing w:before="240"/>
        <w:rPr>
          <w:snapToGrid w:val="0"/>
        </w:rPr>
      </w:pPr>
      <w:bookmarkStart w:id="185" w:name="_Toc512323693"/>
      <w:r>
        <w:rPr>
          <w:rStyle w:val="CharSectno"/>
        </w:rPr>
        <w:t>96</w:t>
      </w:r>
      <w:r>
        <w:rPr>
          <w:snapToGrid w:val="0"/>
        </w:rPr>
        <w:t>.</w:t>
      </w:r>
      <w:r>
        <w:rPr>
          <w:snapToGrid w:val="0"/>
        </w:rPr>
        <w:tab/>
        <w:t>Communication of sewers with sewers of adjoining district</w:t>
      </w:r>
      <w:bookmarkEnd w:id="185"/>
    </w:p>
    <w:p>
      <w:pPr>
        <w:pStyle w:val="Subsection"/>
        <w:spacing w:before="180"/>
        <w:rPr>
          <w:snapToGrid w:val="0"/>
        </w:rPr>
      </w:pPr>
      <w:r>
        <w:rPr>
          <w:snapToGrid w:val="0"/>
        </w:rPr>
        <w:tab/>
      </w:r>
      <w:r>
        <w:rPr>
          <w:snapToGrid w:val="0"/>
        </w:rPr>
        <w:tab/>
        <w:t xml:space="preserve">A local government may, by agreement with the local government of any adjoining district, and with the sanction of the </w:t>
      </w:r>
      <w:r>
        <w:t>Chief Health Officer</w:t>
      </w:r>
      <w:r>
        <w:rPr>
          <w:snapToGrid w:val="0"/>
        </w:rPr>
        <w:t xml:space="preserve">,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rPr>
        <w:t>Commercial Arbitration Act 2012</w:t>
      </w:r>
      <w:r>
        <w:rPr>
          <w:snapToGrid w:val="0"/>
        </w:rPr>
        <w:t>.</w:t>
      </w:r>
    </w:p>
    <w:p>
      <w:pPr>
        <w:pStyle w:val="Footnotesection"/>
        <w:ind w:left="890" w:hanging="890"/>
      </w:pPr>
      <w:r>
        <w:tab/>
        <w:t>[Section 96, formerly section 77, renumbered as section 96 by No. 38 of 1933 s. 42; amended by No. 28 of 1984 s. 45; No. 109 of 1985 s. 3(1); No. 14 of 1996 s. 4; No. 23 of 2012 s. 45; No. 19 of 2016 s. 100.]</w:t>
      </w:r>
    </w:p>
    <w:p>
      <w:pPr>
        <w:pStyle w:val="Heading5"/>
        <w:spacing w:before="240"/>
        <w:rPr>
          <w:snapToGrid w:val="0"/>
        </w:rPr>
      </w:pPr>
      <w:bookmarkStart w:id="186" w:name="_Toc512323694"/>
      <w:r>
        <w:rPr>
          <w:rStyle w:val="CharSectno"/>
        </w:rPr>
        <w:t>97</w:t>
      </w:r>
      <w:r>
        <w:rPr>
          <w:snapToGrid w:val="0"/>
        </w:rPr>
        <w:t>.</w:t>
      </w:r>
      <w:r>
        <w:rPr>
          <w:snapToGrid w:val="0"/>
        </w:rPr>
        <w:tab/>
        <w:t>Dealing with land appropriated to sewage purposes</w:t>
      </w:r>
      <w:bookmarkEnd w:id="186"/>
    </w:p>
    <w:p>
      <w:pPr>
        <w:pStyle w:val="Subsection"/>
        <w:spacing w:before="180"/>
        <w:rPr>
          <w:snapToGrid w:val="0"/>
        </w:rPr>
      </w:pPr>
      <w:r>
        <w:rPr>
          <w:snapToGrid w:val="0"/>
        </w:rPr>
        <w:tab/>
        <w:t>(1)</w:t>
      </w:r>
      <w:r>
        <w:rPr>
          <w:snapToGrid w:val="0"/>
        </w:rPr>
        <w:tab/>
        <w:t xml:space="preserve">The local government may, subject to the approval of the </w:t>
      </w:r>
      <w:r>
        <w:t>Chief Health Officer</w:t>
      </w:r>
      <w:r>
        <w:rPr>
          <w:snapToGrid w:val="0"/>
        </w:rPr>
        <w:t>, deal with any land held by it for the purpose of receiving, storing, disinfecting, or distributing sewage, in such manner as it deems most profitable —</w:t>
      </w:r>
    </w:p>
    <w:p>
      <w:pPr>
        <w:pStyle w:val="Indenta"/>
        <w:spacing w:before="100"/>
        <w:rPr>
          <w:snapToGrid w:val="0"/>
        </w:rPr>
      </w:pPr>
      <w:r>
        <w:rPr>
          <w:snapToGrid w:val="0"/>
        </w:rPr>
        <w:tab/>
        <w:t>(a)</w:t>
      </w:r>
      <w:r>
        <w:rPr>
          <w:snapToGrid w:val="0"/>
        </w:rPr>
        <w:tab/>
        <w:t>by leasing the same for a period not exceeding 25 years for agricultural purposes; or</w:t>
      </w:r>
    </w:p>
    <w:p>
      <w:pPr>
        <w:pStyle w:val="Indenta"/>
        <w:spacing w:before="100"/>
        <w:rPr>
          <w:snapToGrid w:val="0"/>
        </w:rPr>
      </w:pPr>
      <w:r>
        <w:rPr>
          <w:snapToGrid w:val="0"/>
        </w:rPr>
        <w:tab/>
        <w:t>(b)</w:t>
      </w:r>
      <w:r>
        <w:rPr>
          <w:snapToGrid w:val="0"/>
        </w:rPr>
        <w:tab/>
        <w:t>by contracting with some person to take the whole or a part of the produce of such land; or</w:t>
      </w:r>
    </w:p>
    <w:p>
      <w:pPr>
        <w:pStyle w:val="Indenta"/>
        <w:keepNext/>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 xml:space="preserve">When a local government, with the approval of the </w:t>
      </w:r>
      <w:r>
        <w:t>Chief Health Officer</w:t>
      </w:r>
      <w:r>
        <w:rPr>
          <w:snapToGrid w:val="0"/>
        </w:rPr>
        <w:t>,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formerly section 78, renumbered as section 97 by No. 38 of 1933 s. 42; amended by No. 28 of 1984 s. 45; No. 14 of 1996 s. 4; No. 19 of 2016 s. 100.]</w:t>
      </w:r>
    </w:p>
    <w:p>
      <w:pPr>
        <w:pStyle w:val="Heading5"/>
        <w:rPr>
          <w:snapToGrid w:val="0"/>
        </w:rPr>
      </w:pPr>
      <w:bookmarkStart w:id="187" w:name="_Toc512323695"/>
      <w:r>
        <w:rPr>
          <w:rStyle w:val="CharSectno"/>
        </w:rPr>
        <w:t>98</w:t>
      </w:r>
      <w:r>
        <w:rPr>
          <w:snapToGrid w:val="0"/>
        </w:rPr>
        <w:t>.</w:t>
      </w:r>
      <w:r>
        <w:rPr>
          <w:snapToGrid w:val="0"/>
        </w:rPr>
        <w:tab/>
        <w:t>Punishment for placing sewage in streets etc.</w:t>
      </w:r>
      <w:bookmarkEnd w:id="187"/>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ind w:left="890" w:hanging="890"/>
      </w:pPr>
      <w:r>
        <w:tab/>
        <w:t>[Section 98, formerly section 79, amended by No. 17 of 1918 s. 8; renumbered as section 98 by No. 38 of 1933 s. 42; amended by No. 113 of 1965 s. 8(1); No. 102 of 1973 s. 5; No. 80 of 1987 s. 14.]</w:t>
      </w:r>
    </w:p>
    <w:p>
      <w:pPr>
        <w:pStyle w:val="Heading3"/>
        <w:spacing w:before="200"/>
      </w:pPr>
      <w:bookmarkStart w:id="188" w:name="_Toc498001080"/>
      <w:bookmarkStart w:id="189" w:name="_Toc498001410"/>
      <w:bookmarkStart w:id="190" w:name="_Toc498003062"/>
      <w:bookmarkStart w:id="191" w:name="_Toc498004073"/>
      <w:bookmarkStart w:id="192" w:name="_Toc499029476"/>
      <w:bookmarkStart w:id="193" w:name="_Toc501098544"/>
      <w:bookmarkStart w:id="194" w:name="_Toc501101467"/>
      <w:bookmarkStart w:id="195" w:name="_Toc501115989"/>
      <w:bookmarkStart w:id="196" w:name="_Toc501117250"/>
      <w:bookmarkStart w:id="197" w:name="_Toc501698657"/>
      <w:bookmarkStart w:id="198" w:name="_Toc512323696"/>
      <w:r>
        <w:rPr>
          <w:rStyle w:val="CharDivNo"/>
        </w:rPr>
        <w:t>Division 4</w:t>
      </w:r>
      <w:r>
        <w:rPr>
          <w:snapToGrid w:val="0"/>
        </w:rPr>
        <w:t> — </w:t>
      </w:r>
      <w:r>
        <w:rPr>
          <w:rStyle w:val="CharDivText"/>
        </w:rPr>
        <w:t>Sanitary conveniences</w:t>
      </w:r>
      <w:bookmarkEnd w:id="188"/>
      <w:bookmarkEnd w:id="189"/>
      <w:bookmarkEnd w:id="190"/>
      <w:bookmarkEnd w:id="191"/>
      <w:bookmarkEnd w:id="192"/>
      <w:bookmarkEnd w:id="193"/>
      <w:bookmarkEnd w:id="194"/>
      <w:bookmarkEnd w:id="195"/>
      <w:bookmarkEnd w:id="196"/>
      <w:bookmarkEnd w:id="197"/>
      <w:bookmarkEnd w:id="198"/>
    </w:p>
    <w:p>
      <w:pPr>
        <w:pStyle w:val="Heading5"/>
        <w:rPr>
          <w:snapToGrid w:val="0"/>
        </w:rPr>
      </w:pPr>
      <w:bookmarkStart w:id="199" w:name="_Toc512323697"/>
      <w:r>
        <w:rPr>
          <w:rStyle w:val="CharSectno"/>
        </w:rPr>
        <w:t>99</w:t>
      </w:r>
      <w:r>
        <w:rPr>
          <w:snapToGrid w:val="0"/>
        </w:rPr>
        <w:t>.</w:t>
      </w:r>
      <w:r>
        <w:rPr>
          <w:snapToGrid w:val="0"/>
        </w:rPr>
        <w:tab/>
        <w:t>Houses to have sanitary conveniences</w:t>
      </w:r>
      <w:bookmarkEnd w:id="199"/>
    </w:p>
    <w:p>
      <w:pPr>
        <w:pStyle w:val="Subsection"/>
        <w:spacing w:before="180"/>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spacing w:before="180"/>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spacing w:before="180"/>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spacing w:before="180"/>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spacing w:after="480"/>
        <w:ind w:left="890" w:hanging="890"/>
      </w:pPr>
      <w:r>
        <w:tab/>
        <w:t>[Section 99, inserted as section 81 by No. 30 of 1932 s. 12; renumbered as section 99 by No. 38 of 1933 s. 42; amended by No. 32 of 1937 s. 4; No. 21 of 1944 s. 4; No. 45 of 1954 s. 2; No. 49 of 1962 s. 2; No. 113 of 1965 s. 8(1); No. 80 of 1987 s. 15; No. 59 of 1991 s. 9; No. 14 of 1996 s. 4.]</w:t>
      </w:r>
    </w:p>
    <w:p>
      <w:pPr>
        <w:pStyle w:val="Heading5"/>
        <w:rPr>
          <w:snapToGrid w:val="0"/>
        </w:rPr>
      </w:pPr>
      <w:bookmarkStart w:id="200" w:name="_Toc512323698"/>
      <w:r>
        <w:rPr>
          <w:rStyle w:val="CharSectno"/>
        </w:rPr>
        <w:t>100</w:t>
      </w:r>
      <w:r>
        <w:rPr>
          <w:snapToGrid w:val="0"/>
        </w:rPr>
        <w:t>.</w:t>
      </w:r>
      <w:r>
        <w:rPr>
          <w:snapToGrid w:val="0"/>
        </w:rPr>
        <w:tab/>
        <w:t>Provision of apparatus for treatment of sewage</w:t>
      </w:r>
      <w:bookmarkEnd w:id="200"/>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rPr>
      </w:pPr>
      <w:r>
        <w:rPr>
          <w:snapToGrid w:val="0"/>
          <w:spacing w:val="-4"/>
        </w:rPr>
        <w:tab/>
        <w:t>(2)</w:t>
      </w:r>
      <w:r>
        <w:rPr>
          <w:snapToGrid w:val="0"/>
          <w:spacing w:val="-4"/>
        </w:rPr>
        <w:tab/>
      </w:r>
      <w:r>
        <w:rPr>
          <w:snapToGrid w:val="0"/>
        </w:rPr>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rStyle w:val="CharDefText"/>
        </w:rPr>
        <w:t>owner</w:t>
      </w:r>
      <w:r>
        <w:rPr>
          <w:snapToGrid w:val="0"/>
        </w:rPr>
        <w:t xml:space="preserve"> includes the Crown in right of the State and where the Crown is the owner of any premises the expression, </w:t>
      </w:r>
      <w:r>
        <w:rPr>
          <w:rStyle w:val="CharDefText"/>
        </w:rPr>
        <w:t>apparatus for the treatment of sewage</w:t>
      </w:r>
      <w:r>
        <w:rPr>
          <w:snapToGrid w:val="0"/>
        </w:rPr>
        <w:t xml:space="preserve"> includes any buildings, fittings, works or appliances used or required for ablutionary purposes.</w:t>
      </w:r>
    </w:p>
    <w:p>
      <w:pPr>
        <w:pStyle w:val="Subsection"/>
        <w:keepNext/>
        <w:rPr>
          <w:snapToGrid w:val="0"/>
        </w:rPr>
      </w:pPr>
      <w:r>
        <w:rPr>
          <w:snapToGrid w:val="0"/>
          <w:spacing w:val="-4"/>
        </w:rPr>
        <w:tab/>
        <w:t>(b)</w:t>
      </w:r>
      <w:r>
        <w:rPr>
          <w:snapToGrid w:val="0"/>
          <w:spacing w:val="-4"/>
        </w:rPr>
        <w:tab/>
      </w:r>
      <w:r>
        <w:rPr>
          <w:snapToGrid w:val="0"/>
        </w:rPr>
        <w:t>The reference to the Crown in this section does not imply that the Crown is bound by the other provisions of this Act.</w:t>
      </w:r>
    </w:p>
    <w:p>
      <w:pPr>
        <w:pStyle w:val="Footnotesection"/>
        <w:ind w:left="890" w:hanging="890"/>
      </w:pPr>
      <w:r>
        <w:tab/>
        <w:t>[Section 100, inserted as section 81a by No. 50 of 1926 s. 6; amended by No. 30 of 1932 s. 13; No. 38 of 1933 s. 8; renumbered as section 100 by No. 38 of 1933 s. 42; amended by No. 22 of 1959 s. 2; No. 18 of 1964 s. 4; No. 59 of 1991 s. 10; No. 14 of 1996 s. 4.]</w:t>
      </w:r>
    </w:p>
    <w:p>
      <w:pPr>
        <w:pStyle w:val="Heading5"/>
        <w:rPr>
          <w:snapToGrid w:val="0"/>
        </w:rPr>
      </w:pPr>
      <w:bookmarkStart w:id="201" w:name="_Toc512323699"/>
      <w:r>
        <w:rPr>
          <w:rStyle w:val="CharSectno"/>
        </w:rPr>
        <w:t>101</w:t>
      </w:r>
      <w:r>
        <w:rPr>
          <w:snapToGrid w:val="0"/>
        </w:rPr>
        <w:t>.</w:t>
      </w:r>
      <w:r>
        <w:rPr>
          <w:snapToGrid w:val="0"/>
        </w:rPr>
        <w:tab/>
        <w:t>Sanitary conveniences for workshops etc.</w:t>
      </w:r>
      <w:bookmarkEnd w:id="201"/>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formerly section 82, renumbered as section 101 by No. 38 of 1933 s. 42; amended by No. 18 of 1964 s. 5; No. 113 of 1965 s. 8(1); No. 80 of 1987 s. 16; No. 14 of 1996 s. 4.]</w:t>
      </w:r>
    </w:p>
    <w:p>
      <w:pPr>
        <w:pStyle w:val="Heading5"/>
        <w:keepNext w:val="0"/>
        <w:keepLines w:val="0"/>
        <w:rPr>
          <w:snapToGrid w:val="0"/>
        </w:rPr>
      </w:pPr>
      <w:bookmarkStart w:id="202" w:name="_Toc512323700"/>
      <w:r>
        <w:rPr>
          <w:rStyle w:val="CharSectno"/>
        </w:rPr>
        <w:t>102</w:t>
      </w:r>
      <w:r>
        <w:rPr>
          <w:snapToGrid w:val="0"/>
        </w:rPr>
        <w:t>.</w:t>
      </w:r>
      <w:r>
        <w:rPr>
          <w:snapToGrid w:val="0"/>
        </w:rPr>
        <w:tab/>
        <w:t>Sanitary conveniences in connection with works</w:t>
      </w:r>
      <w:bookmarkEnd w:id="202"/>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keepNext w:val="0"/>
        <w:keepLines w:val="0"/>
        <w:rPr>
          <w:snapToGrid w:val="0"/>
        </w:rPr>
      </w:pPr>
      <w:bookmarkStart w:id="203" w:name="_Toc512323701"/>
      <w:r>
        <w:rPr>
          <w:rStyle w:val="CharSectno"/>
        </w:rPr>
        <w:t>103</w:t>
      </w:r>
      <w:r>
        <w:rPr>
          <w:snapToGrid w:val="0"/>
        </w:rPr>
        <w:t>.</w:t>
      </w:r>
      <w:r>
        <w:rPr>
          <w:snapToGrid w:val="0"/>
        </w:rPr>
        <w:tab/>
        <w:t>Persons to carry out sanitary work in certain cases</w:t>
      </w:r>
      <w:bookmarkEnd w:id="203"/>
    </w:p>
    <w:p>
      <w:pPr>
        <w:pStyle w:val="Subsection"/>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ind w:left="890" w:hanging="890"/>
      </w:pPr>
      <w:r>
        <w:tab/>
        <w:t>[Section 103, inserted as section 83A by No. 30 of 1932 s. 14; renumbered as section 103 by No. 38 of 1933 s. 42; amended by No. 102 of 1973 s. 6; No. 14 of 1996 s. 4; No. 57 of 1997 s. 68(1).]</w:t>
      </w:r>
    </w:p>
    <w:p>
      <w:pPr>
        <w:pStyle w:val="Heading5"/>
        <w:spacing w:before="180"/>
        <w:rPr>
          <w:snapToGrid w:val="0"/>
        </w:rPr>
      </w:pPr>
      <w:bookmarkStart w:id="204" w:name="_Toc512323702"/>
      <w:r>
        <w:rPr>
          <w:rStyle w:val="CharSectno"/>
        </w:rPr>
        <w:t>104</w:t>
      </w:r>
      <w:r>
        <w:rPr>
          <w:snapToGrid w:val="0"/>
        </w:rPr>
        <w:t>.</w:t>
      </w:r>
      <w:r>
        <w:rPr>
          <w:snapToGrid w:val="0"/>
        </w:rPr>
        <w:tab/>
        <w:t>Earth</w:t>
      </w:r>
      <w:r>
        <w:rPr>
          <w:snapToGrid w:val="0"/>
        </w:rPr>
        <w:noBreakHyphen/>
        <w:t>closets</w:t>
      </w:r>
      <w:bookmarkEnd w:id="204"/>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ind w:left="890" w:hanging="890"/>
      </w:pPr>
      <w:r>
        <w:tab/>
        <w:t>[Section 104, formerly section 84, renumbered as section 104 by No. 38 of 1933 s. 42; amended by No. 14 of 1996 s. 4.]</w:t>
      </w:r>
    </w:p>
    <w:p>
      <w:pPr>
        <w:pStyle w:val="Heading5"/>
        <w:spacing w:before="180"/>
        <w:rPr>
          <w:snapToGrid w:val="0"/>
        </w:rPr>
      </w:pPr>
      <w:bookmarkStart w:id="205" w:name="_Toc512323703"/>
      <w:r>
        <w:rPr>
          <w:rStyle w:val="CharSectno"/>
        </w:rPr>
        <w:t>105</w:t>
      </w:r>
      <w:r>
        <w:rPr>
          <w:snapToGrid w:val="0"/>
        </w:rPr>
        <w:t>.</w:t>
      </w:r>
      <w:r>
        <w:rPr>
          <w:snapToGrid w:val="0"/>
        </w:rPr>
        <w:tab/>
        <w:t>Public sanitary conveniences</w:t>
      </w:r>
      <w:bookmarkEnd w:id="205"/>
    </w:p>
    <w:p>
      <w:pPr>
        <w:pStyle w:val="Subsection"/>
        <w:spacing w:before="120"/>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spacing w:before="140"/>
        <w:rPr>
          <w:snapToGrid w:val="0"/>
        </w:rPr>
      </w:pPr>
      <w:r>
        <w:rPr>
          <w:snapToGrid w:val="0"/>
        </w:rPr>
        <w:tab/>
        <w:t>(2)</w:t>
      </w:r>
      <w:r>
        <w:rPr>
          <w:snapToGrid w:val="0"/>
        </w:rPr>
        <w:tab/>
        <w:t>The local government may levy and collect charges for the use of such conveniences and receptacles.</w:t>
      </w:r>
    </w:p>
    <w:p>
      <w:pPr>
        <w:pStyle w:val="Subsection"/>
        <w:spacing w:before="140"/>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ind w:left="890" w:hanging="890"/>
      </w:pPr>
      <w:r>
        <w:tab/>
        <w:t>[Section 105, formerly section 85, renumbered as section 105 by No. 38 of 1933 s. 42; amended by No. 14 of 1996 s. 4.]</w:t>
      </w:r>
    </w:p>
    <w:p>
      <w:pPr>
        <w:pStyle w:val="Heading5"/>
        <w:spacing w:before="180"/>
        <w:rPr>
          <w:snapToGrid w:val="0"/>
        </w:rPr>
      </w:pPr>
      <w:bookmarkStart w:id="206" w:name="_Toc512323704"/>
      <w:r>
        <w:rPr>
          <w:rStyle w:val="CharSectno"/>
        </w:rPr>
        <w:t>106</w:t>
      </w:r>
      <w:r>
        <w:rPr>
          <w:snapToGrid w:val="0"/>
        </w:rPr>
        <w:t>.</w:t>
      </w:r>
      <w:r>
        <w:rPr>
          <w:snapToGrid w:val="0"/>
        </w:rPr>
        <w:tab/>
        <w:t>Power to make pan charges</w:t>
      </w:r>
      <w:bookmarkEnd w:id="206"/>
    </w:p>
    <w:p>
      <w:pPr>
        <w:pStyle w:val="Subsection"/>
        <w:spacing w:before="140"/>
        <w:rPr>
          <w:snapToGrid w:val="0"/>
        </w:rPr>
      </w:pPr>
      <w:r>
        <w:rPr>
          <w:snapToGrid w:val="0"/>
        </w:rPr>
        <w:tab/>
        <w:t>(1)</w:t>
      </w:r>
      <w:r>
        <w:rPr>
          <w:snapToGrid w:val="0"/>
        </w:rPr>
        <w:tab/>
        <w:t>The local government may, in lieu of, or in addition to a sanitary rate, provide for the proper disposal of sewage, whether within the district or not, by making an annual charge per pan or other receptacle, payable in one sum or by equal monthly or other instalments in advance, in respect of every house or place provided with the service.</w:t>
      </w:r>
    </w:p>
    <w:p>
      <w:pPr>
        <w:pStyle w:val="Subsection"/>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rPr>
          <w:snapToGrid w:val="0"/>
        </w:rPr>
      </w:pPr>
      <w:r>
        <w:rPr>
          <w:snapToGrid w:val="0"/>
        </w:rPr>
        <w:tab/>
        <w:t>(5)</w:t>
      </w:r>
      <w:r>
        <w:rPr>
          <w:snapToGrid w:val="0"/>
        </w:rPr>
        <w:tab/>
        <w:t>Any such charge may be limited to premises in a particular portion of the area under the control of the local government.</w:t>
      </w:r>
    </w:p>
    <w:p>
      <w:pPr>
        <w:pStyle w:val="Subsection"/>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 xml:space="preserve">A local government may, with the approval of the </w:t>
      </w:r>
      <w:r>
        <w:t>Chief Health Officer</w:t>
      </w:r>
      <w:r>
        <w:rPr>
          <w:snapToGrid w:val="0"/>
        </w:rPr>
        <w:t>, make different charges for services rendered in different portions of its district.</w:t>
      </w:r>
    </w:p>
    <w:p>
      <w:pPr>
        <w:pStyle w:val="Subsection"/>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ind w:left="890" w:hanging="890"/>
      </w:pPr>
      <w:r>
        <w:tab/>
        <w:t>[Section 106, formerly section 86, amended by No. 17 of 1918 s. 10; No. 30 of 1932 s. 15; No. 38 of 1933 s. 9; renumbered as section 106 by No. 38 of 1933 s. 42; amended by No. 32 of 1937 s. 5; No. 102 of 1973 s. 7; No. 28 of 1984 s. 45; No. 14 of 1996 s. 4; No. 28 of 1996 s. 6; No. 36 of 2007 Sch. 4 cl. 4(3); No. 19 of 2016 s. 100.]</w:t>
      </w:r>
    </w:p>
    <w:p>
      <w:pPr>
        <w:pStyle w:val="Heading5"/>
        <w:spacing w:before="180"/>
        <w:rPr>
          <w:snapToGrid w:val="0"/>
        </w:rPr>
      </w:pPr>
      <w:bookmarkStart w:id="207" w:name="_Toc512323705"/>
      <w:r>
        <w:rPr>
          <w:rStyle w:val="CharSectno"/>
        </w:rPr>
        <w:t>107</w:t>
      </w:r>
      <w:r>
        <w:rPr>
          <w:snapToGrid w:val="0"/>
        </w:rPr>
        <w:t>.</w:t>
      </w:r>
      <w:r>
        <w:rPr>
          <w:snapToGrid w:val="0"/>
        </w:rPr>
        <w:tab/>
        <w:t>Drains, privies etc. to be properly kept</w:t>
      </w:r>
      <w:bookmarkEnd w:id="207"/>
    </w:p>
    <w:p>
      <w:pPr>
        <w:pStyle w:val="Subsection"/>
        <w:spacing w:before="120"/>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spacing w:before="120"/>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 xml:space="preserve">the </w:t>
      </w:r>
      <w:r>
        <w:t>Chief Health Officer</w:t>
      </w:r>
      <w:r>
        <w:rPr>
          <w:snapToGrid w:val="0"/>
        </w:rPr>
        <w:t xml:space="preserve"> has approved of that construction or installation, where it is prescribed by regulation that the apparatus is to be approved for the purposes of this paragraph by the </w:t>
      </w:r>
      <w:r>
        <w:t>Chief Health Officer</w:t>
      </w:r>
      <w:r>
        <w:rPr>
          <w:snapToGrid w:val="0"/>
        </w:rPr>
        <w:t>.</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rPr>
      </w:pPr>
      <w:r>
        <w:rPr>
          <w:snapToGrid w:val="0"/>
        </w:rPr>
        <w:tab/>
        <w:t>(5)</w:t>
      </w:r>
      <w:r>
        <w:rPr>
          <w:snapToGrid w:val="0"/>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keepLines w:val="0"/>
        <w:ind w:left="890" w:hanging="890"/>
      </w:pPr>
      <w:r>
        <w:tab/>
        <w:t>[Section 107, formerly section 88, amended by No. 50 of 1926 s. 7; renumbered as section 107 by No. 38 of 1933 s. 42; amended by No. 21 of 1957 s. 6; No. 113 of 1965 s. 8(1); No. 28 of 1984 s. 45; No. 80 of 1987 s. 18; No. 59 of 1991 s. 11 and 20; No. 14 of 1996 s. 4; No. 28 of 1996 s. 7; No. 19 of 2016 s. 100.]</w:t>
      </w:r>
    </w:p>
    <w:p>
      <w:pPr>
        <w:pStyle w:val="Heading5"/>
        <w:spacing w:before="180"/>
        <w:rPr>
          <w:snapToGrid w:val="0"/>
        </w:rPr>
      </w:pPr>
      <w:bookmarkStart w:id="208" w:name="_Toc512323706"/>
      <w:r>
        <w:rPr>
          <w:rStyle w:val="CharSectno"/>
        </w:rPr>
        <w:t>107A</w:t>
      </w:r>
      <w:r>
        <w:rPr>
          <w:snapToGrid w:val="0"/>
        </w:rPr>
        <w:t xml:space="preserve">. </w:t>
      </w:r>
      <w:r>
        <w:rPr>
          <w:snapToGrid w:val="0"/>
        </w:rPr>
        <w:tab/>
        <w:t>Articles in use in construction or operation of sewers etc. to be of prescribed standard</w:t>
      </w:r>
      <w:bookmarkEnd w:id="208"/>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keepNext w:val="0"/>
        <w:keepLines w:val="0"/>
        <w:spacing w:before="180"/>
        <w:rPr>
          <w:snapToGrid w:val="0"/>
        </w:rPr>
      </w:pPr>
      <w:bookmarkStart w:id="209" w:name="_Toc512323707"/>
      <w:r>
        <w:rPr>
          <w:rStyle w:val="CharSectno"/>
        </w:rPr>
        <w:t>108</w:t>
      </w:r>
      <w:r>
        <w:rPr>
          <w:snapToGrid w:val="0"/>
        </w:rPr>
        <w:t>.</w:t>
      </w:r>
      <w:r>
        <w:rPr>
          <w:snapToGrid w:val="0"/>
        </w:rPr>
        <w:tab/>
        <w:t>Examination of drains etc.</w:t>
      </w:r>
      <w:bookmarkEnd w:id="209"/>
    </w:p>
    <w:p>
      <w:pPr>
        <w:pStyle w:val="Subsection"/>
        <w:spacing w:before="120"/>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spacing w:before="120"/>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spacing w:before="120"/>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spacing w:before="120"/>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spacing w:before="120"/>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spacing w:before="120"/>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keepLines w:val="0"/>
        <w:spacing w:before="80"/>
        <w:ind w:left="890" w:hanging="890"/>
      </w:pPr>
      <w:r>
        <w:tab/>
        <w:t>[Section 108, formerly section 89, renumbered as section 108 by No. 38 of 1933 s. 42; amended by No. 113 of 1965 s. 8(1); No. 80 of 1987 s. 19; No. 59 of 1991 s. 12; No. 14 of 1996 s. 4; No. 59 of 2004 s. 141.]</w:t>
      </w:r>
    </w:p>
    <w:p>
      <w:pPr>
        <w:pStyle w:val="Heading5"/>
        <w:rPr>
          <w:snapToGrid w:val="0"/>
        </w:rPr>
      </w:pPr>
      <w:bookmarkStart w:id="210" w:name="_Toc512323708"/>
      <w:r>
        <w:rPr>
          <w:rStyle w:val="CharSectno"/>
        </w:rPr>
        <w:t>109</w:t>
      </w:r>
      <w:r>
        <w:rPr>
          <w:snapToGrid w:val="0"/>
        </w:rPr>
        <w:t>.</w:t>
      </w:r>
      <w:r>
        <w:rPr>
          <w:snapToGrid w:val="0"/>
        </w:rPr>
        <w:tab/>
        <w:t>Local government may require filling up of certain cesspools</w:t>
      </w:r>
      <w:bookmarkEnd w:id="210"/>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ind w:left="890" w:hanging="890"/>
      </w:pPr>
      <w:r>
        <w:tab/>
        <w:t>[Section 109 inserted by No. 80 of 1987 s. 20; amended by No 14 of 1996 s. 4.]</w:t>
      </w:r>
    </w:p>
    <w:p>
      <w:pPr>
        <w:pStyle w:val="Heading5"/>
        <w:rPr>
          <w:snapToGrid w:val="0"/>
        </w:rPr>
      </w:pPr>
      <w:bookmarkStart w:id="211" w:name="_Toc512323709"/>
      <w:r>
        <w:rPr>
          <w:rStyle w:val="CharSectno"/>
        </w:rPr>
        <w:t>110</w:t>
      </w:r>
      <w:r>
        <w:rPr>
          <w:snapToGrid w:val="0"/>
        </w:rPr>
        <w:t>.</w:t>
      </w:r>
      <w:r>
        <w:rPr>
          <w:snapToGrid w:val="0"/>
        </w:rPr>
        <w:tab/>
        <w:t>New cesspools for nightsoil forbidden</w:t>
      </w:r>
      <w:bookmarkEnd w:id="211"/>
    </w:p>
    <w:p>
      <w:pPr>
        <w:pStyle w:val="Subsection"/>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ind w:left="890" w:hanging="890"/>
      </w:pPr>
      <w:r>
        <w:tab/>
        <w:t>[Section 110, formerly section 91, renumbered as section 110 by No. 38 of 1933 s. 42; amended by No. 14 of 1996 s. 4.]</w:t>
      </w:r>
    </w:p>
    <w:p>
      <w:pPr>
        <w:pStyle w:val="Heading5"/>
        <w:rPr>
          <w:snapToGrid w:val="0"/>
        </w:rPr>
      </w:pPr>
      <w:bookmarkStart w:id="212" w:name="_Toc512323710"/>
      <w:r>
        <w:rPr>
          <w:rStyle w:val="CharSectno"/>
        </w:rPr>
        <w:t>111</w:t>
      </w:r>
      <w:r>
        <w:rPr>
          <w:snapToGrid w:val="0"/>
        </w:rPr>
        <w:t>.</w:t>
      </w:r>
      <w:r>
        <w:rPr>
          <w:snapToGrid w:val="0"/>
        </w:rPr>
        <w:tab/>
        <w:t>Local government may supply receptacles</w:t>
      </w:r>
      <w:bookmarkEnd w:id="212"/>
    </w:p>
    <w:p>
      <w:pPr>
        <w:pStyle w:val="Subsection"/>
        <w:rPr>
          <w:snapToGrid w:val="0"/>
        </w:rPr>
      </w:pPr>
      <w:r>
        <w:rPr>
          <w:snapToGrid w:val="0"/>
        </w:rPr>
        <w:tab/>
      </w:r>
      <w:r>
        <w:rPr>
          <w:snapToGrid w:val="0"/>
        </w:rPr>
        <w:tab/>
        <w:t>Whenever the local government shall determine by local law to adopt a system of pans or receptacles for sewage,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ind w:left="890" w:hanging="890"/>
      </w:pPr>
      <w:r>
        <w:tab/>
        <w:t>[Section 111, formerly section 92, renumbered as section 111 by No. 38 of 1933 s. 42; amended by No. 102 of 1973 s. 8; No. 14 of 1996 s. 4; No. 36 of 2007 Sch. 4 cl. 4(4).]</w:t>
      </w:r>
    </w:p>
    <w:p>
      <w:pPr>
        <w:pStyle w:val="Heading3"/>
      </w:pPr>
      <w:bookmarkStart w:id="213" w:name="_Toc498001095"/>
      <w:bookmarkStart w:id="214" w:name="_Toc498001425"/>
      <w:bookmarkStart w:id="215" w:name="_Toc498003077"/>
      <w:bookmarkStart w:id="216" w:name="_Toc498004088"/>
      <w:bookmarkStart w:id="217" w:name="_Toc499029491"/>
      <w:bookmarkStart w:id="218" w:name="_Toc501098559"/>
      <w:bookmarkStart w:id="219" w:name="_Toc501101482"/>
      <w:bookmarkStart w:id="220" w:name="_Toc501116004"/>
      <w:bookmarkStart w:id="221" w:name="_Toc501117265"/>
      <w:bookmarkStart w:id="222" w:name="_Toc501698672"/>
      <w:bookmarkStart w:id="223" w:name="_Toc512323711"/>
      <w:r>
        <w:rPr>
          <w:rStyle w:val="CharDivNo"/>
        </w:rPr>
        <w:t>Division 5</w:t>
      </w:r>
      <w:r>
        <w:rPr>
          <w:snapToGrid w:val="0"/>
        </w:rPr>
        <w:t> — </w:t>
      </w:r>
      <w:r>
        <w:rPr>
          <w:rStyle w:val="CharDivText"/>
        </w:rPr>
        <w:t>Scavenging, cleansing, etc.</w:t>
      </w:r>
      <w:bookmarkEnd w:id="213"/>
      <w:bookmarkEnd w:id="214"/>
      <w:bookmarkEnd w:id="215"/>
      <w:bookmarkEnd w:id="216"/>
      <w:bookmarkEnd w:id="217"/>
      <w:bookmarkEnd w:id="218"/>
      <w:bookmarkEnd w:id="219"/>
      <w:bookmarkEnd w:id="220"/>
      <w:bookmarkEnd w:id="221"/>
      <w:bookmarkEnd w:id="222"/>
      <w:bookmarkEnd w:id="223"/>
    </w:p>
    <w:p>
      <w:pPr>
        <w:pStyle w:val="Heading5"/>
        <w:spacing w:before="180"/>
        <w:rPr>
          <w:snapToGrid w:val="0"/>
        </w:rPr>
      </w:pPr>
      <w:bookmarkStart w:id="224" w:name="_Toc512323712"/>
      <w:r>
        <w:rPr>
          <w:rStyle w:val="CharSectno"/>
        </w:rPr>
        <w:t>112</w:t>
      </w:r>
      <w:r>
        <w:rPr>
          <w:snapToGrid w:val="0"/>
        </w:rPr>
        <w:t>.</w:t>
      </w:r>
      <w:r>
        <w:rPr>
          <w:snapToGrid w:val="0"/>
        </w:rPr>
        <w:tab/>
        <w:t>Local government to provide for removal of refuse and cleansing works</w:t>
      </w:r>
      <w:bookmarkEnd w:id="224"/>
    </w:p>
    <w:p>
      <w:pPr>
        <w:pStyle w:val="Subsection"/>
        <w:spacing w:before="120"/>
        <w:rPr>
          <w:snapToGrid w:val="0"/>
        </w:rPr>
      </w:pPr>
      <w:r>
        <w:rPr>
          <w:snapToGrid w:val="0"/>
        </w:rPr>
        <w:tab/>
        <w:t>(1)</w:t>
      </w:r>
      <w:r>
        <w:rPr>
          <w:snapToGrid w:val="0"/>
        </w:rPr>
        <w:tab/>
        <w:t xml:space="preserve">A local government may, and when the </w:t>
      </w:r>
      <w:r>
        <w:t>Chief Health Officer</w:t>
      </w:r>
      <w:r>
        <w:rPr>
          <w:snapToGrid w:val="0"/>
        </w:rPr>
        <w:t xml:space="preserve"> so requires, shall undertake or contract for the efficient execution of the following works within its district, or any specified part of its district:</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Subsection"/>
        <w:spacing w:before="140"/>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spacing w:before="120"/>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spacing w:before="120"/>
        <w:rPr>
          <w:snapToGrid w:val="0"/>
        </w:rPr>
      </w:pPr>
      <w:r>
        <w:rPr>
          <w:snapToGrid w:val="0"/>
        </w:rPr>
        <w:tab/>
        <w:t>(3)</w:t>
      </w:r>
      <w:r>
        <w:rPr>
          <w:snapToGrid w:val="0"/>
        </w:rPr>
        <w:tab/>
        <w:t xml:space="preserve">After the end of the year 1934 no nightsoil collected in one district shall be deposited in any other district, except with the consent of the local government of such other district, or of the </w:t>
      </w:r>
      <w:r>
        <w:t>Chief Health Officer</w:t>
      </w:r>
      <w:r>
        <w:rPr>
          <w:snapToGrid w:val="0"/>
        </w:rPr>
        <w:t>.</w:t>
      </w:r>
    </w:p>
    <w:p>
      <w:pPr>
        <w:pStyle w:val="Footnotesection"/>
        <w:keepLines w:val="0"/>
        <w:spacing w:before="100"/>
        <w:ind w:left="890" w:hanging="890"/>
      </w:pPr>
      <w:r>
        <w:tab/>
        <w:t>[Section 112, formerly section 93, amended by No. 17 of 1918 s. 11; No. 30 of 1932 s. 17; renumbered as section 112 by No. 38 of 1933 s. 42; amended by No. 45 of 1954 s. 3; No. 38 of 1960 s. 3; No. 102 of 1972 s. 9; No. 28 of 1984 s. 45; No. 14 of 1996 s. 4; No. 28 of 1996 s. 8; No. 36 of 2007 Sch. 4 cl. 4(5); No. 19 of 2016 s. 100.]</w:t>
      </w:r>
    </w:p>
    <w:p>
      <w:pPr>
        <w:pStyle w:val="Ednotesection"/>
        <w:spacing w:before="240"/>
      </w:pPr>
      <w:r>
        <w:t>[</w:t>
      </w:r>
      <w:r>
        <w:rPr>
          <w:b/>
          <w:bCs/>
        </w:rPr>
        <w:t>112A.</w:t>
      </w:r>
      <w:r>
        <w:tab/>
        <w:t>Deleted by No. 36 of 2007 Sch. 4 cl. 4(6).]</w:t>
      </w:r>
    </w:p>
    <w:p>
      <w:pPr>
        <w:pStyle w:val="Heading5"/>
        <w:spacing w:before="240"/>
        <w:rPr>
          <w:snapToGrid w:val="0"/>
        </w:rPr>
      </w:pPr>
      <w:bookmarkStart w:id="225" w:name="_Toc512323713"/>
      <w:r>
        <w:rPr>
          <w:rStyle w:val="CharSectno"/>
        </w:rPr>
        <w:t>113</w:t>
      </w:r>
      <w:r>
        <w:rPr>
          <w:snapToGrid w:val="0"/>
        </w:rPr>
        <w:t>.</w:t>
      </w:r>
      <w:r>
        <w:rPr>
          <w:snapToGrid w:val="0"/>
        </w:rPr>
        <w:tab/>
        <w:t>Power of contractor to recover</w:t>
      </w:r>
      <w:bookmarkEnd w:id="225"/>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ind w:left="890" w:hanging="890"/>
      </w:pPr>
      <w:r>
        <w:tab/>
        <w:t>[Section 113, formerly section 94, amended by No. 30 of 1932 s. 18; renumbered as section 113 by No. 38 of 1933 s. 42; amended by No. 102 of 1973 s. 10; No. 14 of 1996 s. 4; No. 28 of 1996 s. 9.]</w:t>
      </w:r>
    </w:p>
    <w:p>
      <w:pPr>
        <w:pStyle w:val="Heading5"/>
        <w:rPr>
          <w:snapToGrid w:val="0"/>
        </w:rPr>
      </w:pPr>
      <w:bookmarkStart w:id="226" w:name="_Toc512323714"/>
      <w:r>
        <w:rPr>
          <w:rStyle w:val="CharSectno"/>
        </w:rPr>
        <w:t>114</w:t>
      </w:r>
      <w:r>
        <w:rPr>
          <w:snapToGrid w:val="0"/>
        </w:rPr>
        <w:t>.</w:t>
      </w:r>
      <w:r>
        <w:rPr>
          <w:snapToGrid w:val="0"/>
        </w:rPr>
        <w:tab/>
        <w:t>Obstruction or hindrance of certain works penalised</w:t>
      </w:r>
      <w:bookmarkEnd w:id="226"/>
    </w:p>
    <w:p>
      <w:pPr>
        <w:pStyle w:val="Subsection"/>
        <w:spacing w:before="140"/>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Ednotesubsection"/>
        <w:spacing w:before="140"/>
      </w:pPr>
      <w:r>
        <w:tab/>
        <w:t>[(2)</w:t>
      </w:r>
      <w:r>
        <w:tab/>
        <w:t>deleted]</w:t>
      </w:r>
    </w:p>
    <w:p>
      <w:pPr>
        <w:pStyle w:val="Footnotesection"/>
        <w:spacing w:before="100"/>
        <w:ind w:left="890" w:hanging="890"/>
      </w:pPr>
      <w:r>
        <w:tab/>
        <w:t>[Section 114 inserted by No. 80 of 1987 s. 21; amended by No. 59 of 1991 s. 5; No. 14 of 1996 s. 4; No. 28 of 1996 s. 21; No. 36 of 2007 Sch. 4 cl. 4(6).]</w:t>
      </w:r>
    </w:p>
    <w:p>
      <w:pPr>
        <w:pStyle w:val="Ednotesection"/>
      </w:pPr>
      <w:r>
        <w:t>[</w:t>
      </w:r>
      <w:r>
        <w:rPr>
          <w:b/>
          <w:bCs/>
        </w:rPr>
        <w:t>115.</w:t>
      </w:r>
      <w:r>
        <w:tab/>
        <w:t>Deleted by No. 36 of 2007 Sch. 4 cl. 4(6).]</w:t>
      </w:r>
    </w:p>
    <w:p>
      <w:pPr>
        <w:pStyle w:val="Heading5"/>
        <w:rPr>
          <w:snapToGrid w:val="0"/>
        </w:rPr>
      </w:pPr>
      <w:bookmarkStart w:id="227" w:name="_Toc512323715"/>
      <w:r>
        <w:rPr>
          <w:rStyle w:val="CharSectno"/>
        </w:rPr>
        <w:t>116</w:t>
      </w:r>
      <w:r>
        <w:rPr>
          <w:snapToGrid w:val="0"/>
        </w:rPr>
        <w:t>.</w:t>
      </w:r>
      <w:r>
        <w:rPr>
          <w:snapToGrid w:val="0"/>
        </w:rPr>
        <w:tab/>
        <w:t>Procedure when local government undertakes work</w:t>
      </w:r>
      <w:bookmarkEnd w:id="227"/>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 xml:space="preserve">The work shall be executed promptly, efficiently, and at regular and prescribed intervals, to the satisfaction of the </w:t>
      </w:r>
      <w:r>
        <w:t>Chief Health Officer</w:t>
      </w:r>
      <w:r>
        <w:rPr>
          <w:snapToGrid w:val="0"/>
        </w:rPr>
        <w:t xml:space="preserve">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keepNext/>
        <w:rPr>
          <w:snapToGrid w:val="0"/>
        </w:rPr>
      </w:pPr>
      <w:r>
        <w:rPr>
          <w:snapToGrid w:val="0"/>
        </w:rPr>
        <w:tab/>
        <w:t>(e)</w:t>
      </w:r>
      <w:r>
        <w:rPr>
          <w:snapToGrid w:val="0"/>
        </w:rPr>
        <w:tab/>
        <w:t>In paragraph (d) the</w:t>
      </w:r>
      <w:r>
        <w:rPr>
          <w:b/>
          <w:i/>
          <w:snapToGrid w:val="0"/>
        </w:rPr>
        <w:t xml:space="preserve"> </w:t>
      </w:r>
      <w:r>
        <w:rPr>
          <w:rStyle w:val="CharDefText"/>
        </w:rPr>
        <w:t>person in default</w:t>
      </w:r>
      <w:r>
        <w:rPr>
          <w:snapToGrid w:val="0"/>
        </w:rPr>
        <w:t xml:space="preserve"> means the contractor if the work is being executed by contract, or the officer in charge of the work if it is being executed by the local government.</w:t>
      </w:r>
    </w:p>
    <w:p>
      <w:pPr>
        <w:pStyle w:val="Footnotesection"/>
        <w:ind w:left="890" w:hanging="890"/>
      </w:pPr>
      <w:r>
        <w:tab/>
        <w:t>[Section 116, formerly section 97, renumbered as section 116 by No. 38 of 1933 s. 42; amended by No. 113 of 1965 s. 8(1); No. 102 of 1973 s. 13; No. 28 of 1984 s. 45; No. 80 of 1987 s. 22; No. 14 of 1996 s. 4; No. 19 of 2016 s. 100.]</w:t>
      </w:r>
    </w:p>
    <w:p>
      <w:pPr>
        <w:pStyle w:val="Heading5"/>
        <w:rPr>
          <w:snapToGrid w:val="0"/>
        </w:rPr>
      </w:pPr>
      <w:bookmarkStart w:id="228" w:name="_Toc512323716"/>
      <w:r>
        <w:rPr>
          <w:rStyle w:val="CharSectno"/>
        </w:rPr>
        <w:t>117</w:t>
      </w:r>
      <w:r>
        <w:rPr>
          <w:snapToGrid w:val="0"/>
        </w:rPr>
        <w:t>.</w:t>
      </w:r>
      <w:r>
        <w:rPr>
          <w:snapToGrid w:val="0"/>
        </w:rPr>
        <w:tab/>
        <w:t>Cleansing common courts and passages</w:t>
      </w:r>
      <w:bookmarkEnd w:id="228"/>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ind w:left="890" w:hanging="890"/>
      </w:pPr>
      <w:r>
        <w:tab/>
        <w:t>[Section 117, formerly section 98, renumbered as section 117 by No. 38 of 1933 s. 42; amended by No. 14 of 1996 s. 4; No. 59 of 2004 s. 141.]</w:t>
      </w:r>
    </w:p>
    <w:p>
      <w:pPr>
        <w:pStyle w:val="Ednotesection"/>
      </w:pPr>
      <w:r>
        <w:t>[</w:t>
      </w:r>
      <w:r>
        <w:rPr>
          <w:b/>
          <w:bCs/>
        </w:rPr>
        <w:t>118.</w:t>
      </w:r>
      <w:r>
        <w:tab/>
        <w:t>Deleted by No. 36 of 2007 Sch. 4 cl. 4(6).]</w:t>
      </w:r>
    </w:p>
    <w:p>
      <w:pPr>
        <w:pStyle w:val="Heading5"/>
        <w:rPr>
          <w:snapToGrid w:val="0"/>
        </w:rPr>
      </w:pPr>
      <w:bookmarkStart w:id="229" w:name="_Toc512323717"/>
      <w:r>
        <w:rPr>
          <w:rStyle w:val="CharSectno"/>
        </w:rPr>
        <w:t>119</w:t>
      </w:r>
      <w:r>
        <w:rPr>
          <w:snapToGrid w:val="0"/>
        </w:rPr>
        <w:t>.</w:t>
      </w:r>
      <w:r>
        <w:rPr>
          <w:snapToGrid w:val="0"/>
        </w:rPr>
        <w:tab/>
        <w:t>Reserves for deposit of sewage, rubbish or refuse</w:t>
      </w:r>
      <w:bookmarkEnd w:id="229"/>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 xml:space="preserve">Provided that, in using any land for such purpose, the local government shall in every case conform to the requirements of the </w:t>
      </w:r>
      <w:r>
        <w:t>Chief Health Officer</w:t>
      </w:r>
      <w:r>
        <w:rPr>
          <w:snapToGrid w:val="0"/>
        </w:rPr>
        <w:t>, and if it fails or neglects so to do, then the Governor may revoke his consent, whereupon it shall be unlawful for the local government to use the land for such purpose.</w:t>
      </w:r>
    </w:p>
    <w:p>
      <w:pPr>
        <w:pStyle w:val="Footnotesection"/>
      </w:pPr>
      <w:r>
        <w:tab/>
        <w:t>[Section 119, formerly section 100, renumbered as section 119 by No. 38 of 1933 s. 42; amended by No. 102 of 1973 s. 15; No. 28 of 1984 s. 45; No. 14 of 1996 s. 4; No. 19 of 2016 s. 100.]</w:t>
      </w:r>
    </w:p>
    <w:p>
      <w:pPr>
        <w:pStyle w:val="Heading5"/>
        <w:rPr>
          <w:snapToGrid w:val="0"/>
        </w:rPr>
      </w:pPr>
      <w:bookmarkStart w:id="230" w:name="_Toc512323718"/>
      <w:r>
        <w:rPr>
          <w:rStyle w:val="CharSectno"/>
        </w:rPr>
        <w:t>120</w:t>
      </w:r>
      <w:r>
        <w:rPr>
          <w:snapToGrid w:val="0"/>
        </w:rPr>
        <w:t>.</w:t>
      </w:r>
      <w:r>
        <w:rPr>
          <w:snapToGrid w:val="0"/>
        </w:rPr>
        <w:tab/>
        <w:t>Power to close depots</w:t>
      </w:r>
      <w:bookmarkEnd w:id="230"/>
    </w:p>
    <w:p>
      <w:pPr>
        <w:pStyle w:val="Subsection"/>
        <w:rPr>
          <w:snapToGrid w:val="0"/>
        </w:rPr>
      </w:pPr>
      <w:r>
        <w:rPr>
          <w:snapToGrid w:val="0"/>
        </w:rPr>
        <w:tab/>
        <w:t>(1)</w:t>
      </w:r>
      <w:r>
        <w:rPr>
          <w:snapToGrid w:val="0"/>
        </w:rPr>
        <w:tab/>
        <w:t xml:space="preserve">The </w:t>
      </w:r>
      <w:r>
        <w:t>Chief Health Officer</w:t>
      </w:r>
      <w:r>
        <w:rPr>
          <w:snapToGrid w:val="0"/>
        </w:rPr>
        <w:t xml:space="preserve">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 xml:space="preserve">Where the </w:t>
      </w:r>
      <w:r>
        <w:t>Chief Health Officer</w:t>
      </w:r>
      <w:r>
        <w:rPr>
          <w:snapToGrid w:val="0"/>
        </w:rPr>
        <w:t xml:space="preserve"> makes an order prohibiting the further use of any such place, he may also order the surface of such place to be covered with a layer of clean earth, not less than 230 mm in depth.</w:t>
      </w:r>
    </w:p>
    <w:p>
      <w:pPr>
        <w:pStyle w:val="Subsection"/>
        <w:rPr>
          <w:snapToGrid w:val="0"/>
        </w:rPr>
      </w:pPr>
      <w:r>
        <w:rPr>
          <w:snapToGrid w:val="0"/>
        </w:rPr>
        <w:tab/>
        <w:t>(4)</w:t>
      </w:r>
      <w:r>
        <w:rPr>
          <w:snapToGrid w:val="0"/>
        </w:rPr>
        <w:tab/>
        <w:t xml:space="preserve">It shall be the duty of the owner of such place, and of any person, local government, or other authority by whom such place shall have been used for the deposit of sewage, refuse matter, or rubbish, to carry out the order of the </w:t>
      </w:r>
      <w:r>
        <w:t>Chief Health Officer</w:t>
      </w:r>
      <w:r>
        <w:rPr>
          <w:snapToGrid w:val="0"/>
        </w:rPr>
        <w:t>.</w:t>
      </w:r>
    </w:p>
    <w:p>
      <w:pPr>
        <w:pStyle w:val="Footnotesection"/>
        <w:keepLines w:val="0"/>
        <w:ind w:left="890" w:hanging="890"/>
      </w:pPr>
      <w:r>
        <w:tab/>
        <w:t>[Section 120, formerly section 101, amended by No. 17 of 1918 s. 12; renumbered as section 120 by No. 38 of 1933 s. 42; amended by No. 94 of 1972 s. 4(1) (as amended by No. 93 of 1973 s. 4); No. 102 of 1973 s. 16; No. 28 of 1984 s. 45; No. 80 of 1987 s. 23; No. 14 of 1996 s. 4; No. 19 of 2016 s. 100.]</w:t>
      </w:r>
    </w:p>
    <w:p>
      <w:pPr>
        <w:pStyle w:val="Heading5"/>
        <w:spacing w:before="180"/>
        <w:rPr>
          <w:snapToGrid w:val="0"/>
        </w:rPr>
      </w:pPr>
      <w:bookmarkStart w:id="231" w:name="_Toc512323719"/>
      <w:r>
        <w:rPr>
          <w:rStyle w:val="CharSectno"/>
        </w:rPr>
        <w:t>121</w:t>
      </w:r>
      <w:r>
        <w:rPr>
          <w:snapToGrid w:val="0"/>
        </w:rPr>
        <w:t>.</w:t>
      </w:r>
      <w:r>
        <w:rPr>
          <w:snapToGrid w:val="0"/>
        </w:rPr>
        <w:tab/>
        <w:t>Building on sanitary depots</w:t>
      </w:r>
      <w:bookmarkEnd w:id="231"/>
    </w:p>
    <w:p>
      <w:pPr>
        <w:pStyle w:val="Subsection"/>
        <w:spacing w:before="120"/>
        <w:rPr>
          <w:snapToGrid w:val="0"/>
        </w:rPr>
      </w:pPr>
      <w:r>
        <w:rPr>
          <w:snapToGrid w:val="0"/>
        </w:rPr>
        <w:tab/>
        <w:t>(1)</w:t>
      </w:r>
      <w:r>
        <w:rPr>
          <w:snapToGrid w:val="0"/>
        </w:rPr>
        <w:tab/>
        <w:t xml:space="preserve">The </w:t>
      </w:r>
      <w:r>
        <w:t>Chief Health Officer</w:t>
      </w:r>
      <w:r>
        <w:rPr>
          <w:snapToGrid w:val="0"/>
        </w:rPr>
        <w:t xml:space="preserve"> may order that no building shall be erected on any such place until the whole surface is rendered impervious by asphalt or other means.</w:t>
      </w:r>
    </w:p>
    <w:p>
      <w:pPr>
        <w:pStyle w:val="Subsection"/>
        <w:spacing w:before="120"/>
        <w:rPr>
          <w:snapToGrid w:val="0"/>
        </w:rPr>
      </w:pPr>
      <w:r>
        <w:rPr>
          <w:snapToGrid w:val="0"/>
        </w:rPr>
        <w:tab/>
        <w:t>(2)</w:t>
      </w:r>
      <w:r>
        <w:rPr>
          <w:snapToGrid w:val="0"/>
        </w:rPr>
        <w:tab/>
        <w:t xml:space="preserve">Any person who, without the consent of the </w:t>
      </w:r>
      <w:r>
        <w:t>Chief Health Officer</w:t>
      </w:r>
      <w:r>
        <w:rPr>
          <w:snapToGrid w:val="0"/>
        </w:rPr>
        <w:t>, erects any building on such place, and who fails to remove the same when ordered so to do, commits an offence.</w:t>
      </w:r>
    </w:p>
    <w:p>
      <w:pPr>
        <w:pStyle w:val="Footnotesection"/>
      </w:pPr>
      <w:r>
        <w:tab/>
        <w:t>[Section 121, formerly section 102, renumbered as section 121 by No. 38 of 1933 s. 42; amended by No. 113 of 1965 s. 8(1); No. 28 of 1984 s. 45; No. 80 of 1987 s. 24; No. 19 of 2016 s. 100.]</w:t>
      </w:r>
    </w:p>
    <w:p>
      <w:pPr>
        <w:pStyle w:val="Heading5"/>
        <w:spacing w:before="180"/>
        <w:rPr>
          <w:snapToGrid w:val="0"/>
        </w:rPr>
      </w:pPr>
      <w:bookmarkStart w:id="232" w:name="_Toc512323720"/>
      <w:r>
        <w:rPr>
          <w:rStyle w:val="CharSectno"/>
        </w:rPr>
        <w:t>122</w:t>
      </w:r>
      <w:r>
        <w:rPr>
          <w:snapToGrid w:val="0"/>
        </w:rPr>
        <w:t>.</w:t>
      </w:r>
      <w:r>
        <w:rPr>
          <w:snapToGrid w:val="0"/>
        </w:rPr>
        <w:tab/>
        <w:t>Provision for obtaining order for cleansing offensive watercourse or ditch on boundaries of districts</w:t>
      </w:r>
      <w:bookmarkEnd w:id="232"/>
    </w:p>
    <w:p>
      <w:pPr>
        <w:pStyle w:val="Subsection"/>
        <w:spacing w:before="120"/>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 xml:space="preserve">On the application of the </w:t>
      </w:r>
      <w:r>
        <w:t>Chief Health Officer</w:t>
      </w:r>
      <w:r>
        <w:rPr>
          <w:snapToGrid w:val="0"/>
        </w:rPr>
        <w:t xml:space="preserve">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spacing w:before="60"/>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spacing w:before="60"/>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spacing w:before="60"/>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spacing w:before="60"/>
        <w:rPr>
          <w:snapToGrid w:val="0"/>
        </w:rPr>
      </w:pPr>
      <w:r>
        <w:rPr>
          <w:snapToGrid w:val="0"/>
        </w:rPr>
        <w:tab/>
        <w:t>(d)</w:t>
      </w:r>
      <w:r>
        <w:rPr>
          <w:snapToGrid w:val="0"/>
        </w:rPr>
        <w:tab/>
        <w:t>prohibit the recurrence of the defect;</w:t>
      </w:r>
    </w:p>
    <w:p>
      <w:pPr>
        <w:pStyle w:val="Indenti"/>
        <w:spacing w:before="60"/>
        <w:rPr>
          <w:snapToGrid w:val="0"/>
        </w:rPr>
      </w:pPr>
      <w:r>
        <w:rPr>
          <w:snapToGrid w:val="0"/>
        </w:rPr>
        <w:tab/>
        <w:t>(e)</w:t>
      </w:r>
      <w:r>
        <w:rPr>
          <w:snapToGrid w:val="0"/>
        </w:rPr>
        <w:tab/>
        <w:t>give such other directions in the premises as it thinks fit.</w:t>
      </w:r>
    </w:p>
    <w:p>
      <w:pPr>
        <w:pStyle w:val="Indenta"/>
        <w:keepNext/>
        <w:keepLines/>
        <w:spacing w:before="160"/>
        <w:rPr>
          <w:snapToGrid w:val="0"/>
        </w:rPr>
      </w:pPr>
      <w:r>
        <w:rPr>
          <w:snapToGrid w:val="0"/>
        </w:rPr>
        <w:tab/>
        <w:t>(3)</w:t>
      </w:r>
      <w:r>
        <w:rPr>
          <w:snapToGrid w:val="0"/>
        </w:rPr>
        <w:tab/>
        <w:t xml:space="preserve">The court’s order may be varied or amended from time to time by subsequent order made by it on the application of the </w:t>
      </w:r>
      <w:r>
        <w:t>Chief Health Officer</w:t>
      </w:r>
      <w:r>
        <w:rPr>
          <w:snapToGrid w:val="0"/>
        </w:rPr>
        <w:t xml:space="preserve"> or any of the local governments, and after summons to show cause.</w:t>
      </w:r>
    </w:p>
    <w:p>
      <w:pPr>
        <w:pStyle w:val="Indenta"/>
        <w:spacing w:before="160"/>
        <w:rPr>
          <w:snapToGrid w:val="0"/>
        </w:rPr>
      </w:pPr>
      <w:r>
        <w:rPr>
          <w:snapToGrid w:val="0"/>
        </w:rPr>
        <w:tab/>
        <w:t>(4)</w:t>
      </w:r>
      <w:r>
        <w:rPr>
          <w:snapToGrid w:val="0"/>
        </w:rPr>
        <w:tab/>
        <w:t>Every order made by the court under this section shall, according to its tenor, bind all the local governments concerned.</w:t>
      </w:r>
    </w:p>
    <w:p>
      <w:pPr>
        <w:pStyle w:val="Indenta"/>
        <w:spacing w:before="160"/>
        <w:rPr>
          <w:snapToGrid w:val="0"/>
        </w:rPr>
      </w:pPr>
      <w:r>
        <w:rPr>
          <w:snapToGrid w:val="0"/>
        </w:rPr>
        <w:tab/>
        <w:t>(5)</w:t>
      </w:r>
      <w:r>
        <w:rPr>
          <w:snapToGrid w:val="0"/>
        </w:rPr>
        <w:tab/>
        <w:t xml:space="preserve">The </w:t>
      </w:r>
      <w:r>
        <w:t>Chief Health Officer</w:t>
      </w:r>
      <w:r>
        <w:rPr>
          <w:snapToGrid w:val="0"/>
        </w:rPr>
        <w:t xml:space="preserve"> may appoint an engineer or other competent person to supervise the execution of the works, and the expenses of such supervision shall be deemed to be part of the cost of the works.</w:t>
      </w:r>
    </w:p>
    <w:p>
      <w:pPr>
        <w:pStyle w:val="Indenta"/>
        <w:spacing w:before="160"/>
        <w:rPr>
          <w:snapToGrid w:val="0"/>
        </w:rPr>
      </w:pPr>
      <w:r>
        <w:rPr>
          <w:snapToGrid w:val="0"/>
        </w:rPr>
        <w:tab/>
        <w:t>(6)</w:t>
      </w:r>
      <w:r>
        <w:rPr>
          <w:snapToGrid w:val="0"/>
        </w:rPr>
        <w:tab/>
        <w:t xml:space="preserve">The works shall be executed with all reasonable diligence, and to the satisfaction of the </w:t>
      </w:r>
      <w:r>
        <w:t>Chief Health Officer</w:t>
      </w:r>
      <w:r>
        <w:rPr>
          <w:snapToGrid w:val="0"/>
        </w:rPr>
        <w:t xml:space="preserve"> or the person appointed to supervise as aforesaid; and if default is made in so doing, the </w:t>
      </w:r>
      <w:r>
        <w:t>Chief Health Officer</w:t>
      </w:r>
      <w:r>
        <w:rPr>
          <w:snapToGrid w:val="0"/>
        </w:rPr>
        <w:t xml:space="preserve"> may cause the works or any portion thereof to be executed at the cost in all things of the local government in default.</w:t>
      </w:r>
    </w:p>
    <w:p>
      <w:pPr>
        <w:pStyle w:val="Indenta"/>
        <w:spacing w:before="160"/>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spacing w:before="160"/>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spacing w:before="160"/>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ind w:left="890" w:hanging="890"/>
      </w:pPr>
      <w:r>
        <w:tab/>
        <w:t>[Section 122, formerly section 103, renumbered as section 122 by No. 38 of 1933 s. 42; amended by No. 28 of 1984 s. 45; No. 14 of 1996 s. 4; No. 59 of 2004 s. 141; No. 19 of 2016 s. 100.]</w:t>
      </w:r>
    </w:p>
    <w:p>
      <w:pPr>
        <w:pStyle w:val="Heading5"/>
        <w:rPr>
          <w:snapToGrid w:val="0"/>
        </w:rPr>
      </w:pPr>
      <w:bookmarkStart w:id="233" w:name="_Toc512323721"/>
      <w:r>
        <w:rPr>
          <w:rStyle w:val="CharSectno"/>
        </w:rPr>
        <w:t>123</w:t>
      </w:r>
      <w:r>
        <w:rPr>
          <w:snapToGrid w:val="0"/>
        </w:rPr>
        <w:t>.</w:t>
      </w:r>
      <w:r>
        <w:rPr>
          <w:snapToGrid w:val="0"/>
        </w:rPr>
        <w:tab/>
        <w:t>Access to sanitary reserves</w:t>
      </w:r>
      <w:bookmarkEnd w:id="233"/>
    </w:p>
    <w:p>
      <w:pPr>
        <w:pStyle w:val="Subsection"/>
        <w:rPr>
          <w:snapToGrid w:val="0"/>
        </w:rPr>
      </w:pPr>
      <w:r>
        <w:rPr>
          <w:snapToGrid w:val="0"/>
        </w:rPr>
        <w:tab/>
      </w:r>
      <w:r>
        <w:rPr>
          <w:snapToGrid w:val="0"/>
        </w:rPr>
        <w:tab/>
        <w:t>The local government may, with the approval of the Chief Health Officer, apply its funds in the construction and maintenance of roads or tramways outside its district so far as necessary to afford access to any sanitary reserve.</w:t>
      </w:r>
    </w:p>
    <w:p>
      <w:pPr>
        <w:pStyle w:val="Footnotesection"/>
        <w:ind w:left="890" w:hanging="890"/>
      </w:pPr>
      <w:r>
        <w:tab/>
        <w:t>[Section 123, formerly section 104, renumbered as section 123 by No. 38 of 1933 s. 42; amended by No. 28 of 1984 s. 45; No. 14 of 1996 s. 4; No. 19 of 2016 s. 100.]</w:t>
      </w:r>
    </w:p>
    <w:p>
      <w:pPr>
        <w:pStyle w:val="Ednotedivision"/>
      </w:pPr>
      <w:r>
        <w:t>[Division 6</w:t>
      </w:r>
      <w:r>
        <w:rPr>
          <w:b/>
        </w:rPr>
        <w:t xml:space="preserve"> </w:t>
      </w:r>
      <w:r>
        <w:t>(124-128) deleted by No. 19 of 2016 s. 11.]</w:t>
      </w:r>
    </w:p>
    <w:p>
      <w:pPr>
        <w:pStyle w:val="Heading3"/>
      </w:pPr>
      <w:bookmarkStart w:id="234" w:name="_Toc498001106"/>
      <w:bookmarkStart w:id="235" w:name="_Toc498001436"/>
      <w:bookmarkStart w:id="236" w:name="_Toc498003088"/>
      <w:bookmarkStart w:id="237" w:name="_Toc498004099"/>
      <w:bookmarkStart w:id="238" w:name="_Toc499029502"/>
      <w:bookmarkStart w:id="239" w:name="_Toc501098570"/>
      <w:bookmarkStart w:id="240" w:name="_Toc501101493"/>
      <w:bookmarkStart w:id="241" w:name="_Toc501116015"/>
      <w:bookmarkStart w:id="242" w:name="_Toc501117276"/>
      <w:bookmarkStart w:id="243" w:name="_Toc501698683"/>
      <w:bookmarkStart w:id="244" w:name="_Toc512323722"/>
      <w:r>
        <w:rPr>
          <w:rStyle w:val="CharDivNo"/>
        </w:rPr>
        <w:t>Division 7</w:t>
      </w:r>
      <w:r>
        <w:rPr>
          <w:snapToGrid w:val="0"/>
        </w:rPr>
        <w:t> — </w:t>
      </w:r>
      <w:r>
        <w:rPr>
          <w:rStyle w:val="CharDivText"/>
        </w:rPr>
        <w:t>Pollution of water</w:t>
      </w:r>
      <w:bookmarkEnd w:id="234"/>
      <w:bookmarkEnd w:id="235"/>
      <w:bookmarkEnd w:id="236"/>
      <w:bookmarkEnd w:id="237"/>
      <w:bookmarkEnd w:id="238"/>
      <w:bookmarkEnd w:id="239"/>
      <w:bookmarkEnd w:id="240"/>
      <w:bookmarkEnd w:id="241"/>
      <w:bookmarkEnd w:id="242"/>
      <w:bookmarkEnd w:id="243"/>
      <w:bookmarkEnd w:id="244"/>
    </w:p>
    <w:p>
      <w:pPr>
        <w:pStyle w:val="Heading5"/>
        <w:rPr>
          <w:snapToGrid w:val="0"/>
        </w:rPr>
      </w:pPr>
      <w:bookmarkStart w:id="245" w:name="_Toc512323723"/>
      <w:r>
        <w:rPr>
          <w:rStyle w:val="CharSectno"/>
        </w:rPr>
        <w:t>129</w:t>
      </w:r>
      <w:r>
        <w:rPr>
          <w:snapToGrid w:val="0"/>
        </w:rPr>
        <w:t>.</w:t>
      </w:r>
      <w:r>
        <w:rPr>
          <w:snapToGrid w:val="0"/>
        </w:rPr>
        <w:tab/>
        <w:t>Pollution of water supply</w:t>
      </w:r>
      <w:bookmarkEnd w:id="245"/>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keepNext/>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spacing w:before="160"/>
      </w:pPr>
      <w:r>
        <w:rPr>
          <w:b/>
        </w:rPr>
        <w:tab/>
      </w:r>
      <w:r>
        <w:rPr>
          <w:rStyle w:val="CharDefText"/>
        </w:rPr>
        <w:t>Water supply</w:t>
      </w:r>
      <w:r>
        <w:t xml:space="preserve"> in this Division includes any river, stream, watercourse, creek, swamp, water</w:t>
      </w:r>
      <w:r>
        <w:noBreakHyphen/>
        <w:t>hole, well, tank, lake, or reservoir containing water intended or available for human consumption.</w:t>
      </w:r>
    </w:p>
    <w:p>
      <w:pPr>
        <w:pStyle w:val="Footnotesection"/>
        <w:spacing w:before="100"/>
        <w:ind w:left="890" w:hanging="890"/>
      </w:pPr>
      <w:r>
        <w:tab/>
        <w:t>[Section 129, formerly section 110, amended by No. 17 of 1918 s. 13; renumbered as section 129 by No. 38 of 1933 s. 42; amended by No. 113 of 1965 s. 8(1); No. 80 of 1987 s. 26.]</w:t>
      </w:r>
    </w:p>
    <w:p>
      <w:pPr>
        <w:pStyle w:val="Heading5"/>
        <w:rPr>
          <w:snapToGrid w:val="0"/>
        </w:rPr>
      </w:pPr>
      <w:bookmarkStart w:id="246" w:name="_Toc512323724"/>
      <w:r>
        <w:rPr>
          <w:rStyle w:val="CharSectno"/>
        </w:rPr>
        <w:t>130</w:t>
      </w:r>
      <w:r>
        <w:rPr>
          <w:snapToGrid w:val="0"/>
        </w:rPr>
        <w:t>.</w:t>
      </w:r>
      <w:r>
        <w:rPr>
          <w:snapToGrid w:val="0"/>
        </w:rPr>
        <w:tab/>
        <w:t>Riparian rights</w:t>
      </w:r>
      <w:bookmarkEnd w:id="246"/>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ind w:left="890" w:hanging="890"/>
      </w:pPr>
      <w:r>
        <w:tab/>
        <w:t>[Section 130, formerly section 111, renumbered as section 130 by No. 38 of 1933 s. 42; amended by No. 14 of 1996 s. 4.]</w:t>
      </w:r>
    </w:p>
    <w:p>
      <w:pPr>
        <w:pStyle w:val="Heading5"/>
        <w:rPr>
          <w:snapToGrid w:val="0"/>
        </w:rPr>
      </w:pPr>
      <w:bookmarkStart w:id="247" w:name="_Toc512323725"/>
      <w:r>
        <w:rPr>
          <w:rStyle w:val="CharSectno"/>
        </w:rPr>
        <w:t>131</w:t>
      </w:r>
      <w:r>
        <w:rPr>
          <w:snapToGrid w:val="0"/>
        </w:rPr>
        <w:t>.</w:t>
      </w:r>
      <w:r>
        <w:rPr>
          <w:snapToGrid w:val="0"/>
        </w:rPr>
        <w:tab/>
        <w:t>Sources of water supply may be closed</w:t>
      </w:r>
      <w:bookmarkEnd w:id="247"/>
    </w:p>
    <w:p>
      <w:pPr>
        <w:pStyle w:val="Subsection"/>
        <w:rPr>
          <w:snapToGrid w:val="0"/>
        </w:rPr>
      </w:pPr>
      <w:r>
        <w:rPr>
          <w:snapToGrid w:val="0"/>
        </w:rPr>
        <w:tab/>
        <w:t>(1)</w:t>
      </w:r>
      <w:r>
        <w:rPr>
          <w:snapToGrid w:val="0"/>
        </w:rPr>
        <w:tab/>
        <w:t xml:space="preserve">The local government may, and if so required by the </w:t>
      </w:r>
      <w:r>
        <w:t>Chief Health Officer</w:t>
      </w:r>
      <w:r>
        <w:rPr>
          <w:snapToGrid w:val="0"/>
        </w:rPr>
        <w:t xml:space="preserve"> shall, direct that any water supply, which in the opinion of </w:t>
      </w:r>
      <w:r>
        <w:t>the Chief Health Officer</w:t>
      </w:r>
      <w:r>
        <w:rPr>
          <w:snapToGrid w:val="0"/>
        </w:rPr>
        <w:t>,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 xml:space="preserve">When any water supply has been directed to be closed the local government may, and shall, if the </w:t>
      </w:r>
      <w:r>
        <w:t>Chief Health Officer</w:t>
      </w:r>
      <w:r>
        <w:rPr>
          <w:snapToGrid w:val="0"/>
        </w:rPr>
        <w:t xml:space="preserve"> so directs, take all such steps, whether by filling in the water supply or otherwise, as shall be necessary to prevent the further use of such supply.</w:t>
      </w:r>
    </w:p>
    <w:p>
      <w:pPr>
        <w:pStyle w:val="Footnotesection"/>
        <w:ind w:left="890" w:hanging="890"/>
      </w:pPr>
      <w:r>
        <w:tab/>
        <w:t>[Section 131, formerly section 112, amended by No. 17 of 1918 s. 14; renumbered as section 131 by No. 38 of 1933 s. 42; amended by No. 28 of 1984 s. 45; No. 80 of 1987 s. 27; No. 14 of 1996 s. 4; No. 19 of 2016 s. 99 and 100.]</w:t>
      </w:r>
    </w:p>
    <w:p>
      <w:pPr>
        <w:pStyle w:val="Heading5"/>
        <w:rPr>
          <w:snapToGrid w:val="0"/>
        </w:rPr>
      </w:pPr>
      <w:bookmarkStart w:id="248" w:name="_Toc512323726"/>
      <w:r>
        <w:rPr>
          <w:rStyle w:val="CharSectno"/>
        </w:rPr>
        <w:t>132</w:t>
      </w:r>
      <w:r>
        <w:rPr>
          <w:snapToGrid w:val="0"/>
        </w:rPr>
        <w:t>.</w:t>
      </w:r>
      <w:r>
        <w:rPr>
          <w:snapToGrid w:val="0"/>
        </w:rPr>
        <w:tab/>
        <w:t>Power to seize and destroy pigs etc. trespassing on rivers etc.</w:t>
      </w:r>
      <w:bookmarkEnd w:id="248"/>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ind w:left="890" w:hanging="890"/>
      </w:pPr>
      <w:r>
        <w:tab/>
        <w:t>[Section 132, formerly section 113, amended by No. 30 of 1932 s. 19; renumbered as section 132 by No. 38 of 1933 s. 42; amended by No. 80 of 1987 s. 28; No. 14 of 1996 s. 4.]</w:t>
      </w:r>
    </w:p>
    <w:p>
      <w:pPr>
        <w:pStyle w:val="Heading3"/>
      </w:pPr>
      <w:bookmarkStart w:id="249" w:name="_Toc498001111"/>
      <w:bookmarkStart w:id="250" w:name="_Toc498001441"/>
      <w:bookmarkStart w:id="251" w:name="_Toc498003093"/>
      <w:bookmarkStart w:id="252" w:name="_Toc498004104"/>
      <w:bookmarkStart w:id="253" w:name="_Toc499029507"/>
      <w:bookmarkStart w:id="254" w:name="_Toc501098575"/>
      <w:bookmarkStart w:id="255" w:name="_Toc501101498"/>
      <w:bookmarkStart w:id="256" w:name="_Toc501116020"/>
      <w:bookmarkStart w:id="257" w:name="_Toc501117281"/>
      <w:bookmarkStart w:id="258" w:name="_Toc501698688"/>
      <w:bookmarkStart w:id="259" w:name="_Toc512323727"/>
      <w:r>
        <w:rPr>
          <w:rStyle w:val="CharDivNo"/>
        </w:rPr>
        <w:t>Division 8</w:t>
      </w:r>
      <w:r>
        <w:rPr>
          <w:snapToGrid w:val="0"/>
        </w:rPr>
        <w:t> — </w:t>
      </w:r>
      <w:r>
        <w:rPr>
          <w:rStyle w:val="CharDivText"/>
        </w:rPr>
        <w:t>Morgues</w:t>
      </w:r>
      <w:bookmarkEnd w:id="249"/>
      <w:bookmarkEnd w:id="250"/>
      <w:bookmarkEnd w:id="251"/>
      <w:bookmarkEnd w:id="252"/>
      <w:bookmarkEnd w:id="253"/>
      <w:bookmarkEnd w:id="254"/>
      <w:bookmarkEnd w:id="255"/>
      <w:bookmarkEnd w:id="256"/>
      <w:bookmarkEnd w:id="257"/>
      <w:bookmarkEnd w:id="258"/>
      <w:bookmarkEnd w:id="259"/>
    </w:p>
    <w:p>
      <w:pPr>
        <w:pStyle w:val="Heading5"/>
        <w:rPr>
          <w:snapToGrid w:val="0"/>
        </w:rPr>
      </w:pPr>
      <w:bookmarkStart w:id="260" w:name="_Toc512323728"/>
      <w:r>
        <w:rPr>
          <w:rStyle w:val="CharSectno"/>
        </w:rPr>
        <w:t>133</w:t>
      </w:r>
      <w:r>
        <w:rPr>
          <w:snapToGrid w:val="0"/>
        </w:rPr>
        <w:t>.</w:t>
      </w:r>
      <w:r>
        <w:rPr>
          <w:snapToGrid w:val="0"/>
        </w:rPr>
        <w:tab/>
        <w:t>Local government may license morgues</w:t>
      </w:r>
      <w:bookmarkEnd w:id="260"/>
    </w:p>
    <w:p>
      <w:pPr>
        <w:pStyle w:val="Subsection"/>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keepNext/>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ind w:left="890" w:hanging="890"/>
      </w:pPr>
      <w:r>
        <w:tab/>
        <w:t>[Section 133, formerly section 114, renumbered as section 133 by No. 38 of 1933 s. 42; amended by No. 113 of 1965 s. 8(1); No. 80 of 1987 s. 29; No. 14 of 1996 s. 4.]</w:t>
      </w:r>
    </w:p>
    <w:p>
      <w:pPr>
        <w:pStyle w:val="Heading3"/>
        <w:keepLines/>
        <w:rPr>
          <w:snapToGrid w:val="0"/>
        </w:rPr>
      </w:pPr>
      <w:bookmarkStart w:id="261" w:name="_Toc498001113"/>
      <w:bookmarkStart w:id="262" w:name="_Toc498001443"/>
      <w:bookmarkStart w:id="263" w:name="_Toc498003095"/>
      <w:bookmarkStart w:id="264" w:name="_Toc498004106"/>
      <w:bookmarkStart w:id="265" w:name="_Toc499029509"/>
      <w:bookmarkStart w:id="266" w:name="_Toc501098577"/>
      <w:bookmarkStart w:id="267" w:name="_Toc501101500"/>
      <w:bookmarkStart w:id="268" w:name="_Toc501116022"/>
      <w:bookmarkStart w:id="269" w:name="_Toc501117283"/>
      <w:bookmarkStart w:id="270" w:name="_Toc501698690"/>
      <w:bookmarkStart w:id="271" w:name="_Toc512323729"/>
      <w:r>
        <w:rPr>
          <w:rStyle w:val="CharDivNo"/>
        </w:rPr>
        <w:t>Division 9</w:t>
      </w:r>
      <w:r>
        <w:rPr>
          <w:snapToGrid w:val="0"/>
        </w:rPr>
        <w:t> — </w:t>
      </w:r>
      <w:r>
        <w:rPr>
          <w:rStyle w:val="CharDivText"/>
        </w:rPr>
        <w:t>Local laws</w:t>
      </w:r>
      <w:bookmarkEnd w:id="261"/>
      <w:bookmarkEnd w:id="262"/>
      <w:bookmarkEnd w:id="263"/>
      <w:bookmarkEnd w:id="264"/>
      <w:bookmarkEnd w:id="265"/>
      <w:bookmarkEnd w:id="266"/>
      <w:bookmarkEnd w:id="267"/>
      <w:bookmarkEnd w:id="268"/>
      <w:bookmarkEnd w:id="269"/>
      <w:bookmarkEnd w:id="270"/>
      <w:bookmarkEnd w:id="271"/>
    </w:p>
    <w:p>
      <w:pPr>
        <w:pStyle w:val="Footnoteheading"/>
        <w:keepNext/>
        <w:keepLines/>
        <w:ind w:left="890" w:hanging="890"/>
        <w:rPr>
          <w:snapToGrid w:val="0"/>
        </w:rPr>
      </w:pPr>
      <w:r>
        <w:rPr>
          <w:snapToGrid w:val="0"/>
        </w:rPr>
        <w:tab/>
        <w:t>[Heading amended by</w:t>
      </w:r>
      <w:r>
        <w:t xml:space="preserve"> </w:t>
      </w:r>
      <w:r>
        <w:rPr>
          <w:snapToGrid w:val="0"/>
        </w:rPr>
        <w:t>No. 14 of 1996 s. 4.]</w:t>
      </w:r>
    </w:p>
    <w:p>
      <w:pPr>
        <w:pStyle w:val="Heading5"/>
        <w:rPr>
          <w:snapToGrid w:val="0"/>
        </w:rPr>
      </w:pPr>
      <w:bookmarkStart w:id="272" w:name="_Toc512323730"/>
      <w:r>
        <w:rPr>
          <w:rStyle w:val="CharSectno"/>
        </w:rPr>
        <w:t>134</w:t>
      </w:r>
      <w:r>
        <w:rPr>
          <w:snapToGrid w:val="0"/>
        </w:rPr>
        <w:t>.</w:t>
      </w:r>
      <w:r>
        <w:rPr>
          <w:snapToGrid w:val="0"/>
        </w:rPr>
        <w:tab/>
        <w:t>Purposes for which local laws may be made</w:t>
      </w:r>
      <w:bookmarkEnd w:id="272"/>
    </w:p>
    <w:p>
      <w:pPr>
        <w:pStyle w:val="Subsection"/>
        <w:rPr>
          <w:snapToGrid w:val="0"/>
        </w:rPr>
      </w:pPr>
      <w:r>
        <w:rPr>
          <w:snapToGrid w:val="0"/>
        </w:rPr>
        <w:tab/>
      </w:r>
      <w:r>
        <w:rPr>
          <w:snapToGrid w:val="0"/>
        </w:rPr>
        <w:tab/>
        <w:t>Local laws may be made in accordance with Part XIV for all or any of the following purposes:</w:t>
      </w:r>
    </w:p>
    <w:p>
      <w:pPr>
        <w:pStyle w:val="Indenta"/>
        <w:spacing w:before="10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10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spacing w:before="100"/>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spacing w:before="100"/>
        <w:rPr>
          <w:snapToGrid w:val="0"/>
        </w:rPr>
      </w:pPr>
      <w:r>
        <w:rPr>
          <w:snapToGrid w:val="0"/>
        </w:rPr>
        <w:tab/>
        <w:t>(3)</w:t>
      </w:r>
      <w:r>
        <w:rPr>
          <w:snapToGrid w:val="0"/>
        </w:rPr>
        <w:tab/>
        <w:t>Prescribing the purposes for which any drains or sewers shall be used or applied.</w:t>
      </w:r>
    </w:p>
    <w:p>
      <w:pPr>
        <w:pStyle w:val="Indenta"/>
        <w:spacing w:before="100"/>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spacing w:before="100"/>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spacing w:before="100"/>
        <w:rPr>
          <w:snapToGrid w:val="0"/>
        </w:rPr>
      </w:pPr>
      <w:r>
        <w:rPr>
          <w:snapToGrid w:val="0"/>
        </w:rPr>
        <w:tab/>
        <w:t>(6)</w:t>
      </w:r>
      <w:r>
        <w:rPr>
          <w:snapToGrid w:val="0"/>
        </w:rPr>
        <w:tab/>
        <w:t>Prescribing the fees payable for tapping the mains or connecting with the sewers of the local government.</w:t>
      </w:r>
    </w:p>
    <w:p>
      <w:pPr>
        <w:pStyle w:val="Indenta"/>
        <w:spacing w:before="100"/>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spacing w:before="100"/>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spacing w:before="100"/>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100"/>
        <w:ind w:left="1610" w:hanging="1610"/>
      </w:pPr>
      <w:r>
        <w:tab/>
        <w:t>[(10), (11)</w:t>
      </w:r>
      <w:r>
        <w:tab/>
        <w:t>deleted]</w:t>
      </w:r>
    </w:p>
    <w:p>
      <w:pPr>
        <w:pStyle w:val="Indenta"/>
        <w:spacing w:before="100"/>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spacing w:before="100"/>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spacing w:before="100"/>
        <w:rPr>
          <w:snapToGrid w:val="0"/>
        </w:rPr>
      </w:pPr>
      <w:r>
        <w:rPr>
          <w:snapToGrid w:val="0"/>
        </w:rPr>
        <w:tab/>
        <w:t>(14)</w:t>
      </w:r>
      <w:r>
        <w:rPr>
          <w:snapToGrid w:val="0"/>
        </w:rPr>
        <w:tab/>
        <w:t>The provision of water for sanitation purposes by either of the following methods, namely —</w:t>
      </w:r>
    </w:p>
    <w:p>
      <w:pPr>
        <w:pStyle w:val="Indenti"/>
        <w:spacing w:before="100"/>
        <w:rPr>
          <w:snapToGrid w:val="0"/>
        </w:rPr>
      </w:pPr>
      <w:r>
        <w:rPr>
          <w:snapToGrid w:val="0"/>
        </w:rPr>
        <w:tab/>
        <w:t>(i)</w:t>
      </w:r>
      <w:r>
        <w:rPr>
          <w:snapToGrid w:val="0"/>
        </w:rPr>
        <w:tab/>
        <w:t>the supply of water from established water supplies and the reticulation thereof to bathrooms, kitchens and laundries; or</w:t>
      </w:r>
    </w:p>
    <w:p>
      <w:pPr>
        <w:pStyle w:val="Indenti"/>
        <w:spacing w:before="100"/>
        <w:rPr>
          <w:snapToGrid w:val="0"/>
        </w:rPr>
      </w:pPr>
      <w:r>
        <w:rPr>
          <w:snapToGrid w:val="0"/>
        </w:rPr>
        <w:tab/>
        <w:t>(ii)</w:t>
      </w:r>
      <w:r>
        <w:rPr>
          <w:snapToGrid w:val="0"/>
        </w:rPr>
        <w:tab/>
        <w:t>the provision of wells and equipment; or</w:t>
      </w:r>
    </w:p>
    <w:p>
      <w:pPr>
        <w:pStyle w:val="Indenti"/>
        <w:spacing w:before="100"/>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spacing w:before="100"/>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m</w:t>
      </w:r>
      <w:r>
        <w:rPr>
          <w:snapToGrid w:val="0"/>
          <w:vertAlign w:val="superscript"/>
        </w:rPr>
        <w:t>3</w:t>
      </w:r>
      <w:r>
        <w:rPr>
          <w:snapToGrid w:val="0"/>
        </w:rPr>
        <w:t>.</w:t>
      </w:r>
    </w:p>
    <w:p>
      <w:pPr>
        <w:pStyle w:val="Indenta"/>
        <w:spacing w:before="100"/>
        <w:rPr>
          <w:snapToGrid w:val="0"/>
        </w:rPr>
      </w:pPr>
      <w:r>
        <w:rPr>
          <w:snapToGrid w:val="0"/>
        </w:rPr>
        <w:tab/>
        <w:t>(15)</w:t>
      </w:r>
      <w:r>
        <w:rPr>
          <w:snapToGrid w:val="0"/>
        </w:rPr>
        <w:tab/>
        <w:t>Requiring the foundations of any new building, and the ground on which the same is erected, to be dry, sound, and well drained.</w:t>
      </w:r>
    </w:p>
    <w:p>
      <w:pPr>
        <w:pStyle w:val="Indenta"/>
        <w:spacing w:before="100"/>
        <w:rPr>
          <w:snapToGrid w:val="0"/>
        </w:rPr>
      </w:pPr>
      <w:r>
        <w:rPr>
          <w:snapToGrid w:val="0"/>
        </w:rPr>
        <w:tab/>
        <w:t>(16)</w:t>
      </w:r>
      <w:r>
        <w:rPr>
          <w:snapToGrid w:val="0"/>
        </w:rPr>
        <w:tab/>
        <w:t>The establishment, use, and control of sanitary conveniences for public accommodation.</w:t>
      </w:r>
    </w:p>
    <w:p>
      <w:pPr>
        <w:pStyle w:val="Indenta"/>
        <w:spacing w:before="100"/>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spacing w:before="100"/>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spacing w:before="100"/>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Ednotepara"/>
        <w:spacing w:before="100"/>
        <w:ind w:left="1610" w:hanging="1610"/>
      </w:pPr>
      <w:r>
        <w:tab/>
        <w:t>[(20)-(24)</w:t>
      </w:r>
      <w:r>
        <w:tab/>
        <w:t>deleted]</w:t>
      </w:r>
    </w:p>
    <w:p>
      <w:pPr>
        <w:pStyle w:val="Indenta"/>
        <w:spacing w:before="100"/>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spacing w:before="100"/>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spacing w:before="100"/>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spacing w:before="100"/>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spacing w:before="100"/>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spacing w:before="100"/>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Ednotepara"/>
        <w:spacing w:before="100"/>
        <w:ind w:left="1610" w:hanging="1610"/>
      </w:pPr>
      <w:r>
        <w:tab/>
        <w:t>[(30)</w:t>
      </w:r>
      <w:r>
        <w:tab/>
        <w:t>deleted]</w:t>
      </w:r>
    </w:p>
    <w:p>
      <w:pPr>
        <w:pStyle w:val="Indenta"/>
        <w:spacing w:before="100"/>
        <w:rPr>
          <w:snapToGrid w:val="0"/>
        </w:rPr>
      </w:pPr>
      <w:r>
        <w:rPr>
          <w:snapToGrid w:val="0"/>
        </w:rPr>
        <w:tab/>
        <w:t>(31)</w:t>
      </w:r>
      <w:r>
        <w:rPr>
          <w:snapToGrid w:val="0"/>
        </w:rPr>
        <w:tab/>
        <w:t>Determining to whom and on what conditions licences to remove nightsoil shall be issued.</w:t>
      </w:r>
    </w:p>
    <w:p>
      <w:pPr>
        <w:pStyle w:val="Indenta"/>
        <w:spacing w:before="100"/>
        <w:rPr>
          <w:snapToGrid w:val="0"/>
        </w:rPr>
      </w:pPr>
      <w:r>
        <w:rPr>
          <w:snapToGrid w:val="0"/>
        </w:rPr>
        <w:tab/>
        <w:t>(32)</w:t>
      </w:r>
      <w:r>
        <w:rPr>
          <w:snapToGrid w:val="0"/>
        </w:rPr>
        <w:tab/>
        <w:t>Imposing penalties on licensees for breach of conditions.</w:t>
      </w:r>
    </w:p>
    <w:p>
      <w:pPr>
        <w:pStyle w:val="Indenta"/>
        <w:spacing w:before="100"/>
        <w:rPr>
          <w:snapToGrid w:val="0"/>
        </w:rPr>
      </w:pPr>
      <w:r>
        <w:rPr>
          <w:snapToGrid w:val="0"/>
        </w:rPr>
        <w:tab/>
        <w:t>(33)</w:t>
      </w:r>
      <w:r>
        <w:rPr>
          <w:snapToGrid w:val="0"/>
        </w:rPr>
        <w:tab/>
        <w:t>Making the use of a sufficient quantity of suitable disinfectant or deodorant compulsory.</w:t>
      </w:r>
    </w:p>
    <w:p>
      <w:pPr>
        <w:pStyle w:val="Indenta"/>
        <w:spacing w:before="100"/>
        <w:rPr>
          <w:snapToGrid w:val="0"/>
        </w:rPr>
      </w:pPr>
      <w:r>
        <w:rPr>
          <w:snapToGrid w:val="0"/>
        </w:rPr>
        <w:tab/>
        <w:t>(34)</w:t>
      </w:r>
      <w:r>
        <w:rPr>
          <w:snapToGrid w:val="0"/>
        </w:rPr>
        <w:tab/>
        <w:t>Regulating the disposal of nightsoil, urine, and refuse.</w:t>
      </w:r>
    </w:p>
    <w:p>
      <w:pPr>
        <w:pStyle w:val="Indenta"/>
        <w:spacing w:before="100"/>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spacing w:before="100"/>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spacing w:before="100"/>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spacing w:before="100"/>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spacing w:before="100"/>
        <w:rPr>
          <w:snapToGrid w:val="0"/>
        </w:rPr>
      </w:pPr>
      <w:r>
        <w:rPr>
          <w:snapToGrid w:val="0"/>
        </w:rPr>
        <w:tab/>
        <w:t>(39)</w:t>
      </w:r>
      <w:r>
        <w:rPr>
          <w:snapToGrid w:val="0"/>
        </w:rPr>
        <w:tab/>
        <w:t>Regulating the keeping of animals or birds so as not to be a nuisance, injurious, or dangerous to health.</w:t>
      </w:r>
    </w:p>
    <w:p>
      <w:pPr>
        <w:pStyle w:val="Indenta"/>
        <w:spacing w:before="100"/>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spacing w:before="100"/>
        <w:rPr>
          <w:snapToGrid w:val="0"/>
        </w:rPr>
      </w:pPr>
      <w:r>
        <w:rPr>
          <w:snapToGrid w:val="0"/>
        </w:rPr>
        <w:tab/>
        <w:t>(41)</w:t>
      </w:r>
      <w:r>
        <w:rPr>
          <w:snapToGrid w:val="0"/>
        </w:rPr>
        <w:tab/>
        <w:t>For the prevention of the pollution of any water supply.</w:t>
      </w:r>
    </w:p>
    <w:p>
      <w:pPr>
        <w:pStyle w:val="Indenta"/>
        <w:spacing w:before="10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spacing w:before="100"/>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100"/>
      </w:pPr>
      <w:r>
        <w:tab/>
        <w:t>[(44)</w:t>
      </w:r>
      <w:r>
        <w:tab/>
        <w:t>deleted]</w:t>
      </w:r>
    </w:p>
    <w:p>
      <w:pPr>
        <w:pStyle w:val="Indenta"/>
        <w:spacing w:before="100"/>
        <w:rPr>
          <w:snapToGrid w:val="0"/>
        </w:rPr>
      </w:pPr>
      <w:r>
        <w:rPr>
          <w:snapToGrid w:val="0"/>
        </w:rPr>
        <w:tab/>
        <w:t>(45)</w:t>
      </w:r>
      <w:r>
        <w:rPr>
          <w:snapToGrid w:val="0"/>
        </w:rPr>
        <w:tab/>
        <w:t>Prescribing the fees to be paid for the licensing of morgues, and the conditions on which such licences may be granted.</w:t>
      </w:r>
    </w:p>
    <w:p>
      <w:pPr>
        <w:pStyle w:val="Indenta"/>
        <w:spacing w:before="100"/>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100"/>
        <w:rPr>
          <w:snapToGrid w:val="0"/>
        </w:rPr>
      </w:pPr>
      <w:r>
        <w:rPr>
          <w:snapToGrid w:val="0"/>
        </w:rPr>
        <w:tab/>
        <w:t>(47)</w:t>
      </w:r>
      <w:r>
        <w:rPr>
          <w:snapToGrid w:val="0"/>
        </w:rPr>
        <w:tab/>
        <w:t>For the regulation and control of the sanitation of camps.</w:t>
      </w:r>
    </w:p>
    <w:p>
      <w:pPr>
        <w:pStyle w:val="Indenta"/>
        <w:spacing w:before="100"/>
        <w:rPr>
          <w:snapToGrid w:val="0"/>
        </w:rPr>
      </w:pPr>
      <w:r>
        <w:rPr>
          <w:snapToGrid w:val="0"/>
        </w:rPr>
        <w:tab/>
        <w:t>(48)</w:t>
      </w:r>
      <w:r>
        <w:rPr>
          <w:snapToGrid w:val="0"/>
        </w:rPr>
        <w:tab/>
        <w:t>For the prevention of the pollution of any water used for bathing purposes.</w:t>
      </w:r>
    </w:p>
    <w:p>
      <w:pPr>
        <w:pStyle w:val="Indenta"/>
        <w:spacing w:before="10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100"/>
        <w:rPr>
          <w:snapToGrid w:val="0"/>
        </w:rPr>
      </w:pPr>
      <w:r>
        <w:rPr>
          <w:snapToGrid w:val="0"/>
        </w:rPr>
        <w:tab/>
        <w:t>(i)</w:t>
      </w:r>
      <w:r>
        <w:rPr>
          <w:snapToGrid w:val="0"/>
        </w:rPr>
        <w:tab/>
        <w:t>to prevent and abate any nuisance in such an amenity or facility; and</w:t>
      </w:r>
    </w:p>
    <w:p>
      <w:pPr>
        <w:pStyle w:val="Indenti"/>
        <w:spacing w:before="10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Ednotepara"/>
        <w:tabs>
          <w:tab w:val="clear" w:pos="1325"/>
          <w:tab w:val="clear" w:pos="1613"/>
          <w:tab w:val="left" w:pos="851"/>
        </w:tabs>
        <w:spacing w:before="100"/>
        <w:rPr>
          <w:snapToGrid w:val="0"/>
        </w:rPr>
      </w:pPr>
      <w:r>
        <w:tab/>
        <w:t>[(49)</w:t>
      </w:r>
      <w:r>
        <w:tab/>
        <w:t>deleted]</w:t>
      </w:r>
    </w:p>
    <w:p>
      <w:pPr>
        <w:pStyle w:val="Indenta"/>
        <w:keepNext/>
        <w:keepLines/>
        <w:spacing w:before="100"/>
        <w:rPr>
          <w:snapToGrid w:val="0"/>
        </w:rPr>
      </w:pPr>
      <w:r>
        <w:rPr>
          <w:snapToGrid w:val="0"/>
        </w:rPr>
        <w:tab/>
        <w:t>(50)</w:t>
      </w:r>
      <w:r>
        <w:rPr>
          <w:snapToGrid w:val="0"/>
        </w:rPr>
        <w:tab/>
        <w:t>Prescribing what matters and things shall be observed and done and by what persons, for the purposes of —</w:t>
      </w:r>
    </w:p>
    <w:p>
      <w:pPr>
        <w:pStyle w:val="Indenti"/>
        <w:spacing w:before="100"/>
        <w:rPr>
          <w:snapToGrid w:val="0"/>
        </w:rPr>
      </w:pPr>
      <w:r>
        <w:rPr>
          <w:snapToGrid w:val="0"/>
        </w:rPr>
        <w:tab/>
        <w:t>(i)</w:t>
      </w:r>
      <w:r>
        <w:rPr>
          <w:snapToGrid w:val="0"/>
        </w:rPr>
        <w:tab/>
        <w:t>preventing rodents entering premises;</w:t>
      </w:r>
    </w:p>
    <w:p>
      <w:pPr>
        <w:pStyle w:val="Indenti"/>
        <w:spacing w:before="100"/>
        <w:rPr>
          <w:snapToGrid w:val="0"/>
        </w:rPr>
      </w:pPr>
      <w:r>
        <w:rPr>
          <w:snapToGrid w:val="0"/>
        </w:rPr>
        <w:tab/>
        <w:t>(ii)</w:t>
      </w:r>
      <w:r>
        <w:rPr>
          <w:snapToGrid w:val="0"/>
        </w:rPr>
        <w:tab/>
        <w:t>rendering premises free of rodents;</w:t>
      </w:r>
    </w:p>
    <w:p>
      <w:pPr>
        <w:pStyle w:val="Indenti"/>
        <w:spacing w:before="100"/>
        <w:rPr>
          <w:snapToGrid w:val="0"/>
        </w:rPr>
      </w:pPr>
      <w:r>
        <w:rPr>
          <w:snapToGrid w:val="0"/>
        </w:rPr>
        <w:tab/>
        <w:t>(iii)</w:t>
      </w:r>
      <w:r>
        <w:rPr>
          <w:snapToGrid w:val="0"/>
        </w:rPr>
        <w:tab/>
        <w:t>keeping premises free of rodents;</w:t>
      </w:r>
    </w:p>
    <w:p>
      <w:pPr>
        <w:pStyle w:val="Indenta"/>
        <w:spacing w:before="100"/>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spacing w:before="100"/>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spacing w:before="100"/>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formerly section 115, amended by No. 17 of 1918 s. 15; No. 50 of 1926 s. 8; No. 30 of 1932 s. 20; No. 38 of 1933 s. 41; renumbered as section 134 by No. 38 of 1933 s. 42; amended by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 No. 36 of 2007 Sch. 4 cl. 4(6); No. 43 of 2008 s. 147(4).]</w:t>
      </w:r>
    </w:p>
    <w:p>
      <w:pPr>
        <w:pStyle w:val="Heading2"/>
      </w:pPr>
      <w:bookmarkStart w:id="273" w:name="_Toc498001115"/>
      <w:bookmarkStart w:id="274" w:name="_Toc498001445"/>
      <w:bookmarkStart w:id="275" w:name="_Toc498003097"/>
      <w:bookmarkStart w:id="276" w:name="_Toc498004108"/>
      <w:bookmarkStart w:id="277" w:name="_Toc499029511"/>
      <w:bookmarkStart w:id="278" w:name="_Toc501098579"/>
      <w:bookmarkStart w:id="279" w:name="_Toc501101502"/>
      <w:bookmarkStart w:id="280" w:name="_Toc501116024"/>
      <w:bookmarkStart w:id="281" w:name="_Toc501117285"/>
      <w:bookmarkStart w:id="282" w:name="_Toc501698692"/>
      <w:bookmarkStart w:id="283" w:name="_Toc512323731"/>
      <w:r>
        <w:rPr>
          <w:rStyle w:val="CharPartNo"/>
        </w:rPr>
        <w:t>Part V</w:t>
      </w:r>
      <w:r>
        <w:t> — </w:t>
      </w:r>
      <w:r>
        <w:rPr>
          <w:rStyle w:val="CharPartText"/>
        </w:rPr>
        <w:t>Dwellings</w:t>
      </w:r>
      <w:bookmarkEnd w:id="273"/>
      <w:bookmarkEnd w:id="274"/>
      <w:bookmarkEnd w:id="275"/>
      <w:bookmarkEnd w:id="276"/>
      <w:bookmarkEnd w:id="277"/>
      <w:bookmarkEnd w:id="278"/>
      <w:bookmarkEnd w:id="279"/>
      <w:bookmarkEnd w:id="280"/>
      <w:bookmarkEnd w:id="281"/>
      <w:bookmarkEnd w:id="282"/>
      <w:bookmarkEnd w:id="283"/>
    </w:p>
    <w:p>
      <w:pPr>
        <w:pStyle w:val="Heading3"/>
        <w:spacing w:before="180"/>
        <w:rPr>
          <w:snapToGrid w:val="0"/>
        </w:rPr>
      </w:pPr>
      <w:bookmarkStart w:id="284" w:name="_Toc498001116"/>
      <w:bookmarkStart w:id="285" w:name="_Toc498001446"/>
      <w:bookmarkStart w:id="286" w:name="_Toc498003098"/>
      <w:bookmarkStart w:id="287" w:name="_Toc498004109"/>
      <w:bookmarkStart w:id="288" w:name="_Toc499029512"/>
      <w:bookmarkStart w:id="289" w:name="_Toc501098580"/>
      <w:bookmarkStart w:id="290" w:name="_Toc501101503"/>
      <w:bookmarkStart w:id="291" w:name="_Toc501116025"/>
      <w:bookmarkStart w:id="292" w:name="_Toc501117286"/>
      <w:bookmarkStart w:id="293" w:name="_Toc501698693"/>
      <w:bookmarkStart w:id="294" w:name="_Toc512323732"/>
      <w:r>
        <w:rPr>
          <w:rStyle w:val="CharDivNo"/>
        </w:rPr>
        <w:t>Division 1</w:t>
      </w:r>
      <w:r>
        <w:rPr>
          <w:snapToGrid w:val="0"/>
        </w:rPr>
        <w:t> — </w:t>
      </w:r>
      <w:r>
        <w:rPr>
          <w:rStyle w:val="CharDivText"/>
        </w:rPr>
        <w:t>Houses unfit for occupation</w:t>
      </w:r>
      <w:bookmarkEnd w:id="284"/>
      <w:bookmarkEnd w:id="285"/>
      <w:bookmarkEnd w:id="286"/>
      <w:bookmarkEnd w:id="287"/>
      <w:bookmarkEnd w:id="288"/>
      <w:bookmarkEnd w:id="289"/>
      <w:bookmarkEnd w:id="290"/>
      <w:bookmarkEnd w:id="291"/>
      <w:bookmarkEnd w:id="292"/>
      <w:bookmarkEnd w:id="293"/>
      <w:bookmarkEnd w:id="294"/>
    </w:p>
    <w:p>
      <w:pPr>
        <w:pStyle w:val="Heading5"/>
        <w:spacing w:before="240"/>
        <w:rPr>
          <w:snapToGrid w:val="0"/>
        </w:rPr>
      </w:pPr>
      <w:bookmarkStart w:id="295" w:name="_Toc512323733"/>
      <w:r>
        <w:rPr>
          <w:rStyle w:val="CharSectno"/>
        </w:rPr>
        <w:t>135</w:t>
      </w:r>
      <w:r>
        <w:rPr>
          <w:snapToGrid w:val="0"/>
        </w:rPr>
        <w:t>.</w:t>
      </w:r>
      <w:r>
        <w:rPr>
          <w:snapToGrid w:val="0"/>
        </w:rPr>
        <w:tab/>
        <w:t>Dwellings unfit for habitation</w:t>
      </w:r>
      <w:bookmarkEnd w:id="295"/>
    </w:p>
    <w:p>
      <w:pPr>
        <w:pStyle w:val="Subsection"/>
        <w:rPr>
          <w:snapToGrid w:val="0"/>
        </w:rPr>
      </w:pPr>
      <w:r>
        <w:rPr>
          <w:snapToGrid w:val="0"/>
        </w:rPr>
        <w:tab/>
        <w:t>(1)</w:t>
      </w:r>
      <w:r>
        <w:rPr>
          <w:snapToGrid w:val="0"/>
        </w:rPr>
        <w:tab/>
        <w:t xml:space="preserve">Any local government may, of its own motion, and shall, when required by order of the </w:t>
      </w:r>
      <w:r>
        <w:t>Chief Health Officer</w:t>
      </w:r>
      <w:r>
        <w:rPr>
          <w:snapToGrid w:val="0"/>
        </w:rPr>
        <w:t xml:space="preserve">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ind w:left="890" w:hanging="890"/>
      </w:pPr>
      <w:r>
        <w:tab/>
        <w:t>[Section 135, formerly section 116, renumbered as section 135 by No. 38 of 1933 s. 42; amended by No. 28 of 1984 s. 45; No. 14 of 1996 s. 4; No. 19 of 2016 s. 100.]</w:t>
      </w:r>
    </w:p>
    <w:p>
      <w:pPr>
        <w:pStyle w:val="Heading5"/>
        <w:spacing w:before="240"/>
        <w:rPr>
          <w:snapToGrid w:val="0"/>
        </w:rPr>
      </w:pPr>
      <w:bookmarkStart w:id="296" w:name="_Toc512323734"/>
      <w:r>
        <w:rPr>
          <w:rStyle w:val="CharSectno"/>
        </w:rPr>
        <w:t>136</w:t>
      </w:r>
      <w:r>
        <w:rPr>
          <w:snapToGrid w:val="0"/>
        </w:rPr>
        <w:t>.</w:t>
      </w:r>
      <w:r>
        <w:rPr>
          <w:snapToGrid w:val="0"/>
        </w:rPr>
        <w:tab/>
        <w:t>Such house not to be let or occupied</w:t>
      </w:r>
      <w:bookmarkEnd w:id="296"/>
    </w:p>
    <w:p>
      <w:pPr>
        <w:pStyle w:val="Subsection"/>
        <w:spacing w:before="18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ind w:left="890" w:hanging="890"/>
      </w:pPr>
      <w:r>
        <w:tab/>
        <w:t>[Section 136, formerly section 117, renumbered as section 136 by No. 38 of 1933 s. 42; amended by No. 113 of 1965 s. 8(1); No. 80 of 1987 s. 31.]</w:t>
      </w:r>
    </w:p>
    <w:p>
      <w:pPr>
        <w:pStyle w:val="Heading5"/>
        <w:spacing w:before="240"/>
        <w:rPr>
          <w:snapToGrid w:val="0"/>
        </w:rPr>
      </w:pPr>
      <w:bookmarkStart w:id="297" w:name="_Toc512323735"/>
      <w:r>
        <w:rPr>
          <w:rStyle w:val="CharSectno"/>
        </w:rPr>
        <w:t>137</w:t>
      </w:r>
      <w:r>
        <w:rPr>
          <w:snapToGrid w:val="0"/>
        </w:rPr>
        <w:t>.</w:t>
      </w:r>
      <w:r>
        <w:rPr>
          <w:snapToGrid w:val="0"/>
        </w:rPr>
        <w:tab/>
        <w:t>Condemned building to be amended or removed</w:t>
      </w:r>
      <w:bookmarkEnd w:id="297"/>
    </w:p>
    <w:p>
      <w:pPr>
        <w:pStyle w:val="Subsection"/>
        <w:spacing w:before="18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keepNext/>
        <w:spacing w:before="180"/>
        <w:rPr>
          <w:snapToGrid w:val="0"/>
        </w:rPr>
      </w:pPr>
      <w:r>
        <w:rPr>
          <w:snapToGrid w:val="0"/>
        </w:rPr>
        <w:tab/>
      </w:r>
      <w:r>
        <w:rPr>
          <w:snapToGrid w:val="0"/>
        </w:rPr>
        <w:tab/>
        <w:t>Provided that —</w:t>
      </w:r>
    </w:p>
    <w:p>
      <w:pPr>
        <w:pStyle w:val="Indenta"/>
        <w:widowControl w:val="0"/>
        <w:spacing w:before="100"/>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spacing w:before="100"/>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formerly section 118, amended by No. 30 of 1932 s. 21; renumbered as section 137 by No. 38 of 1933 s. 42; amended by No. 14 of 1996 s. 4; No. 55 of 2004 s. 483.]</w:t>
      </w:r>
    </w:p>
    <w:p>
      <w:pPr>
        <w:pStyle w:val="Heading5"/>
        <w:spacing w:before="180"/>
        <w:rPr>
          <w:snapToGrid w:val="0"/>
        </w:rPr>
      </w:pPr>
      <w:bookmarkStart w:id="298" w:name="_Toc512323736"/>
      <w:r>
        <w:rPr>
          <w:rStyle w:val="CharSectno"/>
        </w:rPr>
        <w:t>138</w:t>
      </w:r>
      <w:r>
        <w:rPr>
          <w:snapToGrid w:val="0"/>
        </w:rPr>
        <w:t>.</w:t>
      </w:r>
      <w:r>
        <w:rPr>
          <w:snapToGrid w:val="0"/>
        </w:rPr>
        <w:tab/>
        <w:t>Land to be cleaned up after removal of house or building therefrom</w:t>
      </w:r>
      <w:bookmarkEnd w:id="298"/>
    </w:p>
    <w:p>
      <w:pPr>
        <w:pStyle w:val="Subsection"/>
        <w:spacing w:before="120"/>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as section 118A by No. 30 of 1932 s. 22; renumbered as section 138 by No. 38 of 1933 s. 42; amended by No. 14 of 1996 s. 4.]</w:t>
      </w:r>
    </w:p>
    <w:p>
      <w:pPr>
        <w:pStyle w:val="Heading5"/>
        <w:spacing w:before="180"/>
        <w:rPr>
          <w:snapToGrid w:val="0"/>
        </w:rPr>
      </w:pPr>
      <w:bookmarkStart w:id="299" w:name="_Toc512323737"/>
      <w:r>
        <w:rPr>
          <w:rStyle w:val="CharSectno"/>
        </w:rPr>
        <w:t>139</w:t>
      </w:r>
      <w:r>
        <w:rPr>
          <w:snapToGrid w:val="0"/>
        </w:rPr>
        <w:t>.</w:t>
      </w:r>
      <w:r>
        <w:rPr>
          <w:snapToGrid w:val="0"/>
        </w:rPr>
        <w:tab/>
        <w:t>Owner may be required to clean or repair house</w:t>
      </w:r>
      <w:bookmarkEnd w:id="299"/>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keepNext w:val="0"/>
        <w:keepLines w:val="0"/>
        <w:spacing w:before="180"/>
        <w:rPr>
          <w:snapToGrid w:val="0"/>
        </w:rPr>
      </w:pPr>
      <w:bookmarkStart w:id="300" w:name="_Toc512323738"/>
      <w:r>
        <w:rPr>
          <w:rStyle w:val="CharSectno"/>
        </w:rPr>
        <w:t>140</w:t>
      </w:r>
      <w:r>
        <w:rPr>
          <w:snapToGrid w:val="0"/>
        </w:rPr>
        <w:t>.</w:t>
      </w:r>
      <w:r>
        <w:rPr>
          <w:snapToGrid w:val="0"/>
        </w:rPr>
        <w:tab/>
        <w:t>Local government may act in default of owner</w:t>
      </w:r>
      <w:bookmarkEnd w:id="300"/>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ind w:left="890" w:hanging="890"/>
      </w:pPr>
      <w:r>
        <w:tab/>
        <w:t>[Section 140, formerly section 119, renumbered as section 140 by No. 38 of 1933 s. 42; amended by No. 32 of 1937 s. 7; No. 113 of 1965 s. 8(1); No. 52 of 1968 s. 4; No. 80 of 1987 s. 32; No. 14 of 1996 s. 4.]</w:t>
      </w:r>
    </w:p>
    <w:p>
      <w:pPr>
        <w:pStyle w:val="Heading5"/>
        <w:spacing w:before="180"/>
        <w:rPr>
          <w:snapToGrid w:val="0"/>
        </w:rPr>
      </w:pPr>
      <w:bookmarkStart w:id="301" w:name="_Toc512323739"/>
      <w:r>
        <w:rPr>
          <w:rStyle w:val="CharSectno"/>
        </w:rPr>
        <w:t>141</w:t>
      </w:r>
      <w:r>
        <w:rPr>
          <w:snapToGrid w:val="0"/>
        </w:rPr>
        <w:t>.</w:t>
      </w:r>
      <w:r>
        <w:rPr>
          <w:snapToGrid w:val="0"/>
        </w:rPr>
        <w:tab/>
        <w:t>Penalty for erecting buildings on ground filled up with offensive matter</w:t>
      </w:r>
      <w:bookmarkEnd w:id="301"/>
    </w:p>
    <w:p>
      <w:pPr>
        <w:pStyle w:val="Subsection"/>
        <w:spacing w:before="140"/>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formerly section 120, renumbered as section 141 by No. 38 of 1933 s. 42; amended by No. 113 of 1965 s. 8(1); No. 80 of 1987 s. 33; No. 14 of 1996 s. 4.]</w:t>
      </w:r>
    </w:p>
    <w:p>
      <w:pPr>
        <w:pStyle w:val="Heading5"/>
        <w:rPr>
          <w:snapToGrid w:val="0"/>
        </w:rPr>
      </w:pPr>
      <w:bookmarkStart w:id="302" w:name="_Toc512323740"/>
      <w:r>
        <w:rPr>
          <w:rStyle w:val="CharSectno"/>
        </w:rPr>
        <w:t>142</w:t>
      </w:r>
      <w:r>
        <w:rPr>
          <w:snapToGrid w:val="0"/>
        </w:rPr>
        <w:t>.</w:t>
      </w:r>
      <w:r>
        <w:rPr>
          <w:snapToGrid w:val="0"/>
        </w:rPr>
        <w:tab/>
        <w:t>Occupying cellar dwellings</w:t>
      </w:r>
      <w:bookmarkEnd w:id="302"/>
    </w:p>
    <w:p>
      <w:pPr>
        <w:pStyle w:val="Subsection"/>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formerly section 121, renumbered as section 142 by No. 38 of 1933 s. 42; amended by No. 14 of 1996 s. 4; No. 59 of 2004 s. 141.]</w:t>
      </w:r>
    </w:p>
    <w:p>
      <w:pPr>
        <w:pStyle w:val="Heading5"/>
        <w:rPr>
          <w:snapToGrid w:val="0"/>
        </w:rPr>
      </w:pPr>
      <w:bookmarkStart w:id="303" w:name="_Toc512323741"/>
      <w:r>
        <w:rPr>
          <w:rStyle w:val="CharSectno"/>
        </w:rPr>
        <w:t>143</w:t>
      </w:r>
      <w:r>
        <w:rPr>
          <w:snapToGrid w:val="0"/>
        </w:rPr>
        <w:t>.</w:t>
      </w:r>
      <w:r>
        <w:rPr>
          <w:snapToGrid w:val="0"/>
        </w:rPr>
        <w:tab/>
        <w:t>Plans of buildings to be submitted to local government</w:t>
      </w:r>
      <w:bookmarkEnd w:id="303"/>
    </w:p>
    <w:p>
      <w:pPr>
        <w:pStyle w:val="Subsection"/>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ind w:left="890" w:hanging="890"/>
      </w:pPr>
      <w:r>
        <w:tab/>
        <w:t>[Section 143, formerly section 122, amended by No. 17 of 1918 s. 16; renumbered as section 143 by No. 38 of 1933 s. 42; amended by No. 14 of 1996 s. 4.]</w:t>
      </w:r>
    </w:p>
    <w:p>
      <w:pPr>
        <w:pStyle w:val="Heading5"/>
        <w:rPr>
          <w:snapToGrid w:val="0"/>
        </w:rPr>
      </w:pPr>
      <w:bookmarkStart w:id="304" w:name="_Toc512323742"/>
      <w:r>
        <w:rPr>
          <w:rStyle w:val="CharSectno"/>
        </w:rPr>
        <w:t>144</w:t>
      </w:r>
      <w:r>
        <w:rPr>
          <w:snapToGrid w:val="0"/>
        </w:rPr>
        <w:t>.</w:t>
      </w:r>
      <w:r>
        <w:rPr>
          <w:snapToGrid w:val="0"/>
        </w:rPr>
        <w:tab/>
        <w:t>Building not erected as dwelling not to be converted into one</w:t>
      </w:r>
      <w:bookmarkEnd w:id="304"/>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ind w:left="890" w:hanging="890"/>
      </w:pPr>
      <w:r>
        <w:tab/>
        <w:t>[Section 144 inserted as section 122a by No. 17 of 1918 s. 17; renumbered as section 144 by No. 38 of 1933 s. 42; amended by No. 21 of 1957 s. 7; No. 14 of 1996 s. 4.]</w:t>
      </w:r>
    </w:p>
    <w:p>
      <w:pPr>
        <w:pStyle w:val="Heading5"/>
        <w:rPr>
          <w:snapToGrid w:val="0"/>
        </w:rPr>
      </w:pPr>
      <w:bookmarkStart w:id="305" w:name="_Toc512323743"/>
      <w:r>
        <w:rPr>
          <w:rStyle w:val="CharSectno"/>
        </w:rPr>
        <w:t>145</w:t>
      </w:r>
      <w:r>
        <w:rPr>
          <w:snapToGrid w:val="0"/>
        </w:rPr>
        <w:t>.</w:t>
      </w:r>
      <w:r>
        <w:rPr>
          <w:snapToGrid w:val="0"/>
        </w:rPr>
        <w:tab/>
        <w:t>Authorised officer may order house or things to be cleansed</w:t>
      </w:r>
      <w:bookmarkEnd w:id="305"/>
    </w:p>
    <w:p>
      <w:pPr>
        <w:pStyle w:val="Subsection"/>
        <w:rPr>
          <w:snapToGrid w:val="0"/>
        </w:rPr>
      </w:pPr>
      <w:r>
        <w:rPr>
          <w:snapToGrid w:val="0"/>
        </w:rPr>
        <w:tab/>
        <w:t>(1)</w:t>
      </w:r>
      <w:r>
        <w:rPr>
          <w:snapToGrid w:val="0"/>
        </w:rPr>
        <w:tab/>
        <w:t xml:space="preserve">Any </w:t>
      </w:r>
      <w:r>
        <w:t>authorised officer</w:t>
      </w:r>
      <w:r>
        <w:rPr>
          <w:snapToGrid w:val="0"/>
        </w:rPr>
        <w:t xml:space="preserve"> may order that any house or part of a house, or any furniture, goods, or things therein shall be cleansed to the satisfaction of an </w:t>
      </w:r>
      <w:r>
        <w:t>authorised officer</w:t>
      </w:r>
      <w:r>
        <w:rPr>
          <w:snapToGrid w:val="0"/>
        </w:rPr>
        <w:t>, and the occupier shall forthwith comply with such order.</w:t>
      </w:r>
    </w:p>
    <w:p>
      <w:pPr>
        <w:pStyle w:val="Subsection"/>
        <w:rPr>
          <w:snapToGrid w:val="0"/>
        </w:rPr>
      </w:pPr>
      <w:r>
        <w:rPr>
          <w:snapToGrid w:val="0"/>
        </w:rPr>
        <w:tab/>
        <w:t>(2)</w:t>
      </w:r>
      <w:r>
        <w:rPr>
          <w:snapToGrid w:val="0"/>
        </w:rPr>
        <w:tab/>
        <w:t xml:space="preserve">In case default is made in compliance with such order, the local government may take such steps as in the opinion of an </w:t>
      </w:r>
      <w:r>
        <w:t>authorised officer</w:t>
      </w:r>
      <w:r>
        <w:rPr>
          <w:snapToGrid w:val="0"/>
        </w:rPr>
        <w:t xml:space="preserve">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r>
        <w:rPr>
          <w:rStyle w:val="CharDefText"/>
        </w:rPr>
        <w:t>occupier</w:t>
      </w:r>
      <w:r>
        <w:rPr>
          <w:snapToGrid w:val="0"/>
        </w:rPr>
        <w:t xml:space="preserve"> includes the owner of any premises which are in fact unoccupied.</w:t>
      </w:r>
    </w:p>
    <w:p>
      <w:pPr>
        <w:pStyle w:val="Footnotesection"/>
        <w:spacing w:after="600"/>
        <w:ind w:left="890" w:hanging="890"/>
      </w:pPr>
      <w:r>
        <w:tab/>
        <w:t>[Section 145 inserted as section 123A by No. 30 of 1932 s. 23; renumbered as section 145 by No. 38 of 1933 s. 42; amended by No. 24 of 1970 s. 12; No. 59 of 1991 s. 5; No. 14 of 1996 s. 4; No. 28 of 1996 s. 21; No. 19 of 2016 s. 99.]</w:t>
      </w:r>
    </w:p>
    <w:p>
      <w:pPr>
        <w:pStyle w:val="Heading3"/>
        <w:spacing w:before="180"/>
        <w:rPr>
          <w:snapToGrid w:val="0"/>
        </w:rPr>
      </w:pPr>
      <w:bookmarkStart w:id="306" w:name="_Toc498001128"/>
      <w:bookmarkStart w:id="307" w:name="_Toc498001458"/>
      <w:bookmarkStart w:id="308" w:name="_Toc498003110"/>
      <w:bookmarkStart w:id="309" w:name="_Toc498004121"/>
      <w:bookmarkStart w:id="310" w:name="_Toc499029524"/>
      <w:bookmarkStart w:id="311" w:name="_Toc501098592"/>
      <w:bookmarkStart w:id="312" w:name="_Toc501101515"/>
      <w:bookmarkStart w:id="313" w:name="_Toc501116037"/>
      <w:bookmarkStart w:id="314" w:name="_Toc501117298"/>
      <w:bookmarkStart w:id="315" w:name="_Toc501698705"/>
      <w:bookmarkStart w:id="316" w:name="_Toc512323744"/>
      <w:r>
        <w:rPr>
          <w:rStyle w:val="CharDivNo"/>
        </w:rPr>
        <w:t>Division 2</w:t>
      </w:r>
      <w:r>
        <w:rPr>
          <w:snapToGrid w:val="0"/>
        </w:rPr>
        <w:t> — </w:t>
      </w:r>
      <w:r>
        <w:rPr>
          <w:rStyle w:val="CharDivText"/>
        </w:rPr>
        <w:t>Lodging</w:t>
      </w:r>
      <w:r>
        <w:rPr>
          <w:rStyle w:val="CharDivText"/>
        </w:rPr>
        <w:noBreakHyphen/>
        <w:t>houses</w:t>
      </w:r>
      <w:bookmarkEnd w:id="306"/>
      <w:bookmarkEnd w:id="307"/>
      <w:bookmarkEnd w:id="308"/>
      <w:bookmarkEnd w:id="309"/>
      <w:bookmarkEnd w:id="310"/>
      <w:bookmarkEnd w:id="311"/>
      <w:bookmarkEnd w:id="312"/>
      <w:bookmarkEnd w:id="313"/>
      <w:bookmarkEnd w:id="314"/>
      <w:bookmarkEnd w:id="315"/>
      <w:bookmarkEnd w:id="316"/>
    </w:p>
    <w:p>
      <w:pPr>
        <w:pStyle w:val="Footnoteheading"/>
        <w:ind w:left="890" w:hanging="890"/>
        <w:rPr>
          <w:snapToGrid w:val="0"/>
        </w:rPr>
      </w:pPr>
      <w:r>
        <w:rPr>
          <w:snapToGrid w:val="0"/>
        </w:rPr>
        <w:tab/>
        <w:t>[Heading amended by No. 18 of 1964 s. 6.]</w:t>
      </w:r>
    </w:p>
    <w:p>
      <w:pPr>
        <w:pStyle w:val="Heading5"/>
        <w:keepNext w:val="0"/>
        <w:keepLines w:val="0"/>
        <w:spacing w:before="180"/>
        <w:rPr>
          <w:snapToGrid w:val="0"/>
        </w:rPr>
      </w:pPr>
      <w:bookmarkStart w:id="317" w:name="_Toc512323745"/>
      <w:r>
        <w:rPr>
          <w:rStyle w:val="CharSectno"/>
        </w:rPr>
        <w:t>146</w:t>
      </w:r>
      <w:r>
        <w:rPr>
          <w:snapToGrid w:val="0"/>
        </w:rPr>
        <w:t>.</w:t>
      </w:r>
      <w:r>
        <w:rPr>
          <w:snapToGrid w:val="0"/>
        </w:rPr>
        <w:tab/>
        <w:t>Registers of lodging</w:t>
      </w:r>
      <w:r>
        <w:rPr>
          <w:snapToGrid w:val="0"/>
        </w:rPr>
        <w:noBreakHyphen/>
        <w:t>houses</w:t>
      </w:r>
      <w:bookmarkEnd w:id="317"/>
    </w:p>
    <w:p>
      <w:pPr>
        <w:pStyle w:val="Subsection"/>
        <w:spacing w:before="120"/>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spacing w:before="120"/>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spacing w:before="120"/>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formerly section 123, renumbered as section 146 by No. 38 of 1933 s. 42; amended by No. 18 of 1964 s. 7; No. 113 of 1965 s. 8(1); No. 59 of 1991 s. 22; No. 14 of 1996 s. 4; No. 57 of 1997 s. 68(3).]</w:t>
      </w:r>
    </w:p>
    <w:p>
      <w:pPr>
        <w:pStyle w:val="Heading5"/>
        <w:spacing w:before="180"/>
        <w:rPr>
          <w:snapToGrid w:val="0"/>
        </w:rPr>
      </w:pPr>
      <w:bookmarkStart w:id="318" w:name="_Toc512323746"/>
      <w:r>
        <w:rPr>
          <w:rStyle w:val="CharSectno"/>
        </w:rPr>
        <w:t>147</w:t>
      </w:r>
      <w:r>
        <w:rPr>
          <w:snapToGrid w:val="0"/>
        </w:rPr>
        <w:t>.</w:t>
      </w:r>
      <w:r>
        <w:rPr>
          <w:snapToGrid w:val="0"/>
        </w:rPr>
        <w:tab/>
        <w:t>Registration</w:t>
      </w:r>
      <w:bookmarkEnd w:id="318"/>
    </w:p>
    <w:p>
      <w:pPr>
        <w:pStyle w:val="Subsection"/>
        <w:spacing w:before="120"/>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spacing w:before="120"/>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spacing w:before="80"/>
        <w:ind w:left="890" w:hanging="890"/>
      </w:pPr>
      <w:r>
        <w:tab/>
        <w:t>[Section 147, formerly section 124, renumbered as section 147 by No. 38 of 1933 s. 42; amended by No. 18 of 1964 s. 8; No. 28 of 2003 s. 74.]</w:t>
      </w:r>
    </w:p>
    <w:p>
      <w:pPr>
        <w:pStyle w:val="Heading5"/>
        <w:rPr>
          <w:snapToGrid w:val="0"/>
        </w:rPr>
      </w:pPr>
      <w:bookmarkStart w:id="319" w:name="_Toc512323747"/>
      <w:r>
        <w:rPr>
          <w:rStyle w:val="CharSectno"/>
        </w:rPr>
        <w:t>148</w:t>
      </w:r>
      <w:r>
        <w:rPr>
          <w:snapToGrid w:val="0"/>
        </w:rPr>
        <w:t>.</w:t>
      </w:r>
      <w:r>
        <w:rPr>
          <w:snapToGrid w:val="0"/>
        </w:rPr>
        <w:tab/>
        <w:t>Conditions of registration</w:t>
      </w:r>
      <w:bookmarkEnd w:id="319"/>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ind w:left="890" w:hanging="890"/>
      </w:pPr>
      <w:r>
        <w:tab/>
        <w:t>[Section 148, formerly section 125, renumbered as section 148 by No. 38 of 1933 s. 42; amended by No. 18 of 1964 s. 9; No. 14 of 1996 s. 4.]</w:t>
      </w:r>
    </w:p>
    <w:p>
      <w:pPr>
        <w:pStyle w:val="Heading5"/>
        <w:rPr>
          <w:snapToGrid w:val="0"/>
        </w:rPr>
      </w:pPr>
      <w:bookmarkStart w:id="320" w:name="_Toc512323748"/>
      <w:r>
        <w:rPr>
          <w:rStyle w:val="CharSectno"/>
        </w:rPr>
        <w:t>149</w:t>
      </w:r>
      <w:r>
        <w:rPr>
          <w:snapToGrid w:val="0"/>
        </w:rPr>
        <w:t>.</w:t>
      </w:r>
      <w:r>
        <w:rPr>
          <w:snapToGrid w:val="0"/>
        </w:rPr>
        <w:tab/>
        <w:t>Notice of registration to be affixed</w:t>
      </w:r>
      <w:bookmarkEnd w:id="320"/>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ind w:left="890" w:hanging="890"/>
      </w:pPr>
      <w:r>
        <w:tab/>
        <w:t>[Section 149, formerly section 126, renumbered as section 149 by No. 38 of 1933 s. 42; amended by No. 14 of 1996 s. 4.]</w:t>
      </w:r>
    </w:p>
    <w:p>
      <w:pPr>
        <w:pStyle w:val="Heading5"/>
        <w:rPr>
          <w:snapToGrid w:val="0"/>
        </w:rPr>
      </w:pPr>
      <w:bookmarkStart w:id="321" w:name="_Toc512323749"/>
      <w:r>
        <w:rPr>
          <w:rStyle w:val="CharSectno"/>
        </w:rPr>
        <w:t>150</w:t>
      </w:r>
      <w:r>
        <w:rPr>
          <w:snapToGrid w:val="0"/>
        </w:rPr>
        <w:t>.</w:t>
      </w:r>
      <w:r>
        <w:rPr>
          <w:snapToGrid w:val="0"/>
        </w:rPr>
        <w:tab/>
        <w:t>Supply of water</w:t>
      </w:r>
      <w:bookmarkEnd w:id="321"/>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ind w:left="890" w:hanging="890"/>
      </w:pPr>
      <w:r>
        <w:tab/>
        <w:t>[Section 150, formerly section 127, renumbered as section 150 by No. 38 of 1933 s. 42; amended by No. 18 of 1964 s. 10; No. 14 of 1996 s. 4.]</w:t>
      </w:r>
    </w:p>
    <w:p>
      <w:pPr>
        <w:pStyle w:val="Heading5"/>
        <w:spacing w:before="180"/>
        <w:rPr>
          <w:snapToGrid w:val="0"/>
        </w:rPr>
      </w:pPr>
      <w:bookmarkStart w:id="322" w:name="_Toc512323750"/>
      <w:r>
        <w:rPr>
          <w:rStyle w:val="CharSectno"/>
        </w:rPr>
        <w:t>151</w:t>
      </w:r>
      <w:r>
        <w:rPr>
          <w:snapToGrid w:val="0"/>
        </w:rPr>
        <w:t>.</w:t>
      </w:r>
      <w:r>
        <w:rPr>
          <w:snapToGrid w:val="0"/>
        </w:rPr>
        <w:tab/>
        <w:t>Cleansing of walls etc.</w:t>
      </w:r>
      <w:bookmarkEnd w:id="322"/>
    </w:p>
    <w:p>
      <w:pPr>
        <w:pStyle w:val="Subsection"/>
        <w:spacing w:before="120"/>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ind w:left="890" w:hanging="890"/>
      </w:pPr>
      <w:r>
        <w:tab/>
        <w:t>[Section 151, formerly section 128, renumbered as section 151 by No. 38 of 1933 s. 42; amended by No. 18 of 1964 s. 11; No. 113 of 1965 s. 8(1); No. 80 of 1987 s. 34; No. 14 of 1996 s. 4.]</w:t>
      </w:r>
    </w:p>
    <w:p>
      <w:pPr>
        <w:pStyle w:val="Heading5"/>
        <w:spacing w:before="180"/>
        <w:rPr>
          <w:snapToGrid w:val="0"/>
        </w:rPr>
      </w:pPr>
      <w:bookmarkStart w:id="323" w:name="_Toc512323751"/>
      <w:r>
        <w:rPr>
          <w:snapToGrid w:val="0"/>
        </w:rPr>
        <w:t>152.</w:t>
      </w:r>
      <w:r>
        <w:rPr>
          <w:snapToGrid w:val="0"/>
        </w:rPr>
        <w:tab/>
        <w:t>Notification of disease</w:t>
      </w:r>
      <w:bookmarkEnd w:id="323"/>
    </w:p>
    <w:p>
      <w:pPr>
        <w:pStyle w:val="Subsection"/>
        <w:spacing w:before="120"/>
        <w:rPr>
          <w:snapToGrid w:val="0"/>
        </w:rPr>
      </w:pPr>
      <w:r>
        <w:rPr>
          <w:snapToGrid w:val="0"/>
        </w:rPr>
        <w:tab/>
      </w:r>
      <w:r>
        <w:rPr>
          <w:snapToGrid w:val="0"/>
        </w:rPr>
        <w:tab/>
        <w:t xml:space="preserve">Every such keeper shall, immediately it comes within his knowledge that a person in such house is affected with any infectious disease, give notice thereof to the </w:t>
      </w:r>
      <w:r>
        <w:t xml:space="preserve">Chief Health Officer </w:t>
      </w:r>
      <w:r>
        <w:rPr>
          <w:snapToGrid w:val="0"/>
        </w:rPr>
        <w:t xml:space="preserve"> and to the secretary of the local government.</w:t>
      </w:r>
    </w:p>
    <w:p>
      <w:pPr>
        <w:pStyle w:val="Footnotesection"/>
        <w:ind w:left="890" w:hanging="890"/>
      </w:pPr>
      <w:r>
        <w:tab/>
        <w:t>[Section 152, formerly section 129, renumbered as section 152 by No. 38 of 1933 s. 42; amended by No. 14 of 1996 s. 4; No. 19 of 2016 s. 99.]</w:t>
      </w:r>
    </w:p>
    <w:p>
      <w:pPr>
        <w:pStyle w:val="Heading5"/>
        <w:spacing w:before="180"/>
        <w:rPr>
          <w:snapToGrid w:val="0"/>
        </w:rPr>
      </w:pPr>
      <w:bookmarkStart w:id="324" w:name="_Toc512323752"/>
      <w:r>
        <w:rPr>
          <w:snapToGrid w:val="0"/>
        </w:rPr>
        <w:t>153.</w:t>
      </w:r>
      <w:r>
        <w:rPr>
          <w:snapToGrid w:val="0"/>
        </w:rPr>
        <w:tab/>
        <w:t>Inspection</w:t>
      </w:r>
      <w:bookmarkEnd w:id="324"/>
    </w:p>
    <w:p>
      <w:pPr>
        <w:pStyle w:val="Subsection"/>
        <w:spacing w:before="120"/>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spacing w:before="120"/>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ind w:left="890" w:hanging="890"/>
      </w:pPr>
      <w:r>
        <w:tab/>
        <w:t>[Section 153, formerly section 130, renumbered as section 153 by No. 38 of 1933 s. 42; amended by No. 113 of 1965 s. 8(1); No. 80 of 1987 s. 35; No. 14 of 1996 s. 4.]</w:t>
      </w:r>
    </w:p>
    <w:p>
      <w:pPr>
        <w:pStyle w:val="Heading5"/>
        <w:spacing w:before="180"/>
        <w:rPr>
          <w:snapToGrid w:val="0"/>
        </w:rPr>
      </w:pPr>
      <w:bookmarkStart w:id="325" w:name="_Toc512323753"/>
      <w:r>
        <w:rPr>
          <w:rStyle w:val="CharSectno"/>
        </w:rPr>
        <w:t>154</w:t>
      </w:r>
      <w:r>
        <w:rPr>
          <w:snapToGrid w:val="0"/>
        </w:rPr>
        <w:t>.</w:t>
      </w:r>
      <w:r>
        <w:rPr>
          <w:snapToGrid w:val="0"/>
        </w:rPr>
        <w:tab/>
        <w:t>Offences by keepers</w:t>
      </w:r>
      <w:bookmarkEnd w:id="325"/>
    </w:p>
    <w:p>
      <w:pPr>
        <w:pStyle w:val="Subsection"/>
        <w:spacing w:before="120"/>
        <w:rPr>
          <w:snapToGrid w:val="0"/>
        </w:rPr>
      </w:pPr>
      <w:r>
        <w:rPr>
          <w:snapToGrid w:val="0"/>
        </w:rPr>
        <w:tab/>
      </w:r>
      <w:r>
        <w:rPr>
          <w:snapToGrid w:val="0"/>
        </w:rPr>
        <w:tab/>
        <w:t>Every such keeper who —</w:t>
      </w:r>
    </w:p>
    <w:p>
      <w:pPr>
        <w:pStyle w:val="Indenta"/>
        <w:spacing w:before="60"/>
        <w:rPr>
          <w:snapToGrid w:val="0"/>
        </w:rPr>
      </w:pPr>
      <w:r>
        <w:rPr>
          <w:snapToGrid w:val="0"/>
        </w:rPr>
        <w:tab/>
        <w:t>(a)</w:t>
      </w:r>
      <w:r>
        <w:rPr>
          <w:snapToGrid w:val="0"/>
        </w:rPr>
        <w:tab/>
        <w:t>after being required in writing by the local government so to do, refuses or neglects to affix or renew any notice; or</w:t>
      </w:r>
    </w:p>
    <w:p>
      <w:pPr>
        <w:pStyle w:val="Indenta"/>
        <w:keepNext/>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keepNext/>
        <w:spacing w:before="200"/>
        <w:rPr>
          <w:snapToGrid w:val="0"/>
        </w:rPr>
      </w:pPr>
      <w:r>
        <w:rPr>
          <w:snapToGrid w:val="0"/>
        </w:rPr>
        <w:tab/>
      </w:r>
      <w:r>
        <w:rPr>
          <w:snapToGrid w:val="0"/>
        </w:rPr>
        <w:tab/>
        <w:t>commits an offence.</w:t>
      </w:r>
    </w:p>
    <w:p>
      <w:pPr>
        <w:pStyle w:val="Footnotesection"/>
        <w:spacing w:before="160"/>
        <w:ind w:left="890" w:hanging="890"/>
      </w:pPr>
      <w:r>
        <w:tab/>
        <w:t>[Section 154, formerly section 131, renumbered as section 154 by No. 38 of 1933 s. 42; amended by No. 113 of 1965 s. 8(1); No. 80 of 1987 s. 36; No. 14 of 1996 s. 4.]</w:t>
      </w:r>
    </w:p>
    <w:p>
      <w:pPr>
        <w:pStyle w:val="Heading5"/>
        <w:spacing w:before="280"/>
        <w:rPr>
          <w:snapToGrid w:val="0"/>
        </w:rPr>
      </w:pPr>
      <w:bookmarkStart w:id="326" w:name="_Toc512323754"/>
      <w:r>
        <w:rPr>
          <w:rStyle w:val="CharSectno"/>
        </w:rPr>
        <w:t>155</w:t>
      </w:r>
      <w:r>
        <w:rPr>
          <w:snapToGrid w:val="0"/>
        </w:rPr>
        <w:t>.</w:t>
      </w:r>
      <w:r>
        <w:rPr>
          <w:snapToGrid w:val="0"/>
        </w:rPr>
        <w:tab/>
        <w:t>Conviction for third offence</w:t>
      </w:r>
      <w:bookmarkEnd w:id="326"/>
    </w:p>
    <w:p>
      <w:pPr>
        <w:pStyle w:val="Subsection"/>
        <w:spacing w:before="220"/>
        <w:rPr>
          <w:snapToGrid w:val="0"/>
        </w:rPr>
      </w:pPr>
      <w:r>
        <w:rPr>
          <w:snapToGrid w:val="0"/>
        </w:rPr>
        <w:tab/>
      </w:r>
      <w:r>
        <w:rPr>
          <w:snapToGrid w:val="0"/>
        </w:rPr>
        <w:tab/>
        <w:t>When any such keeper is convicted of a third or subsequent offence, a court of summary jurisdiction may adjudge that he shall not keep a lodging</w:t>
      </w:r>
      <w:r>
        <w:rPr>
          <w:snapToGrid w:val="0"/>
        </w:rPr>
        <w:noBreakHyphen/>
        <w:t>house at any time within 5 years after the conviction, or within such shorter period after the conviction as it thinks fit.</w:t>
      </w:r>
    </w:p>
    <w:p>
      <w:pPr>
        <w:pStyle w:val="Footnotesection"/>
        <w:spacing w:before="160"/>
        <w:ind w:left="890" w:hanging="890"/>
      </w:pPr>
      <w:r>
        <w:tab/>
        <w:t>[Section 155, formerly section 132, renumbered as section 155 by No. 38 of 1933 s. 42; amended by No. 18 of 1964 s. 12; No. 59 of 2004 s. 141.]</w:t>
      </w:r>
    </w:p>
    <w:p>
      <w:pPr>
        <w:pStyle w:val="Heading5"/>
        <w:keepNext w:val="0"/>
        <w:spacing w:before="280"/>
        <w:rPr>
          <w:snapToGrid w:val="0"/>
        </w:rPr>
      </w:pPr>
      <w:bookmarkStart w:id="327" w:name="_Toc512323755"/>
      <w:r>
        <w:rPr>
          <w:rStyle w:val="CharSectno"/>
        </w:rPr>
        <w:t>156</w:t>
      </w:r>
      <w:r>
        <w:rPr>
          <w:snapToGrid w:val="0"/>
        </w:rPr>
        <w:t>.</w:t>
      </w:r>
      <w:r>
        <w:rPr>
          <w:snapToGrid w:val="0"/>
        </w:rPr>
        <w:tab/>
        <w:t>Lodging</w:t>
      </w:r>
      <w:r>
        <w:rPr>
          <w:snapToGrid w:val="0"/>
        </w:rPr>
        <w:noBreakHyphen/>
        <w:t>house keepers to report deaths</w:t>
      </w:r>
      <w:bookmarkEnd w:id="327"/>
    </w:p>
    <w:p>
      <w:pPr>
        <w:pStyle w:val="Subsection"/>
        <w:spacing w:before="220"/>
        <w:rPr>
          <w:snapToGrid w:val="0"/>
        </w:rPr>
      </w:pPr>
      <w:r>
        <w:rPr>
          <w:snapToGrid w:val="0"/>
        </w:rPr>
        <w:tab/>
      </w:r>
      <w:r>
        <w:rPr>
          <w:snapToGrid w:val="0"/>
        </w:rPr>
        <w:tab/>
        <w:t>Upon any death occurring in any lodging</w:t>
      </w:r>
      <w:r>
        <w:rPr>
          <w:snapToGrid w:val="0"/>
        </w:rPr>
        <w:noBreakHyphen/>
        <w:t xml:space="preserve">house, the manager or keeper thereof shall, within 12 hours thereafter, give notice of every such death and the cause thereof and the circumstances attendant thereon to the </w:t>
      </w:r>
      <w:r>
        <w:t>Chief Health Officer</w:t>
      </w:r>
      <w:r>
        <w:rPr>
          <w:snapToGrid w:val="0"/>
        </w:rPr>
        <w:t xml:space="preserve"> and to the nearest coroner; and if there is no coroner residing within 8 km of such lodging</w:t>
      </w:r>
      <w:r>
        <w:rPr>
          <w:snapToGrid w:val="0"/>
        </w:rPr>
        <w:noBreakHyphen/>
        <w:t>house, then to the police.</w:t>
      </w:r>
    </w:p>
    <w:p>
      <w:pPr>
        <w:pStyle w:val="Footnotesection"/>
        <w:ind w:left="890" w:hanging="890"/>
      </w:pPr>
      <w:r>
        <w:tab/>
        <w:t>[Section 156, formerly section 133, renumbered as section 156 by No. 38 of 1933 s. 42; amended by No. 18 of 1964 s. 13; No. 30 of 1982 s. 4; No. 19 of 2016 s. 99.]</w:t>
      </w:r>
    </w:p>
    <w:p>
      <w:pPr>
        <w:pStyle w:val="Heading5"/>
        <w:spacing w:before="240"/>
        <w:rPr>
          <w:snapToGrid w:val="0"/>
        </w:rPr>
      </w:pPr>
      <w:bookmarkStart w:id="328" w:name="_Toc512323756"/>
      <w:r>
        <w:rPr>
          <w:rStyle w:val="CharSectno"/>
        </w:rPr>
        <w:t>157</w:t>
      </w:r>
      <w:r>
        <w:rPr>
          <w:snapToGrid w:val="0"/>
        </w:rPr>
        <w:t>.</w:t>
      </w:r>
      <w:r>
        <w:rPr>
          <w:snapToGrid w:val="0"/>
        </w:rPr>
        <w:tab/>
        <w:t>Register of lodgers to be kept</w:t>
      </w:r>
      <w:bookmarkEnd w:id="328"/>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 xml:space="preserve">house, and shall be open to inspection at any time on demand by any member of the police force or </w:t>
      </w:r>
      <w:r>
        <w:t>authorised officer</w:t>
      </w:r>
      <w:r>
        <w:rPr>
          <w:snapToGrid w:val="0"/>
        </w:rPr>
        <w:t>.</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 or</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 or</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 No. 19 of 2016 s. 99.]</w:t>
      </w:r>
    </w:p>
    <w:p>
      <w:pPr>
        <w:pStyle w:val="Heading5"/>
        <w:rPr>
          <w:snapToGrid w:val="0"/>
        </w:rPr>
      </w:pPr>
      <w:bookmarkStart w:id="329" w:name="_Toc512323757"/>
      <w:r>
        <w:rPr>
          <w:rStyle w:val="CharSectno"/>
        </w:rPr>
        <w:t>158</w:t>
      </w:r>
      <w:r>
        <w:rPr>
          <w:snapToGrid w:val="0"/>
        </w:rPr>
        <w:t>.</w:t>
      </w:r>
      <w:r>
        <w:rPr>
          <w:snapToGrid w:val="0"/>
        </w:rPr>
        <w:tab/>
        <w:t>Local laws in respect of lodging</w:t>
      </w:r>
      <w:r>
        <w:rPr>
          <w:snapToGrid w:val="0"/>
        </w:rPr>
        <w:noBreakHyphen/>
        <w:t>house</w:t>
      </w:r>
      <w:bookmarkEnd w:id="329"/>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spacing w:before="100"/>
        <w:rPr>
          <w:snapToGrid w:val="0"/>
        </w:rPr>
      </w:pPr>
      <w:r>
        <w:rPr>
          <w:snapToGrid w:val="0"/>
        </w:rPr>
        <w:tab/>
        <w:t>(1)</w:t>
      </w:r>
      <w:r>
        <w:rPr>
          <w:snapToGrid w:val="0"/>
        </w:rPr>
        <w:tab/>
        <w:t>The registration and inspection of lodging</w:t>
      </w:r>
      <w:r>
        <w:rPr>
          <w:snapToGrid w:val="0"/>
        </w:rPr>
        <w:noBreakHyphen/>
        <w:t>houses.</w:t>
      </w:r>
    </w:p>
    <w:p>
      <w:pPr>
        <w:pStyle w:val="Indenta"/>
        <w:spacing w:before="100"/>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spacing w:before="100"/>
        <w:rPr>
          <w:snapToGrid w:val="0"/>
        </w:rPr>
      </w:pPr>
      <w:r>
        <w:rPr>
          <w:snapToGrid w:val="0"/>
        </w:rPr>
        <w:tab/>
        <w:t>(b)</w:t>
      </w:r>
      <w:r>
        <w:rPr>
          <w:snapToGrid w:val="0"/>
        </w:rPr>
        <w:tab/>
        <w:t>Regulating the construction, cleanliness, lighting, ventilation, drainage, and sanitation thereof.</w:t>
      </w:r>
    </w:p>
    <w:p>
      <w:pPr>
        <w:pStyle w:val="Indenta"/>
        <w:spacing w:before="100"/>
        <w:rPr>
          <w:snapToGrid w:val="0"/>
        </w:rPr>
      </w:pPr>
      <w:r>
        <w:rPr>
          <w:snapToGrid w:val="0"/>
        </w:rPr>
        <w:tab/>
        <w:t>(c)</w:t>
      </w:r>
      <w:r>
        <w:rPr>
          <w:snapToGrid w:val="0"/>
        </w:rPr>
        <w:tab/>
        <w:t>Enforcing the destruction of vermin therein.</w:t>
      </w:r>
    </w:p>
    <w:p>
      <w:pPr>
        <w:pStyle w:val="Indenta"/>
        <w:spacing w:before="100"/>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spacing w:before="100"/>
        <w:rPr>
          <w:snapToGrid w:val="0"/>
        </w:rPr>
      </w:pPr>
      <w:r>
        <w:rPr>
          <w:snapToGrid w:val="0"/>
        </w:rPr>
        <w:tab/>
        <w:t>(e)</w:t>
      </w:r>
      <w:r>
        <w:rPr>
          <w:snapToGrid w:val="0"/>
        </w:rPr>
        <w:tab/>
        <w:t>Enforcing the giving of notices, and the taking of precautions, in the case of any infectious disease occurring in such house.</w:t>
      </w:r>
    </w:p>
    <w:p>
      <w:pPr>
        <w:pStyle w:val="Indenta"/>
        <w:spacing w:before="100"/>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spacing w:before="100"/>
        <w:rPr>
          <w:snapToGrid w:val="0"/>
        </w:rPr>
      </w:pPr>
      <w:r>
        <w:rPr>
          <w:snapToGrid w:val="0"/>
        </w:rPr>
        <w:tab/>
        <w:t>(g)</w:t>
      </w:r>
      <w:r>
        <w:rPr>
          <w:snapToGrid w:val="0"/>
        </w:rPr>
        <w:tab/>
        <w:t>Enforcing the provision of proper and sufficient bathrooms and ablutionary appliances, including plunge baths and heaters.</w:t>
      </w:r>
    </w:p>
    <w:p>
      <w:pPr>
        <w:pStyle w:val="Indenta"/>
        <w:spacing w:before="100"/>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spacing w:before="100"/>
        <w:rPr>
          <w:snapToGrid w:val="0"/>
        </w:rPr>
      </w:pPr>
      <w:r>
        <w:rPr>
          <w:snapToGrid w:val="0"/>
        </w:rPr>
        <w:tab/>
        <w:t>(i)</w:t>
      </w:r>
      <w:r>
        <w:rPr>
          <w:snapToGrid w:val="0"/>
        </w:rPr>
        <w:tab/>
        <w:t>Generally for the good conduct of such houses.</w:t>
      </w:r>
    </w:p>
    <w:p>
      <w:pPr>
        <w:pStyle w:val="Indenta"/>
        <w:spacing w:before="100"/>
        <w:rPr>
          <w:snapToGrid w:val="0"/>
        </w:rPr>
      </w:pPr>
      <w:r>
        <w:rPr>
          <w:snapToGrid w:val="0"/>
        </w:rPr>
        <w:tab/>
        <w:t>(3)</w:t>
      </w:r>
      <w:r>
        <w:rPr>
          <w:snapToGrid w:val="0"/>
        </w:rPr>
        <w:tab/>
        <w:t>Prescribing fees to be paid for the registration of lodging</w:t>
      </w:r>
      <w:r>
        <w:rPr>
          <w:snapToGrid w:val="0"/>
        </w:rPr>
        <w:noBreakHyphen/>
        <w:t>houses.</w:t>
      </w:r>
    </w:p>
    <w:p>
      <w:pPr>
        <w:pStyle w:val="Indenta"/>
        <w:spacing w:before="100"/>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keepLines w:val="0"/>
        <w:ind w:left="890" w:hanging="890"/>
      </w:pPr>
      <w:r>
        <w:tab/>
        <w:t>[Section 158, formerly section 135, amended by No. 30 of 1932 s. 24; renumbered as section 158 by No. 38 of 1933 s. 42; amended by No. 21 of 1944 s. 6; No. 18 of 1964 s. 15; No. 113 of 1965 s. 8(1); No. 2 of 1975 s. 4; No. 28 of 1984 s. 45; No. 59 of 1991 s. 23; No. 14 of 1996 s. 4.]</w:t>
      </w:r>
    </w:p>
    <w:p>
      <w:pPr>
        <w:pStyle w:val="Heading5"/>
        <w:pageBreakBefore/>
        <w:spacing w:before="100"/>
        <w:rPr>
          <w:snapToGrid w:val="0"/>
        </w:rPr>
      </w:pPr>
      <w:bookmarkStart w:id="330" w:name="_Toc512323758"/>
      <w:r>
        <w:rPr>
          <w:rStyle w:val="CharSectno"/>
        </w:rPr>
        <w:t>159</w:t>
      </w:r>
      <w:r>
        <w:rPr>
          <w:snapToGrid w:val="0"/>
        </w:rPr>
        <w:t>.</w:t>
      </w:r>
      <w:r>
        <w:rPr>
          <w:snapToGrid w:val="0"/>
        </w:rPr>
        <w:tab/>
        <w:t>Evidence as to family in proceedings</w:t>
      </w:r>
      <w:bookmarkEnd w:id="330"/>
    </w:p>
    <w:p>
      <w:pPr>
        <w:pStyle w:val="Subsection"/>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formerly section 136, amended by No. 30 of 1932 s. 25; renumbered as section 159 by No. 38 of 1933 s. 42; amended by No. 18 of 1964 s. 16; No. 14 of 1996 s. 4; No. 28 of 2003 s. 75.]</w:t>
      </w:r>
    </w:p>
    <w:p>
      <w:pPr>
        <w:pStyle w:val="Ednotedivision"/>
      </w:pPr>
      <w:r>
        <w:t>[Division 3 (s. 160</w:t>
      </w:r>
      <w:r>
        <w:noBreakHyphen/>
        <w:t>172) deleted by No. 43 of 2008 s. 147(5).]</w:t>
      </w:r>
    </w:p>
    <w:p>
      <w:pPr>
        <w:pStyle w:val="Heading2"/>
      </w:pPr>
      <w:bookmarkStart w:id="331" w:name="_Toc498001143"/>
      <w:bookmarkStart w:id="332" w:name="_Toc498001473"/>
      <w:bookmarkStart w:id="333" w:name="_Toc498003125"/>
      <w:bookmarkStart w:id="334" w:name="_Toc498004136"/>
      <w:bookmarkStart w:id="335" w:name="_Toc499029539"/>
      <w:bookmarkStart w:id="336" w:name="_Toc501098607"/>
      <w:bookmarkStart w:id="337" w:name="_Toc501101530"/>
      <w:bookmarkStart w:id="338" w:name="_Toc501116052"/>
      <w:bookmarkStart w:id="339" w:name="_Toc501117313"/>
      <w:bookmarkStart w:id="340" w:name="_Toc501698720"/>
      <w:bookmarkStart w:id="341" w:name="_Toc512323759"/>
      <w:r>
        <w:rPr>
          <w:rStyle w:val="CharPartNo"/>
        </w:rPr>
        <w:t>Part VI</w:t>
      </w:r>
      <w:r>
        <w:rPr>
          <w:rStyle w:val="CharDivNo"/>
        </w:rPr>
        <w:t> </w:t>
      </w:r>
      <w:r>
        <w:t>—</w:t>
      </w:r>
      <w:r>
        <w:rPr>
          <w:rStyle w:val="CharDivText"/>
        </w:rPr>
        <w:t> </w:t>
      </w:r>
      <w:r>
        <w:rPr>
          <w:rStyle w:val="CharPartText"/>
        </w:rPr>
        <w:t>Public buildings</w:t>
      </w:r>
      <w:bookmarkEnd w:id="331"/>
      <w:bookmarkEnd w:id="332"/>
      <w:bookmarkEnd w:id="333"/>
      <w:bookmarkEnd w:id="334"/>
      <w:bookmarkEnd w:id="335"/>
      <w:bookmarkEnd w:id="336"/>
      <w:bookmarkEnd w:id="337"/>
      <w:bookmarkEnd w:id="338"/>
      <w:bookmarkEnd w:id="339"/>
      <w:bookmarkEnd w:id="340"/>
      <w:bookmarkEnd w:id="341"/>
    </w:p>
    <w:p>
      <w:pPr>
        <w:pStyle w:val="Footnoteheading"/>
        <w:ind w:left="890" w:hanging="890"/>
        <w:rPr>
          <w:snapToGrid w:val="0"/>
        </w:rPr>
      </w:pPr>
      <w:r>
        <w:rPr>
          <w:snapToGrid w:val="0"/>
        </w:rPr>
        <w:tab/>
        <w:t>[Heading inserted by No. 59 of 1991 s. 14.]</w:t>
      </w:r>
    </w:p>
    <w:p>
      <w:pPr>
        <w:pStyle w:val="Heading5"/>
        <w:spacing w:before="200"/>
        <w:rPr>
          <w:snapToGrid w:val="0"/>
        </w:rPr>
      </w:pPr>
      <w:bookmarkStart w:id="342" w:name="_Toc512323760"/>
      <w:r>
        <w:rPr>
          <w:rStyle w:val="CharSectno"/>
        </w:rPr>
        <w:t>173</w:t>
      </w:r>
      <w:r>
        <w:rPr>
          <w:snapToGrid w:val="0"/>
        </w:rPr>
        <w:t>.</w:t>
      </w:r>
      <w:r>
        <w:rPr>
          <w:snapToGrid w:val="0"/>
        </w:rPr>
        <w:tab/>
        <w:t>Terms used</w:t>
      </w:r>
      <w:bookmarkEnd w:id="342"/>
    </w:p>
    <w:p>
      <w:pPr>
        <w:pStyle w:val="Subsection"/>
        <w:spacing w:before="120"/>
        <w:rPr>
          <w:snapToGrid w:val="0"/>
        </w:rPr>
      </w:pPr>
      <w:r>
        <w:rPr>
          <w:snapToGrid w:val="0"/>
        </w:rPr>
        <w:tab/>
      </w:r>
      <w:r>
        <w:rPr>
          <w:snapToGrid w:val="0"/>
        </w:rPr>
        <w:tab/>
        <w:t>In this Part —</w:t>
      </w:r>
    </w:p>
    <w:p>
      <w:pPr>
        <w:pStyle w:val="Defstart"/>
        <w:spacing w:before="100"/>
      </w:pPr>
      <w:r>
        <w:rPr>
          <w:b/>
        </w:rPr>
        <w:tab/>
      </w:r>
      <w:r>
        <w:rPr>
          <w:rStyle w:val="CharDefText"/>
        </w:rPr>
        <w:t>authorised person</w:t>
      </w:r>
      <w:r>
        <w:t xml:space="preserve"> means —</w:t>
      </w:r>
    </w:p>
    <w:p>
      <w:pPr>
        <w:pStyle w:val="Defpara"/>
        <w:spacing w:before="60"/>
      </w:pPr>
      <w:r>
        <w:tab/>
        <w:t>(a)</w:t>
      </w:r>
      <w:r>
        <w:tab/>
        <w:t>an authorised officer; or</w:t>
      </w:r>
    </w:p>
    <w:p>
      <w:pPr>
        <w:pStyle w:val="Defpara"/>
        <w:spacing w:before="60"/>
      </w:pPr>
      <w:r>
        <w:tab/>
        <w:t>(b)</w:t>
      </w:r>
      <w:r>
        <w:tab/>
        <w:t>a commissioned police officer, a non</w:t>
      </w:r>
      <w:r>
        <w:noBreakHyphen/>
        <w:t>commissioned police officer or the police officer in charge of the nearest police station; or</w:t>
      </w:r>
    </w:p>
    <w:p>
      <w:pPr>
        <w:pStyle w:val="Defpara"/>
        <w:spacing w:before="60"/>
      </w:pPr>
      <w:r>
        <w:tab/>
        <w:t>(c)</w:t>
      </w:r>
      <w:r>
        <w:tab/>
        <w:t>a person authorised in writing by the Chief Health Officer;</w:t>
      </w:r>
    </w:p>
    <w:p>
      <w:pPr>
        <w:pStyle w:val="Defstart"/>
        <w:spacing w:before="100"/>
      </w:pPr>
      <w:r>
        <w:rPr>
          <w:b/>
        </w:rPr>
        <w:tab/>
      </w:r>
      <w:r>
        <w:rPr>
          <w:rStyle w:val="CharDefText"/>
        </w:rPr>
        <w:t>certificate of approval</w:t>
      </w:r>
      <w:r>
        <w:t xml:space="preserve"> means the certificate of approval issued in relation to the public building under section 178(1);</w:t>
      </w:r>
    </w:p>
    <w:p>
      <w:pPr>
        <w:pStyle w:val="Defstart"/>
      </w:pPr>
      <w:r>
        <w:rPr>
          <w:b/>
        </w:rPr>
        <w:tab/>
      </w:r>
      <w:r>
        <w:rPr>
          <w:rStyle w:val="CharDefText"/>
        </w:rPr>
        <w:t>public building</w:t>
      </w:r>
      <w:r>
        <w:t xml:space="preserve"> means —</w:t>
      </w:r>
    </w:p>
    <w:p>
      <w:pPr>
        <w:pStyle w:val="Defpara"/>
        <w:spacing w:before="60"/>
      </w:pPr>
      <w:r>
        <w:tab/>
        <w:t>(a)</w:t>
      </w:r>
      <w:r>
        <w:tab/>
        <w:t>a building or place or part of a building or place where persons may assemble for —</w:t>
      </w:r>
    </w:p>
    <w:p>
      <w:pPr>
        <w:pStyle w:val="Defsubpara"/>
        <w:spacing w:before="60"/>
      </w:pPr>
      <w:r>
        <w:tab/>
        <w:t>(i)</w:t>
      </w:r>
      <w:r>
        <w:tab/>
        <w:t>civic, theatrical, social, political or religious purposes; and</w:t>
      </w:r>
    </w:p>
    <w:p>
      <w:pPr>
        <w:pStyle w:val="Defsubpara"/>
        <w:spacing w:before="60"/>
      </w:pPr>
      <w:r>
        <w:tab/>
        <w:t>(ii)</w:t>
      </w:r>
      <w:r>
        <w:tab/>
        <w:t>educational purposes; and</w:t>
      </w:r>
    </w:p>
    <w:p>
      <w:pPr>
        <w:pStyle w:val="Defsubpara"/>
        <w:spacing w:before="60"/>
      </w:pPr>
      <w:r>
        <w:tab/>
        <w:t>(iii)</w:t>
      </w:r>
      <w:r>
        <w:tab/>
        <w:t>entertainment, recreational or sporting purposes; and</w:t>
      </w:r>
    </w:p>
    <w:p>
      <w:pPr>
        <w:pStyle w:val="Defsubpara"/>
        <w:spacing w:before="60"/>
      </w:pPr>
      <w:r>
        <w:tab/>
        <w:t>(iv)</w:t>
      </w:r>
      <w:r>
        <w:tab/>
        <w:t>business purposes;</w:t>
      </w:r>
    </w:p>
    <w:p>
      <w:pPr>
        <w:pStyle w:val="Defpara"/>
        <w:spacing w:before="60"/>
      </w:pPr>
      <w:r>
        <w:tab/>
      </w:r>
      <w:r>
        <w:tab/>
        <w:t>and</w:t>
      </w:r>
    </w:p>
    <w:p>
      <w:pPr>
        <w:pStyle w:val="Defpara"/>
        <w:spacing w:before="60"/>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spacing w:before="60"/>
      </w:pPr>
      <w:r>
        <w:tab/>
        <w:t>but does not include a hospital.</w:t>
      </w:r>
    </w:p>
    <w:p>
      <w:pPr>
        <w:pStyle w:val="Footnotesection"/>
        <w:spacing w:before="100"/>
        <w:ind w:left="890" w:hanging="890"/>
      </w:pPr>
      <w:r>
        <w:tab/>
        <w:t>[Section 173 inserted by No. 59 of 1991 s. 14; amended by No. 14 of 1996 s. 4; No. 50 of 1996 s. 4; No. 19 of 2016 s. 12 and 100.]</w:t>
      </w:r>
    </w:p>
    <w:p>
      <w:pPr>
        <w:pStyle w:val="Heading5"/>
        <w:spacing w:before="260"/>
        <w:rPr>
          <w:snapToGrid w:val="0"/>
        </w:rPr>
      </w:pPr>
      <w:bookmarkStart w:id="343" w:name="_Toc512323761"/>
      <w:r>
        <w:rPr>
          <w:rStyle w:val="CharSectno"/>
        </w:rPr>
        <w:t>174</w:t>
      </w:r>
      <w:r>
        <w:rPr>
          <w:snapToGrid w:val="0"/>
        </w:rPr>
        <w:t>.</w:t>
      </w:r>
      <w:r>
        <w:rPr>
          <w:snapToGrid w:val="0"/>
        </w:rPr>
        <w:tab/>
        <w:t>Application to Crown</w:t>
      </w:r>
      <w:bookmarkEnd w:id="343"/>
    </w:p>
    <w:p>
      <w:pPr>
        <w:pStyle w:val="Subsection"/>
        <w:spacing w:before="180"/>
        <w:rPr>
          <w:snapToGrid w:val="0"/>
        </w:rPr>
      </w:pPr>
      <w:r>
        <w:rPr>
          <w:snapToGrid w:val="0"/>
        </w:rPr>
        <w:tab/>
        <w:t>(1)</w:t>
      </w:r>
      <w:r>
        <w:rPr>
          <w:snapToGrid w:val="0"/>
        </w:rPr>
        <w:tab/>
        <w:t>This Part does not bind the Crown.</w:t>
      </w:r>
    </w:p>
    <w:p>
      <w:pPr>
        <w:pStyle w:val="Subsection"/>
        <w:spacing w:before="180"/>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spacing w:before="260"/>
        <w:rPr>
          <w:snapToGrid w:val="0"/>
        </w:rPr>
      </w:pPr>
      <w:bookmarkStart w:id="344" w:name="_Toc512323762"/>
      <w:r>
        <w:rPr>
          <w:rStyle w:val="CharSectno"/>
        </w:rPr>
        <w:t>175</w:t>
      </w:r>
      <w:r>
        <w:rPr>
          <w:snapToGrid w:val="0"/>
        </w:rPr>
        <w:t>.</w:t>
      </w:r>
      <w:r>
        <w:rPr>
          <w:snapToGrid w:val="0"/>
        </w:rPr>
        <w:tab/>
        <w:t>Relationship to other laws</w:t>
      </w:r>
      <w:bookmarkEnd w:id="344"/>
    </w:p>
    <w:p>
      <w:pPr>
        <w:pStyle w:val="Subsection"/>
        <w:spacing w:before="180"/>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iCs/>
        </w:rPr>
        <w:t xml:space="preserve">Building Act 2011 </w:t>
      </w:r>
      <w:r>
        <w:rPr>
          <w:snapToGrid w:val="0"/>
        </w:rPr>
        <w:t>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 No. 24 of 2011 s. 161(2).]</w:t>
      </w:r>
    </w:p>
    <w:p>
      <w:pPr>
        <w:pStyle w:val="Heading5"/>
        <w:rPr>
          <w:snapToGrid w:val="0"/>
        </w:rPr>
      </w:pPr>
      <w:bookmarkStart w:id="345" w:name="_Toc512323763"/>
      <w:r>
        <w:rPr>
          <w:rStyle w:val="CharSectno"/>
        </w:rPr>
        <w:t>176</w:t>
      </w:r>
      <w:r>
        <w:rPr>
          <w:snapToGrid w:val="0"/>
        </w:rPr>
        <w:t>.</w:t>
      </w:r>
      <w:r>
        <w:rPr>
          <w:snapToGrid w:val="0"/>
        </w:rPr>
        <w:tab/>
        <w:t>Approval of plans</w:t>
      </w:r>
      <w:bookmarkEnd w:id="345"/>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keepNext/>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w:t>
      </w:r>
      <w:r>
        <w:t xml:space="preserve">building work, as defined in the </w:t>
      </w:r>
      <w:r>
        <w:rPr>
          <w:i/>
          <w:iCs/>
        </w:rPr>
        <w:t>Building Act 2011</w:t>
      </w:r>
      <w:r>
        <w:rPr>
          <w:iCs/>
        </w:rPr>
        <w:t> </w:t>
      </w:r>
      <w:r>
        <w:t>section 3, for which a building permit is required under that Act.</w:t>
      </w:r>
    </w:p>
    <w:p>
      <w:pPr>
        <w:pStyle w:val="Footnotesection"/>
      </w:pPr>
      <w:r>
        <w:tab/>
        <w:t>[Section 176 inserted by No. 59 of 1991 s. 14; amended by No. 14 of 1996 s. 4; No. 24 of 2011 s. 161(3).]</w:t>
      </w:r>
    </w:p>
    <w:p>
      <w:pPr>
        <w:pStyle w:val="Heading5"/>
        <w:rPr>
          <w:snapToGrid w:val="0"/>
        </w:rPr>
      </w:pPr>
      <w:bookmarkStart w:id="346" w:name="_Toc512323764"/>
      <w:r>
        <w:rPr>
          <w:rStyle w:val="CharSectno"/>
        </w:rPr>
        <w:t>177</w:t>
      </w:r>
      <w:r>
        <w:rPr>
          <w:snapToGrid w:val="0"/>
        </w:rPr>
        <w:t>.</w:t>
      </w:r>
      <w:r>
        <w:rPr>
          <w:snapToGrid w:val="0"/>
        </w:rPr>
        <w:tab/>
        <w:t>Approval</w:t>
      </w:r>
      <w:bookmarkEnd w:id="346"/>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ind w:left="890" w:hanging="890"/>
      </w:pPr>
      <w:r>
        <w:tab/>
        <w:t>[Section 177 inserted by No. 59 of 1991 s. 14.]</w:t>
      </w:r>
    </w:p>
    <w:p>
      <w:pPr>
        <w:pStyle w:val="Heading5"/>
        <w:rPr>
          <w:snapToGrid w:val="0"/>
        </w:rPr>
      </w:pPr>
      <w:bookmarkStart w:id="347" w:name="_Toc512323765"/>
      <w:r>
        <w:rPr>
          <w:rStyle w:val="CharSectno"/>
        </w:rPr>
        <w:t>178</w:t>
      </w:r>
      <w:r>
        <w:rPr>
          <w:snapToGrid w:val="0"/>
        </w:rPr>
        <w:t>.</w:t>
      </w:r>
      <w:r>
        <w:rPr>
          <w:snapToGrid w:val="0"/>
        </w:rPr>
        <w:tab/>
        <w:t>Certificate of approval</w:t>
      </w:r>
      <w:bookmarkEnd w:id="347"/>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348" w:name="_Toc512323766"/>
      <w:r>
        <w:rPr>
          <w:rStyle w:val="CharSectno"/>
        </w:rPr>
        <w:t>179</w:t>
      </w:r>
      <w:r>
        <w:rPr>
          <w:snapToGrid w:val="0"/>
        </w:rPr>
        <w:t>.</w:t>
      </w:r>
      <w:r>
        <w:rPr>
          <w:snapToGrid w:val="0"/>
        </w:rPr>
        <w:tab/>
        <w:t>Inspection and control of public buildings</w:t>
      </w:r>
      <w:bookmarkEnd w:id="348"/>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 or</w:t>
      </w:r>
    </w:p>
    <w:p>
      <w:pPr>
        <w:pStyle w:val="Indenta"/>
        <w:rPr>
          <w:snapToGrid w:val="0"/>
        </w:rPr>
      </w:pPr>
      <w:r>
        <w:rPr>
          <w:snapToGrid w:val="0"/>
        </w:rPr>
        <w:tab/>
        <w:t>(bb)</w:t>
      </w:r>
      <w:r>
        <w:rPr>
          <w:snapToGrid w:val="0"/>
        </w:rPr>
        <w:tab/>
        <w:t>the number of persons in a public building exceeds the number specified in the relevant certificate of approval; or</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keepNext/>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 or</w:t>
      </w:r>
    </w:p>
    <w:p>
      <w:pPr>
        <w:pStyle w:val="Indenta"/>
        <w:rPr>
          <w:snapToGrid w:val="0"/>
        </w:rPr>
      </w:pPr>
      <w:r>
        <w:rPr>
          <w:snapToGrid w:val="0"/>
        </w:rPr>
        <w:tab/>
        <w:t>(b)</w:t>
      </w:r>
      <w:r>
        <w:rPr>
          <w:snapToGrid w:val="0"/>
        </w:rPr>
        <w:tab/>
        <w:t>enters a public building that has been closed under subsection (3)(a); or</w:t>
      </w:r>
    </w:p>
    <w:p>
      <w:pPr>
        <w:pStyle w:val="Indenta"/>
        <w:rPr>
          <w:snapToGrid w:val="0"/>
        </w:rPr>
      </w:pPr>
      <w:r>
        <w:rPr>
          <w:snapToGrid w:val="0"/>
        </w:rPr>
        <w:tab/>
        <w:t>(c)</w:t>
      </w:r>
      <w:r>
        <w:rPr>
          <w:snapToGrid w:val="0"/>
        </w:rPr>
        <w:tab/>
        <w:t>has been excluded from a public building under subsection (3)(b) and who enters the public building; or</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 xml:space="preserve">In any proceedings for an offence referred to in subsection (5)(d) a statement signed or purporting to be signed by </w:t>
      </w:r>
      <w:r>
        <w:t xml:space="preserve">the authorised person who gave a direction under subsection (2) or (3)(c) or (d), to which is attached a copy of the direction, </w:t>
      </w:r>
      <w:r>
        <w:rPr>
          <w:snapToGrid w:val="0"/>
        </w:rPr>
        <w:t>and stating that the direction —</w:t>
      </w:r>
    </w:p>
    <w:p>
      <w:pPr>
        <w:pStyle w:val="Indenta"/>
        <w:rPr>
          <w:snapToGrid w:val="0"/>
        </w:rPr>
      </w:pPr>
      <w:r>
        <w:rPr>
          <w:snapToGrid w:val="0"/>
        </w:rPr>
        <w:tab/>
        <w:t>(a)</w:t>
      </w:r>
      <w:r>
        <w:rPr>
          <w:snapToGrid w:val="0"/>
        </w:rPr>
        <w:tab/>
        <w:t>was given; and</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Subsection"/>
      </w:pPr>
      <w:r>
        <w:tab/>
        <w:t>(7)</w:t>
      </w:r>
      <w:r>
        <w:tab/>
        <w:t xml:space="preserve">Any statement made under subsection (6) before the </w:t>
      </w:r>
      <w:r>
        <w:rPr>
          <w:i/>
        </w:rPr>
        <w:t>Public Health (Consequential Provisions) Act 2016</w:t>
      </w:r>
      <w:r>
        <w:t xml:space="preserve"> section 13 (</w:t>
      </w:r>
      <w:r>
        <w:rPr>
          <w:rStyle w:val="CharDefText"/>
        </w:rPr>
        <w:t>section 13</w:t>
      </w:r>
      <w:r>
        <w:t>) comes into operation and that would have been sufficient evidence in accordance with subsection (6) (as that subsection existed immediately before section 13 comes into operation) continues to be sufficient evidence in accordance with subsection (6) as if it had been made by the authorised person who gave the direction to which the statement relates.</w:t>
      </w:r>
    </w:p>
    <w:p>
      <w:pPr>
        <w:pStyle w:val="Footnotesection"/>
      </w:pPr>
      <w:r>
        <w:tab/>
        <w:t>[Section 179 inserted by No. 59 of 1991 s. 14; amended by No. 50 of 1996 s. 5; No. 19 of 2016 s. 13.]</w:t>
      </w:r>
    </w:p>
    <w:p>
      <w:pPr>
        <w:pStyle w:val="Heading5"/>
        <w:rPr>
          <w:snapToGrid w:val="0"/>
        </w:rPr>
      </w:pPr>
      <w:bookmarkStart w:id="349" w:name="_Toc512323767"/>
      <w:r>
        <w:rPr>
          <w:rStyle w:val="CharSectno"/>
        </w:rPr>
        <w:t>180</w:t>
      </w:r>
      <w:r>
        <w:rPr>
          <w:snapToGrid w:val="0"/>
        </w:rPr>
        <w:t>.</w:t>
      </w:r>
      <w:r>
        <w:rPr>
          <w:snapToGrid w:val="0"/>
        </w:rPr>
        <w:tab/>
        <w:t>Regulations</w:t>
      </w:r>
      <w:bookmarkEnd w:id="349"/>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keepNext/>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350" w:name="_Toc498001152"/>
      <w:bookmarkStart w:id="351" w:name="_Toc498001482"/>
      <w:bookmarkStart w:id="352" w:name="_Toc498003134"/>
      <w:bookmarkStart w:id="353" w:name="_Toc498004145"/>
      <w:bookmarkStart w:id="354" w:name="_Toc499029548"/>
      <w:bookmarkStart w:id="355" w:name="_Toc501098616"/>
      <w:bookmarkStart w:id="356" w:name="_Toc501101539"/>
      <w:bookmarkStart w:id="357" w:name="_Toc501116061"/>
      <w:bookmarkStart w:id="358" w:name="_Toc501117322"/>
      <w:bookmarkStart w:id="359" w:name="_Toc501698729"/>
      <w:bookmarkStart w:id="360" w:name="_Toc512323768"/>
      <w:r>
        <w:rPr>
          <w:rStyle w:val="CharPartNo"/>
        </w:rPr>
        <w:t>Part VII</w:t>
      </w:r>
      <w:r>
        <w:t> — </w:t>
      </w:r>
      <w:r>
        <w:rPr>
          <w:rStyle w:val="CharPartText"/>
        </w:rPr>
        <w:t>Nuisances and offensive trades</w:t>
      </w:r>
      <w:bookmarkEnd w:id="350"/>
      <w:bookmarkEnd w:id="351"/>
      <w:bookmarkEnd w:id="352"/>
      <w:bookmarkEnd w:id="353"/>
      <w:bookmarkEnd w:id="354"/>
      <w:bookmarkEnd w:id="355"/>
      <w:bookmarkEnd w:id="356"/>
      <w:bookmarkEnd w:id="357"/>
      <w:bookmarkEnd w:id="358"/>
      <w:bookmarkEnd w:id="359"/>
      <w:bookmarkEnd w:id="360"/>
    </w:p>
    <w:p>
      <w:pPr>
        <w:pStyle w:val="Heading3"/>
        <w:rPr>
          <w:snapToGrid w:val="0"/>
        </w:rPr>
      </w:pPr>
      <w:bookmarkStart w:id="361" w:name="_Toc498001153"/>
      <w:bookmarkStart w:id="362" w:name="_Toc498001483"/>
      <w:bookmarkStart w:id="363" w:name="_Toc498003135"/>
      <w:bookmarkStart w:id="364" w:name="_Toc498004146"/>
      <w:bookmarkStart w:id="365" w:name="_Toc499029549"/>
      <w:bookmarkStart w:id="366" w:name="_Toc501098617"/>
      <w:bookmarkStart w:id="367" w:name="_Toc501101540"/>
      <w:bookmarkStart w:id="368" w:name="_Toc501116062"/>
      <w:bookmarkStart w:id="369" w:name="_Toc501117323"/>
      <w:bookmarkStart w:id="370" w:name="_Toc501698730"/>
      <w:bookmarkStart w:id="371" w:name="_Toc512323769"/>
      <w:r>
        <w:rPr>
          <w:rStyle w:val="CharDivNo"/>
        </w:rPr>
        <w:t>Division 1</w:t>
      </w:r>
      <w:r>
        <w:rPr>
          <w:snapToGrid w:val="0"/>
        </w:rPr>
        <w:t> — </w:t>
      </w:r>
      <w:r>
        <w:rPr>
          <w:rStyle w:val="CharDivText"/>
        </w:rPr>
        <w:t>Nuisances</w:t>
      </w:r>
      <w:bookmarkEnd w:id="361"/>
      <w:bookmarkEnd w:id="362"/>
      <w:bookmarkEnd w:id="363"/>
      <w:bookmarkEnd w:id="364"/>
      <w:bookmarkEnd w:id="365"/>
      <w:bookmarkEnd w:id="366"/>
      <w:bookmarkEnd w:id="367"/>
      <w:bookmarkEnd w:id="368"/>
      <w:bookmarkEnd w:id="369"/>
      <w:bookmarkEnd w:id="370"/>
      <w:bookmarkEnd w:id="371"/>
    </w:p>
    <w:p>
      <w:pPr>
        <w:pStyle w:val="Heading5"/>
        <w:rPr>
          <w:snapToGrid w:val="0"/>
        </w:rPr>
      </w:pPr>
      <w:bookmarkStart w:id="372" w:name="_Toc512323770"/>
      <w:r>
        <w:rPr>
          <w:rStyle w:val="CharSectno"/>
        </w:rPr>
        <w:t>181</w:t>
      </w:r>
      <w:r>
        <w:rPr>
          <w:snapToGrid w:val="0"/>
        </w:rPr>
        <w:t>.</w:t>
      </w:r>
      <w:r>
        <w:rPr>
          <w:snapToGrid w:val="0"/>
        </w:rPr>
        <w:tab/>
        <w:t>Removal of offensive matter</w:t>
      </w:r>
      <w:bookmarkEnd w:id="372"/>
    </w:p>
    <w:p>
      <w:pPr>
        <w:pStyle w:val="Subsection"/>
        <w:rPr>
          <w:snapToGrid w:val="0"/>
        </w:rPr>
      </w:pPr>
      <w:r>
        <w:rPr>
          <w:snapToGrid w:val="0"/>
        </w:rPr>
        <w:tab/>
      </w:r>
      <w:r>
        <w:rPr>
          <w:snapToGrid w:val="0"/>
        </w:rPr>
        <w:tab/>
        <w:t xml:space="preserve">In any case where it appears to an </w:t>
      </w:r>
      <w:r>
        <w:t>authorised officer</w:t>
      </w:r>
      <w:r>
        <w:rPr>
          <w:snapToGrid w:val="0"/>
        </w:rPr>
        <w:t xml:space="preserve">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formerly section 145, renumbered as section 181 by No. 38 of 1933 s. 42; amended by No. 113 of 1965 s. 8(1); No. 24 of 1970 s. 12; No. 80 of 1987 s. 47; No. 59 of 1991 s. 5; No. 14 of 1996 s. 4; No. 28 of 1996 s. 21; No. 19 of 2016 s. 99.]</w:t>
      </w:r>
    </w:p>
    <w:p>
      <w:pPr>
        <w:pStyle w:val="Heading5"/>
        <w:rPr>
          <w:snapToGrid w:val="0"/>
        </w:rPr>
      </w:pPr>
      <w:bookmarkStart w:id="373" w:name="_Toc512323771"/>
      <w:r>
        <w:rPr>
          <w:rStyle w:val="CharSectno"/>
        </w:rPr>
        <w:t>182</w:t>
      </w:r>
      <w:r>
        <w:rPr>
          <w:snapToGrid w:val="0"/>
        </w:rPr>
        <w:t>.</w:t>
      </w:r>
      <w:r>
        <w:rPr>
          <w:snapToGrid w:val="0"/>
        </w:rPr>
        <w:tab/>
        <w:t>Definition of nuisances</w:t>
      </w:r>
      <w:bookmarkEnd w:id="373"/>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rPr>
          <w:snapToGrid w:val="0"/>
        </w:rPr>
      </w:pPr>
      <w:r>
        <w:rPr>
          <w:snapToGrid w:val="0"/>
        </w:rPr>
        <w:tab/>
      </w:r>
      <w:r>
        <w:rPr>
          <w:snapToGrid w:val="0"/>
        </w:rPr>
        <w:tab/>
        <w:t>or</w:t>
      </w:r>
    </w:p>
    <w:p>
      <w:pPr>
        <w:pStyle w:val="Indenta"/>
        <w:rPr>
          <w:snapToGrid w:val="0"/>
        </w:rPr>
      </w:pPr>
      <w:r>
        <w:rPr>
          <w:snapToGrid w:val="0"/>
        </w:rPr>
        <w:tab/>
        <w:t>(8)</w:t>
      </w:r>
      <w:r>
        <w:rPr>
          <w:snapToGrid w:val="0"/>
        </w:rPr>
        <w:tab/>
        <w:t>where any house or premises are in such a state as to harbour rats; or</w:t>
      </w:r>
    </w:p>
    <w:p>
      <w:pPr>
        <w:pStyle w:val="Indenta"/>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ind w:left="890" w:hanging="890"/>
      </w:pPr>
      <w:r>
        <w:tab/>
        <w:t>[Section 182, formerly section 146, renumbered as section 182 by No. 38 of 1933 s. 42; amended by No. 2 of 1975 s. 5; No. 80 of 1987 s. 48; No. 61 of 2004 s. 4; No. 59 of 2004 s. 141; No. 84 of 2004 s. 82.]</w:t>
      </w:r>
    </w:p>
    <w:p>
      <w:pPr>
        <w:pStyle w:val="Heading5"/>
        <w:rPr>
          <w:snapToGrid w:val="0"/>
        </w:rPr>
      </w:pPr>
      <w:bookmarkStart w:id="374" w:name="_Toc512323772"/>
      <w:r>
        <w:rPr>
          <w:rStyle w:val="CharSectno"/>
        </w:rPr>
        <w:t>182A</w:t>
      </w:r>
      <w:r>
        <w:rPr>
          <w:snapToGrid w:val="0"/>
        </w:rPr>
        <w:t>.</w:t>
      </w:r>
      <w:r>
        <w:rPr>
          <w:snapToGrid w:val="0"/>
        </w:rPr>
        <w:tab/>
        <w:t>Regulations as to section 182(13)</w:t>
      </w:r>
      <w:bookmarkEnd w:id="374"/>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ind w:left="890" w:hanging="890"/>
      </w:pPr>
      <w:r>
        <w:tab/>
        <w:t>[Section 182A inserted by No. 2 of 1975 s. 6.]</w:t>
      </w:r>
    </w:p>
    <w:p>
      <w:pPr>
        <w:pStyle w:val="Heading5"/>
        <w:spacing w:before="200"/>
        <w:rPr>
          <w:snapToGrid w:val="0"/>
        </w:rPr>
      </w:pPr>
      <w:bookmarkStart w:id="375" w:name="_Toc512323773"/>
      <w:r>
        <w:rPr>
          <w:rStyle w:val="CharSectno"/>
        </w:rPr>
        <w:t>183</w:t>
      </w:r>
      <w:r>
        <w:rPr>
          <w:snapToGrid w:val="0"/>
        </w:rPr>
        <w:t>.</w:t>
      </w:r>
      <w:r>
        <w:rPr>
          <w:snapToGrid w:val="0"/>
        </w:rPr>
        <w:tab/>
        <w:t>Immediate action in respect of nuisances</w:t>
      </w:r>
      <w:bookmarkEnd w:id="375"/>
    </w:p>
    <w:p>
      <w:pPr>
        <w:pStyle w:val="Subsection"/>
        <w:rPr>
          <w:snapToGrid w:val="0"/>
        </w:rPr>
      </w:pPr>
      <w:r>
        <w:rPr>
          <w:snapToGrid w:val="0"/>
        </w:rPr>
        <w:tab/>
      </w:r>
      <w:r>
        <w:rPr>
          <w:snapToGrid w:val="0"/>
        </w:rPr>
        <w:tab/>
        <w:t xml:space="preserve">If an </w:t>
      </w:r>
      <w:r>
        <w:t>authorised officer</w:t>
      </w:r>
      <w:r>
        <w:rPr>
          <w:snapToGrid w:val="0"/>
        </w:rPr>
        <w:t xml:space="preserve">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ind w:left="890" w:hanging="890"/>
      </w:pPr>
      <w:r>
        <w:tab/>
        <w:t>[Section 183, formerly section 147, renumbered as section 183 by No. 38 of 1933 s. 42; amended by No. 24 of 1970 s. 12; No. 59 of 1991 s. 5; No. 28 of 1996 s. 21; No. 19 of 2016 s. 99.]</w:t>
      </w:r>
    </w:p>
    <w:p>
      <w:pPr>
        <w:pStyle w:val="Heading5"/>
        <w:rPr>
          <w:snapToGrid w:val="0"/>
        </w:rPr>
      </w:pPr>
      <w:bookmarkStart w:id="376" w:name="_Toc512323774"/>
      <w:r>
        <w:rPr>
          <w:rStyle w:val="CharSectno"/>
        </w:rPr>
        <w:t>184</w:t>
      </w:r>
      <w:r>
        <w:rPr>
          <w:snapToGrid w:val="0"/>
        </w:rPr>
        <w:t>.</w:t>
      </w:r>
      <w:r>
        <w:rPr>
          <w:snapToGrid w:val="0"/>
        </w:rPr>
        <w:tab/>
        <w:t>Mode of dealing with nuisances</w:t>
      </w:r>
      <w:bookmarkEnd w:id="376"/>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 xml:space="preserve">On the report of any </w:t>
      </w:r>
      <w:r>
        <w:t>authorised officer</w:t>
      </w:r>
      <w:r>
        <w:rPr>
          <w:snapToGrid w:val="0"/>
        </w:rPr>
        <w:t xml:space="preserve"> or other person that the nuisance exists on any premises, the local government may, and, if the </w:t>
      </w:r>
      <w:r>
        <w:t>Chief Health Officer</w:t>
      </w:r>
      <w:r>
        <w:rPr>
          <w:snapToGrid w:val="0"/>
        </w:rPr>
        <w:t xml:space="preserve"> so requires, shall, by requisition to the owner and occupier of the premises, require them to abate the nuisance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ind w:left="890" w:hanging="890"/>
      </w:pPr>
      <w:r>
        <w:tab/>
        <w:t>[Section 184, formerly section 148, renumbered as section 184 by No. 38 of 1933 s. 42; amended by No. 113 of 1965 s. 8(1); No. 24 of 1970 s. 12; No. 28 of 1984 s. 45; No. 80 of 1987 s. 49; No. 59 of 1991 s. 5; No. 14 of 1996 s. 4; No. 59 of 2004 s. 141; No. 19 of 2016 s. 99 and 100.]</w:t>
      </w:r>
    </w:p>
    <w:p>
      <w:pPr>
        <w:pStyle w:val="Heading5"/>
        <w:rPr>
          <w:snapToGrid w:val="0"/>
        </w:rPr>
      </w:pPr>
      <w:bookmarkStart w:id="377" w:name="_Toc512323775"/>
      <w:r>
        <w:rPr>
          <w:rStyle w:val="CharSectno"/>
        </w:rPr>
        <w:t>185</w:t>
      </w:r>
      <w:r>
        <w:rPr>
          <w:snapToGrid w:val="0"/>
        </w:rPr>
        <w:t>.</w:t>
      </w:r>
      <w:r>
        <w:rPr>
          <w:snapToGrid w:val="0"/>
        </w:rPr>
        <w:tab/>
        <w:t>Proceedings when nuisance caused by default outside district</w:t>
      </w:r>
      <w:bookmarkEnd w:id="377"/>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formerly section 149, renumbered as section 185 by No. 38 of 1933 s. 42; amended by No. 14 of 1996 s. 4.]</w:t>
      </w:r>
    </w:p>
    <w:p>
      <w:pPr>
        <w:pStyle w:val="Heading3"/>
        <w:rPr>
          <w:snapToGrid w:val="0"/>
        </w:rPr>
      </w:pPr>
      <w:bookmarkStart w:id="378" w:name="_Toc498001160"/>
      <w:bookmarkStart w:id="379" w:name="_Toc498001490"/>
      <w:bookmarkStart w:id="380" w:name="_Toc498003142"/>
      <w:bookmarkStart w:id="381" w:name="_Toc498004153"/>
      <w:bookmarkStart w:id="382" w:name="_Toc499029556"/>
      <w:bookmarkStart w:id="383" w:name="_Toc501098624"/>
      <w:bookmarkStart w:id="384" w:name="_Toc501101547"/>
      <w:bookmarkStart w:id="385" w:name="_Toc501116069"/>
      <w:bookmarkStart w:id="386" w:name="_Toc501117330"/>
      <w:bookmarkStart w:id="387" w:name="_Toc501698737"/>
      <w:bookmarkStart w:id="388" w:name="_Toc512323776"/>
      <w:r>
        <w:rPr>
          <w:rStyle w:val="CharDivNo"/>
        </w:rPr>
        <w:t>Division 2</w:t>
      </w:r>
      <w:r>
        <w:rPr>
          <w:snapToGrid w:val="0"/>
        </w:rPr>
        <w:t> — </w:t>
      </w:r>
      <w:r>
        <w:rPr>
          <w:rStyle w:val="CharDivText"/>
        </w:rPr>
        <w:t>Offensive trades</w:t>
      </w:r>
      <w:bookmarkEnd w:id="378"/>
      <w:bookmarkEnd w:id="379"/>
      <w:bookmarkEnd w:id="380"/>
      <w:bookmarkEnd w:id="381"/>
      <w:bookmarkEnd w:id="382"/>
      <w:bookmarkEnd w:id="383"/>
      <w:bookmarkEnd w:id="384"/>
      <w:bookmarkEnd w:id="385"/>
      <w:bookmarkEnd w:id="386"/>
      <w:bookmarkEnd w:id="387"/>
      <w:bookmarkEnd w:id="388"/>
    </w:p>
    <w:p>
      <w:pPr>
        <w:pStyle w:val="Heading5"/>
        <w:rPr>
          <w:snapToGrid w:val="0"/>
        </w:rPr>
      </w:pPr>
      <w:bookmarkStart w:id="389" w:name="_Toc512323777"/>
      <w:r>
        <w:rPr>
          <w:rStyle w:val="CharSectno"/>
        </w:rPr>
        <w:t>186</w:t>
      </w:r>
      <w:r>
        <w:rPr>
          <w:snapToGrid w:val="0"/>
        </w:rPr>
        <w:t>.</w:t>
      </w:r>
      <w:r>
        <w:rPr>
          <w:snapToGrid w:val="0"/>
        </w:rPr>
        <w:tab/>
        <w:t>Term used: offensive trade</w:t>
      </w:r>
      <w:bookmarkEnd w:id="389"/>
    </w:p>
    <w:p>
      <w:pPr>
        <w:pStyle w:val="Subsection"/>
        <w:rPr>
          <w:snapToGrid w:val="0"/>
        </w:rPr>
      </w:pPr>
      <w:r>
        <w:rPr>
          <w:snapToGrid w:val="0"/>
        </w:rPr>
        <w:tab/>
        <w:t>(1)</w:t>
      </w:r>
      <w:r>
        <w:rPr>
          <w:snapToGrid w:val="0"/>
        </w:rPr>
        <w:tab/>
        <w:t xml:space="preserve">In this Division the term </w:t>
      </w:r>
      <w:r>
        <w:rPr>
          <w:rStyle w:val="CharDefText"/>
        </w:rPr>
        <w:t>offensive trade</w:t>
      </w:r>
      <w:r>
        <w:rPr>
          <w:snapToGrid w:val="0"/>
        </w:rPr>
        <w:t xml:space="preserve"> means and includes any of the trades specified in Schedule 2, and any other trade declared to be offensive by proclamation</w:t>
      </w:r>
      <w:r>
        <w:rPr>
          <w:rFonts w:ascii="Times" w:hAnsi="Times"/>
          <w:snapToGrid w:val="0"/>
          <w:vertAlign w:val="superscript"/>
        </w:rPr>
        <w:t> 5</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spacing w:before="200"/>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spacing w:before="160"/>
        <w:ind w:left="890" w:hanging="890"/>
      </w:pPr>
      <w:r>
        <w:tab/>
        <w:t>[Section 186, formerly section 150, renumbered as section 186 by No. 38 of 1933 s. 42; amended by No. 35 of 1966 s. 5; No. 26 of 1985 s. 6.]</w:t>
      </w:r>
    </w:p>
    <w:p>
      <w:pPr>
        <w:pStyle w:val="Heading5"/>
        <w:spacing w:before="240"/>
        <w:rPr>
          <w:snapToGrid w:val="0"/>
        </w:rPr>
      </w:pPr>
      <w:bookmarkStart w:id="390" w:name="_Toc512323778"/>
      <w:r>
        <w:rPr>
          <w:rStyle w:val="CharSectno"/>
        </w:rPr>
        <w:t>187</w:t>
      </w:r>
      <w:r>
        <w:rPr>
          <w:snapToGrid w:val="0"/>
        </w:rPr>
        <w:t>.</w:t>
      </w:r>
      <w:r>
        <w:rPr>
          <w:snapToGrid w:val="0"/>
        </w:rPr>
        <w:tab/>
        <w:t>Consent necessary for establishing offensive trade</w:t>
      </w:r>
      <w:bookmarkEnd w:id="390"/>
    </w:p>
    <w:p>
      <w:pPr>
        <w:pStyle w:val="Subsection"/>
        <w:spacing w:before="200"/>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spacing w:before="200"/>
      </w:pPr>
      <w:r>
        <w:tab/>
        <w:t>[(2)</w:t>
      </w:r>
      <w:r>
        <w:tab/>
        <w:t>deleted]</w:t>
      </w:r>
    </w:p>
    <w:p>
      <w:pPr>
        <w:pStyle w:val="Subsection"/>
        <w:spacing w:before="200"/>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spacing w:before="160"/>
        <w:ind w:left="890" w:hanging="890"/>
        <w:rPr>
          <w:spacing w:val="-4"/>
        </w:rPr>
      </w:pPr>
      <w:r>
        <w:rPr>
          <w:spacing w:val="-4"/>
        </w:rPr>
        <w:tab/>
        <w:t>[Section 187</w:t>
      </w:r>
      <w:r>
        <w:t xml:space="preserve">, formerly section 151, renumbered as section 187 by No. 38 of 1933 s. 42; </w:t>
      </w:r>
      <w:r>
        <w:rPr>
          <w:spacing w:val="-4"/>
        </w:rPr>
        <w:t>amended by No. 28 of 1984 s. 45; No. 14 of 1996 s. 4; No. 55 of 2004 s. 486.]</w:t>
      </w:r>
    </w:p>
    <w:p>
      <w:pPr>
        <w:pStyle w:val="Heading5"/>
        <w:spacing w:before="240"/>
        <w:rPr>
          <w:snapToGrid w:val="0"/>
        </w:rPr>
      </w:pPr>
      <w:bookmarkStart w:id="391" w:name="_Toc512323779"/>
      <w:r>
        <w:rPr>
          <w:rStyle w:val="CharSectno"/>
        </w:rPr>
        <w:t>188</w:t>
      </w:r>
      <w:r>
        <w:rPr>
          <w:snapToGrid w:val="0"/>
        </w:rPr>
        <w:t>.</w:t>
      </w:r>
      <w:r>
        <w:rPr>
          <w:snapToGrid w:val="0"/>
        </w:rPr>
        <w:tab/>
        <w:t>Penalty for breach</w:t>
      </w:r>
      <w:bookmarkEnd w:id="391"/>
    </w:p>
    <w:p>
      <w:pPr>
        <w:pStyle w:val="Subsection"/>
        <w:spacing w:before="200"/>
        <w:rPr>
          <w:snapToGrid w:val="0"/>
        </w:rPr>
      </w:pPr>
      <w:r>
        <w:rPr>
          <w:snapToGrid w:val="0"/>
        </w:rPr>
        <w:tab/>
      </w:r>
      <w:r>
        <w:rPr>
          <w:snapToGrid w:val="0"/>
        </w:rPr>
        <w:tab/>
        <w:t>Every person who establishes an offensive trade in breach of this Act commits an offence.</w:t>
      </w:r>
    </w:p>
    <w:p>
      <w:pPr>
        <w:pStyle w:val="Footnotesection"/>
        <w:spacing w:before="160"/>
        <w:ind w:left="890" w:hanging="890"/>
      </w:pPr>
      <w:r>
        <w:tab/>
        <w:t>[Section 188, formerly section 152, renumbered as section 188 by No. 38 of 1933 s. 42; amended by No. 113 of 1965 s. 8(1); No. 80 of 1987 s. 50.]</w:t>
      </w:r>
    </w:p>
    <w:p>
      <w:pPr>
        <w:pStyle w:val="Heading5"/>
        <w:pageBreakBefore/>
        <w:spacing w:before="0"/>
        <w:rPr>
          <w:snapToGrid w:val="0"/>
        </w:rPr>
      </w:pPr>
      <w:bookmarkStart w:id="392" w:name="_Toc512323780"/>
      <w:r>
        <w:rPr>
          <w:rStyle w:val="CharSectno"/>
        </w:rPr>
        <w:t>189</w:t>
      </w:r>
      <w:r>
        <w:rPr>
          <w:snapToGrid w:val="0"/>
        </w:rPr>
        <w:t>.</w:t>
      </w:r>
      <w:r>
        <w:rPr>
          <w:snapToGrid w:val="0"/>
        </w:rPr>
        <w:tab/>
        <w:t>Penalty for illegally carrying on offensive trade</w:t>
      </w:r>
      <w:bookmarkEnd w:id="392"/>
    </w:p>
    <w:p>
      <w:pPr>
        <w:pStyle w:val="Subsection"/>
        <w:keepNext/>
        <w:spacing w:before="200"/>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spacing w:before="80"/>
        <w:ind w:left="890" w:hanging="890"/>
      </w:pPr>
      <w:r>
        <w:tab/>
        <w:t>[Section 189, formerly section 153, renumbered as section 189 by No. 38 of 1933 s. 42; amended by No. 113 of 1965 s. 8(1); No. 80 of 1987 s. 51.]</w:t>
      </w:r>
    </w:p>
    <w:p>
      <w:pPr>
        <w:pStyle w:val="Heading5"/>
        <w:rPr>
          <w:snapToGrid w:val="0"/>
        </w:rPr>
      </w:pPr>
      <w:bookmarkStart w:id="393" w:name="_Toc512323781"/>
      <w:r>
        <w:rPr>
          <w:rStyle w:val="CharSectno"/>
        </w:rPr>
        <w:t>190</w:t>
      </w:r>
      <w:r>
        <w:rPr>
          <w:snapToGrid w:val="0"/>
        </w:rPr>
        <w:t>.</w:t>
      </w:r>
      <w:r>
        <w:rPr>
          <w:snapToGrid w:val="0"/>
        </w:rPr>
        <w:tab/>
        <w:t>Local laws regulating offensive trades</w:t>
      </w:r>
      <w:bookmarkEnd w:id="393"/>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394" w:name="_Toc512323782"/>
      <w:r>
        <w:rPr>
          <w:rStyle w:val="CharSectno"/>
        </w:rPr>
        <w:t>191</w:t>
      </w:r>
      <w:r>
        <w:rPr>
          <w:snapToGrid w:val="0"/>
        </w:rPr>
        <w:t>.</w:t>
      </w:r>
      <w:r>
        <w:rPr>
          <w:snapToGrid w:val="0"/>
        </w:rPr>
        <w:tab/>
        <w:t>Offensive trades to be registered</w:t>
      </w:r>
      <w:bookmarkEnd w:id="394"/>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deleted]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spacing w:before="60"/>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spacing w:before="60"/>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formerly section 155, renumbered as section 191 by No. 38 of 1933 s. 42; amended by No. 25 of 1952 s. 5; No. 113 of 1965 s. 8(1); No. 2 of 1975 s. 7; No. 59 of 1991 s. 25; No. 14 of 1996 s. 4.]</w:t>
      </w:r>
    </w:p>
    <w:p>
      <w:pPr>
        <w:pStyle w:val="Heading5"/>
        <w:rPr>
          <w:snapToGrid w:val="0"/>
        </w:rPr>
      </w:pPr>
      <w:bookmarkStart w:id="395" w:name="_Toc512323783"/>
      <w:r>
        <w:rPr>
          <w:rStyle w:val="CharSectno"/>
        </w:rPr>
        <w:t>192</w:t>
      </w:r>
      <w:r>
        <w:rPr>
          <w:snapToGrid w:val="0"/>
        </w:rPr>
        <w:t>.</w:t>
      </w:r>
      <w:r>
        <w:rPr>
          <w:snapToGrid w:val="0"/>
        </w:rPr>
        <w:tab/>
        <w:t>Local government may refuse to register or to renew registration</w:t>
      </w:r>
      <w:bookmarkEnd w:id="395"/>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formerly section 156, renumbered as section 192 by No. 38 of 1933 s. 42; amended by No. 28 of 1984 s. 45; No. 14 of 1996 s. 4; No. 55 of 2004 s. 487.]</w:t>
      </w:r>
    </w:p>
    <w:p>
      <w:pPr>
        <w:pStyle w:val="Heading5"/>
        <w:rPr>
          <w:snapToGrid w:val="0"/>
        </w:rPr>
      </w:pPr>
      <w:bookmarkStart w:id="396" w:name="_Toc512323784"/>
      <w:r>
        <w:rPr>
          <w:rStyle w:val="CharSectno"/>
        </w:rPr>
        <w:t>193</w:t>
      </w:r>
      <w:r>
        <w:rPr>
          <w:snapToGrid w:val="0"/>
        </w:rPr>
        <w:t>.</w:t>
      </w:r>
      <w:r>
        <w:rPr>
          <w:snapToGrid w:val="0"/>
        </w:rPr>
        <w:tab/>
        <w:t>Power to restrict offensive trades to certain portions of proclaimed areas</w:t>
      </w:r>
      <w:bookmarkEnd w:id="396"/>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keepNext/>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as section 156a by No. 17 of 1918 s. 18; renumbered as section 193 by No. 38 of 1933 s. 42; amended by No. 80 of 1987 s. 52.]</w:t>
      </w:r>
    </w:p>
    <w:p>
      <w:pPr>
        <w:pStyle w:val="Heading5"/>
        <w:rPr>
          <w:snapToGrid w:val="0"/>
        </w:rPr>
      </w:pPr>
      <w:bookmarkStart w:id="397" w:name="_Toc512323785"/>
      <w:r>
        <w:rPr>
          <w:rStyle w:val="CharSectno"/>
        </w:rPr>
        <w:t>194</w:t>
      </w:r>
      <w:r>
        <w:rPr>
          <w:snapToGrid w:val="0"/>
        </w:rPr>
        <w:t>.</w:t>
      </w:r>
      <w:r>
        <w:rPr>
          <w:snapToGrid w:val="0"/>
        </w:rPr>
        <w:tab/>
        <w:t>Offensive trades</w:t>
      </w:r>
      <w:bookmarkEnd w:id="397"/>
    </w:p>
    <w:p>
      <w:pPr>
        <w:pStyle w:val="Subsection"/>
        <w:rPr>
          <w:snapToGrid w:val="0"/>
        </w:rPr>
      </w:pPr>
      <w:r>
        <w:rPr>
          <w:snapToGrid w:val="0"/>
        </w:rPr>
        <w:tab/>
      </w:r>
      <w:r>
        <w:rPr>
          <w:snapToGrid w:val="0"/>
        </w:rPr>
        <w:tab/>
        <w:t xml:space="preserve">Where any trade process, whether an offensive trade or not, has been established in any district, and is of such a nature that the carrying on thereof will unavoidably result in fumes, dust, vapour, gas, or other chemical elements which, in the opinion of the </w:t>
      </w:r>
      <w:r>
        <w:t>Chief Health Officer</w:t>
      </w:r>
      <w:r>
        <w:rPr>
          <w:snapToGrid w:val="0"/>
        </w:rPr>
        <w:t xml:space="preserve">, are likely to be injurious to health, escaping into the air, the Governor may, on the recommendation of the </w:t>
      </w:r>
      <w:r>
        <w:t>Chief Health Officer</w:t>
      </w:r>
      <w:r>
        <w:rPr>
          <w:snapToGrid w:val="0"/>
        </w:rPr>
        <w:t>,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 xml:space="preserve">houses shall not be erected or used, the </w:t>
      </w:r>
      <w:r>
        <w:t>Chief Health Officer</w:t>
      </w:r>
      <w:r>
        <w:rPr>
          <w:snapToGrid w:val="0"/>
        </w:rPr>
        <w:t xml:space="preserve"> may, notwithstanding the proclamation, grant a permit in writing signed by him to any person to use such dwelling</w:t>
      </w:r>
      <w:r>
        <w:rPr>
          <w:snapToGrid w:val="0"/>
        </w:rPr>
        <w:noBreakHyphen/>
        <w:t xml:space="preserve">house for purposes of habitation, upon and subject to such conditions as the </w:t>
      </w:r>
      <w:r>
        <w:t>Chief Health Officer</w:t>
      </w:r>
      <w:r>
        <w:rPr>
          <w:snapToGrid w:val="0"/>
        </w:rPr>
        <w:t xml:space="preserve"> may deem fit to impose and which are specified in the permit so granted.</w:t>
      </w:r>
    </w:p>
    <w:p>
      <w:pPr>
        <w:pStyle w:val="Footnotesection"/>
        <w:ind w:left="890" w:hanging="890"/>
      </w:pPr>
      <w:r>
        <w:tab/>
        <w:t>[Section 194 inserted as section 158A by No. 30 of 1932 s. 26; renumbered as section 194 by No. 38 of 1933 s. 42; amended by No. 28 of 1984 s. 45; No. 19 of 2016 s. 100.]</w:t>
      </w:r>
    </w:p>
    <w:p>
      <w:pPr>
        <w:pStyle w:val="Heading5"/>
        <w:pageBreakBefore/>
        <w:spacing w:before="0"/>
        <w:rPr>
          <w:snapToGrid w:val="0"/>
        </w:rPr>
      </w:pPr>
      <w:bookmarkStart w:id="398" w:name="_Toc512323786"/>
      <w:r>
        <w:rPr>
          <w:rStyle w:val="CharSectno"/>
        </w:rPr>
        <w:t>195</w:t>
      </w:r>
      <w:r>
        <w:rPr>
          <w:snapToGrid w:val="0"/>
        </w:rPr>
        <w:t>.</w:t>
      </w:r>
      <w:r>
        <w:rPr>
          <w:snapToGrid w:val="0"/>
        </w:rPr>
        <w:tab/>
        <w:t>Construction, drainage and equipment of slaughter</w:t>
      </w:r>
      <w:r>
        <w:rPr>
          <w:snapToGrid w:val="0"/>
        </w:rPr>
        <w:noBreakHyphen/>
        <w:t>houses</w:t>
      </w:r>
      <w:bookmarkEnd w:id="398"/>
    </w:p>
    <w:p>
      <w:pPr>
        <w:pStyle w:val="Subsection"/>
        <w:spacing w:before="200"/>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399" w:name="_Toc512323787"/>
      <w:r>
        <w:rPr>
          <w:rStyle w:val="CharSectno"/>
        </w:rPr>
        <w:t>196</w:t>
      </w:r>
      <w:r>
        <w:rPr>
          <w:snapToGrid w:val="0"/>
        </w:rPr>
        <w:t>.</w:t>
      </w:r>
      <w:r>
        <w:rPr>
          <w:snapToGrid w:val="0"/>
        </w:rPr>
        <w:tab/>
        <w:t>Slaughter</w:t>
      </w:r>
      <w:r>
        <w:rPr>
          <w:snapToGrid w:val="0"/>
        </w:rPr>
        <w:noBreakHyphen/>
        <w:t>houses to be kept in accordance with Act</w:t>
      </w:r>
      <w:bookmarkEnd w:id="399"/>
    </w:p>
    <w:p>
      <w:pPr>
        <w:pStyle w:val="Subsection"/>
        <w:spacing w:before="200"/>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spacing w:before="200"/>
        <w:rPr>
          <w:snapToGrid w:val="0"/>
        </w:rPr>
      </w:pPr>
      <w:r>
        <w:rPr>
          <w:snapToGrid w:val="0"/>
        </w:rPr>
        <w:tab/>
        <w:t>(2)</w:t>
      </w:r>
      <w:r>
        <w:rPr>
          <w:snapToGrid w:val="0"/>
        </w:rPr>
        <w:tab/>
        <w:t>Whenever any owner or occupier fails to comply with a notice served upon him under subsection (1), he commits an offence.</w:t>
      </w:r>
    </w:p>
    <w:p>
      <w:pPr>
        <w:pStyle w:val="Subsection"/>
        <w:spacing w:before="200"/>
        <w:rPr>
          <w:snapToGrid w:val="0"/>
        </w:rPr>
      </w:pPr>
      <w:r>
        <w:rPr>
          <w:snapToGrid w:val="0"/>
        </w:rPr>
        <w:tab/>
        <w:t>(3)</w:t>
      </w:r>
      <w:r>
        <w:rPr>
          <w:snapToGrid w:val="0"/>
        </w:rPr>
        <w:tab/>
        <w:t xml:space="preserve">The local government may, and shall if the </w:t>
      </w:r>
      <w:r>
        <w:t>Chief Health Officer</w:t>
      </w:r>
      <w:r>
        <w:rPr>
          <w:snapToGrid w:val="0"/>
        </w:rPr>
        <w:t xml:space="preserve"> so requires, carry out the requirements of such notice; and may, by summary proceedings, recover all expenses incurred from the owner or occupier in addition to the penalties incurred; or</w:t>
      </w:r>
    </w:p>
    <w:p>
      <w:pPr>
        <w:pStyle w:val="Subsection"/>
        <w:spacing w:before="200"/>
        <w:rPr>
          <w:snapToGrid w:val="0"/>
        </w:rPr>
      </w:pPr>
      <w:r>
        <w:rPr>
          <w:snapToGrid w:val="0"/>
        </w:rPr>
        <w:tab/>
        <w:t>(4)</w:t>
      </w:r>
      <w:r>
        <w:rPr>
          <w:snapToGrid w:val="0"/>
        </w:rPr>
        <w:tab/>
        <w:t xml:space="preserve">The local government may, and shall if the </w:t>
      </w:r>
      <w:r>
        <w:t>Chief Health Officer</w:t>
      </w:r>
      <w:r>
        <w:rPr>
          <w:snapToGrid w:val="0"/>
        </w:rPr>
        <w:t xml:space="preserve"> so recommends, cancel or refuse to renew the registration of the premises.</w:t>
      </w:r>
    </w:p>
    <w:p>
      <w:pPr>
        <w:pStyle w:val="Footnotesection"/>
        <w:rPr>
          <w:szCs w:val="24"/>
        </w:rPr>
      </w:pPr>
      <w:r>
        <w:tab/>
      </w:r>
      <w:r>
        <w:rPr>
          <w:szCs w:val="24"/>
        </w:rPr>
        <w:t xml:space="preserve">[Section 196, formerly section 158, renumbered as section 196 by No 38 of 1933 s. 42; amended by No. 113 of 1965 s. 8(1); No. 28 of 1984 s. 45; No. 80 of 1987 s. 54; No. 14 of 1996 s. 4; </w:t>
      </w:r>
      <w:r>
        <w:t>No. 19 of 2016 s. 100</w:t>
      </w:r>
      <w:r>
        <w:rPr>
          <w:szCs w:val="24"/>
        </w:rPr>
        <w:t>.]</w:t>
      </w:r>
    </w:p>
    <w:p>
      <w:pPr>
        <w:pStyle w:val="Heading5"/>
        <w:pageBreakBefore/>
        <w:spacing w:before="0"/>
        <w:rPr>
          <w:snapToGrid w:val="0"/>
        </w:rPr>
      </w:pPr>
      <w:bookmarkStart w:id="400" w:name="_Toc512323788"/>
      <w:r>
        <w:rPr>
          <w:rStyle w:val="CharSectno"/>
        </w:rPr>
        <w:t>197</w:t>
      </w:r>
      <w:r>
        <w:rPr>
          <w:snapToGrid w:val="0"/>
        </w:rPr>
        <w:t>.</w:t>
      </w:r>
      <w:r>
        <w:rPr>
          <w:snapToGrid w:val="0"/>
        </w:rPr>
        <w:tab/>
        <w:t>No swine, dog or poultry to be kept at slaughter</w:t>
      </w:r>
      <w:r>
        <w:rPr>
          <w:snapToGrid w:val="0"/>
        </w:rPr>
        <w:noBreakHyphen/>
        <w:t>house</w:t>
      </w:r>
      <w:bookmarkEnd w:id="400"/>
    </w:p>
    <w:p>
      <w:pPr>
        <w:pStyle w:val="Subsection"/>
        <w:keepNext/>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Footnotesection"/>
        <w:spacing w:before="100"/>
        <w:ind w:left="890" w:hanging="890"/>
      </w:pPr>
      <w:r>
        <w:rPr>
          <w:szCs w:val="24"/>
        </w:rPr>
        <w:tab/>
        <w:t>[Section 197, formerly section 159, renumbered as section 197 by No 38 of 1933 s. 42.]</w:t>
      </w:r>
    </w:p>
    <w:p>
      <w:pPr>
        <w:pStyle w:val="Heading5"/>
        <w:spacing w:before="180"/>
        <w:rPr>
          <w:snapToGrid w:val="0"/>
        </w:rPr>
      </w:pPr>
      <w:bookmarkStart w:id="401" w:name="_Toc512323789"/>
      <w:r>
        <w:rPr>
          <w:rStyle w:val="CharSectno"/>
        </w:rPr>
        <w:t>198</w:t>
      </w:r>
      <w:r>
        <w:rPr>
          <w:snapToGrid w:val="0"/>
        </w:rPr>
        <w:t>.</w:t>
      </w:r>
      <w:r>
        <w:rPr>
          <w:snapToGrid w:val="0"/>
        </w:rPr>
        <w:tab/>
        <w:t>Swine not to be fed on raw offal etc.</w:t>
      </w:r>
      <w:bookmarkEnd w:id="401"/>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spacing w:before="60"/>
        <w:ind w:left="890" w:hanging="890"/>
      </w:pPr>
      <w:r>
        <w:tab/>
        <w:t>[Section 198</w:t>
      </w:r>
      <w:r>
        <w:rPr>
          <w:szCs w:val="24"/>
        </w:rPr>
        <w:t>, formerly section 160, renumbered as section 198 by No 38 of 1933 s. 42;</w:t>
      </w:r>
      <w:r>
        <w:t xml:space="preserve"> amended by No. 29 of 1955 s. 3.]</w:t>
      </w:r>
    </w:p>
    <w:p>
      <w:pPr>
        <w:pStyle w:val="Heading3"/>
        <w:spacing w:before="260"/>
        <w:rPr>
          <w:snapToGrid w:val="0"/>
        </w:rPr>
      </w:pPr>
      <w:bookmarkStart w:id="402" w:name="_Toc498001174"/>
      <w:bookmarkStart w:id="403" w:name="_Toc498001504"/>
      <w:bookmarkStart w:id="404" w:name="_Toc498003156"/>
      <w:bookmarkStart w:id="405" w:name="_Toc498004167"/>
      <w:bookmarkStart w:id="406" w:name="_Toc499029570"/>
      <w:bookmarkStart w:id="407" w:name="_Toc501098638"/>
      <w:bookmarkStart w:id="408" w:name="_Toc501101561"/>
      <w:bookmarkStart w:id="409" w:name="_Toc501116083"/>
      <w:bookmarkStart w:id="410" w:name="_Toc501117344"/>
      <w:bookmarkStart w:id="411" w:name="_Toc501698751"/>
      <w:bookmarkStart w:id="412" w:name="_Toc512323790"/>
      <w:r>
        <w:rPr>
          <w:rStyle w:val="CharDivNo"/>
        </w:rPr>
        <w:t>Division 3</w:t>
      </w:r>
      <w:r>
        <w:rPr>
          <w:snapToGrid w:val="0"/>
        </w:rPr>
        <w:t> — </w:t>
      </w:r>
      <w:r>
        <w:rPr>
          <w:rStyle w:val="CharDivText"/>
        </w:rPr>
        <w:t>Local laws</w:t>
      </w:r>
      <w:bookmarkEnd w:id="402"/>
      <w:bookmarkEnd w:id="403"/>
      <w:bookmarkEnd w:id="404"/>
      <w:bookmarkEnd w:id="405"/>
      <w:bookmarkEnd w:id="406"/>
      <w:bookmarkEnd w:id="407"/>
      <w:bookmarkEnd w:id="408"/>
      <w:bookmarkEnd w:id="409"/>
      <w:bookmarkEnd w:id="410"/>
      <w:bookmarkEnd w:id="411"/>
      <w:bookmarkEnd w:id="412"/>
    </w:p>
    <w:p>
      <w:pPr>
        <w:pStyle w:val="Footnoteheading"/>
        <w:ind w:left="890" w:hanging="890"/>
        <w:rPr>
          <w:snapToGrid w:val="0"/>
        </w:rPr>
      </w:pPr>
      <w:r>
        <w:rPr>
          <w:snapToGrid w:val="0"/>
        </w:rPr>
        <w:tab/>
        <w:t>[Heading amended by No. 14 of 1996 s. 4.]</w:t>
      </w:r>
    </w:p>
    <w:p>
      <w:pPr>
        <w:pStyle w:val="Heading5"/>
        <w:rPr>
          <w:snapToGrid w:val="0"/>
        </w:rPr>
      </w:pPr>
      <w:bookmarkStart w:id="413" w:name="_Toc512323791"/>
      <w:r>
        <w:rPr>
          <w:rStyle w:val="CharSectno"/>
        </w:rPr>
        <w:t>199</w:t>
      </w:r>
      <w:r>
        <w:rPr>
          <w:snapToGrid w:val="0"/>
        </w:rPr>
        <w:t>.</w:t>
      </w:r>
      <w:r>
        <w:rPr>
          <w:snapToGrid w:val="0"/>
        </w:rPr>
        <w:tab/>
        <w:t>Local laws in respect of nuisances and offensive trades</w:t>
      </w:r>
      <w:bookmarkEnd w:id="413"/>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Ednotepara"/>
        <w:spacing w:before="80"/>
        <w:rPr>
          <w:snapToGrid w:val="0"/>
        </w:rPr>
      </w:pPr>
      <w:r>
        <w:tab/>
        <w:t>[(14)</w:t>
      </w:r>
      <w:r>
        <w:tab/>
        <w:t>deleted]</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 xml:space="preserve">house, public house or public place, but so that no prosecution for a breach of any local law made under this paragraph shall be instituted except by an </w:t>
      </w:r>
      <w:r>
        <w:t>authorised officer</w:t>
      </w:r>
      <w:r>
        <w:rPr>
          <w:snapToGrid w:val="0"/>
        </w:rPr>
        <w:t>.</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Lines w:val="0"/>
      </w:pPr>
      <w:r>
        <w:tab/>
        <w:t>[Section 199, formerly section 161, amended by No. 3 of 1912 s. 2; No. 30 of 1932 s. 27; renumbered as section 199 by No. 38 of 1933 s. 42; amended by No. 22 of 1948 s. 3; No. 25 of 1952 s. 6; No. 29 of 1955 s. 4; No. 18 of 1964 s. 18; No. 24 of 1970 s. 12; No. 28 of 1984 s. 45; No. 59 of 1991 s. 5; No. 88 of 1994 s. 100; No. 14 of 1996 s. 4; No. 28 of 1996 s. 21; No. 84 of 2004 s. 80; No. 43 of 2008 s. 147(6); No. 19 of 2016 s. 99.]</w:t>
      </w:r>
    </w:p>
    <w:p>
      <w:pPr>
        <w:pStyle w:val="Heading5"/>
        <w:rPr>
          <w:snapToGrid w:val="0"/>
        </w:rPr>
      </w:pPr>
      <w:bookmarkStart w:id="414" w:name="_Toc512323792"/>
      <w:r>
        <w:rPr>
          <w:rStyle w:val="CharSectno"/>
        </w:rPr>
        <w:t>200</w:t>
      </w:r>
      <w:r>
        <w:rPr>
          <w:snapToGrid w:val="0"/>
        </w:rPr>
        <w:t>.</w:t>
      </w:r>
      <w:r>
        <w:rPr>
          <w:snapToGrid w:val="0"/>
        </w:rPr>
        <w:tab/>
        <w:t>Regulations as to medical examinations for persons in prescribed industries</w:t>
      </w:r>
      <w:bookmarkEnd w:id="414"/>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415" w:name="_Toc498001177"/>
      <w:bookmarkStart w:id="416" w:name="_Toc498001507"/>
      <w:bookmarkStart w:id="417" w:name="_Toc498003159"/>
      <w:bookmarkStart w:id="418" w:name="_Toc498004170"/>
      <w:bookmarkStart w:id="419" w:name="_Toc499029573"/>
      <w:bookmarkStart w:id="420" w:name="_Toc501098641"/>
      <w:bookmarkStart w:id="421" w:name="_Toc501101564"/>
      <w:bookmarkStart w:id="422" w:name="_Toc501116086"/>
      <w:bookmarkStart w:id="423" w:name="_Toc501117347"/>
      <w:bookmarkStart w:id="424" w:name="_Toc501698754"/>
      <w:bookmarkStart w:id="425" w:name="_Toc512323793"/>
      <w:r>
        <w:rPr>
          <w:rStyle w:val="CharPartNo"/>
        </w:rPr>
        <w:t>Part VIIA</w:t>
      </w:r>
      <w:r>
        <w:rPr>
          <w:b w:val="0"/>
        </w:rPr>
        <w:t> </w:t>
      </w:r>
      <w:r>
        <w:t>—</w:t>
      </w:r>
      <w:r>
        <w:rPr>
          <w:b w:val="0"/>
        </w:rPr>
        <w:t> </w:t>
      </w:r>
      <w:r>
        <w:rPr>
          <w:rStyle w:val="CharPartText"/>
        </w:rPr>
        <w:t>Pesticides</w:t>
      </w:r>
      <w:bookmarkEnd w:id="415"/>
      <w:bookmarkEnd w:id="416"/>
      <w:bookmarkEnd w:id="417"/>
      <w:bookmarkEnd w:id="418"/>
      <w:bookmarkEnd w:id="419"/>
      <w:bookmarkEnd w:id="420"/>
      <w:bookmarkEnd w:id="421"/>
      <w:bookmarkEnd w:id="422"/>
      <w:bookmarkEnd w:id="423"/>
      <w:bookmarkEnd w:id="424"/>
      <w:bookmarkEnd w:id="425"/>
    </w:p>
    <w:p>
      <w:pPr>
        <w:pStyle w:val="Footnoteheading"/>
        <w:spacing w:before="100"/>
        <w:ind w:left="890" w:hanging="890"/>
        <w:rPr>
          <w:snapToGrid w:val="0"/>
        </w:rPr>
      </w:pPr>
      <w:r>
        <w:rPr>
          <w:snapToGrid w:val="0"/>
        </w:rPr>
        <w:tab/>
        <w:t>[Heading inserted by No. 13 of 2014 s. 151.]</w:t>
      </w:r>
    </w:p>
    <w:p>
      <w:pPr>
        <w:pStyle w:val="Heading3"/>
      </w:pPr>
      <w:bookmarkStart w:id="426" w:name="_Toc498001178"/>
      <w:bookmarkStart w:id="427" w:name="_Toc498001508"/>
      <w:bookmarkStart w:id="428" w:name="_Toc498003160"/>
      <w:bookmarkStart w:id="429" w:name="_Toc498004171"/>
      <w:bookmarkStart w:id="430" w:name="_Toc499029574"/>
      <w:bookmarkStart w:id="431" w:name="_Toc501098642"/>
      <w:bookmarkStart w:id="432" w:name="_Toc501101565"/>
      <w:bookmarkStart w:id="433" w:name="_Toc501116087"/>
      <w:bookmarkStart w:id="434" w:name="_Toc501117348"/>
      <w:bookmarkStart w:id="435" w:name="_Toc501698755"/>
      <w:bookmarkStart w:id="436" w:name="_Toc512323794"/>
      <w:r>
        <w:rPr>
          <w:rStyle w:val="CharDivNo"/>
        </w:rPr>
        <w:t>Division 1</w:t>
      </w:r>
      <w:r>
        <w:t> — </w:t>
      </w:r>
      <w:r>
        <w:rPr>
          <w:rStyle w:val="CharDivText"/>
        </w:rPr>
        <w:t>Registration of analysts</w:t>
      </w:r>
      <w:bookmarkEnd w:id="426"/>
      <w:bookmarkEnd w:id="427"/>
      <w:bookmarkEnd w:id="428"/>
      <w:bookmarkEnd w:id="429"/>
      <w:bookmarkEnd w:id="430"/>
      <w:bookmarkEnd w:id="431"/>
      <w:bookmarkEnd w:id="432"/>
      <w:bookmarkEnd w:id="433"/>
      <w:bookmarkEnd w:id="434"/>
      <w:bookmarkEnd w:id="435"/>
      <w:bookmarkEnd w:id="436"/>
    </w:p>
    <w:p>
      <w:pPr>
        <w:pStyle w:val="Footnoteheading"/>
        <w:spacing w:before="100"/>
        <w:ind w:left="890" w:hanging="890"/>
        <w:rPr>
          <w:snapToGrid w:val="0"/>
        </w:rPr>
      </w:pPr>
      <w:r>
        <w:rPr>
          <w:snapToGrid w:val="0"/>
        </w:rPr>
        <w:tab/>
        <w:t>[Heading inserted by No. 13 of 2014 s. 152.]</w:t>
      </w:r>
    </w:p>
    <w:p>
      <w:pPr>
        <w:pStyle w:val="Ednotesection"/>
        <w:outlineLvl w:val="9"/>
      </w:pPr>
      <w:r>
        <w:t>[</w:t>
      </w:r>
      <w:r>
        <w:rPr>
          <w:b/>
        </w:rPr>
        <w:t>201.</w:t>
      </w:r>
      <w:r>
        <w:tab/>
        <w:t>Deleted by No. 80 of 1987 s. 55.]</w:t>
      </w:r>
    </w:p>
    <w:p>
      <w:pPr>
        <w:pStyle w:val="Ednotesection"/>
      </w:pPr>
      <w:r>
        <w:t>[</w:t>
      </w:r>
      <w:r>
        <w:rPr>
          <w:b/>
        </w:rPr>
        <w:t>202.</w:t>
      </w:r>
      <w:r>
        <w:tab/>
        <w:t>Deleted by No. 13 of 2014 s. 153.]</w:t>
      </w:r>
    </w:p>
    <w:p>
      <w:pPr>
        <w:pStyle w:val="Heading5"/>
        <w:spacing w:before="240"/>
        <w:rPr>
          <w:snapToGrid w:val="0"/>
        </w:rPr>
      </w:pPr>
      <w:bookmarkStart w:id="437" w:name="_Toc512323795"/>
      <w:r>
        <w:rPr>
          <w:rStyle w:val="CharSectno"/>
        </w:rPr>
        <w:t>203</w:t>
      </w:r>
      <w:r>
        <w:rPr>
          <w:snapToGrid w:val="0"/>
        </w:rPr>
        <w:t>.</w:t>
      </w:r>
      <w:r>
        <w:rPr>
          <w:snapToGrid w:val="0"/>
        </w:rPr>
        <w:tab/>
        <w:t>Registration of analysts</w:t>
      </w:r>
      <w:bookmarkEnd w:id="437"/>
    </w:p>
    <w:p>
      <w:pPr>
        <w:pStyle w:val="Subsection"/>
        <w:spacing w:before="180"/>
        <w:rPr>
          <w:snapToGrid w:val="0"/>
        </w:rPr>
      </w:pPr>
      <w:r>
        <w:rPr>
          <w:snapToGrid w:val="0"/>
        </w:rPr>
        <w:tab/>
        <w:t>(1)</w:t>
      </w:r>
      <w:r>
        <w:rPr>
          <w:snapToGrid w:val="0"/>
        </w:rPr>
        <w:tab/>
        <w:t xml:space="preserve">Subject to subsection (3), the </w:t>
      </w:r>
      <w:r>
        <w:t>Chief Health Officer</w:t>
      </w:r>
      <w:r>
        <w:rPr>
          <w:snapToGrid w:val="0"/>
        </w:rPr>
        <w:t xml:space="preserve">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pPr>
      <w:r>
        <w:tab/>
        <w:t>(i)</w:t>
      </w:r>
      <w:r>
        <w:tab/>
        <w:t xml:space="preserve">who is appointed as an analyst under the </w:t>
      </w:r>
      <w:r>
        <w:rPr>
          <w:i/>
        </w:rPr>
        <w:t>Health Legislation Administration Act 1984</w:t>
      </w:r>
      <w:r>
        <w:t xml:space="preserve"> section 6; or </w:t>
      </w:r>
    </w:p>
    <w:p>
      <w:pPr>
        <w:pStyle w:val="Indenti"/>
        <w:rPr>
          <w:snapToGrid w:val="0"/>
        </w:rPr>
      </w:pPr>
      <w:r>
        <w:rPr>
          <w:snapToGrid w:val="0"/>
        </w:rPr>
        <w:tab/>
        <w:t>(ii)</w:t>
      </w:r>
      <w:r>
        <w:rPr>
          <w:snapToGrid w:val="0"/>
        </w:rPr>
        <w:tab/>
        <w:t xml:space="preserve">who is a qualified person approved by the </w:t>
      </w:r>
      <w:r>
        <w:t xml:space="preserve">Chief Health Officer </w:t>
      </w:r>
      <w:r>
        <w:rPr>
          <w:snapToGrid w:val="0"/>
        </w:rPr>
        <w:t>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spacing w:before="180"/>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spacing w:before="180"/>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spacing w:before="60"/>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 No. 19 of 2016 s. 15.]</w:t>
      </w:r>
    </w:p>
    <w:p>
      <w:pPr>
        <w:pStyle w:val="Ednotedivision"/>
        <w:spacing w:before="200"/>
      </w:pPr>
      <w:r>
        <w:t>[Divisions 2, 2A, 3, 3A and 4 (s. 203A-220) deleted by No. 43 of 2008 s. 147(8).]</w:t>
      </w:r>
    </w:p>
    <w:p>
      <w:pPr>
        <w:pStyle w:val="Ednotedivision"/>
        <w:spacing w:before="200"/>
      </w:pPr>
      <w:r>
        <w:t>[Divisions 5, 6 and 7 (s. 221-245) deleted by No. 13 of 2014 s. 154.]</w:t>
      </w:r>
    </w:p>
    <w:p>
      <w:pPr>
        <w:pStyle w:val="Heading3"/>
        <w:rPr>
          <w:snapToGrid w:val="0"/>
        </w:rPr>
      </w:pPr>
      <w:bookmarkStart w:id="438" w:name="_Toc498001180"/>
      <w:bookmarkStart w:id="439" w:name="_Toc498001510"/>
      <w:bookmarkStart w:id="440" w:name="_Toc498003162"/>
      <w:bookmarkStart w:id="441" w:name="_Toc498004173"/>
      <w:bookmarkStart w:id="442" w:name="_Toc499029576"/>
      <w:bookmarkStart w:id="443" w:name="_Toc501098644"/>
      <w:bookmarkStart w:id="444" w:name="_Toc501101567"/>
      <w:bookmarkStart w:id="445" w:name="_Toc501116089"/>
      <w:bookmarkStart w:id="446" w:name="_Toc501117350"/>
      <w:bookmarkStart w:id="447" w:name="_Toc501698757"/>
      <w:bookmarkStart w:id="448" w:name="_Toc512323796"/>
      <w:r>
        <w:rPr>
          <w:rStyle w:val="CharDivNo"/>
        </w:rPr>
        <w:t>Division 8</w:t>
      </w:r>
      <w:r>
        <w:rPr>
          <w:snapToGrid w:val="0"/>
        </w:rPr>
        <w:t> — </w:t>
      </w:r>
      <w:r>
        <w:rPr>
          <w:rStyle w:val="CharDivText"/>
        </w:rPr>
        <w:t>Pesticides</w:t>
      </w:r>
      <w:bookmarkEnd w:id="438"/>
      <w:bookmarkEnd w:id="439"/>
      <w:bookmarkEnd w:id="440"/>
      <w:bookmarkEnd w:id="441"/>
      <w:bookmarkEnd w:id="442"/>
      <w:bookmarkEnd w:id="443"/>
      <w:bookmarkEnd w:id="444"/>
      <w:bookmarkEnd w:id="445"/>
      <w:bookmarkEnd w:id="446"/>
      <w:bookmarkEnd w:id="447"/>
      <w:bookmarkEnd w:id="448"/>
    </w:p>
    <w:p>
      <w:pPr>
        <w:pStyle w:val="Footnoteheading"/>
        <w:keepNext/>
        <w:ind w:left="890" w:hanging="890"/>
        <w:rPr>
          <w:snapToGrid w:val="0"/>
        </w:rPr>
      </w:pPr>
      <w:r>
        <w:rPr>
          <w:snapToGrid w:val="0"/>
        </w:rPr>
        <w:tab/>
        <w:t>[Heading inserted by No. 26 of 1985 s. 7.]</w:t>
      </w:r>
    </w:p>
    <w:p>
      <w:pPr>
        <w:pStyle w:val="Heading5"/>
        <w:rPr>
          <w:snapToGrid w:val="0"/>
        </w:rPr>
      </w:pPr>
      <w:bookmarkStart w:id="449" w:name="_Toc512323797"/>
      <w:r>
        <w:rPr>
          <w:rStyle w:val="CharSectno"/>
        </w:rPr>
        <w:t>246</w:t>
      </w:r>
      <w:r>
        <w:rPr>
          <w:snapToGrid w:val="0"/>
        </w:rPr>
        <w:t>.</w:t>
      </w:r>
      <w:r>
        <w:rPr>
          <w:snapToGrid w:val="0"/>
        </w:rPr>
        <w:tab/>
        <w:t>Term used: Pesticides Advisory Committee</w:t>
      </w:r>
      <w:bookmarkEnd w:id="449"/>
    </w:p>
    <w:p>
      <w:pPr>
        <w:pStyle w:val="Subsection"/>
        <w:rPr>
          <w:snapToGrid w:val="0"/>
        </w:rPr>
      </w:pPr>
      <w:r>
        <w:rPr>
          <w:snapToGrid w:val="0"/>
        </w:rPr>
        <w:tab/>
      </w:r>
      <w:r>
        <w:rPr>
          <w:snapToGrid w:val="0"/>
        </w:rPr>
        <w:tab/>
        <w:t>In this Division, unless the context requires otherwise —</w:t>
      </w:r>
    </w:p>
    <w:p>
      <w:pPr>
        <w:pStyle w:val="Defstart"/>
      </w:pPr>
      <w:r>
        <w:rPr>
          <w:b/>
        </w:rPr>
        <w:tab/>
      </w:r>
      <w:r>
        <w:rPr>
          <w:rStyle w:val="CharDefText"/>
        </w:rPr>
        <w:t>Pesticides Advisory Committee</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450" w:name="_Toc512323798"/>
      <w:r>
        <w:rPr>
          <w:rStyle w:val="CharSectno"/>
        </w:rPr>
        <w:t>246A</w:t>
      </w:r>
      <w:r>
        <w:rPr>
          <w:snapToGrid w:val="0"/>
        </w:rPr>
        <w:t>.</w:t>
      </w:r>
      <w:r>
        <w:rPr>
          <w:snapToGrid w:val="0"/>
        </w:rPr>
        <w:tab/>
      </w:r>
      <w:r>
        <w:t>C</w:t>
      </w:r>
      <w:r>
        <w:rPr>
          <w:bCs/>
          <w:iCs/>
        </w:rPr>
        <w:t xml:space="preserve">rown bound, but </w:t>
      </w:r>
      <w:r>
        <w:rPr>
          <w:bCs/>
          <w:i/>
          <w:iCs/>
        </w:rPr>
        <w:t>Health Practitioner Regulation National Law (</w:t>
      </w:r>
      <w:smartTag w:uri="urn:schemas-microsoft-com:office:smarttags" w:element="place">
        <w:smartTag w:uri="urn:schemas-microsoft-com:office:smarttags" w:element="State">
          <w:r>
            <w:rPr>
              <w:bCs/>
              <w:i/>
              <w:iCs/>
            </w:rPr>
            <w:t xml:space="preserve">Western </w:t>
          </w:r>
          <w:smartTag w:uri="urn:schemas-microsoft-com:office:smarttags" w:element="country-region">
            <w:r>
              <w:rPr>
                <w:bCs/>
                <w:i/>
                <w:iCs/>
              </w:rPr>
              <w:t>Australia</w:t>
            </w:r>
          </w:smartTag>
        </w:smartTag>
      </w:smartTag>
      <w:r>
        <w:rPr>
          <w:bCs/>
          <w:i/>
          <w:iCs/>
        </w:rPr>
        <w:t>)</w:t>
      </w:r>
      <w:r>
        <w:rPr>
          <w:bCs/>
          <w:iCs/>
        </w:rPr>
        <w:t xml:space="preserve"> and </w:t>
      </w:r>
      <w:r>
        <w:rPr>
          <w:i/>
          <w:snapToGrid w:val="0"/>
        </w:rPr>
        <w:t xml:space="preserve">Medicines and Poisons Act 2014 </w:t>
      </w:r>
      <w:r>
        <w:rPr>
          <w:bCs/>
          <w:iCs/>
        </w:rPr>
        <w:t>not affected by Division 8</w:t>
      </w:r>
      <w:bookmarkEnd w:id="450"/>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w:t>
      </w:r>
      <w:r>
        <w:rPr>
          <w:snapToGrid w:val="0"/>
        </w:rPr>
        <w:t xml:space="preserve">or the </w:t>
      </w:r>
      <w:r>
        <w:rPr>
          <w:i/>
          <w:snapToGrid w:val="0"/>
        </w:rPr>
        <w:t>Medicines and Poisons Act 2014</w:t>
      </w:r>
      <w:r>
        <w:t>.</w:t>
      </w:r>
    </w:p>
    <w:p>
      <w:pPr>
        <w:pStyle w:val="Footnotesection"/>
      </w:pPr>
      <w:r>
        <w:tab/>
        <w:t>[Section 246A inserted by No. 80 of 1987 s. 84; amended by No. 35 of 2010 s. 70; No. 13 of 2014 s. 155.]</w:t>
      </w:r>
    </w:p>
    <w:p>
      <w:pPr>
        <w:pStyle w:val="Heading5"/>
        <w:rPr>
          <w:snapToGrid w:val="0"/>
        </w:rPr>
      </w:pPr>
      <w:bookmarkStart w:id="451" w:name="_Toc512323799"/>
      <w:r>
        <w:rPr>
          <w:rStyle w:val="CharSectno"/>
        </w:rPr>
        <w:t>246B</w:t>
      </w:r>
      <w:r>
        <w:rPr>
          <w:snapToGrid w:val="0"/>
        </w:rPr>
        <w:t xml:space="preserve">. </w:t>
      </w:r>
      <w:r>
        <w:rPr>
          <w:snapToGrid w:val="0"/>
        </w:rPr>
        <w:tab/>
        <w:t>Pesticides Advisory Committee</w:t>
      </w:r>
      <w:bookmarkEnd w:id="451"/>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appointed by the Minister under section 241C as section 241C existed immediately before that coming into operation is hereby preserved and continued in existence under this Act.</w:t>
      </w:r>
    </w:p>
    <w:p>
      <w:pPr>
        <w:pStyle w:val="Subsection"/>
        <w:keepNext/>
        <w:rPr>
          <w:snapToGrid w:val="0"/>
        </w:rPr>
      </w:pPr>
      <w:r>
        <w:rPr>
          <w:snapToGrid w:val="0"/>
        </w:rPr>
        <w:tab/>
        <w:t>(2)</w:t>
      </w:r>
      <w:r>
        <w:rPr>
          <w:snapToGrid w:val="0"/>
        </w:rPr>
        <w:tab/>
        <w:t>The Pesticides Advisory Committee shall consist of 6 members of whom —</w:t>
      </w:r>
    </w:p>
    <w:p>
      <w:pPr>
        <w:pStyle w:val="Indenta"/>
      </w:pPr>
      <w:r>
        <w:tab/>
        <w:t>(a)</w:t>
      </w:r>
      <w:r>
        <w:tab/>
        <w:t>one shall be the Chief Health Officer or a medical practitioner nominated by the Chief Health Officer; and</w:t>
      </w:r>
    </w:p>
    <w:p>
      <w:pPr>
        <w:pStyle w:val="Indenta"/>
        <w:rPr>
          <w:snapToGrid w:val="0"/>
        </w:rPr>
      </w:pPr>
      <w:r>
        <w:rPr>
          <w:snapToGrid w:val="0"/>
        </w:rPr>
        <w:tab/>
        <w:t>(b)</w:t>
      </w:r>
      <w:r>
        <w:rPr>
          <w:snapToGrid w:val="0"/>
        </w:rPr>
        <w:tab/>
        <w:t>one shall be the chief executive officer of the Chemistry Centre (WA) or an analyst from the Chemistry Centre (WA) nominated by the chief executive officer; and</w:t>
      </w:r>
    </w:p>
    <w:p>
      <w:pPr>
        <w:pStyle w:val="Indenta"/>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 and</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 and</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spacing w:before="60"/>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w:t>
      </w:r>
      <w:r>
        <w:t>Chief Health Officer</w:t>
      </w:r>
      <w:r>
        <w:rPr>
          <w:snapToGrid w:val="0"/>
        </w:rPr>
        <w:t xml:space="preserve">, or the medical </w:t>
      </w:r>
      <w:r>
        <w:t>practitioner</w:t>
      </w:r>
      <w:r>
        <w:rPr>
          <w:snapToGrid w:val="0"/>
        </w:rPr>
        <w:t xml:space="preserve"> referred to in subsection (2)(a), as the case requires, shall be the Chairman of the Pesticides Advisory Committee (in this section </w:t>
      </w:r>
      <w:r>
        <w:t>called the</w:t>
      </w:r>
      <w:r>
        <w:rPr>
          <w:b/>
          <w:i/>
          <w:snapToGrid w:val="0"/>
        </w:rPr>
        <w:t xml:space="preserve"> </w:t>
      </w:r>
      <w:r>
        <w:rPr>
          <w:rStyle w:val="CharDefText"/>
        </w:rPr>
        <w:t>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vertAlign w:val="superscript"/>
        </w:rPr>
        <w:t xml:space="preserve"> </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 and</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spacing w:before="180"/>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spacing w:before="180"/>
        <w:rPr>
          <w:snapToGrid w:val="0"/>
        </w:rPr>
      </w:pPr>
      <w:r>
        <w:rPr>
          <w:snapToGrid w:val="0"/>
        </w:rPr>
        <w:tab/>
        <w:t>(8)</w:t>
      </w:r>
      <w:r>
        <w:rPr>
          <w:snapToGrid w:val="0"/>
        </w:rPr>
        <w:tab/>
        <w:t>Each member may be paid such attendance fees as are prescribed in his case.</w:t>
      </w:r>
    </w:p>
    <w:p>
      <w:pPr>
        <w:pStyle w:val="Subsection"/>
        <w:spacing w:before="180"/>
        <w:rPr>
          <w:snapToGrid w:val="0"/>
        </w:rPr>
      </w:pPr>
      <w:r>
        <w:rPr>
          <w:snapToGrid w:val="0"/>
        </w:rPr>
        <w:tab/>
        <w:t>(9)</w:t>
      </w:r>
      <w:r>
        <w:rPr>
          <w:snapToGrid w:val="0"/>
        </w:rPr>
        <w:tab/>
        <w:t>In this section —</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or (d).</w:t>
      </w:r>
    </w:p>
    <w:p>
      <w:pPr>
        <w:pStyle w:val="Footnotesection"/>
        <w:spacing w:before="100"/>
        <w:ind w:left="890" w:hanging="890"/>
      </w:pPr>
      <w:r>
        <w:tab/>
        <w:t>[Section 246B inserted by No. 26 of 1985 s. 7; amended by No. 32 of 1994 s. 3(2); No. 28 of 1996 s. 13; No. 10 of 2007 s. 43; No. 24 of 2007 s. 10; No. 19 of 2016 s. 27, 99 and 100.]</w:t>
      </w:r>
    </w:p>
    <w:p>
      <w:pPr>
        <w:pStyle w:val="Heading5"/>
        <w:spacing w:before="240"/>
        <w:rPr>
          <w:snapToGrid w:val="0"/>
        </w:rPr>
      </w:pPr>
      <w:bookmarkStart w:id="452" w:name="_Toc512323800"/>
      <w:r>
        <w:rPr>
          <w:rStyle w:val="CharSectno"/>
        </w:rPr>
        <w:t>246BA</w:t>
      </w:r>
      <w:r>
        <w:rPr>
          <w:snapToGrid w:val="0"/>
        </w:rPr>
        <w:t xml:space="preserve">. </w:t>
      </w:r>
      <w:r>
        <w:rPr>
          <w:snapToGrid w:val="0"/>
        </w:rPr>
        <w:tab/>
        <w:t>General powers of Pesticides Advisory Committee</w:t>
      </w:r>
      <w:bookmarkEnd w:id="452"/>
    </w:p>
    <w:p>
      <w:pPr>
        <w:pStyle w:val="Subsection"/>
        <w:spacing w:before="180"/>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 xml:space="preserve">advise the </w:t>
      </w:r>
      <w:r>
        <w:t xml:space="preserve">Chief Health Officer </w:t>
      </w:r>
      <w:r>
        <w:rPr>
          <w:snapToGrid w:val="0"/>
        </w:rPr>
        <w:t xml:space="preserve">on any matter whatsoever concerning pesticides, whether that matter is referred to it by the </w:t>
      </w:r>
      <w:r>
        <w:t xml:space="preserve">Chief Health Officer </w:t>
      </w:r>
      <w:r>
        <w:rPr>
          <w:snapToGrid w:val="0"/>
        </w:rPr>
        <w:t>or not; or</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spacing w:before="100"/>
        <w:ind w:left="890" w:hanging="890"/>
      </w:pPr>
      <w:r>
        <w:tab/>
        <w:t>[Section 246BA inserted by No. 80 of 1987 s. 85; amended by No. 19 of 2016 s. 28.]</w:t>
      </w:r>
    </w:p>
    <w:p>
      <w:pPr>
        <w:pStyle w:val="Heading5"/>
        <w:rPr>
          <w:snapToGrid w:val="0"/>
        </w:rPr>
      </w:pPr>
      <w:bookmarkStart w:id="453" w:name="_Toc512323801"/>
      <w:r>
        <w:rPr>
          <w:rStyle w:val="CharSectno"/>
        </w:rPr>
        <w:t>246C</w:t>
      </w:r>
      <w:r>
        <w:rPr>
          <w:snapToGrid w:val="0"/>
        </w:rPr>
        <w:t xml:space="preserve">. </w:t>
      </w:r>
      <w:r>
        <w:rPr>
          <w:snapToGrid w:val="0"/>
        </w:rPr>
        <w:tab/>
        <w:t>Regulations relating to pesticides</w:t>
      </w:r>
      <w:bookmarkEnd w:id="453"/>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 and</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 and</w:t>
      </w:r>
    </w:p>
    <w:p>
      <w:pPr>
        <w:pStyle w:val="Indenta"/>
        <w:rPr>
          <w:snapToGrid w:val="0"/>
        </w:rPr>
      </w:pPr>
      <w:r>
        <w:rPr>
          <w:snapToGrid w:val="0"/>
        </w:rPr>
        <w:tab/>
        <w:t>(c)</w:t>
      </w:r>
      <w:r>
        <w:rPr>
          <w:snapToGrid w:val="0"/>
        </w:rPr>
        <w:tab/>
        <w:t xml:space="preserve">providing for the registration by the </w:t>
      </w:r>
      <w:r>
        <w:t xml:space="preserve">Chief Health Officer </w:t>
      </w:r>
      <w:r>
        <w:rPr>
          <w:snapToGrid w:val="0"/>
        </w:rPr>
        <w:t>of pesticides and labels relating thereto and for the imposition by him of conditions on any such registration; and</w:t>
      </w:r>
    </w:p>
    <w:p>
      <w:pPr>
        <w:pStyle w:val="Indenta"/>
        <w:rPr>
          <w:snapToGrid w:val="0"/>
        </w:rPr>
      </w:pPr>
      <w:r>
        <w:rPr>
          <w:snapToGrid w:val="0"/>
        </w:rPr>
        <w:tab/>
        <w:t>(d)</w:t>
      </w:r>
      <w:r>
        <w:rPr>
          <w:snapToGrid w:val="0"/>
        </w:rPr>
        <w:tab/>
        <w:t xml:space="preserve">prohibiting the registration by the </w:t>
      </w:r>
      <w:r>
        <w:t xml:space="preserve">Chief Health Officer </w:t>
      </w:r>
      <w:r>
        <w:rPr>
          <w:snapToGrid w:val="0"/>
        </w:rPr>
        <w:t>of any pesticide in respect of which a body prescribed for the purposes of section 246BA(b) has recommended against the use of that pesticide; and</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 and</w:t>
      </w:r>
    </w:p>
    <w:p>
      <w:pPr>
        <w:pStyle w:val="Indenta"/>
        <w:rPr>
          <w:snapToGrid w:val="0"/>
        </w:rPr>
      </w:pPr>
      <w:r>
        <w:rPr>
          <w:snapToGrid w:val="0"/>
        </w:rPr>
        <w:tab/>
        <w:t>(f)</w:t>
      </w:r>
      <w:r>
        <w:rPr>
          <w:snapToGrid w:val="0"/>
        </w:rPr>
        <w:tab/>
        <w:t>regulating or prohibiting the advertising of pesticides; and</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 and</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 and</w:t>
      </w:r>
    </w:p>
    <w:p>
      <w:pPr>
        <w:pStyle w:val="Indenta"/>
        <w:rPr>
          <w:snapToGrid w:val="0"/>
        </w:rPr>
      </w:pPr>
      <w:r>
        <w:rPr>
          <w:snapToGrid w:val="0"/>
        </w:rPr>
        <w:tab/>
        <w:t>(i)</w:t>
      </w:r>
      <w:r>
        <w:rPr>
          <w:snapToGrid w:val="0"/>
        </w:rPr>
        <w:tab/>
        <w:t>regulating the disposal of pesticides and used pesticide containers; and</w:t>
      </w:r>
    </w:p>
    <w:p>
      <w:pPr>
        <w:pStyle w:val="Indenta"/>
        <w:rPr>
          <w:snapToGrid w:val="0"/>
        </w:rPr>
      </w:pPr>
      <w:r>
        <w:rPr>
          <w:snapToGrid w:val="0"/>
        </w:rPr>
        <w:tab/>
        <w:t>(j)</w:t>
      </w:r>
      <w:r>
        <w:rPr>
          <w:snapToGrid w:val="0"/>
        </w:rPr>
        <w:tab/>
        <w:t xml:space="preserve">providing for the registration by the </w:t>
      </w:r>
      <w:r>
        <w:t xml:space="preserve">Chief Health Officer </w:t>
      </w:r>
      <w:r>
        <w:rPr>
          <w:snapToGrid w:val="0"/>
        </w:rPr>
        <w:t>of firms in respect of the undertaking or carrying out of fumigation and for the imposition by him of conditions on any such registration; and</w:t>
      </w:r>
    </w:p>
    <w:p>
      <w:pPr>
        <w:pStyle w:val="Indenta"/>
        <w:keepNext/>
        <w:keepLines/>
        <w:rPr>
          <w:snapToGrid w:val="0"/>
        </w:rPr>
      </w:pPr>
      <w:r>
        <w:rPr>
          <w:snapToGrid w:val="0"/>
        </w:rPr>
        <w:tab/>
        <w:t>(k)</w:t>
      </w:r>
      <w:r>
        <w:rPr>
          <w:snapToGrid w:val="0"/>
        </w:rPr>
        <w:tab/>
        <w:t xml:space="preserve">providing for the licensing by the </w:t>
      </w:r>
      <w:r>
        <w:t xml:space="preserve">Chief Health Officer </w:t>
      </w:r>
      <w:r>
        <w:rPr>
          <w:snapToGrid w:val="0"/>
        </w:rPr>
        <w:t>of persons in respect of the carrying out of fumigation and for the imposition by him of conditions on the granting by him of any such licence; and</w:t>
      </w:r>
    </w:p>
    <w:p>
      <w:pPr>
        <w:pStyle w:val="Indenta"/>
        <w:rPr>
          <w:snapToGrid w:val="0"/>
        </w:rPr>
      </w:pPr>
      <w:r>
        <w:rPr>
          <w:snapToGrid w:val="0"/>
        </w:rPr>
        <w:tab/>
        <w:t>(l)</w:t>
      </w:r>
      <w:r>
        <w:rPr>
          <w:snapToGrid w:val="0"/>
        </w:rPr>
        <w:tab/>
        <w:t xml:space="preserve">providing for the registration by the </w:t>
      </w:r>
      <w:r>
        <w:t xml:space="preserve">Chief Health Officer </w:t>
      </w:r>
      <w:r>
        <w:rPr>
          <w:snapToGrid w:val="0"/>
        </w:rPr>
        <w:t>of firms carrying on the trade, business or profession of the use of pesticides for reward and for the imposition by him of conditions on any such registration; and</w:t>
      </w:r>
    </w:p>
    <w:p>
      <w:pPr>
        <w:pStyle w:val="Indenta"/>
        <w:rPr>
          <w:snapToGrid w:val="0"/>
        </w:rPr>
      </w:pPr>
      <w:r>
        <w:rPr>
          <w:snapToGrid w:val="0"/>
        </w:rPr>
        <w:tab/>
        <w:t>(m)</w:t>
      </w:r>
      <w:r>
        <w:rPr>
          <w:snapToGrid w:val="0"/>
        </w:rPr>
        <w:tab/>
        <w:t xml:space="preserve">providing for the licensing by the </w:t>
      </w:r>
      <w:r>
        <w:t xml:space="preserve">Chief Health Officer </w:t>
      </w:r>
      <w:r>
        <w:rPr>
          <w:snapToGrid w:val="0"/>
        </w:rPr>
        <w:t>of persons in respect of the use of pesticides for reward as pesticide operators or provisional pesticide operators and for the imposition by him of conditions on the granting by him of any such licence; and</w:t>
      </w:r>
    </w:p>
    <w:p>
      <w:pPr>
        <w:pStyle w:val="Indenta"/>
        <w:rPr>
          <w:snapToGrid w:val="0"/>
        </w:rPr>
      </w:pPr>
      <w:r>
        <w:rPr>
          <w:snapToGrid w:val="0"/>
        </w:rPr>
        <w:tab/>
        <w:t>(n)</w:t>
      </w:r>
      <w:r>
        <w:rPr>
          <w:snapToGrid w:val="0"/>
        </w:rPr>
        <w:tab/>
        <w:t>prescribing the qualifications required of applicants for licensing as pesticide operators or provisional pesticide operators; and</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 and</w:t>
      </w:r>
    </w:p>
    <w:p>
      <w:pPr>
        <w:pStyle w:val="Indenta"/>
        <w:rPr>
          <w:snapToGrid w:val="0"/>
        </w:rPr>
      </w:pPr>
      <w:r>
        <w:rPr>
          <w:snapToGrid w:val="0"/>
        </w:rPr>
        <w:tab/>
        <w:t>(p)</w:t>
      </w:r>
      <w:r>
        <w:rPr>
          <w:snapToGrid w:val="0"/>
        </w:rPr>
        <w:tab/>
        <w:t xml:space="preserve">requiring the notification to the </w:t>
      </w:r>
      <w:r>
        <w:t xml:space="preserve">Chief Health Officer </w:t>
      </w:r>
      <w:r>
        <w:rPr>
          <w:snapToGrid w:val="0"/>
        </w:rPr>
        <w:t>of accidents involving the use of pesticides; and</w:t>
      </w:r>
    </w:p>
    <w:p>
      <w:pPr>
        <w:pStyle w:val="Indenta"/>
        <w:rPr>
          <w:snapToGrid w:val="0"/>
        </w:rPr>
      </w:pPr>
      <w:r>
        <w:rPr>
          <w:snapToGrid w:val="0"/>
        </w:rPr>
        <w:tab/>
        <w:t>(q)</w:t>
      </w:r>
      <w:r>
        <w:rPr>
          <w:snapToGrid w:val="0"/>
        </w:rPr>
        <w:tab/>
        <w:t xml:space="preserve">enabling the </w:t>
      </w:r>
      <w:r>
        <w:t xml:space="preserve">Chief Health Officer </w:t>
      </w:r>
      <w:r>
        <w:rPr>
          <w:snapToGrid w:val="0"/>
        </w:rPr>
        <w:t>to require persons using pesticides to submit themselves to medical examinations or tests for the purpose of ascertaining the effect on their health of exposure to pesticides; and</w:t>
      </w:r>
    </w:p>
    <w:p>
      <w:pPr>
        <w:pStyle w:val="Indenta"/>
        <w:rPr>
          <w:snapToGrid w:val="0"/>
        </w:rPr>
      </w:pPr>
      <w:r>
        <w:rPr>
          <w:snapToGrid w:val="0"/>
        </w:rPr>
        <w:tab/>
        <w:t>(r)</w:t>
      </w:r>
      <w:r>
        <w:rPr>
          <w:snapToGrid w:val="0"/>
        </w:rPr>
        <w:tab/>
        <w:t>setting standards for the composition of pesticides; and</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 and</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 and</w:t>
      </w:r>
    </w:p>
    <w:p>
      <w:pPr>
        <w:pStyle w:val="Indenta"/>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 and</w:t>
      </w:r>
    </w:p>
    <w:p>
      <w:pPr>
        <w:pStyle w:val="Indenta"/>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 and</w:t>
      </w:r>
    </w:p>
    <w:p>
      <w:pPr>
        <w:pStyle w:val="Indenta"/>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 and</w:t>
      </w:r>
    </w:p>
    <w:p>
      <w:pPr>
        <w:pStyle w:val="Indenta"/>
        <w:rPr>
          <w:snapToGrid w:val="0"/>
        </w:rPr>
      </w:pPr>
      <w:r>
        <w:rPr>
          <w:snapToGrid w:val="0"/>
        </w:rPr>
        <w:tab/>
        <w:t>(x)</w:t>
      </w:r>
      <w:r>
        <w:rPr>
          <w:snapToGrid w:val="0"/>
        </w:rPr>
        <w:tab/>
        <w:t>providing for the isolation or removal of pesticides which are or may be hazardous; and</w:t>
      </w:r>
    </w:p>
    <w:p>
      <w:pPr>
        <w:pStyle w:val="Indenta"/>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 xml:space="preserve">Nothing in subsection (1)(d) affects any power conferred by regulations made under section 341 as read with this section on the </w:t>
      </w:r>
      <w:r>
        <w:t xml:space="preserve">Chief Health Officer </w:t>
      </w:r>
      <w:r>
        <w:rPr>
          <w:snapToGrid w:val="0"/>
        </w:rPr>
        <w:t>to register or refuse to register any pesticide or label relating thereto.</w:t>
      </w:r>
    </w:p>
    <w:p>
      <w:pPr>
        <w:pStyle w:val="Footnotesection"/>
      </w:pPr>
      <w:r>
        <w:tab/>
        <w:t>[Section 246C inserted by No. 80 of 1987 s. 86; amended by No. 19 of 2016 s. 29.]</w:t>
      </w:r>
    </w:p>
    <w:p>
      <w:pPr>
        <w:pStyle w:val="Ednotedivision"/>
        <w:spacing w:before="200"/>
      </w:pPr>
      <w:r>
        <w:t>[Division 9:</w:t>
      </w:r>
      <w:r>
        <w:tab/>
        <w:t>s. 246D deleted by No. 13 of 2014 s. 156;</w:t>
      </w:r>
      <w:r>
        <w:br/>
      </w:r>
      <w:r>
        <w:rPr>
          <w:bCs/>
        </w:rPr>
        <w:tab/>
      </w:r>
      <w:r>
        <w:rPr>
          <w:bCs/>
        </w:rPr>
        <w:tab/>
        <w:t>s. 246E-FB d</w:t>
      </w:r>
      <w:r>
        <w:t>eleted by No. 43 of 2008 s. 147(10)-(13).]</w:t>
      </w:r>
    </w:p>
    <w:p>
      <w:pPr>
        <w:pStyle w:val="Ednotepart"/>
      </w:pPr>
      <w:r>
        <w:t>[Part VIII (s. 246G-247) deleted by No. 43 of 2008 s. 147(14).]</w:t>
      </w:r>
    </w:p>
    <w:p>
      <w:pPr>
        <w:pStyle w:val="Heading2"/>
      </w:pPr>
      <w:bookmarkStart w:id="454" w:name="_Toc498001186"/>
      <w:bookmarkStart w:id="455" w:name="_Toc498001516"/>
      <w:bookmarkStart w:id="456" w:name="_Toc498003168"/>
      <w:bookmarkStart w:id="457" w:name="_Toc498004179"/>
      <w:bookmarkStart w:id="458" w:name="_Toc499029582"/>
      <w:bookmarkStart w:id="459" w:name="_Toc501098650"/>
      <w:bookmarkStart w:id="460" w:name="_Toc501101573"/>
      <w:bookmarkStart w:id="461" w:name="_Toc501116095"/>
      <w:bookmarkStart w:id="462" w:name="_Toc501117356"/>
      <w:bookmarkStart w:id="463" w:name="_Toc501698763"/>
      <w:bookmarkStart w:id="464" w:name="_Toc512323802"/>
      <w:r>
        <w:rPr>
          <w:rStyle w:val="CharPartNo"/>
        </w:rPr>
        <w:t>Part VIIIA</w:t>
      </w:r>
      <w:r>
        <w:rPr>
          <w:rStyle w:val="CharDivNo"/>
        </w:rPr>
        <w:t> </w:t>
      </w:r>
      <w:r>
        <w:t>—</w:t>
      </w:r>
      <w:r>
        <w:rPr>
          <w:rStyle w:val="CharDivText"/>
        </w:rPr>
        <w:t> </w:t>
      </w:r>
      <w:r>
        <w:rPr>
          <w:rStyle w:val="CharPartText"/>
        </w:rPr>
        <w:t>Analytical services</w:t>
      </w:r>
      <w:bookmarkEnd w:id="454"/>
      <w:bookmarkEnd w:id="455"/>
      <w:bookmarkEnd w:id="456"/>
      <w:bookmarkEnd w:id="457"/>
      <w:bookmarkEnd w:id="458"/>
      <w:bookmarkEnd w:id="459"/>
      <w:bookmarkEnd w:id="460"/>
      <w:bookmarkEnd w:id="461"/>
      <w:bookmarkEnd w:id="462"/>
      <w:bookmarkEnd w:id="463"/>
      <w:bookmarkEnd w:id="464"/>
    </w:p>
    <w:p>
      <w:pPr>
        <w:pStyle w:val="Footnoteheading"/>
        <w:ind w:left="890" w:hanging="890"/>
        <w:rPr>
          <w:snapToGrid w:val="0"/>
        </w:rPr>
      </w:pPr>
      <w:r>
        <w:rPr>
          <w:snapToGrid w:val="0"/>
        </w:rPr>
        <w:tab/>
        <w:t>[Heading inserted by No. 24 of 1970 s. 5.]</w:t>
      </w:r>
    </w:p>
    <w:p>
      <w:pPr>
        <w:pStyle w:val="Heading5"/>
      </w:pPr>
      <w:bookmarkStart w:id="465" w:name="_Toc512323803"/>
      <w:r>
        <w:rPr>
          <w:rStyle w:val="CharSectno"/>
        </w:rPr>
        <w:t>247AA</w:t>
      </w:r>
      <w:r>
        <w:t>.</w:t>
      </w:r>
      <w:r>
        <w:tab/>
        <w:t>Terms used</w:t>
      </w:r>
      <w:bookmarkEnd w:id="465"/>
    </w:p>
    <w:p>
      <w:pPr>
        <w:pStyle w:val="Subsection"/>
      </w:pPr>
      <w:r>
        <w:tab/>
      </w:r>
      <w:r>
        <w:tab/>
        <w:t xml:space="preserve">In this Division — </w:t>
      </w:r>
    </w:p>
    <w:p>
      <w:pPr>
        <w:pStyle w:val="Defstart"/>
      </w:pPr>
      <w:r>
        <w:tab/>
      </w:r>
      <w:r>
        <w:rPr>
          <w:rStyle w:val="CharDefText"/>
        </w:rPr>
        <w:t>Analytical Committee</w:t>
      </w:r>
      <w:r>
        <w:t xml:space="preserve"> means the Local Health Authorities Analytical Committee established by section 247A(1);</w:t>
      </w:r>
    </w:p>
    <w:p>
      <w:pPr>
        <w:pStyle w:val="Defstart"/>
      </w:pPr>
      <w:r>
        <w:tab/>
      </w:r>
      <w:r>
        <w:rPr>
          <w:rStyle w:val="CharDefText"/>
        </w:rPr>
        <w:t>member</w:t>
      </w:r>
      <w:r>
        <w:t xml:space="preserve"> means a member of the Analytical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Defstart"/>
      </w:pPr>
      <w:r>
        <w:tab/>
      </w:r>
      <w:r>
        <w:rPr>
          <w:rStyle w:val="CharDefText"/>
        </w:rPr>
        <w:t>scheme</w:t>
      </w:r>
      <w:r>
        <w:t xml:space="preserve"> means a scheme for the provision of analytical services for use by local governments, operated by the Analytical Committee under this Division;</w:t>
      </w:r>
    </w:p>
    <w:p>
      <w:pPr>
        <w:pStyle w:val="Defstart"/>
      </w:pPr>
      <w:r>
        <w:tab/>
      </w:r>
      <w:r>
        <w:rPr>
          <w:rStyle w:val="CharDefText"/>
        </w:rPr>
        <w:t>WALGA</w:t>
      </w:r>
      <w:r>
        <w:t xml:space="preserve"> has the meaning given in the </w:t>
      </w:r>
      <w:r>
        <w:rPr>
          <w:i/>
        </w:rPr>
        <w:t>Local Government Act 1995</w:t>
      </w:r>
      <w:r>
        <w:t xml:space="preserve"> section 1.4.</w:t>
      </w:r>
    </w:p>
    <w:p>
      <w:pPr>
        <w:pStyle w:val="Footnotesection"/>
      </w:pPr>
      <w:r>
        <w:tab/>
        <w:t>[Section 247AA inserted by No. 19 of 2016 s. 31.]</w:t>
      </w:r>
    </w:p>
    <w:p>
      <w:pPr>
        <w:pStyle w:val="Heading5"/>
        <w:rPr>
          <w:snapToGrid w:val="0"/>
        </w:rPr>
      </w:pPr>
      <w:bookmarkStart w:id="466" w:name="_Toc512323804"/>
      <w:r>
        <w:rPr>
          <w:rStyle w:val="CharSectno"/>
        </w:rPr>
        <w:t>247A</w:t>
      </w:r>
      <w:r>
        <w:rPr>
          <w:snapToGrid w:val="0"/>
        </w:rPr>
        <w:t xml:space="preserve">. </w:t>
      </w:r>
      <w:r>
        <w:rPr>
          <w:snapToGrid w:val="0"/>
        </w:rPr>
        <w:tab/>
        <w:t>Local Health Authorities Analytical Committee</w:t>
      </w:r>
      <w:bookmarkEnd w:id="466"/>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 and</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keepNext/>
      </w:pPr>
      <w:r>
        <w:tab/>
        <w:t>(3)</w:t>
      </w:r>
      <w:r>
        <w:tab/>
        <w:t xml:space="preserve">The Analytical Committee is to consist of 10 members appointed by the Minister, made up as follows — </w:t>
      </w:r>
    </w:p>
    <w:p>
      <w:pPr>
        <w:pStyle w:val="Indenta"/>
      </w:pPr>
      <w:r>
        <w:tab/>
        <w:t>(a)</w:t>
      </w:r>
      <w:r>
        <w:tab/>
        <w:t>7 members, who are to be persons nominated by WALGA to represent local government districts that are in the metropolitan area;</w:t>
      </w:r>
    </w:p>
    <w:p>
      <w:pPr>
        <w:pStyle w:val="Indenta"/>
      </w:pPr>
      <w:r>
        <w:tab/>
        <w:t>(b)</w:t>
      </w:r>
      <w:r>
        <w:tab/>
        <w:t>3 members, who are to be persons nominated by WALGA to represent local government districts that are not in the metropolitan area.</w:t>
      </w:r>
    </w:p>
    <w:p>
      <w:pPr>
        <w:pStyle w:val="Subsection"/>
      </w:pPr>
      <w:r>
        <w:tab/>
        <w:t>(4)</w:t>
      </w:r>
      <w:r>
        <w:tab/>
        <w:t>The Minister is to appoint one of the members of the Analytical Committee to be the Chairperson.</w:t>
      </w:r>
    </w:p>
    <w:p>
      <w:pPr>
        <w:pStyle w:val="Footnotesection"/>
        <w:spacing w:before="100"/>
        <w:ind w:left="890" w:hanging="890"/>
      </w:pPr>
      <w:r>
        <w:tab/>
        <w:t>[Section 247A inserted by No. 24 of 1970 s. 5; amended by No. 30 of 1982 s. 11; No. 14 of 1996 s. 4; No. 19 of 2016 s. 32.]</w:t>
      </w:r>
    </w:p>
    <w:p>
      <w:pPr>
        <w:pStyle w:val="Heading5"/>
      </w:pPr>
      <w:bookmarkStart w:id="467" w:name="_Toc512323805"/>
      <w:r>
        <w:rPr>
          <w:rStyle w:val="CharSectno"/>
        </w:rPr>
        <w:t>247BA</w:t>
      </w:r>
      <w:r>
        <w:t>.</w:t>
      </w:r>
      <w:r>
        <w:tab/>
        <w:t>Term of office and vacation of office</w:t>
      </w:r>
      <w:bookmarkEnd w:id="467"/>
    </w:p>
    <w:p>
      <w:pPr>
        <w:pStyle w:val="Subsection"/>
      </w:pPr>
      <w:r>
        <w:tab/>
        <w:t>(1)</w:t>
      </w:r>
      <w:r>
        <w:tab/>
        <w:t>The members hold office for a term of 3 years.</w:t>
      </w:r>
    </w:p>
    <w:p>
      <w:pPr>
        <w:pStyle w:val="Subsection"/>
      </w:pPr>
      <w:r>
        <w:tab/>
        <w:t>(2)</w:t>
      </w:r>
      <w:r>
        <w:tab/>
        <w:t xml:space="preserve">A member ceases to hold office — </w:t>
      </w:r>
    </w:p>
    <w:p>
      <w:pPr>
        <w:pStyle w:val="Indenta"/>
      </w:pPr>
      <w:r>
        <w:tab/>
        <w:t>(a)</w:t>
      </w:r>
      <w:r>
        <w:tab/>
        <w:t xml:space="preserve">at the expiry of the term for which he or she is appointed, unless he or she — </w:t>
      </w:r>
    </w:p>
    <w:p>
      <w:pPr>
        <w:pStyle w:val="Indenti"/>
      </w:pPr>
      <w:r>
        <w:tab/>
        <w:t>(i)</w:t>
      </w:r>
      <w:r>
        <w:tab/>
        <w:t>continues to hold office under subsection (4); or</w:t>
      </w:r>
    </w:p>
    <w:p>
      <w:pPr>
        <w:pStyle w:val="Indenti"/>
      </w:pPr>
      <w:r>
        <w:tab/>
        <w:t>(ii)</w:t>
      </w:r>
      <w:r>
        <w:tab/>
        <w:t>is reappointed;</w:t>
      </w:r>
    </w:p>
    <w:p>
      <w:pPr>
        <w:pStyle w:val="Indenta"/>
      </w:pPr>
      <w:r>
        <w:tab/>
      </w:r>
      <w:r>
        <w:tab/>
        <w:t>or</w:t>
      </w:r>
    </w:p>
    <w:p>
      <w:pPr>
        <w:pStyle w:val="Indenta"/>
      </w:pPr>
      <w:r>
        <w:tab/>
        <w:t>(b)</w:t>
      </w:r>
      <w:r>
        <w:tab/>
        <w:t>if he or she resigns by written notice given to the Minister; or</w:t>
      </w:r>
    </w:p>
    <w:p>
      <w:pPr>
        <w:pStyle w:val="Indenta"/>
      </w:pPr>
      <w:r>
        <w:tab/>
        <w:t>(c)</w:t>
      </w:r>
      <w:r>
        <w:tab/>
        <w:t>if he or she dies; or</w:t>
      </w:r>
    </w:p>
    <w:p>
      <w:pPr>
        <w:pStyle w:val="Indenta"/>
      </w:pPr>
      <w:r>
        <w:tab/>
        <w:t>(d)</w:t>
      </w:r>
      <w:r>
        <w:tab/>
        <w:t>if his or her nomination as a member is withdrawn by written notice given to the Minister by WALGA; or</w:t>
      </w:r>
    </w:p>
    <w:p>
      <w:pPr>
        <w:pStyle w:val="Indenta"/>
      </w:pPr>
      <w:r>
        <w:tab/>
        <w:t>(e)</w:t>
      </w:r>
      <w:r>
        <w:tab/>
        <w:t xml:space="preserve">if he or she is, according to the </w:t>
      </w:r>
      <w:r>
        <w:rPr>
          <w:i/>
        </w:rPr>
        <w:t>Interpretation Act 1984</w:t>
      </w:r>
      <w:r>
        <w:t xml:space="preserve"> section 13D, a bankrupt or a person whose affairs are under insolvency laws; or</w:t>
      </w:r>
    </w:p>
    <w:p>
      <w:pPr>
        <w:pStyle w:val="Indenta"/>
      </w:pPr>
      <w:r>
        <w:tab/>
        <w:t>(f)</w:t>
      </w:r>
      <w:r>
        <w:tab/>
        <w:t>if the member’s appointment is terminated under subsection (3).</w:t>
      </w:r>
    </w:p>
    <w:p>
      <w:pPr>
        <w:pStyle w:val="Subsection"/>
      </w:pPr>
      <w:r>
        <w:tab/>
        <w:t>(3)</w:t>
      </w:r>
      <w:r>
        <w:tab/>
        <w:t xml:space="preserve">The Minister may, by written notice given to a member, terminate the appointment of the member — </w:t>
      </w:r>
    </w:p>
    <w:p>
      <w:pPr>
        <w:pStyle w:val="Indenta"/>
      </w:pPr>
      <w:r>
        <w:tab/>
        <w:t>(a)</w:t>
      </w:r>
      <w:r>
        <w:tab/>
        <w:t xml:space="preserve">if, in the Minister’s opinion,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pPr>
      <w:r>
        <w:tab/>
        <w:t>(iii)</w:t>
      </w:r>
      <w:r>
        <w:tab/>
        <w:t>absence from the State;</w:t>
      </w:r>
    </w:p>
    <w:p>
      <w:pPr>
        <w:pStyle w:val="Indenta"/>
      </w:pPr>
      <w:r>
        <w:tab/>
      </w:r>
      <w:r>
        <w:tab/>
        <w:t>or</w:t>
      </w:r>
    </w:p>
    <w:p>
      <w:pPr>
        <w:pStyle w:val="Indenta"/>
      </w:pPr>
      <w:r>
        <w:tab/>
        <w:t>(b)</w:t>
      </w:r>
      <w:r>
        <w:tab/>
        <w:t>if, in the Minister’s opinion, the member misbehaves, neglects his or her duties or is incompetent; or</w:t>
      </w:r>
    </w:p>
    <w:p>
      <w:pPr>
        <w:pStyle w:val="Indenta"/>
      </w:pPr>
      <w:r>
        <w:tab/>
        <w:t>(c)</w:t>
      </w:r>
      <w:r>
        <w:tab/>
        <w:t>if the member is absent, without leave and without reasonable excuse, from 3 consecutive meetings of the Analytical Committee of which the member had notice; or</w:t>
      </w:r>
    </w:p>
    <w:p>
      <w:pPr>
        <w:pStyle w:val="Indenta"/>
      </w:pPr>
      <w:r>
        <w:tab/>
        <w:t>(d)</w:t>
      </w:r>
      <w:r>
        <w:tab/>
        <w:t>for any other act or omission, or any circumstance arising, that, in the Minister’s opinion, may adversely affect the functioning of the Analytical Committee.</w:t>
      </w:r>
    </w:p>
    <w:p>
      <w:pPr>
        <w:pStyle w:val="Subsection"/>
      </w:pPr>
      <w:r>
        <w:tab/>
        <w:t>(4)</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(5)</w:t>
      </w:r>
      <w:r>
        <w:tab/>
        <w:t>However, a member cannot continue in office under subsection (4) for longer than 3 months.</w:t>
      </w:r>
    </w:p>
    <w:p>
      <w:pPr>
        <w:pStyle w:val="Footnotesection"/>
      </w:pPr>
      <w:r>
        <w:tab/>
        <w:t>[Section 247BA inserted by No. 19 of 2016 s. 33.]</w:t>
      </w:r>
    </w:p>
    <w:p>
      <w:pPr>
        <w:pStyle w:val="Heading5"/>
        <w:rPr>
          <w:snapToGrid w:val="0"/>
        </w:rPr>
      </w:pPr>
      <w:bookmarkStart w:id="468" w:name="_Toc512323806"/>
      <w:r>
        <w:rPr>
          <w:rStyle w:val="CharSectno"/>
        </w:rPr>
        <w:t>247B</w:t>
      </w:r>
      <w:r>
        <w:rPr>
          <w:snapToGrid w:val="0"/>
        </w:rPr>
        <w:t xml:space="preserve">. </w:t>
      </w:r>
      <w:r>
        <w:rPr>
          <w:snapToGrid w:val="0"/>
        </w:rPr>
        <w:tab/>
        <w:t>Meetings and procedure of Analytical Committee</w:t>
      </w:r>
      <w:bookmarkEnd w:id="468"/>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pPr>
      <w:r>
        <w:tab/>
        <w:t>(2)</w:t>
      </w:r>
      <w:r>
        <w:tab/>
        <w:t xml:space="preserve">At any meeting of the Analytical Committee — </w:t>
      </w:r>
    </w:p>
    <w:p>
      <w:pPr>
        <w:pStyle w:val="Indenta"/>
      </w:pPr>
      <w:r>
        <w:tab/>
        <w:t>(a)</w:t>
      </w:r>
      <w:r>
        <w:tab/>
        <w:t>6 members constitute a quorum; and</w:t>
      </w:r>
    </w:p>
    <w:p>
      <w:pPr>
        <w:pStyle w:val="Indenta"/>
        <w:keepNext/>
      </w:pPr>
      <w:r>
        <w:tab/>
        <w:t>(b)</w:t>
      </w:r>
      <w:r>
        <w:tab/>
        <w:t xml:space="preserve">the Chairperson is to preside if he or she is present, but in his or her absence — </w:t>
      </w:r>
    </w:p>
    <w:p>
      <w:pPr>
        <w:pStyle w:val="Indenti"/>
      </w:pPr>
      <w:r>
        <w:tab/>
        <w:t>(i)</w:t>
      </w:r>
      <w:r>
        <w:tab/>
        <w:t>the members present are to elect one of their number to preside at the meeting; and</w:t>
      </w:r>
    </w:p>
    <w:p>
      <w:pPr>
        <w:pStyle w:val="Indenti"/>
      </w:pPr>
      <w:r>
        <w:tab/>
        <w:t>(ii)</w:t>
      </w:r>
      <w:r>
        <w:tab/>
        <w:t>that member, while presiding, has all the powers and duties of the Chairperson;</w:t>
      </w:r>
    </w:p>
    <w:p>
      <w:pPr>
        <w:pStyle w:val="Indenta"/>
      </w:pPr>
      <w:r>
        <w:tab/>
      </w:r>
      <w:r>
        <w:tab/>
        <w:t>and</w:t>
      </w:r>
    </w:p>
    <w:p>
      <w:pPr>
        <w:pStyle w:val="Indenta"/>
      </w:pPr>
      <w:r>
        <w:tab/>
        <w:t>(c)</w:t>
      </w:r>
      <w:r>
        <w:tab/>
        <w:t>each member present (including the member presiding) has a deliberative vote; and</w:t>
      </w:r>
    </w:p>
    <w:p>
      <w:pPr>
        <w:pStyle w:val="Indenta"/>
      </w:pPr>
      <w:r>
        <w:tab/>
        <w:t>(d)</w:t>
      </w:r>
      <w:r>
        <w:tab/>
        <w:t>a question arising is to be decided by a majority of the votes of the members present, but if the votes are equal the member presiding has a casting vote.</w:t>
      </w:r>
    </w:p>
    <w:p>
      <w:pPr>
        <w:pStyle w:val="Subsection"/>
      </w:pPr>
      <w:r>
        <w:tab/>
        <w:t>(3A)</w:t>
      </w:r>
      <w:r>
        <w:tab/>
        <w:t>A resolution in writing to which at least 6 members of the Analytical Committee have each indicated their agreement by signing it or assenting to it by letter, fax, email or other written means has the same effect as if it had been passed at a meeting of the Analytical Committee.</w:t>
      </w:r>
    </w:p>
    <w:p>
      <w:pPr>
        <w:pStyle w:val="Subsection"/>
      </w:pPr>
      <w:r>
        <w:tab/>
        <w:t>(3B)</w:t>
      </w:r>
      <w:r>
        <w:tab/>
        <w:t xml:space="preserve">A meeting of the Analytical Committee may be held — </w:t>
      </w:r>
    </w:p>
    <w:p>
      <w:pPr>
        <w:pStyle w:val="Indenta"/>
      </w:pPr>
      <w:r>
        <w:tab/>
        <w:t>(a)</w:t>
      </w:r>
      <w:r>
        <w:tab/>
        <w:t>by a quorum of the members assembled together at the time and place appointed for the meeting; or</w:t>
      </w:r>
    </w:p>
    <w:p>
      <w:pPr>
        <w:pStyle w:val="Indenta"/>
      </w:pPr>
      <w:r>
        <w:tab/>
        <w:t>(b)</w:t>
      </w:r>
      <w:r>
        <w:tab/>
        <w:t xml:space="preserve">by telephone or audio 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keepNext/>
        <w:spacing w:before="120"/>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ind w:left="890" w:hanging="890"/>
      </w:pPr>
      <w:r>
        <w:tab/>
        <w:t>[Section 247B inserted by No. 24 of 1970 s. 6; amended by No. 19 of 2016 s. 34.]</w:t>
      </w:r>
    </w:p>
    <w:p>
      <w:pPr>
        <w:pStyle w:val="Heading5"/>
        <w:rPr>
          <w:snapToGrid w:val="0"/>
        </w:rPr>
      </w:pPr>
      <w:bookmarkStart w:id="469" w:name="_Toc512323807"/>
      <w:r>
        <w:rPr>
          <w:rStyle w:val="CharSectno"/>
        </w:rPr>
        <w:t>247C</w:t>
      </w:r>
      <w:r>
        <w:rPr>
          <w:snapToGrid w:val="0"/>
        </w:rPr>
        <w:t xml:space="preserve">. </w:t>
      </w:r>
      <w:r>
        <w:rPr>
          <w:snapToGrid w:val="0"/>
        </w:rPr>
        <w:tab/>
        <w:t>Powers and functions of Analytical Committee</w:t>
      </w:r>
      <w:bookmarkEnd w:id="469"/>
    </w:p>
    <w:p>
      <w:pPr>
        <w:pStyle w:val="Subsection"/>
        <w:keepNext/>
        <w:spacing w:before="120"/>
        <w:rPr>
          <w:snapToGrid w:val="0"/>
        </w:rPr>
      </w:pPr>
      <w:r>
        <w:rPr>
          <w:snapToGrid w:val="0"/>
        </w:rPr>
        <w:tab/>
        <w:t>(1)</w:t>
      </w:r>
      <w:r>
        <w:rPr>
          <w:snapToGrid w:val="0"/>
        </w:rPr>
        <w:tab/>
        <w:t>The functions of the Analytical Committee are —</w:t>
      </w:r>
    </w:p>
    <w:p>
      <w:pPr>
        <w:pStyle w:val="Indenta"/>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 and</w:t>
      </w:r>
    </w:p>
    <w:p>
      <w:pPr>
        <w:pStyle w:val="Indenta"/>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rPr>
          <w:snapToGrid w:val="0"/>
        </w:rPr>
      </w:pPr>
      <w:r>
        <w:rPr>
          <w:snapToGrid w:val="0"/>
        </w:rPr>
        <w:tab/>
        <w:t>(c)</w:t>
      </w:r>
      <w:r>
        <w:rPr>
          <w:snapToGrid w:val="0"/>
        </w:rPr>
        <w:tab/>
        <w:t>to do such other acts and things as are necessary or convenient for the purposes of this Part.</w:t>
      </w:r>
    </w:p>
    <w:p>
      <w:pPr>
        <w:pStyle w:val="Subsection"/>
        <w:keepNext/>
        <w:spacing w:before="120"/>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keepNext/>
        <w:spacing w:before="120"/>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keepNext w:val="0"/>
        <w:rPr>
          <w:snapToGrid w:val="0"/>
        </w:rPr>
      </w:pPr>
      <w:bookmarkStart w:id="470" w:name="_Toc512323808"/>
      <w:r>
        <w:rPr>
          <w:rStyle w:val="CharSectno"/>
        </w:rPr>
        <w:t>247D</w:t>
      </w:r>
      <w:r>
        <w:rPr>
          <w:snapToGrid w:val="0"/>
        </w:rPr>
        <w:t>.</w:t>
      </w:r>
      <w:r>
        <w:rPr>
          <w:snapToGrid w:val="0"/>
        </w:rPr>
        <w:tab/>
        <w:t>Participation in scheme by local governments</w:t>
      </w:r>
      <w:bookmarkEnd w:id="470"/>
    </w:p>
    <w:p>
      <w:pPr>
        <w:pStyle w:val="Subsection"/>
        <w:spacing w:before="120"/>
        <w:rPr>
          <w:snapToGrid w:val="0"/>
        </w:rPr>
      </w:pPr>
      <w:r>
        <w:rPr>
          <w:snapToGrid w:val="0"/>
        </w:rPr>
        <w:tab/>
        <w:t>(1)</w:t>
      </w:r>
      <w:r>
        <w:rPr>
          <w:snapToGrid w:val="0"/>
        </w:rPr>
        <w:tab/>
        <w:t xml:space="preserve">Any local government may, by notice in writing addressed to the Analytical Committee, advise the Analytical Committee that it desires to participate in </w:t>
      </w:r>
      <w:r>
        <w:t xml:space="preserve">a scheme, </w:t>
      </w:r>
      <w:r>
        <w:rPr>
          <w:snapToGrid w:val="0"/>
        </w:rPr>
        <w:t>and thereupon the local government shall, for the purpose, of this Part, become a participant in the scheme.</w:t>
      </w:r>
    </w:p>
    <w:p>
      <w:pPr>
        <w:pStyle w:val="Subsection"/>
        <w:keepNext/>
        <w:spacing w:before="200"/>
      </w:pPr>
      <w:r>
        <w:tab/>
        <w:t>(2)</w:t>
      </w:r>
      <w:r>
        <w:tab/>
        <w:t xml:space="preserve">If the Chief Health Officer considers that a local government that is not a participant in a scheme ought to be a participant — </w:t>
      </w:r>
    </w:p>
    <w:p>
      <w:pPr>
        <w:pStyle w:val="Indenta"/>
      </w:pPr>
      <w:r>
        <w:tab/>
        <w:t>(a)</w:t>
      </w:r>
      <w:r>
        <w:tab/>
        <w:t>the Chief Health Officer may, by written notice served on the local government, direct it to participate in the scheme; and</w:t>
      </w:r>
    </w:p>
    <w:p>
      <w:pPr>
        <w:pStyle w:val="Indenta"/>
      </w:pPr>
      <w:r>
        <w:tab/>
        <w:t>(b)</w:t>
      </w:r>
      <w:r>
        <w:tab/>
        <w:t>on the service of the direction, the local government is a participant in the scheme for the purposes of this Division and, in particular, for the purposes of subsection (4).</w:t>
      </w:r>
    </w:p>
    <w:p>
      <w:pPr>
        <w:pStyle w:val="Subsection"/>
        <w:spacing w:before="120"/>
        <w:rPr>
          <w:snapToGrid w:val="0"/>
        </w:rPr>
      </w:pPr>
      <w:r>
        <w:rPr>
          <w:snapToGrid w:val="0"/>
        </w:rPr>
        <w:tab/>
        <w:t>(3)</w:t>
      </w:r>
      <w:r>
        <w:rPr>
          <w:snapToGrid w:val="0"/>
        </w:rPr>
        <w:tab/>
        <w:t xml:space="preserve">A local government which is a participant in the scheme may, if it has first obtained the consent in writing of the </w:t>
      </w:r>
      <w:r>
        <w:t>Chief Health Officer</w:t>
      </w:r>
      <w:r>
        <w:rPr>
          <w:snapToGrid w:val="0"/>
        </w:rPr>
        <w:t xml:space="preserve">, withdraw from </w:t>
      </w:r>
      <w:r>
        <w:t>a scheme</w:t>
      </w:r>
      <w:r>
        <w:rPr>
          <w:snapToGrid w:val="0"/>
        </w:rPr>
        <w:t xml:space="preserve"> by serving notice in writing to that effect upon the Analytical Committee.</w:t>
      </w:r>
    </w:p>
    <w:p>
      <w:pPr>
        <w:pStyle w:val="Subsection"/>
        <w:spacing w:before="120"/>
        <w:rPr>
          <w:snapToGrid w:val="0"/>
        </w:rPr>
      </w:pPr>
      <w:r>
        <w:rPr>
          <w:snapToGrid w:val="0"/>
        </w:rPr>
        <w:tab/>
        <w:t>(4)</w:t>
      </w:r>
      <w:r>
        <w:rPr>
          <w:snapToGrid w:val="0"/>
        </w:rPr>
        <w:tab/>
        <w:t>Any local government which is, or has been, a participant in a scheme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2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 No. 19 of 2016 s. 35 and 100.]</w:t>
      </w:r>
    </w:p>
    <w:p>
      <w:pPr>
        <w:pStyle w:val="Heading5"/>
        <w:rPr>
          <w:snapToGrid w:val="0"/>
        </w:rPr>
      </w:pPr>
      <w:bookmarkStart w:id="471" w:name="_Toc512323809"/>
      <w:r>
        <w:rPr>
          <w:rStyle w:val="CharSectno"/>
        </w:rPr>
        <w:t>247E</w:t>
      </w:r>
      <w:r>
        <w:rPr>
          <w:snapToGrid w:val="0"/>
        </w:rPr>
        <w:t xml:space="preserve">. </w:t>
      </w:r>
      <w:r>
        <w:rPr>
          <w:snapToGrid w:val="0"/>
        </w:rPr>
        <w:tab/>
        <w:t xml:space="preserve">Application of </w:t>
      </w:r>
      <w:r>
        <w:rPr>
          <w:i/>
          <w:iCs/>
        </w:rPr>
        <w:t>Financial Management Act 2006</w:t>
      </w:r>
      <w:r>
        <w:t xml:space="preserve"> and </w:t>
      </w:r>
      <w:r>
        <w:rPr>
          <w:i/>
          <w:iCs/>
        </w:rPr>
        <w:t>Auditor General Act 2006</w:t>
      </w:r>
      <w:bookmarkEnd w:id="471"/>
    </w:p>
    <w:p>
      <w:pPr>
        <w:pStyle w:val="Subsection"/>
        <w:spacing w:before="120"/>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 amended by No. 77 of 2006 Sch. 1 cl. 80(2).]</w:t>
      </w:r>
    </w:p>
    <w:p>
      <w:pPr>
        <w:pStyle w:val="Heading5"/>
        <w:rPr>
          <w:snapToGrid w:val="0"/>
        </w:rPr>
      </w:pPr>
      <w:bookmarkStart w:id="472" w:name="_Toc512323810"/>
      <w:r>
        <w:rPr>
          <w:rStyle w:val="CharSectno"/>
        </w:rPr>
        <w:t>247F</w:t>
      </w:r>
      <w:r>
        <w:rPr>
          <w:snapToGrid w:val="0"/>
        </w:rPr>
        <w:t xml:space="preserve">. </w:t>
      </w:r>
      <w:r>
        <w:rPr>
          <w:snapToGrid w:val="0"/>
        </w:rPr>
        <w:tab/>
        <w:t>Regulations as to Part VIIIA</w:t>
      </w:r>
      <w:bookmarkEnd w:id="472"/>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deleted by No. 103 of 1994 s. 18.]</w:t>
      </w:r>
    </w:p>
    <w:p>
      <w:pPr>
        <w:pStyle w:val="Heading2"/>
      </w:pPr>
      <w:bookmarkStart w:id="473" w:name="_Toc498001195"/>
      <w:bookmarkStart w:id="474" w:name="_Toc498001525"/>
      <w:bookmarkStart w:id="475" w:name="_Toc498003177"/>
      <w:bookmarkStart w:id="476" w:name="_Toc498004188"/>
      <w:bookmarkStart w:id="477" w:name="_Toc499029591"/>
      <w:bookmarkStart w:id="478" w:name="_Toc501098659"/>
      <w:bookmarkStart w:id="479" w:name="_Toc501101582"/>
      <w:bookmarkStart w:id="480" w:name="_Toc501116104"/>
      <w:bookmarkStart w:id="481" w:name="_Toc501117365"/>
      <w:bookmarkStart w:id="482" w:name="_Toc501698772"/>
      <w:bookmarkStart w:id="483" w:name="_Toc512323811"/>
      <w:r>
        <w:rPr>
          <w:rStyle w:val="CharPartNo"/>
        </w:rPr>
        <w:t>Part IX</w:t>
      </w:r>
      <w:r>
        <w:t> — </w:t>
      </w:r>
      <w:r>
        <w:rPr>
          <w:rStyle w:val="CharPartText"/>
        </w:rPr>
        <w:t>Infectious diseases</w:t>
      </w:r>
      <w:bookmarkEnd w:id="473"/>
      <w:bookmarkEnd w:id="474"/>
      <w:bookmarkEnd w:id="475"/>
      <w:bookmarkEnd w:id="476"/>
      <w:bookmarkEnd w:id="477"/>
      <w:bookmarkEnd w:id="478"/>
      <w:bookmarkEnd w:id="479"/>
      <w:bookmarkEnd w:id="480"/>
      <w:bookmarkEnd w:id="481"/>
      <w:bookmarkEnd w:id="482"/>
      <w:bookmarkEnd w:id="483"/>
    </w:p>
    <w:p>
      <w:pPr>
        <w:pStyle w:val="Heading3"/>
        <w:spacing w:before="200"/>
        <w:rPr>
          <w:snapToGrid w:val="0"/>
        </w:rPr>
      </w:pPr>
      <w:bookmarkStart w:id="484" w:name="_Toc498001196"/>
      <w:bookmarkStart w:id="485" w:name="_Toc498001526"/>
      <w:bookmarkStart w:id="486" w:name="_Toc498003178"/>
      <w:bookmarkStart w:id="487" w:name="_Toc498004189"/>
      <w:bookmarkStart w:id="488" w:name="_Toc499029592"/>
      <w:bookmarkStart w:id="489" w:name="_Toc501098660"/>
      <w:bookmarkStart w:id="490" w:name="_Toc501101583"/>
      <w:bookmarkStart w:id="491" w:name="_Toc501116105"/>
      <w:bookmarkStart w:id="492" w:name="_Toc501117366"/>
      <w:bookmarkStart w:id="493" w:name="_Toc501698773"/>
      <w:bookmarkStart w:id="494" w:name="_Toc512323812"/>
      <w:r>
        <w:rPr>
          <w:rStyle w:val="CharDivNo"/>
        </w:rPr>
        <w:t>Division 1</w:t>
      </w:r>
      <w:r>
        <w:rPr>
          <w:snapToGrid w:val="0"/>
        </w:rPr>
        <w:t> — </w:t>
      </w:r>
      <w:r>
        <w:rPr>
          <w:rStyle w:val="CharDivText"/>
        </w:rPr>
        <w:t>General provisions</w:t>
      </w:r>
      <w:bookmarkEnd w:id="484"/>
      <w:bookmarkEnd w:id="485"/>
      <w:bookmarkEnd w:id="486"/>
      <w:bookmarkEnd w:id="487"/>
      <w:bookmarkEnd w:id="488"/>
      <w:bookmarkEnd w:id="489"/>
      <w:bookmarkEnd w:id="490"/>
      <w:bookmarkEnd w:id="491"/>
      <w:bookmarkEnd w:id="492"/>
      <w:bookmarkEnd w:id="493"/>
      <w:bookmarkEnd w:id="494"/>
    </w:p>
    <w:p>
      <w:pPr>
        <w:pStyle w:val="Ednotesection"/>
        <w:spacing w:before="180"/>
        <w:ind w:left="890" w:hanging="890"/>
        <w:outlineLvl w:val="9"/>
      </w:pPr>
      <w:r>
        <w:t>[</w:t>
      </w:r>
      <w:r>
        <w:rPr>
          <w:b/>
        </w:rPr>
        <w:t>248.</w:t>
      </w:r>
      <w:r>
        <w:tab/>
        <w:t>Deleted by No. 19 of 2016 s. 240.]</w:t>
      </w:r>
    </w:p>
    <w:p>
      <w:pPr>
        <w:pStyle w:val="Heading5"/>
        <w:rPr>
          <w:snapToGrid w:val="0"/>
        </w:rPr>
      </w:pPr>
      <w:bookmarkStart w:id="495" w:name="_Toc512323813"/>
      <w:r>
        <w:rPr>
          <w:rStyle w:val="CharSectno"/>
        </w:rPr>
        <w:t>249</w:t>
      </w:r>
      <w:r>
        <w:rPr>
          <w:snapToGrid w:val="0"/>
        </w:rPr>
        <w:t>.</w:t>
      </w:r>
      <w:r>
        <w:rPr>
          <w:snapToGrid w:val="0"/>
        </w:rPr>
        <w:tab/>
        <w:t>Local laws to prevent spread of infectious disease</w:t>
      </w:r>
      <w:bookmarkEnd w:id="495"/>
    </w:p>
    <w:p>
      <w:pPr>
        <w:pStyle w:val="Subsection"/>
        <w:spacing w:before="20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spacing w:before="100"/>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spacing w:before="100"/>
        <w:rPr>
          <w:snapToGrid w:val="0"/>
        </w:rPr>
      </w:pPr>
      <w:r>
        <w:rPr>
          <w:snapToGrid w:val="0"/>
        </w:rPr>
        <w:tab/>
        <w:t>(2)</w:t>
      </w:r>
      <w:r>
        <w:rPr>
          <w:snapToGrid w:val="0"/>
        </w:rPr>
        <w:tab/>
        <w:t>for the cleansing and disinfecting of houses, buildings, yards, drains, sewers, and things;</w:t>
      </w:r>
    </w:p>
    <w:p>
      <w:pPr>
        <w:pStyle w:val="Indenta"/>
        <w:spacing w:before="100"/>
        <w:rPr>
          <w:snapToGrid w:val="0"/>
        </w:rPr>
      </w:pPr>
      <w:r>
        <w:rPr>
          <w:snapToGrid w:val="0"/>
        </w:rPr>
        <w:tab/>
        <w:t>(3)</w:t>
      </w:r>
      <w:r>
        <w:rPr>
          <w:snapToGrid w:val="0"/>
        </w:rPr>
        <w:tab/>
        <w:t>for the ventilating of houses and buildings, or of rooms therein;</w:t>
      </w:r>
    </w:p>
    <w:p>
      <w:pPr>
        <w:pStyle w:val="Indenta"/>
        <w:spacing w:before="100"/>
        <w:rPr>
          <w:snapToGrid w:val="0"/>
        </w:rPr>
      </w:pPr>
      <w:r>
        <w:rPr>
          <w:snapToGrid w:val="0"/>
        </w:rPr>
        <w:tab/>
        <w:t>(4)</w:t>
      </w:r>
      <w:r>
        <w:rPr>
          <w:snapToGrid w:val="0"/>
        </w:rPr>
        <w:tab/>
        <w:t>for the isolating, disinfecting and disinfecting of persons, houses, buildings, places and things;</w:t>
      </w:r>
    </w:p>
    <w:p>
      <w:pPr>
        <w:pStyle w:val="Indenta"/>
        <w:spacing w:before="100"/>
        <w:rPr>
          <w:snapToGrid w:val="0"/>
        </w:rPr>
      </w:pPr>
      <w:r>
        <w:rPr>
          <w:snapToGrid w:val="0"/>
        </w:rPr>
        <w:tab/>
        <w:t>(5)</w:t>
      </w:r>
      <w:r>
        <w:rPr>
          <w:snapToGrid w:val="0"/>
        </w:rPr>
        <w:tab/>
        <w:t>for the providing of medical and nursing aid and accommodation for the sick;</w:t>
      </w:r>
    </w:p>
    <w:p>
      <w:pPr>
        <w:pStyle w:val="Indenta"/>
        <w:spacing w:before="100"/>
        <w:rPr>
          <w:snapToGrid w:val="0"/>
        </w:rPr>
      </w:pPr>
      <w:r>
        <w:rPr>
          <w:snapToGrid w:val="0"/>
        </w:rPr>
        <w:tab/>
        <w:t>(6)</w:t>
      </w:r>
      <w:r>
        <w:rPr>
          <w:snapToGrid w:val="0"/>
        </w:rPr>
        <w:tab/>
        <w:t>for the removal and curative treatment of the sick;</w:t>
      </w:r>
    </w:p>
    <w:p>
      <w:pPr>
        <w:pStyle w:val="Indenta"/>
        <w:spacing w:before="100"/>
        <w:rPr>
          <w:snapToGrid w:val="0"/>
        </w:rPr>
      </w:pPr>
      <w:r>
        <w:rPr>
          <w:snapToGrid w:val="0"/>
        </w:rPr>
        <w:tab/>
        <w:t>(7)</w:t>
      </w:r>
      <w:r>
        <w:rPr>
          <w:snapToGrid w:val="0"/>
        </w:rPr>
        <w:tab/>
        <w:t>for the speedy disposal of the dead;</w:t>
      </w:r>
    </w:p>
    <w:p>
      <w:pPr>
        <w:pStyle w:val="Indenta"/>
        <w:spacing w:before="100"/>
        <w:rPr>
          <w:snapToGrid w:val="0"/>
        </w:rPr>
      </w:pPr>
      <w:r>
        <w:rPr>
          <w:snapToGrid w:val="0"/>
        </w:rPr>
        <w:tab/>
        <w:t>(8)</w:t>
      </w:r>
      <w:r>
        <w:rPr>
          <w:snapToGrid w:val="0"/>
        </w:rPr>
        <w:tab/>
        <w:t>for the destruction or amendment of insanitary houses, buildings, and things;</w:t>
      </w:r>
    </w:p>
    <w:p>
      <w:pPr>
        <w:pStyle w:val="Indenta"/>
        <w:spacing w:before="100"/>
        <w:rPr>
          <w:snapToGrid w:val="0"/>
        </w:rPr>
      </w:pPr>
      <w:r>
        <w:rPr>
          <w:snapToGrid w:val="0"/>
        </w:rPr>
        <w:tab/>
        <w:t>(9)</w:t>
      </w:r>
      <w:r>
        <w:rPr>
          <w:snapToGrid w:val="0"/>
        </w:rPr>
        <w:tab/>
        <w:t>for the destruction of infected animals, or of animals or insects suspected or liable to be infected, or to convey infection;</w:t>
      </w:r>
    </w:p>
    <w:p>
      <w:pPr>
        <w:pStyle w:val="Indenta"/>
        <w:keepNext/>
        <w:spacing w:before="100"/>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formerly section 203, amended by No. 3 of 1912 s. 3; renumbered as section 249 by No. 38 of 1933 s. 42; amended by No. 71 of 1948 s. 10; No. 28 of 1984 s. 45; No. 80 of 1987 s. 112; No. 14 of 1996 s. 4.]</w:t>
      </w:r>
    </w:p>
    <w:p>
      <w:pPr>
        <w:pStyle w:val="Ednotesection"/>
        <w:spacing w:before="180"/>
        <w:ind w:left="890" w:hanging="890"/>
        <w:outlineLvl w:val="9"/>
      </w:pPr>
      <w:r>
        <w:t>[</w:t>
      </w:r>
      <w:r>
        <w:rPr>
          <w:b/>
        </w:rPr>
        <w:t>250</w:t>
      </w:r>
      <w:r>
        <w:rPr>
          <w:b/>
        </w:rPr>
        <w:noBreakHyphen/>
        <w:t>275.</w:t>
      </w:r>
      <w:r>
        <w:tab/>
        <w:t>Deleted by No. 19 of 2016 s. 242.]</w:t>
      </w:r>
    </w:p>
    <w:p>
      <w:pPr>
        <w:pStyle w:val="Ednotedivision"/>
      </w:pPr>
      <w:r>
        <w:t>[Division 2:</w:t>
      </w:r>
      <w:r>
        <w:tab/>
        <w:t>s. 276-280 deleted by No. 19 of 2016 s. 243;</w:t>
      </w:r>
      <w:r>
        <w:br/>
      </w:r>
      <w:r>
        <w:tab/>
      </w:r>
      <w:r>
        <w:tab/>
        <w:t>s. 281 deleted by No. 24 of 2000 s. 16(2);</w:t>
      </w:r>
      <w:r>
        <w:br/>
      </w:r>
      <w:r>
        <w:tab/>
      </w:r>
      <w:r>
        <w:tab/>
        <w:t>s. 282-289 deleted by No. 19 of 2016 s. 243.]</w:t>
      </w:r>
    </w:p>
    <w:p>
      <w:pPr>
        <w:pStyle w:val="Heading2"/>
      </w:pPr>
      <w:bookmarkStart w:id="496" w:name="_Toc498001198"/>
      <w:bookmarkStart w:id="497" w:name="_Toc498001528"/>
      <w:bookmarkStart w:id="498" w:name="_Toc498003180"/>
      <w:bookmarkStart w:id="499" w:name="_Toc498004191"/>
      <w:bookmarkStart w:id="500" w:name="_Toc499029594"/>
      <w:bookmarkStart w:id="501" w:name="_Toc501098662"/>
      <w:bookmarkStart w:id="502" w:name="_Toc501101585"/>
      <w:bookmarkStart w:id="503" w:name="_Toc501116107"/>
      <w:bookmarkStart w:id="504" w:name="_Toc501117368"/>
      <w:bookmarkStart w:id="505" w:name="_Toc501698775"/>
      <w:bookmarkStart w:id="506" w:name="_Toc512323814"/>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496"/>
      <w:bookmarkEnd w:id="497"/>
      <w:bookmarkEnd w:id="498"/>
      <w:bookmarkEnd w:id="499"/>
      <w:bookmarkEnd w:id="500"/>
      <w:bookmarkEnd w:id="501"/>
      <w:bookmarkEnd w:id="502"/>
      <w:bookmarkEnd w:id="503"/>
      <w:bookmarkEnd w:id="504"/>
      <w:bookmarkEnd w:id="505"/>
      <w:bookmarkEnd w:id="506"/>
    </w:p>
    <w:p>
      <w:pPr>
        <w:pStyle w:val="Footnoteheading"/>
        <w:ind w:left="890" w:hanging="890"/>
        <w:rPr>
          <w:snapToGrid w:val="0"/>
        </w:rPr>
      </w:pPr>
      <w:r>
        <w:rPr>
          <w:snapToGrid w:val="0"/>
        </w:rPr>
        <w:tab/>
        <w:t>[Heading inserted by No. 21 of 1957 s. 11.]</w:t>
      </w:r>
    </w:p>
    <w:p>
      <w:pPr>
        <w:pStyle w:val="Heading5"/>
        <w:rPr>
          <w:snapToGrid w:val="0"/>
        </w:rPr>
      </w:pPr>
      <w:bookmarkStart w:id="507" w:name="_Toc512323815"/>
      <w:r>
        <w:rPr>
          <w:rStyle w:val="CharSectno"/>
        </w:rPr>
        <w:t>289A</w:t>
      </w:r>
      <w:r>
        <w:rPr>
          <w:snapToGrid w:val="0"/>
        </w:rPr>
        <w:t>.</w:t>
      </w:r>
      <w:r>
        <w:rPr>
          <w:snapToGrid w:val="0"/>
        </w:rPr>
        <w:tab/>
        <w:t>Objects of this Part</w:t>
      </w:r>
      <w:bookmarkEnd w:id="507"/>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508" w:name="_Toc512323816"/>
      <w:r>
        <w:rPr>
          <w:rStyle w:val="CharSectno"/>
        </w:rPr>
        <w:t>289B</w:t>
      </w:r>
      <w:r>
        <w:rPr>
          <w:snapToGrid w:val="0"/>
        </w:rPr>
        <w:t>.</w:t>
      </w:r>
      <w:r>
        <w:rPr>
          <w:snapToGrid w:val="0"/>
        </w:rPr>
        <w:tab/>
        <w:t>Term used: prescribed condition of health</w:t>
      </w:r>
      <w:bookmarkEnd w:id="508"/>
    </w:p>
    <w:p>
      <w:pPr>
        <w:pStyle w:val="Subsection"/>
        <w:rPr>
          <w:snapToGrid w:val="0"/>
        </w:rPr>
      </w:pPr>
      <w:r>
        <w:rPr>
          <w:snapToGrid w:val="0"/>
        </w:rPr>
        <w:tab/>
      </w:r>
      <w:r>
        <w:rPr>
          <w:snapToGrid w:val="0"/>
        </w:rPr>
        <w:tab/>
        <w:t>In this Part — </w:t>
      </w:r>
    </w:p>
    <w:p>
      <w:pPr>
        <w:pStyle w:val="Defstart"/>
      </w:pPr>
      <w:r>
        <w:rPr>
          <w:b/>
        </w:rPr>
        <w:tab/>
      </w:r>
      <w:r>
        <w:rPr>
          <w:rStyle w:val="CharDefText"/>
        </w:rPr>
        <w:t>prescribed condition of health</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509" w:name="_Toc512323817"/>
      <w:r>
        <w:rPr>
          <w:rStyle w:val="CharSectno"/>
        </w:rPr>
        <w:t>289C</w:t>
      </w:r>
      <w:r>
        <w:rPr>
          <w:snapToGrid w:val="0"/>
        </w:rPr>
        <w:t>.</w:t>
      </w:r>
      <w:r>
        <w:rPr>
          <w:snapToGrid w:val="0"/>
        </w:rPr>
        <w:tab/>
        <w:t>Regulation as to Part IXA</w:t>
      </w:r>
      <w:bookmarkEnd w:id="509"/>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 and</w:t>
      </w:r>
    </w:p>
    <w:p>
      <w:pPr>
        <w:pStyle w:val="Indenta"/>
        <w:rPr>
          <w:snapToGrid w:val="0"/>
        </w:rPr>
      </w:pPr>
      <w:r>
        <w:rPr>
          <w:snapToGrid w:val="0"/>
        </w:rPr>
        <w:tab/>
        <w:t>(b)</w:t>
      </w:r>
      <w:r>
        <w:rPr>
          <w:snapToGrid w:val="0"/>
        </w:rPr>
        <w:tab/>
        <w:t>how, when, by whom, and to whom, cases of prescribed conditions of health must be notified; and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 xml:space="preserve">functions, powers, and duties of any person or class of person, whether the Minister, the </w:t>
      </w:r>
      <w:r>
        <w:t>Chief Health Officer</w:t>
      </w:r>
      <w:r>
        <w:rPr>
          <w:snapToGrid w:val="0"/>
        </w:rPr>
        <w:t>, a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 No. 19 of 2016 s. 99 and 100.]</w:t>
      </w:r>
    </w:p>
    <w:p>
      <w:pPr>
        <w:pStyle w:val="Heading5"/>
        <w:rPr>
          <w:snapToGrid w:val="0"/>
        </w:rPr>
      </w:pPr>
      <w:bookmarkStart w:id="510" w:name="_Toc512323818"/>
      <w:r>
        <w:rPr>
          <w:rStyle w:val="CharSectno"/>
        </w:rPr>
        <w:t>289D</w:t>
      </w:r>
      <w:r>
        <w:rPr>
          <w:snapToGrid w:val="0"/>
        </w:rPr>
        <w:t xml:space="preserve">. </w:t>
      </w:r>
      <w:r>
        <w:rPr>
          <w:snapToGrid w:val="0"/>
        </w:rPr>
        <w:tab/>
        <w:t>Powers conferred by this Part are cumulative</w:t>
      </w:r>
      <w:bookmarkEnd w:id="510"/>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deleted by No. 5 of 2006 s. 126.]</w:t>
      </w:r>
    </w:p>
    <w:p>
      <w:pPr>
        <w:pStyle w:val="Ednotepart"/>
      </w:pPr>
      <w:r>
        <w:t>[Part X:</w:t>
      </w:r>
      <w:r>
        <w:tab/>
        <w:t>s. 290 deleted by No. 19 of 2016 s. 245;</w:t>
      </w:r>
      <w:r>
        <w:br/>
      </w:r>
      <w:r>
        <w:tab/>
      </w:r>
      <w:r>
        <w:tab/>
        <w:t>s. 291 deleted by No. 53 of 1985 s. 6;</w:t>
      </w:r>
      <w:r>
        <w:br/>
      </w:r>
      <w:r>
        <w:tab/>
      </w:r>
      <w:r>
        <w:tab/>
        <w:t>s. 292-296 deleted by No. 19 of 2016 s. 245.]</w:t>
      </w:r>
    </w:p>
    <w:p>
      <w:pPr>
        <w:pStyle w:val="Ednotepart"/>
      </w:pPr>
      <w:r>
        <w:t>[Part XI:</w:t>
      </w:r>
      <w:r>
        <w:tab/>
        <w:t>s. 297</w:t>
      </w:r>
      <w:r>
        <w:noBreakHyphen/>
        <w:t>299 deleted by No. 23 of 2006 s. 7;</w:t>
      </w:r>
      <w:r>
        <w:br/>
      </w:r>
      <w:r>
        <w:tab/>
      </w:r>
      <w:r>
        <w:tab/>
        <w:t>s. 300, 300A deleted by No. 19 of 2016 s. 246;</w:t>
      </w:r>
      <w:r>
        <w:br/>
      </w:r>
      <w:r>
        <w:tab/>
      </w:r>
      <w:r>
        <w:tab/>
        <w:t>s. 301</w:t>
      </w:r>
      <w:r>
        <w:noBreakHyphen/>
        <w:t>305 deleted by No. 23 of 2006 s. 10;</w:t>
      </w:r>
      <w:r>
        <w:br/>
      </w:r>
      <w:r>
        <w:tab/>
      </w:r>
      <w:r>
        <w:tab/>
        <w:t>s. 306, 307 deleted by No. 19 of 2016 s. 246;</w:t>
      </w:r>
      <w:r>
        <w:br/>
      </w:r>
      <w:r>
        <w:tab/>
      </w:r>
      <w:r>
        <w:tab/>
        <w:t xml:space="preserve">s. 308 deleted by </w:t>
      </w:r>
      <w:r>
        <w:rPr>
          <w:spacing w:val="-6"/>
        </w:rPr>
        <w:t>No. 34 of 2004</w:t>
      </w:r>
      <w:r>
        <w:t xml:space="preserve"> Sch. 2 cl. 12(2);</w:t>
      </w:r>
      <w:r>
        <w:br/>
      </w:r>
      <w:r>
        <w:tab/>
      </w:r>
      <w:r>
        <w:tab/>
        <w:t>s. 309</w:t>
      </w:r>
      <w:r>
        <w:noBreakHyphen/>
        <w:t>314 deleted by No. 19 of 2016 s. 246;</w:t>
      </w:r>
      <w:r>
        <w:br/>
      </w:r>
      <w:r>
        <w:tab/>
      </w:r>
      <w:r>
        <w:tab/>
        <w:t>s. 315 deleted by No. 23 of 2006 s. 12;</w:t>
      </w:r>
      <w:r>
        <w:br/>
      </w:r>
      <w:r>
        <w:tab/>
      </w:r>
      <w:r>
        <w:tab/>
        <w:t>s. 316 deleted by No. 19 of 2016 s. 246.]</w:t>
      </w:r>
    </w:p>
    <w:p>
      <w:pPr>
        <w:pStyle w:val="Heading2"/>
        <w:rPr>
          <w:rStyle w:val="CharPartText"/>
        </w:rPr>
      </w:pPr>
      <w:bookmarkStart w:id="511" w:name="_Toc498001203"/>
      <w:bookmarkStart w:id="512" w:name="_Toc498001533"/>
      <w:bookmarkStart w:id="513" w:name="_Toc498003185"/>
      <w:bookmarkStart w:id="514" w:name="_Toc498004196"/>
      <w:bookmarkStart w:id="515" w:name="_Toc499029599"/>
      <w:bookmarkStart w:id="516" w:name="_Toc501098667"/>
      <w:bookmarkStart w:id="517" w:name="_Toc501101590"/>
      <w:bookmarkStart w:id="518" w:name="_Toc501116112"/>
      <w:bookmarkStart w:id="519" w:name="_Toc501117373"/>
      <w:bookmarkStart w:id="520" w:name="_Toc501698780"/>
      <w:bookmarkStart w:id="521" w:name="_Toc512323819"/>
      <w:r>
        <w:rPr>
          <w:rStyle w:val="CharPartNo"/>
        </w:rPr>
        <w:t>Part XII</w:t>
      </w:r>
      <w:r>
        <w:t> — </w:t>
      </w:r>
      <w:r>
        <w:rPr>
          <w:rStyle w:val="CharPartText"/>
        </w:rPr>
        <w:t>Hospitals</w:t>
      </w:r>
      <w:bookmarkEnd w:id="511"/>
      <w:bookmarkEnd w:id="512"/>
      <w:bookmarkEnd w:id="513"/>
      <w:bookmarkEnd w:id="514"/>
      <w:bookmarkEnd w:id="515"/>
      <w:bookmarkEnd w:id="516"/>
      <w:bookmarkEnd w:id="517"/>
      <w:bookmarkEnd w:id="518"/>
      <w:bookmarkEnd w:id="519"/>
      <w:bookmarkEnd w:id="520"/>
      <w:bookmarkEnd w:id="521"/>
    </w:p>
    <w:p>
      <w:pPr>
        <w:pStyle w:val="Heading3"/>
        <w:rPr>
          <w:rStyle w:val="CharDivText"/>
        </w:rPr>
      </w:pPr>
      <w:bookmarkStart w:id="522" w:name="_Toc498001204"/>
      <w:bookmarkStart w:id="523" w:name="_Toc498001534"/>
      <w:bookmarkStart w:id="524" w:name="_Toc498003186"/>
      <w:bookmarkStart w:id="525" w:name="_Toc498004197"/>
      <w:bookmarkStart w:id="526" w:name="_Toc499029600"/>
      <w:bookmarkStart w:id="527" w:name="_Toc501098668"/>
      <w:bookmarkStart w:id="528" w:name="_Toc501101591"/>
      <w:bookmarkStart w:id="529" w:name="_Toc501116113"/>
      <w:bookmarkStart w:id="530" w:name="_Toc501117374"/>
      <w:bookmarkStart w:id="531" w:name="_Toc501698781"/>
      <w:bookmarkStart w:id="532" w:name="_Toc512323820"/>
      <w:r>
        <w:rPr>
          <w:rStyle w:val="CharDivNo"/>
        </w:rPr>
        <w:t>Division 1</w:t>
      </w:r>
      <w:r>
        <w:rPr>
          <w:snapToGrid w:val="0"/>
        </w:rPr>
        <w:t> — </w:t>
      </w:r>
      <w:r>
        <w:rPr>
          <w:rStyle w:val="CharDivText"/>
        </w:rPr>
        <w:t>Public hospital</w:t>
      </w:r>
      <w:bookmarkEnd w:id="522"/>
      <w:bookmarkEnd w:id="523"/>
      <w:bookmarkEnd w:id="524"/>
      <w:bookmarkEnd w:id="525"/>
      <w:bookmarkEnd w:id="526"/>
      <w:bookmarkEnd w:id="527"/>
      <w:bookmarkEnd w:id="528"/>
      <w:bookmarkEnd w:id="529"/>
      <w:bookmarkEnd w:id="530"/>
      <w:bookmarkEnd w:id="531"/>
      <w:bookmarkEnd w:id="532"/>
    </w:p>
    <w:p>
      <w:pPr>
        <w:pStyle w:val="Ednotesection"/>
        <w:outlineLvl w:val="9"/>
      </w:pPr>
      <w:r>
        <w:t>[</w:t>
      </w:r>
      <w:r>
        <w:rPr>
          <w:b/>
        </w:rPr>
        <w:t>316A, 317</w:t>
      </w:r>
      <w:r>
        <w:rPr>
          <w:b/>
        </w:rPr>
        <w:noBreakHyphen/>
        <w:t xml:space="preserve">323, 323A, 323B.  </w:t>
      </w:r>
      <w:r>
        <w:t xml:space="preserve"> Deleted by No. 47 of 1978 s. 31.]</w:t>
      </w:r>
    </w:p>
    <w:p>
      <w:pPr>
        <w:pStyle w:val="Heading5"/>
        <w:rPr>
          <w:snapToGrid w:val="0"/>
        </w:rPr>
      </w:pPr>
      <w:bookmarkStart w:id="533" w:name="_Toc512323821"/>
      <w:r>
        <w:rPr>
          <w:rStyle w:val="CharSectno"/>
        </w:rPr>
        <w:t>324</w:t>
      </w:r>
      <w:r>
        <w:rPr>
          <w:snapToGrid w:val="0"/>
        </w:rPr>
        <w:t>.</w:t>
      </w:r>
      <w:r>
        <w:rPr>
          <w:snapToGrid w:val="0"/>
        </w:rPr>
        <w:tab/>
        <w:t>Local governments may establish or subsidise hospitals</w:t>
      </w:r>
      <w:bookmarkEnd w:id="533"/>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534" w:name="_Toc512323822"/>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534"/>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deleted by No. 53 of 1985 s. 12.]</w:t>
      </w:r>
    </w:p>
    <w:p>
      <w:pPr>
        <w:pStyle w:val="Heading2"/>
      </w:pPr>
      <w:bookmarkStart w:id="535" w:name="_Toc498001207"/>
      <w:bookmarkStart w:id="536" w:name="_Toc498001537"/>
      <w:bookmarkStart w:id="537" w:name="_Toc498003189"/>
      <w:bookmarkStart w:id="538" w:name="_Toc498004200"/>
      <w:bookmarkStart w:id="539" w:name="_Toc499029603"/>
      <w:bookmarkStart w:id="540" w:name="_Toc501098671"/>
      <w:bookmarkStart w:id="541" w:name="_Toc501101594"/>
      <w:bookmarkStart w:id="542" w:name="_Toc501116116"/>
      <w:bookmarkStart w:id="543" w:name="_Toc501117377"/>
      <w:bookmarkStart w:id="544" w:name="_Toc501698784"/>
      <w:bookmarkStart w:id="545" w:name="_Toc512323823"/>
      <w:r>
        <w:rPr>
          <w:rStyle w:val="CharPartNo"/>
        </w:rPr>
        <w:t>Part XIIA</w:t>
      </w:r>
      <w:r>
        <w:rPr>
          <w:rStyle w:val="CharDivNo"/>
        </w:rPr>
        <w:t> </w:t>
      </w:r>
      <w:r>
        <w:t>—</w:t>
      </w:r>
      <w:r>
        <w:rPr>
          <w:rStyle w:val="CharDivText"/>
        </w:rPr>
        <w:t> </w:t>
      </w:r>
      <w:r>
        <w:rPr>
          <w:rStyle w:val="CharPartText"/>
        </w:rPr>
        <w:t>Community health centres, etc.</w:t>
      </w:r>
      <w:bookmarkEnd w:id="535"/>
      <w:bookmarkEnd w:id="536"/>
      <w:bookmarkEnd w:id="537"/>
      <w:bookmarkEnd w:id="538"/>
      <w:bookmarkEnd w:id="539"/>
      <w:bookmarkEnd w:id="540"/>
      <w:bookmarkEnd w:id="541"/>
      <w:bookmarkEnd w:id="542"/>
      <w:bookmarkEnd w:id="543"/>
      <w:bookmarkEnd w:id="544"/>
      <w:bookmarkEnd w:id="545"/>
    </w:p>
    <w:p>
      <w:pPr>
        <w:pStyle w:val="Footnoteheading"/>
        <w:ind w:left="890" w:hanging="890"/>
        <w:rPr>
          <w:snapToGrid w:val="0"/>
        </w:rPr>
      </w:pPr>
      <w:r>
        <w:rPr>
          <w:snapToGrid w:val="0"/>
        </w:rPr>
        <w:tab/>
        <w:t>[Heading inserted by No. 101 of 1976 s. 11.]</w:t>
      </w:r>
    </w:p>
    <w:p>
      <w:pPr>
        <w:pStyle w:val="Heading5"/>
        <w:rPr>
          <w:snapToGrid w:val="0"/>
        </w:rPr>
      </w:pPr>
      <w:bookmarkStart w:id="546" w:name="_Toc512323824"/>
      <w:r>
        <w:rPr>
          <w:rStyle w:val="CharSectno"/>
        </w:rPr>
        <w:t>330A</w:t>
      </w:r>
      <w:r>
        <w:rPr>
          <w:snapToGrid w:val="0"/>
        </w:rPr>
        <w:t xml:space="preserve">. </w:t>
      </w:r>
      <w:r>
        <w:rPr>
          <w:snapToGrid w:val="0"/>
        </w:rPr>
        <w:tab/>
        <w:t>Land may be acquired or leased for community health centres</w:t>
      </w:r>
      <w:bookmarkEnd w:id="546"/>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547" w:name="_Toc512323825"/>
      <w:r>
        <w:rPr>
          <w:rStyle w:val="CharSectno"/>
        </w:rPr>
        <w:t>330B</w:t>
      </w:r>
      <w:r>
        <w:rPr>
          <w:snapToGrid w:val="0"/>
        </w:rPr>
        <w:t xml:space="preserve">. </w:t>
      </w:r>
      <w:r>
        <w:rPr>
          <w:snapToGrid w:val="0"/>
        </w:rPr>
        <w:tab/>
        <w:t>Local governments may subsidise certain medical centres</w:t>
      </w:r>
      <w:bookmarkEnd w:id="547"/>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548" w:name="_Toc498001210"/>
      <w:bookmarkStart w:id="549" w:name="_Toc498001540"/>
      <w:bookmarkStart w:id="550" w:name="_Toc498003192"/>
      <w:bookmarkStart w:id="551" w:name="_Toc498004203"/>
      <w:bookmarkStart w:id="552" w:name="_Toc499029606"/>
      <w:bookmarkStart w:id="553" w:name="_Toc501098674"/>
      <w:bookmarkStart w:id="554" w:name="_Toc501101597"/>
      <w:bookmarkStart w:id="555" w:name="_Toc501116119"/>
      <w:bookmarkStart w:id="556" w:name="_Toc501117380"/>
      <w:bookmarkStart w:id="557" w:name="_Toc501698787"/>
      <w:bookmarkStart w:id="558" w:name="_Toc512323826"/>
      <w:r>
        <w:rPr>
          <w:rStyle w:val="CharPartNo"/>
        </w:rPr>
        <w:t>Part XIII</w:t>
      </w:r>
      <w:r>
        <w:rPr>
          <w:rStyle w:val="CharDivNo"/>
        </w:rPr>
        <w:t> </w:t>
      </w:r>
      <w:r>
        <w:t>—</w:t>
      </w:r>
      <w:r>
        <w:rPr>
          <w:rStyle w:val="CharDivText"/>
        </w:rPr>
        <w:t> </w:t>
      </w:r>
      <w:r>
        <w:rPr>
          <w:rStyle w:val="CharPartText"/>
        </w:rPr>
        <w:t>Child health and preventive medicine</w:t>
      </w:r>
      <w:bookmarkEnd w:id="548"/>
      <w:bookmarkEnd w:id="549"/>
      <w:bookmarkEnd w:id="550"/>
      <w:bookmarkEnd w:id="551"/>
      <w:bookmarkEnd w:id="552"/>
      <w:bookmarkEnd w:id="553"/>
      <w:bookmarkEnd w:id="554"/>
      <w:bookmarkEnd w:id="555"/>
      <w:bookmarkEnd w:id="556"/>
      <w:bookmarkEnd w:id="557"/>
      <w:bookmarkEnd w:id="558"/>
    </w:p>
    <w:p>
      <w:pPr>
        <w:pStyle w:val="Footnoteheading"/>
        <w:ind w:left="890" w:hanging="890"/>
        <w:rPr>
          <w:snapToGrid w:val="0"/>
        </w:rPr>
      </w:pPr>
      <w:r>
        <w:rPr>
          <w:snapToGrid w:val="0"/>
        </w:rPr>
        <w:tab/>
        <w:t>[Heading inserted by No. 102 of 1973 s. 21.]</w:t>
      </w:r>
    </w:p>
    <w:p>
      <w:pPr>
        <w:pStyle w:val="Heading5"/>
        <w:spacing w:before="180"/>
      </w:pPr>
      <w:bookmarkStart w:id="559" w:name="_Toc512323827"/>
      <w:r>
        <w:rPr>
          <w:rStyle w:val="CharSectno"/>
        </w:rPr>
        <w:t>331</w:t>
      </w:r>
      <w:r>
        <w:t>.</w:t>
      </w:r>
      <w:r>
        <w:tab/>
        <w:t>Terms used</w:t>
      </w:r>
      <w:bookmarkEnd w:id="559"/>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tab/>
      </w:r>
      <w:r>
        <w:rPr>
          <w:rStyle w:val="CharDefText"/>
        </w:rPr>
        <w:t>school dental service</w:t>
      </w:r>
      <w:r>
        <w:t xml:space="preserve"> means the service established under section 337A;</w:t>
      </w:r>
    </w:p>
    <w:p>
      <w:pPr>
        <w:pStyle w:val="Defstart"/>
      </w:pPr>
      <w:r>
        <w:tab/>
      </w:r>
      <w:r>
        <w:rPr>
          <w:rStyle w:val="CharDefText"/>
        </w:rPr>
        <w:t>school dental therapist</w:t>
      </w:r>
      <w:r>
        <w:t xml:space="preserve"> means a person who holds or is taken to hold general registration under the </w:t>
      </w:r>
      <w:r>
        <w:rPr>
          <w:i/>
        </w:rPr>
        <w:t>Health Practitioner Regulation National Law (Western Australia)</w:t>
      </w:r>
      <w:r>
        <w:t xml:space="preserve"> in the dental therapist profession.</w:t>
      </w:r>
    </w:p>
    <w:p>
      <w:pPr>
        <w:pStyle w:val="Footnotesection"/>
      </w:pPr>
      <w:r>
        <w:tab/>
        <w:t>[Section 331 inserted by No. 35 of 2010 s. 72.]</w:t>
      </w:r>
    </w:p>
    <w:p>
      <w:pPr>
        <w:pStyle w:val="Ednotesection"/>
        <w:spacing w:before="180"/>
        <w:outlineLvl w:val="9"/>
      </w:pPr>
      <w:r>
        <w:t>[</w:t>
      </w:r>
      <w:r>
        <w:rPr>
          <w:b/>
        </w:rPr>
        <w:t>332.</w:t>
      </w:r>
      <w:r>
        <w:rPr>
          <w:b/>
        </w:rPr>
        <w:tab/>
      </w:r>
      <w:r>
        <w:t>Deleted by No. 27 of 1992 s. 84.]</w:t>
      </w:r>
    </w:p>
    <w:p>
      <w:pPr>
        <w:pStyle w:val="Heading5"/>
        <w:spacing w:before="180"/>
        <w:rPr>
          <w:snapToGrid w:val="0"/>
        </w:rPr>
      </w:pPr>
      <w:bookmarkStart w:id="560" w:name="_Toc512323828"/>
      <w:r>
        <w:rPr>
          <w:rStyle w:val="CharSectno"/>
        </w:rPr>
        <w:t>333</w:t>
      </w:r>
      <w:r>
        <w:rPr>
          <w:snapToGrid w:val="0"/>
        </w:rPr>
        <w:t>.</w:t>
      </w:r>
      <w:r>
        <w:rPr>
          <w:snapToGrid w:val="0"/>
        </w:rPr>
        <w:tab/>
        <w:t>Regulations</w:t>
      </w:r>
      <w:bookmarkEnd w:id="560"/>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spacing w:before="180"/>
      </w:pPr>
      <w:bookmarkStart w:id="561" w:name="_Toc512323829"/>
      <w:r>
        <w:rPr>
          <w:rStyle w:val="CharSectno"/>
        </w:rPr>
        <w:t>334</w:t>
      </w:r>
      <w:r>
        <w:t>.</w:t>
      </w:r>
      <w:r>
        <w:tab/>
        <w:t>Performance of abortions</w:t>
      </w:r>
      <w:bookmarkEnd w:id="561"/>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snapToGrid w:val="0"/>
        </w:rPr>
        <w:t xml:space="preserve"> </w:t>
      </w:r>
      <w:r>
        <w:t>section —</w:t>
      </w:r>
    </w:p>
    <w:p>
      <w:pPr>
        <w:pStyle w:val="Defstart"/>
      </w:pPr>
      <w:r>
        <w:tab/>
      </w:r>
      <w:r>
        <w:rPr>
          <w:rStyle w:val="CharDefText"/>
        </w:rPr>
        <w:t>informed consent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 and</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keepNext/>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 and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562" w:name="_Toc512323830"/>
      <w:r>
        <w:rPr>
          <w:rStyle w:val="CharSectno"/>
        </w:rPr>
        <w:t>335</w:t>
      </w:r>
      <w:r>
        <w:rPr>
          <w:snapToGrid w:val="0"/>
        </w:rPr>
        <w:t>.</w:t>
      </w:r>
      <w:r>
        <w:rPr>
          <w:snapToGrid w:val="0"/>
        </w:rPr>
        <w:tab/>
        <w:t>Reports to be furnished</w:t>
      </w:r>
      <w:bookmarkEnd w:id="562"/>
    </w:p>
    <w:p>
      <w:pPr>
        <w:pStyle w:val="Subsection"/>
        <w:rPr>
          <w:snapToGrid w:val="0"/>
        </w:rPr>
      </w:pPr>
      <w:r>
        <w:rPr>
          <w:snapToGrid w:val="0"/>
        </w:rPr>
        <w:tab/>
        <w:t>(1)</w:t>
      </w:r>
      <w:r>
        <w:rPr>
          <w:snapToGrid w:val="0"/>
        </w:rPr>
        <w:tab/>
        <w:t xml:space="preserve">It shall be the duty of every midwife to furnish to the </w:t>
      </w:r>
      <w:r>
        <w:t>Chief Health Officer</w:t>
      </w:r>
      <w:r>
        <w:rPr>
          <w:snapToGrid w:val="0"/>
        </w:rPr>
        <w:t xml:space="preserve"> a report in writing in the manner and at the time and in the form prescribed of every case attended by </w:t>
      </w:r>
      <w:r>
        <w:t xml:space="preserve">the midwife, </w:t>
      </w:r>
      <w:r>
        <w:rPr>
          <w:snapToGrid w:val="0"/>
        </w:rPr>
        <w:t>whether of living, premature or full term birth, or stillbirth, or abortion.</w:t>
      </w:r>
    </w:p>
    <w:p>
      <w:pPr>
        <w:pStyle w:val="Subsection"/>
        <w:rPr>
          <w:snapToGrid w:val="0"/>
        </w:rPr>
      </w:pPr>
      <w:r>
        <w:rPr>
          <w:snapToGrid w:val="0"/>
        </w:rPr>
        <w:tab/>
        <w:t>(2)</w:t>
      </w:r>
      <w:r>
        <w:rPr>
          <w:snapToGrid w:val="0"/>
        </w:rPr>
        <w:tab/>
        <w:t xml:space="preserve">A report furnished under subsection (1) shall state the name and address of the mother, and shall be furnished to the </w:t>
      </w:r>
      <w:r>
        <w:t>Chief Health Officer</w:t>
      </w:r>
      <w:r>
        <w:rPr>
          <w:snapToGrid w:val="0"/>
        </w:rPr>
        <w:t xml:space="preserve">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 xml:space="preserve">The occupier of any house at which a female not usually resident in any such house, is attended, whether for gain or not, during childbirth or abortion or miscarriage, shall forthwith notify to the </w:t>
      </w:r>
      <w:r>
        <w:t>Chief Health Officer</w:t>
      </w:r>
      <w:r>
        <w:rPr>
          <w:snapToGrid w:val="0"/>
        </w:rPr>
        <w:t xml:space="preserve"> that such female is being so attended.</w:t>
      </w:r>
    </w:p>
    <w:p>
      <w:pPr>
        <w:pStyle w:val="Subsection"/>
        <w:rPr>
          <w:snapToGrid w:val="0"/>
        </w:rPr>
      </w:pPr>
      <w:r>
        <w:rPr>
          <w:snapToGrid w:val="0"/>
        </w:rPr>
        <w:tab/>
        <w:t>(5)(a)</w:t>
      </w:r>
      <w:r>
        <w:rPr>
          <w:snapToGrid w:val="0"/>
        </w:rPr>
        <w:tab/>
        <w:t xml:space="preserve">When a medical practitioner attends on the happening of any premature birth, stillbirth or abortion (other than an abortion to which paragraph (d) applies), </w:t>
      </w:r>
      <w:r>
        <w:t>the medical practitioner</w:t>
      </w:r>
      <w:r>
        <w:rPr>
          <w:snapToGrid w:val="0"/>
        </w:rPr>
        <w:t xml:space="preserve"> shall send to the </w:t>
      </w:r>
      <w:r>
        <w:t>Chief Health Officer</w:t>
      </w:r>
      <w:r>
        <w:rPr>
          <w:snapToGrid w:val="0"/>
        </w:rPr>
        <w:t xml:space="preserve"> within 48 hours of the happening a report in the prescribed form.</w:t>
      </w:r>
    </w:p>
    <w:p>
      <w:pPr>
        <w:pStyle w:val="Subsection"/>
        <w:rPr>
          <w:snapToGrid w:val="0"/>
        </w:rPr>
      </w:pPr>
      <w:r>
        <w:rPr>
          <w:snapToGrid w:val="0"/>
        </w:rPr>
        <w:tab/>
        <w:t>(b)</w:t>
      </w:r>
      <w:r>
        <w:rPr>
          <w:snapToGrid w:val="0"/>
        </w:rPr>
        <w:tab/>
        <w:t xml:space="preserve">A medical practitioner, or where a medical practitioner is not in attendance, a midwife, who attends a woman at the delivery of a foetus at any time after the 20th week of pregnancy shall notify the </w:t>
      </w:r>
      <w:r>
        <w:t>Chief Health Officer</w:t>
      </w:r>
      <w:r>
        <w:rPr>
          <w:snapToGrid w:val="0"/>
        </w:rPr>
        <w:t xml:space="preserve">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xml:space="preserve">, certifies the cause of a neonatal death shall notify the </w:t>
      </w:r>
      <w:r>
        <w:t>Chief Health Officer</w:t>
      </w:r>
      <w:r>
        <w:rPr>
          <w:snapToGrid w:val="0"/>
        </w:rPr>
        <w:t xml:space="preserve"> of the fact in the prescribed form within 48 hours of the certification.</w:t>
      </w:r>
    </w:p>
    <w:p>
      <w:pPr>
        <w:pStyle w:val="Subsection"/>
        <w:rPr>
          <w:snapToGrid w:val="0"/>
        </w:rPr>
      </w:pPr>
      <w:r>
        <w:rPr>
          <w:snapToGrid w:val="0"/>
        </w:rPr>
        <w:tab/>
        <w:t>(d)</w:t>
      </w:r>
      <w:r>
        <w:rPr>
          <w:snapToGrid w:val="0"/>
        </w:rPr>
        <w:tab/>
        <w:t xml:space="preserve">When a medical practitioner performs an abortion, the medical practitioner shall notify the </w:t>
      </w:r>
      <w:r>
        <w:t>Chief Health Officer</w:t>
      </w:r>
      <w:r>
        <w:rPr>
          <w:snapToGrid w:val="0"/>
        </w:rPr>
        <w:t xml:space="preserve">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 xml:space="preserve">The </w:t>
      </w:r>
      <w:r>
        <w:t xml:space="preserve">Chief Health Officer </w:t>
      </w:r>
      <w:r>
        <w:rPr>
          <w:snapToGrid w:val="0"/>
        </w:rPr>
        <w:t xml:space="preserve">shall appoint medical practitioners upon such terms and conditions as </w:t>
      </w:r>
      <w:r>
        <w:t>the Chief Health Officer</w:t>
      </w:r>
      <w:r>
        <w:rPr>
          <w:snapToGrid w:val="0"/>
        </w:rPr>
        <w:t xml:space="preserv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 xml:space="preserve">The </w:t>
      </w:r>
      <w:r>
        <w:t>Chief Health Officer</w:t>
      </w:r>
      <w:r>
        <w:rPr>
          <w:snapToGrid w:val="0"/>
        </w:rPr>
        <w:t xml:space="preserve">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 xml:space="preserve">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w:t>
      </w:r>
      <w:r>
        <w:t>Chief Health Officer</w:t>
      </w:r>
      <w:r>
        <w:rPr>
          <w:snapToGrid w:val="0"/>
        </w:rPr>
        <w:t>, thereupon conduct a post mortem examination on the body of the stillborn child.</w:t>
      </w:r>
    </w:p>
    <w:p>
      <w:pPr>
        <w:pStyle w:val="Footnotesection"/>
      </w:pPr>
      <w:r>
        <w:tab/>
        <w:t>[Section 335, formerly section 263, amended by No. 17 of 1918 s. 48; renumbered as section 335 by No. 38 of 1933 s. 42; amended by No. 14 of 1944 s. 12; No. 71 of 1948 s. 12; No. 45 of 1954 s. 12; No. 113 of 1965 s. 8(1); No. 102 of 1973 s. 25; No. 28 of 1984 s. 45; No. 80 of 1987 s. 151; No. 27 of 1992 s. 84; No. 15 of 1998 s. 7(2); No. 40 of 1998 s. 14(4); No. 19 of 2016 s. 36, 99 and 100.]</w:t>
      </w:r>
    </w:p>
    <w:p>
      <w:pPr>
        <w:pStyle w:val="Heading5"/>
        <w:rPr>
          <w:snapToGrid w:val="0"/>
        </w:rPr>
      </w:pPr>
      <w:bookmarkStart w:id="563" w:name="_Toc512323831"/>
      <w:r>
        <w:rPr>
          <w:rStyle w:val="CharSectno"/>
        </w:rPr>
        <w:t>336</w:t>
      </w:r>
      <w:r>
        <w:rPr>
          <w:snapToGrid w:val="0"/>
        </w:rPr>
        <w:t>.</w:t>
      </w:r>
      <w:r>
        <w:rPr>
          <w:snapToGrid w:val="0"/>
        </w:rPr>
        <w:tab/>
        <w:t>Death of woman as result of pregnancy or childbirth to be reported to Chief Health Officer</w:t>
      </w:r>
      <w:bookmarkEnd w:id="563"/>
    </w:p>
    <w:p>
      <w:pPr>
        <w:pStyle w:val="Subsection"/>
        <w:rPr>
          <w:snapToGrid w:val="0"/>
        </w:rPr>
      </w:pPr>
      <w:r>
        <w:rPr>
          <w:snapToGrid w:val="0"/>
        </w:rPr>
        <w:tab/>
        <w:t>(1)</w:t>
      </w:r>
      <w:r>
        <w:rPr>
          <w:snapToGrid w:val="0"/>
        </w:rPr>
        <w:tab/>
        <w:t xml:space="preserve">Whenever any woman shall die as the result of pregnancy or of childbirth, or as the result of any complications arising from or following upon pregnancy or childbirth, the fact of such death shall be reported forthwith to the </w:t>
      </w:r>
      <w:r>
        <w:t>Chief Health Officer</w:t>
      </w:r>
      <w:r>
        <w:rPr>
          <w:snapToGrid w:val="0"/>
        </w:rPr>
        <w:t xml:space="preserve"> by the medical practitioner and any nurse who were at the time of the death attending such woman.</w:t>
      </w:r>
    </w:p>
    <w:p>
      <w:pPr>
        <w:pStyle w:val="Subsection"/>
      </w:pPr>
      <w:r>
        <w:tab/>
        <w:t>(2)</w:t>
      </w:r>
      <w:r>
        <w:tab/>
        <w:t xml:space="preserve">On receiving the report, the Chief Health Officer must, by notice in writing signed by the Chief Health Officer — </w:t>
      </w:r>
    </w:p>
    <w:p>
      <w:pPr>
        <w:pStyle w:val="Indenta"/>
      </w:pPr>
      <w:r>
        <w:tab/>
        <w:t>(a)</w:t>
      </w:r>
      <w:r>
        <w:tab/>
        <w:t>direct the investigator appointed under Part XIIIA to inquire into the circumstances of the death; and</w:t>
      </w:r>
    </w:p>
    <w:p>
      <w:pPr>
        <w:pStyle w:val="Indenta"/>
      </w:pPr>
      <w:r>
        <w:tab/>
        <w:t>(b)</w:t>
      </w:r>
      <w:r>
        <w:tab/>
        <w:t>require the investigator to present to the Chairperson of the Maternal Mortality Committee appointed under that Part, within a time specified in the notice, a full report of the investigation made by the investigator.</w:t>
      </w:r>
    </w:p>
    <w:p>
      <w:pPr>
        <w:pStyle w:val="Subsection"/>
        <w:rPr>
          <w:snapToGrid w:val="0"/>
        </w:rPr>
      </w:pPr>
      <w:r>
        <w:rPr>
          <w:snapToGrid w:val="0"/>
        </w:rPr>
        <w:tab/>
        <w:t>(3)</w:t>
      </w:r>
      <w:r>
        <w:rPr>
          <w:snapToGrid w:val="0"/>
        </w:rPr>
        <w:tab/>
        <w:t xml:space="preserve">The report of the investigator presented to the </w:t>
      </w:r>
      <w:r>
        <w:t>Chairperson</w:t>
      </w:r>
      <w:r>
        <w:rPr>
          <w:snapToGrid w:val="0"/>
        </w:rPr>
        <w:t xml:space="preserve">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 xml:space="preserve">For the purposes of this section all information, records of interviews, reports, statements, memoranda or other particulars obtained by the investigator during an investigation made by </w:t>
      </w:r>
      <w:r>
        <w:t>the investigator</w:t>
      </w:r>
      <w:r>
        <w:rPr>
          <w:snapToGrid w:val="0"/>
        </w:rPr>
        <w:t xml:space="preserve"> pursuant to the provisions of this section shall be confidential and shall not be communicated or divulged, either in whole or in part, by the investigator to any person other than the </w:t>
      </w:r>
      <w:r>
        <w:t>Chairperson</w:t>
      </w:r>
      <w:r>
        <w:rPr>
          <w:snapToGrid w:val="0"/>
        </w:rPr>
        <w:t xml:space="preserve"> of the Maternal Mortality Committee, or by the </w:t>
      </w:r>
      <w:r>
        <w:t>Chairperson</w:t>
      </w:r>
      <w:r>
        <w:rPr>
          <w:snapToGrid w:val="0"/>
        </w:rPr>
        <w:t xml:space="preserve">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 No. 19 of 2016 s. 37 and 100.]</w:t>
      </w:r>
    </w:p>
    <w:p>
      <w:pPr>
        <w:pStyle w:val="Heading5"/>
        <w:rPr>
          <w:snapToGrid w:val="0"/>
        </w:rPr>
      </w:pPr>
      <w:bookmarkStart w:id="564" w:name="_Toc512323832"/>
      <w:r>
        <w:rPr>
          <w:rStyle w:val="CharSectno"/>
        </w:rPr>
        <w:t>336A</w:t>
      </w:r>
      <w:r>
        <w:rPr>
          <w:snapToGrid w:val="0"/>
        </w:rPr>
        <w:t xml:space="preserve">. </w:t>
      </w:r>
      <w:r>
        <w:rPr>
          <w:snapToGrid w:val="0"/>
        </w:rPr>
        <w:tab/>
        <w:t>Certain deaths of children to be reported to Chief Health Officer</w:t>
      </w:r>
      <w:bookmarkEnd w:id="564"/>
    </w:p>
    <w:p>
      <w:pPr>
        <w:pStyle w:val="Subsection"/>
        <w:spacing w:before="120"/>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w:t>
      </w:r>
      <w:r>
        <w:t>Chief Health Officer</w:t>
      </w:r>
      <w:r>
        <w:rPr>
          <w:snapToGrid w:val="0"/>
        </w:rPr>
        <w:t xml:space="preserve">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spacing w:before="120"/>
      </w:pPr>
      <w:r>
        <w:tab/>
        <w:t>(2)</w:t>
      </w:r>
      <w:r>
        <w:tab/>
        <w:t xml:space="preserve">On receiving the report, the Chief Health Officer must, by notice in writing signed by the Chief Health Officer — </w:t>
      </w:r>
    </w:p>
    <w:p>
      <w:pPr>
        <w:pStyle w:val="Indenta"/>
      </w:pPr>
      <w:r>
        <w:tab/>
        <w:t>(a)</w:t>
      </w:r>
      <w:r>
        <w:tab/>
        <w:t>direct an investigator appointed under Part XIIIB to enquire into the circumstances of that stillbirth or death; and</w:t>
      </w:r>
    </w:p>
    <w:p>
      <w:pPr>
        <w:pStyle w:val="Indenta"/>
      </w:pPr>
      <w:r>
        <w:tab/>
        <w:t>(b)</w:t>
      </w:r>
      <w:r>
        <w:tab/>
        <w:t>require the investigator to present to the Chairperson of the Perinatal and Infant Mortality Committee appointed under that Part, within a time specified in the notice, a full report of the investigation made by the investigator.</w:t>
      </w:r>
    </w:p>
    <w:p>
      <w:pPr>
        <w:pStyle w:val="Subsection"/>
        <w:spacing w:before="120"/>
      </w:pPr>
      <w:r>
        <w:tab/>
        <w:t>(3A)</w:t>
      </w:r>
      <w:r>
        <w:tab/>
        <w:t xml:space="preserve">Subsection (2) does not apply if the Chief Health Officer is satisfied that the cause of death arose from — </w:t>
      </w:r>
    </w:p>
    <w:p>
      <w:pPr>
        <w:pStyle w:val="Indenta"/>
      </w:pPr>
      <w:r>
        <w:tab/>
        <w:t>(a)</w:t>
      </w:r>
      <w:r>
        <w:tab/>
        <w:t>a specific injury; or</w:t>
      </w:r>
    </w:p>
    <w:p>
      <w:pPr>
        <w:pStyle w:val="Indenta"/>
      </w:pPr>
      <w:r>
        <w:tab/>
        <w:t>(b)</w:t>
      </w:r>
      <w:r>
        <w:tab/>
        <w:t>an illness that the Committee has directed does not require further investigation.</w:t>
      </w:r>
    </w:p>
    <w:p>
      <w:pPr>
        <w:pStyle w:val="Subsection"/>
        <w:keepNext/>
        <w:keepLines/>
        <w:spacing w:before="120"/>
        <w:rPr>
          <w:snapToGrid w:val="0"/>
        </w:rPr>
      </w:pPr>
      <w:r>
        <w:rPr>
          <w:snapToGrid w:val="0"/>
        </w:rPr>
        <w:tab/>
        <w:t>(3)</w:t>
      </w:r>
      <w:r>
        <w:rPr>
          <w:snapToGrid w:val="0"/>
        </w:rPr>
        <w:tab/>
        <w:t xml:space="preserve">The report of the investigator presented to the </w:t>
      </w:r>
      <w:r>
        <w:t xml:space="preserve">Chairperson </w:t>
      </w:r>
      <w:r>
        <w:rPr>
          <w:snapToGrid w:val="0"/>
        </w:rPr>
        <w:t>shall be in the form of connected medical case history relating to the deceased child but shall not contain any particulars from which it may be possible to ascertain the identity of that child.</w:t>
      </w:r>
    </w:p>
    <w:p>
      <w:pPr>
        <w:pStyle w:val="Subsection"/>
        <w:spacing w:before="120"/>
        <w:rPr>
          <w:snapToGrid w:val="0"/>
        </w:rPr>
      </w:pPr>
      <w:r>
        <w:rPr>
          <w:snapToGrid w:val="0"/>
        </w:rPr>
        <w:tab/>
        <w:t>(4)</w:t>
      </w:r>
      <w:r>
        <w:rPr>
          <w:snapToGrid w:val="0"/>
        </w:rPr>
        <w:tab/>
        <w:t xml:space="preserve">For the purposes of this section all information, records of interviews, reports, statements, memoranda or other particulars obtained by the investigator during an investigation made by </w:t>
      </w:r>
      <w:r>
        <w:t xml:space="preserve">the investigator </w:t>
      </w:r>
      <w:r>
        <w:rPr>
          <w:snapToGrid w:val="0"/>
        </w:rPr>
        <w:t xml:space="preserve">pursuant to the provisions of this section shall be confidential and shall not be communicated or divulged, either in whole or in part, to any person other than the </w:t>
      </w:r>
      <w:r>
        <w:t xml:space="preserve">Chairperson </w:t>
      </w:r>
      <w:r>
        <w:rPr>
          <w:snapToGrid w:val="0"/>
        </w:rPr>
        <w:t xml:space="preserve">of the Perinatal and Infant Mortality Committee, or by the </w:t>
      </w:r>
      <w:r>
        <w:t xml:space="preserve">Chairperson </w:t>
      </w:r>
      <w:r>
        <w:rPr>
          <w:snapToGrid w:val="0"/>
        </w:rPr>
        <w:t>or any other member of the Committee, except for the purposes and in accordance with the provisions of Part XIIIB.</w:t>
      </w:r>
    </w:p>
    <w:p>
      <w:pPr>
        <w:pStyle w:val="Subsection"/>
        <w:spacing w:before="120"/>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spacing w:before="120"/>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spacing w:before="120"/>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spacing w:before="120"/>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ind w:left="890" w:hanging="890"/>
      </w:pPr>
      <w:r>
        <w:tab/>
        <w:t>[Section 336A inserted by No. 47 of 1978 s. 33; amended by No. 28 of 1984 s. 45; No. 80 of 1987 s. 153; No. 2 of 1996 s. 61; No. 40 of 1998 s. 14(5); No. 19 of 2016 s. 38 and 100.]</w:t>
      </w:r>
    </w:p>
    <w:p>
      <w:pPr>
        <w:pStyle w:val="Heading5"/>
        <w:keepNext w:val="0"/>
        <w:keepLines w:val="0"/>
        <w:spacing w:before="180"/>
        <w:rPr>
          <w:snapToGrid w:val="0"/>
        </w:rPr>
      </w:pPr>
      <w:bookmarkStart w:id="565" w:name="_Toc512323833"/>
      <w:r>
        <w:rPr>
          <w:rStyle w:val="CharSectno"/>
        </w:rPr>
        <w:t>336B</w:t>
      </w:r>
      <w:r>
        <w:rPr>
          <w:snapToGrid w:val="0"/>
        </w:rPr>
        <w:t xml:space="preserve">. </w:t>
      </w:r>
      <w:r>
        <w:rPr>
          <w:snapToGrid w:val="0"/>
        </w:rPr>
        <w:tab/>
        <w:t>Death of persons under anaesthetic to be reported to Chief Health Officer</w:t>
      </w:r>
      <w:bookmarkEnd w:id="565"/>
    </w:p>
    <w:p>
      <w:pPr>
        <w:pStyle w:val="Subsection"/>
        <w:spacing w:before="120"/>
        <w:rPr>
          <w:snapToGrid w:val="0"/>
        </w:rPr>
      </w:pPr>
      <w:r>
        <w:rPr>
          <w:snapToGrid w:val="0"/>
        </w:rPr>
        <w:tab/>
        <w:t>(1)</w:t>
      </w:r>
      <w:r>
        <w:rPr>
          <w:snapToGrid w:val="0"/>
        </w:rPr>
        <w:tab/>
        <w:t xml:space="preserve">Whenever any person shall die within the period of 48 hours following the administration of an anaesthetic agent or as the result of any complications arising from the administration of an anaesthetic, the fact of such death shall be reported forthwith to the </w:t>
      </w:r>
      <w:r>
        <w:t>Chief Health Officer</w:t>
      </w:r>
      <w:r>
        <w:rPr>
          <w:snapToGrid w:val="0"/>
        </w:rPr>
        <w:t xml:space="preserve"> by the person who administered the anaesthetic to the deceased.</w:t>
      </w:r>
    </w:p>
    <w:p>
      <w:pPr>
        <w:pStyle w:val="Subsection"/>
        <w:spacing w:before="120"/>
        <w:rPr>
          <w:snapToGrid w:val="0"/>
        </w:rPr>
      </w:pPr>
      <w:r>
        <w:rPr>
          <w:snapToGrid w:val="0"/>
        </w:rPr>
        <w:tab/>
        <w:t>(2)</w:t>
      </w:r>
      <w:r>
        <w:rPr>
          <w:snapToGrid w:val="0"/>
        </w:rPr>
        <w:tab/>
        <w:t xml:space="preserve">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w:t>
      </w:r>
      <w:r>
        <w:t>Chief Health Officer that the medical practitioner</w:t>
      </w:r>
      <w:r>
        <w:rPr>
          <w:snapToGrid w:val="0"/>
        </w:rPr>
        <w:t xml:space="preserve"> has formed such an opinion.</w:t>
      </w:r>
    </w:p>
    <w:p>
      <w:pPr>
        <w:pStyle w:val="Subsection"/>
        <w:spacing w:before="120"/>
      </w:pPr>
      <w:r>
        <w:tab/>
        <w:t>(3)</w:t>
      </w:r>
      <w:r>
        <w:tab/>
        <w:t xml:space="preserve">On receiving a report made under subsection (1) or (2), the Chief Health Officer must, by notice in writing signed by the Chief Health Officer — </w:t>
      </w:r>
    </w:p>
    <w:p>
      <w:pPr>
        <w:pStyle w:val="Indenta"/>
      </w:pPr>
      <w:r>
        <w:tab/>
        <w:t>(a)</w:t>
      </w:r>
      <w:r>
        <w:tab/>
        <w:t>direct an investigator appointed under Part XIIIC to enquire into the circumstances of the death; and</w:t>
      </w:r>
    </w:p>
    <w:p>
      <w:pPr>
        <w:pStyle w:val="Indenta"/>
      </w:pPr>
      <w:r>
        <w:tab/>
        <w:t>(b)</w:t>
      </w:r>
      <w:r>
        <w:tab/>
        <w:t xml:space="preserve">require the investigator — </w:t>
      </w:r>
    </w:p>
    <w:p>
      <w:pPr>
        <w:pStyle w:val="Indenti"/>
      </w:pPr>
      <w:r>
        <w:tab/>
        <w:t>(i)</w:t>
      </w:r>
      <w:r>
        <w:tab/>
        <w:t>if in the opinion of the investigator the death is likely to have been due to anaesthesia, to carry out the investigation and present to the Chairperson of the Anaesthetic Mortality Committee appointed under that Part, within a time specified in the notice, a full report of the investigation made by the investigator; or</w:t>
      </w:r>
    </w:p>
    <w:p>
      <w:pPr>
        <w:pStyle w:val="Indenti"/>
      </w:pPr>
      <w:r>
        <w:tab/>
        <w:t>(ii)</w:t>
      </w:r>
      <w:r>
        <w:tab/>
        <w:t>if in the opinion of the investigator the death was not likely to have been due to anaesthesia, to report the investigator’s finding to the Chief Health Officer.</w:t>
      </w:r>
    </w:p>
    <w:p>
      <w:pPr>
        <w:pStyle w:val="Subsection"/>
        <w:spacing w:before="120"/>
        <w:rPr>
          <w:snapToGrid w:val="0"/>
        </w:rPr>
      </w:pPr>
      <w:r>
        <w:rPr>
          <w:snapToGrid w:val="0"/>
        </w:rPr>
        <w:tab/>
        <w:t>(4)</w:t>
      </w:r>
      <w:r>
        <w:rPr>
          <w:snapToGrid w:val="0"/>
        </w:rPr>
        <w:tab/>
        <w:t xml:space="preserve">Where the circumstances are such that an investigation is being or will be undertaken by the Maternal Mortality Committee in accordance with Part XIIIA then notwithstanding the provisions of subsection (3) the </w:t>
      </w:r>
      <w:r>
        <w:t>Chief Health Officer</w:t>
      </w:r>
      <w:r>
        <w:rPr>
          <w:snapToGrid w:val="0"/>
        </w:rPr>
        <w:t xml:space="preserve"> shall not be required to direct an investigation pursuant to this section.</w:t>
      </w:r>
    </w:p>
    <w:p>
      <w:pPr>
        <w:pStyle w:val="Subsection"/>
        <w:spacing w:before="120"/>
        <w:rPr>
          <w:snapToGrid w:val="0"/>
        </w:rPr>
      </w:pPr>
      <w:r>
        <w:rPr>
          <w:snapToGrid w:val="0"/>
        </w:rPr>
        <w:tab/>
        <w:t>(5)</w:t>
      </w:r>
      <w:r>
        <w:rPr>
          <w:snapToGrid w:val="0"/>
        </w:rPr>
        <w:tab/>
        <w:t xml:space="preserve">The report of the investigator presented to the </w:t>
      </w:r>
      <w:r>
        <w:t xml:space="preserve">Chairperson </w:t>
      </w:r>
      <w:r>
        <w:rPr>
          <w:snapToGrid w:val="0"/>
        </w:rPr>
        <w:t>shall be in the form of connected medical case history relating to the deceased person but shall not contain any particulars from which it may be possible to ascertain the identity of that person.</w:t>
      </w:r>
    </w:p>
    <w:p>
      <w:pPr>
        <w:pStyle w:val="Subsection"/>
        <w:rPr>
          <w:snapToGrid w:val="0"/>
        </w:rPr>
      </w:pPr>
      <w:r>
        <w:rPr>
          <w:snapToGrid w:val="0"/>
        </w:rPr>
        <w:tab/>
        <w:t>(6)</w:t>
      </w:r>
      <w:r>
        <w:rPr>
          <w:snapToGrid w:val="0"/>
        </w:rPr>
        <w:tab/>
        <w:t xml:space="preserve">For the purposes of this section all information, records of interviews, reports, statements, memoranda or other particulars obtained by the investigator during an investigation made by </w:t>
      </w:r>
      <w:r>
        <w:t xml:space="preserve">the investigator </w:t>
      </w:r>
      <w:r>
        <w:rPr>
          <w:snapToGrid w:val="0"/>
        </w:rPr>
        <w:t xml:space="preserve">pursuant to the provisions of this section shall be confidential and shall not be communicated or divulged, either in whole or in part, to any person other than the </w:t>
      </w:r>
      <w:r>
        <w:t xml:space="preserve">Chairperson </w:t>
      </w:r>
      <w:r>
        <w:rPr>
          <w:snapToGrid w:val="0"/>
        </w:rPr>
        <w:t xml:space="preserve">of the Anaesthetic Mortality Committee, or by the </w:t>
      </w:r>
      <w:r>
        <w:t xml:space="preserve">Chairperson </w:t>
      </w:r>
      <w:r>
        <w:rPr>
          <w:snapToGrid w:val="0"/>
        </w:rPr>
        <w:t>or any other member of the Committee, except for the purposes and in accordance with the provisions of Part XIIIC.</w:t>
      </w:r>
    </w:p>
    <w:p>
      <w:pPr>
        <w:pStyle w:val="Subsection"/>
        <w:spacing w:before="12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spacing w:before="120"/>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spacing w:before="120"/>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spacing w:before="120"/>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ind w:left="890" w:hanging="890"/>
      </w:pPr>
      <w:r>
        <w:tab/>
        <w:t>[Section 336B inserted by No. 47 of 1978 s. 35; amended by No. 28 of 1984 s. 45; No. 80 of 1987 s. 154; No. 2 of 1996 s. 61; No. 19 of 2016 s. 39 and 100.]</w:t>
      </w:r>
    </w:p>
    <w:p>
      <w:pPr>
        <w:pStyle w:val="Heading5"/>
        <w:keepNext w:val="0"/>
        <w:keepLines w:val="0"/>
        <w:spacing w:before="180"/>
        <w:rPr>
          <w:snapToGrid w:val="0"/>
        </w:rPr>
      </w:pPr>
      <w:bookmarkStart w:id="566" w:name="_Toc512323834"/>
      <w:r>
        <w:rPr>
          <w:rStyle w:val="CharSectno"/>
        </w:rPr>
        <w:t>337</w:t>
      </w:r>
      <w:r>
        <w:rPr>
          <w:snapToGrid w:val="0"/>
        </w:rPr>
        <w:t>.</w:t>
      </w:r>
      <w:r>
        <w:rPr>
          <w:snapToGrid w:val="0"/>
        </w:rPr>
        <w:tab/>
        <w:t>Examination of school children</w:t>
      </w:r>
      <w:bookmarkEnd w:id="566"/>
    </w:p>
    <w:p>
      <w:pPr>
        <w:pStyle w:val="Subsection"/>
        <w:spacing w:before="120"/>
        <w:rPr>
          <w:snapToGrid w:val="0"/>
        </w:rPr>
      </w:pPr>
      <w:r>
        <w:rPr>
          <w:snapToGrid w:val="0"/>
        </w:rPr>
        <w:tab/>
        <w:t>(1)</w:t>
      </w:r>
      <w:r>
        <w:rPr>
          <w:snapToGrid w:val="0"/>
        </w:rPr>
        <w:tab/>
        <w:t xml:space="preserve">Any </w:t>
      </w:r>
      <w:r>
        <w:t>medical practitioner</w:t>
      </w:r>
      <w:r>
        <w:rPr>
          <w:snapToGrid w:val="0"/>
        </w:rPr>
        <w:t xml:space="preserve"> or any nurse duly authorised in this behalf by the </w:t>
      </w:r>
      <w:r>
        <w:t>Chief Health Officer</w:t>
      </w:r>
      <w:r>
        <w:rPr>
          <w:snapToGrid w:val="0"/>
        </w:rPr>
        <w:t xml:space="preserve"> may examine medically and physically any child attending any school or child care centre, and such child shall submit to, and the parents or guardians of such child shall permit such examination as the </w:t>
      </w:r>
      <w:r>
        <w:t>medical practitioner</w:t>
      </w:r>
      <w:r>
        <w:rPr>
          <w:snapToGrid w:val="0"/>
        </w:rPr>
        <w:t xml:space="preserve"> or nurse deems necessary.</w:t>
      </w:r>
    </w:p>
    <w:p>
      <w:pPr>
        <w:pStyle w:val="Subsection"/>
        <w:spacing w:before="180"/>
      </w:pPr>
      <w:r>
        <w:tab/>
        <w:t>(2A)</w:t>
      </w:r>
      <w:r>
        <w:tab/>
        <w:t xml:space="preserve">In subsection (1) — </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Subsection"/>
        <w:spacing w:before="180"/>
        <w:rPr>
          <w:snapToGrid w:val="0"/>
        </w:rPr>
      </w:pPr>
      <w:r>
        <w:rPr>
          <w:snapToGrid w:val="0"/>
        </w:rPr>
        <w:tab/>
        <w:t>(2)</w:t>
      </w:r>
      <w:r>
        <w:rPr>
          <w:snapToGrid w:val="0"/>
        </w:rPr>
        <w:tab/>
        <w:t xml:space="preserve">Any school dental therapist employed in a school dental service, or any dentist authorised to do so by the </w:t>
      </w:r>
      <w:r>
        <w:t xml:space="preserve">Chief Health Officer, </w:t>
      </w:r>
      <w:r>
        <w:rPr>
          <w:snapToGrid w:val="0"/>
        </w:rPr>
        <w:t>may examine the teeth of any such child, and the child shall submit to, and the parents or guardians of such child shall permit, the examination.</w:t>
      </w:r>
    </w:p>
    <w:p>
      <w:pPr>
        <w:pStyle w:val="Subsection"/>
        <w:spacing w:before="180"/>
        <w:rPr>
          <w:snapToGrid w:val="0"/>
        </w:rPr>
      </w:pPr>
      <w:r>
        <w:rPr>
          <w:snapToGrid w:val="0"/>
        </w:rPr>
        <w:tab/>
        <w:t>(3)</w:t>
      </w:r>
      <w:r>
        <w:rPr>
          <w:snapToGrid w:val="0"/>
        </w:rPr>
        <w:tab/>
        <w:t xml:space="preserve">Any </w:t>
      </w:r>
      <w:r>
        <w:t>medical practitioner</w:t>
      </w:r>
      <w:r>
        <w:rPr>
          <w:snapToGrid w:val="0"/>
        </w:rPr>
        <w:t xml:space="preserve"> or any nurse duly authorised in this behalf by the </w:t>
      </w:r>
      <w:r>
        <w:t>Chief Health Officer</w:t>
      </w:r>
      <w:r>
        <w:rPr>
          <w:snapToGrid w:val="0"/>
        </w:rPr>
        <w:t xml:space="preserve"> who finds that any such child is in an unclean or verminous condition may, by writing under the hand of such </w:t>
      </w:r>
      <w:r>
        <w:t>medical practitioner</w:t>
      </w:r>
      <w:r>
        <w:rPr>
          <w:snapToGrid w:val="0"/>
        </w:rPr>
        <w:t xml:space="preserve"> or nurse, notify any parent or guardian of the child of the fact, and require such parent or guardian to remedy such condition forthwith, and to keep such child clean or free from vermin.</w:t>
      </w:r>
    </w:p>
    <w:p>
      <w:pPr>
        <w:pStyle w:val="Subsection"/>
        <w:spacing w:before="180"/>
        <w:rPr>
          <w:snapToGrid w:val="0"/>
        </w:rPr>
      </w:pPr>
      <w:r>
        <w:rPr>
          <w:snapToGrid w:val="0"/>
        </w:rPr>
        <w:tab/>
        <w:t>(4)</w:t>
      </w:r>
      <w:r>
        <w:rPr>
          <w:snapToGrid w:val="0"/>
        </w:rPr>
        <w:tab/>
        <w:t xml:space="preserve">In addition to making the requisition mentioned in subsection (3), the </w:t>
      </w:r>
      <w:r>
        <w:t>medical practitioner</w:t>
      </w:r>
      <w:r>
        <w:rPr>
          <w:snapToGrid w:val="0"/>
        </w:rPr>
        <w:t xml:space="preserve"> or nurse may, by writing under the hand of the </w:t>
      </w:r>
      <w:r>
        <w:t>medical practitioner</w:t>
      </w:r>
      <w:r>
        <w:rPr>
          <w:snapToGrid w:val="0"/>
        </w:rPr>
        <w:t xml:space="preserve"> or nurse, require the parent or guardian to keep the child</w:t>
      </w:r>
      <w:r>
        <w:rPr>
          <w:snapToGrid w:val="0"/>
          <w:sz w:val="22"/>
        </w:rPr>
        <w:t>’</w:t>
      </w:r>
      <w:r>
        <w:rPr>
          <w:snapToGrid w:val="0"/>
        </w:rPr>
        <w:t xml:space="preserve">s hair cut short to the satisfaction of the </w:t>
      </w:r>
      <w:r>
        <w:t>medical practitioner or nurse</w:t>
      </w:r>
      <w:r>
        <w:rPr>
          <w:snapToGrid w:val="0"/>
        </w:rPr>
        <w:t>.</w:t>
      </w:r>
    </w:p>
    <w:p>
      <w:pPr>
        <w:pStyle w:val="Subsection"/>
        <w:spacing w:before="180"/>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spacing w:before="180"/>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formerly section 264, amended by No. 17 of 1918 s 49; No. 5 of 1922 s. 8; No. 30 of 1932 s. 4; renumbered as section 337 by No. 38 of 1933 s. 42; amended by No. 113 of 1965 s. 8(1); No. 102 of 1973 s. 26; No. 30 of 1982 s. 12; No. 28 of 1984 s. 45; No. 80 of 1987 s. 155; No. 14 of 1996 s. 4; No. 64 of 1996 s. 18; No. 35 of 2010 s. 73; No. 11 of 2012 s. 35; No. 19 of 2016 s. 99 and 100.]</w:t>
      </w:r>
    </w:p>
    <w:p>
      <w:pPr>
        <w:pStyle w:val="Heading5"/>
        <w:rPr>
          <w:snapToGrid w:val="0"/>
        </w:rPr>
      </w:pPr>
      <w:bookmarkStart w:id="567" w:name="_Toc512323835"/>
      <w:r>
        <w:rPr>
          <w:rStyle w:val="CharSectno"/>
        </w:rPr>
        <w:t>337A</w:t>
      </w:r>
      <w:r>
        <w:rPr>
          <w:snapToGrid w:val="0"/>
        </w:rPr>
        <w:t xml:space="preserve">. </w:t>
      </w:r>
      <w:r>
        <w:rPr>
          <w:snapToGrid w:val="0"/>
        </w:rPr>
        <w:tab/>
        <w:t>Schools dental service</w:t>
      </w:r>
      <w:bookmarkEnd w:id="567"/>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rPr>
          <w:snapToGrid w:val="0"/>
        </w:rPr>
      </w:pPr>
      <w:r>
        <w:rPr>
          <w:snapToGrid w:val="0"/>
        </w:rPr>
        <w:tab/>
        <w:t>(4)</w:t>
      </w:r>
      <w:r>
        <w:rPr>
          <w:snapToGrid w:val="0"/>
        </w:rPr>
        <w:tab/>
        <w:t>The Governor may make regulations prescribing the manner in which acts of dentistry are to be undertaken by a school dental therapist.</w:t>
      </w:r>
    </w:p>
    <w:p>
      <w:pPr>
        <w:pStyle w:val="Footnotesection"/>
        <w:spacing w:before="80"/>
        <w:ind w:left="890" w:hanging="890"/>
      </w:pPr>
      <w:r>
        <w:tab/>
        <w:t>[Section 337A inserted by No. 102 of 1973 s. 27; amended by No. 30 of 1982 s. 13; No. 32 of 1994 s. 3(2); No. 64 of 1996 s. 18; No. 10 of 1998 s. 39(4); No. 28 of 2006 s. 251; No. 35 of 2010 s. 74.]</w:t>
      </w:r>
    </w:p>
    <w:p>
      <w:pPr>
        <w:pStyle w:val="Ednotesection"/>
        <w:spacing w:before="180"/>
        <w:ind w:left="890" w:hanging="890"/>
        <w:outlineLvl w:val="9"/>
      </w:pPr>
      <w:r>
        <w:t>[</w:t>
      </w:r>
      <w:r>
        <w:rPr>
          <w:b/>
        </w:rPr>
        <w:t>338.</w:t>
      </w:r>
      <w:r>
        <w:tab/>
        <w:t>Deleted by No. 19 of 2016 s. 40.]</w:t>
      </w:r>
    </w:p>
    <w:p>
      <w:pPr>
        <w:pStyle w:val="Ednotesection"/>
        <w:outlineLvl w:val="9"/>
      </w:pPr>
      <w:r>
        <w:t>[</w:t>
      </w:r>
      <w:r>
        <w:rPr>
          <w:b/>
        </w:rPr>
        <w:t>338A.</w:t>
      </w:r>
      <w:r>
        <w:tab/>
        <w:t>Deleted by No. 116 of 1982 s. 36.]</w:t>
      </w:r>
    </w:p>
    <w:p>
      <w:pPr>
        <w:pStyle w:val="Ednotesection"/>
        <w:spacing w:before="180"/>
        <w:ind w:left="890" w:hanging="890"/>
        <w:outlineLvl w:val="9"/>
      </w:pPr>
      <w:r>
        <w:t>[</w:t>
      </w:r>
      <w:r>
        <w:rPr>
          <w:b/>
        </w:rPr>
        <w:t>338B-338C.</w:t>
      </w:r>
      <w:r>
        <w:tab/>
        <w:t>Deleted by No. 19 of 2016 s. 40.]</w:t>
      </w:r>
    </w:p>
    <w:p>
      <w:pPr>
        <w:pStyle w:val="Ednotesection"/>
        <w:outlineLvl w:val="9"/>
      </w:pPr>
      <w:r>
        <w:t>[</w:t>
      </w:r>
      <w:r>
        <w:rPr>
          <w:b/>
        </w:rPr>
        <w:t>339.</w:t>
      </w:r>
      <w:r>
        <w:tab/>
        <w:t>Deleted by No. 102 of 1973 s. 29.]</w:t>
      </w:r>
    </w:p>
    <w:p>
      <w:pPr>
        <w:pStyle w:val="Ednotesection"/>
        <w:spacing w:before="180"/>
        <w:outlineLvl w:val="9"/>
      </w:pPr>
      <w:r>
        <w:t>[</w:t>
      </w:r>
      <w:r>
        <w:rPr>
          <w:b/>
        </w:rPr>
        <w:t>340.</w:t>
      </w:r>
      <w:r>
        <w:rPr>
          <w:b/>
        </w:rPr>
        <w:tab/>
      </w:r>
      <w:r>
        <w:t>Deleted by No. 19 of 2016 s. 247.]</w:t>
      </w:r>
    </w:p>
    <w:p>
      <w:pPr>
        <w:pStyle w:val="Heading2"/>
      </w:pPr>
      <w:bookmarkStart w:id="568" w:name="_Toc498001220"/>
      <w:bookmarkStart w:id="569" w:name="_Toc498001550"/>
      <w:bookmarkStart w:id="570" w:name="_Toc498003202"/>
      <w:bookmarkStart w:id="571" w:name="_Toc498004213"/>
      <w:bookmarkStart w:id="572" w:name="_Toc499029616"/>
      <w:bookmarkStart w:id="573" w:name="_Toc501098684"/>
      <w:bookmarkStart w:id="574" w:name="_Toc501101607"/>
      <w:bookmarkStart w:id="575" w:name="_Toc501116129"/>
      <w:bookmarkStart w:id="576" w:name="_Toc501117390"/>
      <w:bookmarkStart w:id="577" w:name="_Toc501698797"/>
      <w:bookmarkStart w:id="578" w:name="_Toc512323836"/>
      <w:r>
        <w:rPr>
          <w:rStyle w:val="CharPartNo"/>
        </w:rPr>
        <w:t>Part XIIIA</w:t>
      </w:r>
      <w:r>
        <w:rPr>
          <w:rStyle w:val="CharDivNo"/>
        </w:rPr>
        <w:t> </w:t>
      </w:r>
      <w:r>
        <w:t>—</w:t>
      </w:r>
      <w:r>
        <w:rPr>
          <w:rStyle w:val="CharDivText"/>
        </w:rPr>
        <w:t> </w:t>
      </w:r>
      <w:r>
        <w:rPr>
          <w:rStyle w:val="CharPartText"/>
        </w:rPr>
        <w:t>Maternal Mortality Committee</w:t>
      </w:r>
      <w:bookmarkEnd w:id="568"/>
      <w:bookmarkEnd w:id="569"/>
      <w:bookmarkEnd w:id="570"/>
      <w:bookmarkEnd w:id="571"/>
      <w:bookmarkEnd w:id="572"/>
      <w:bookmarkEnd w:id="573"/>
      <w:bookmarkEnd w:id="574"/>
      <w:bookmarkEnd w:id="575"/>
      <w:bookmarkEnd w:id="576"/>
      <w:bookmarkEnd w:id="577"/>
      <w:bookmarkEnd w:id="578"/>
    </w:p>
    <w:p>
      <w:pPr>
        <w:pStyle w:val="Footnoteheading"/>
        <w:ind w:left="890" w:hanging="890"/>
        <w:rPr>
          <w:snapToGrid w:val="0"/>
        </w:rPr>
      </w:pPr>
      <w:r>
        <w:rPr>
          <w:snapToGrid w:val="0"/>
        </w:rPr>
        <w:tab/>
        <w:t>[Heading inserted by No. 23 of 1960 s. 4.]</w:t>
      </w:r>
    </w:p>
    <w:p>
      <w:pPr>
        <w:pStyle w:val="Heading5"/>
        <w:spacing w:before="180"/>
        <w:rPr>
          <w:snapToGrid w:val="0"/>
        </w:rPr>
      </w:pPr>
      <w:bookmarkStart w:id="579" w:name="_Toc512323837"/>
      <w:r>
        <w:rPr>
          <w:rStyle w:val="CharSectno"/>
        </w:rPr>
        <w:t>340A</w:t>
      </w:r>
      <w:r>
        <w:rPr>
          <w:snapToGrid w:val="0"/>
        </w:rPr>
        <w:t>.</w:t>
      </w:r>
      <w:r>
        <w:rPr>
          <w:snapToGrid w:val="0"/>
        </w:rPr>
        <w:tab/>
        <w:t>Terms used</w:t>
      </w:r>
      <w:bookmarkEnd w:id="579"/>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Maternal Mortality Committee constituted under this Part;</w:t>
      </w:r>
    </w:p>
    <w:p>
      <w:pPr>
        <w:pStyle w:val="Defstart"/>
      </w:pPr>
      <w:r>
        <w:rPr>
          <w:b/>
        </w:rPr>
        <w:tab/>
      </w:r>
      <w:r>
        <w:rPr>
          <w:rStyle w:val="CharDefText"/>
        </w:rPr>
        <w:t>investigator</w:t>
      </w:r>
      <w:r>
        <w:t xml:space="preserve"> means the obstetrician from time to time appointed under this Part;</w:t>
      </w:r>
    </w:p>
    <w:p>
      <w:pPr>
        <w:pStyle w:val="Defstart"/>
      </w:pPr>
      <w:r>
        <w:rPr>
          <w:b/>
        </w:rPr>
        <w:tab/>
      </w:r>
      <w:r>
        <w:rPr>
          <w:rStyle w:val="CharDefText"/>
        </w:rPr>
        <w:t>member</w:t>
      </w:r>
      <w:r>
        <w:t xml:space="preserve"> means a person appointed to be a member of the Committee, and includes the Chairperson of the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Footnotesection"/>
      </w:pPr>
      <w:r>
        <w:tab/>
        <w:t>[Section 340A inserted by No. 23 of 1960 s. 4; amended by No. 94 of 1972 s. 4(1) (as amended by No. 83 of 1973 s. 4); No. 19 of 2016 s. 41.]</w:t>
      </w:r>
    </w:p>
    <w:p>
      <w:pPr>
        <w:pStyle w:val="Heading5"/>
        <w:spacing w:before="180"/>
        <w:rPr>
          <w:snapToGrid w:val="0"/>
        </w:rPr>
      </w:pPr>
      <w:bookmarkStart w:id="580" w:name="_Toc512323838"/>
      <w:r>
        <w:rPr>
          <w:rStyle w:val="CharSectno"/>
        </w:rPr>
        <w:t>340B</w:t>
      </w:r>
      <w:r>
        <w:rPr>
          <w:snapToGrid w:val="0"/>
        </w:rPr>
        <w:t>.</w:t>
      </w:r>
      <w:r>
        <w:rPr>
          <w:snapToGrid w:val="0"/>
        </w:rPr>
        <w:tab/>
        <w:t>Constitution and offices of Committee</w:t>
      </w:r>
      <w:bookmarkEnd w:id="580"/>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pPr>
      <w:r>
        <w:tab/>
        <w:t>(2)</w:t>
      </w:r>
      <w:r>
        <w:tab/>
        <w:t xml:space="preserve">The Committee is to consist of 9 members appointed by the Minister, made up as follows — </w:t>
      </w:r>
    </w:p>
    <w:p>
      <w:pPr>
        <w:pStyle w:val="Indenta"/>
      </w:pPr>
      <w:r>
        <w:tab/>
        <w:t>(a)</w:t>
      </w:r>
      <w:r>
        <w:tab/>
        <w:t xml:space="preserve">one is to be the Professor of Obstetrics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r>
        <w:t>, who is to be Chairperson of the Committee;</w:t>
      </w:r>
    </w:p>
    <w:p>
      <w:pPr>
        <w:pStyle w:val="Indenta"/>
      </w:pPr>
      <w:r>
        <w:tab/>
        <w:t>(b)</w:t>
      </w:r>
      <w:r>
        <w:tab/>
        <w:t>one is to be a medical practitioner specialising in obstetrics, nominated by the Royal Australian and New Zealand College of Obstetricians and Gynaecologists (W.A. Branch);</w:t>
      </w:r>
    </w:p>
    <w:p>
      <w:pPr>
        <w:pStyle w:val="Indenta"/>
      </w:pPr>
      <w:r>
        <w:tab/>
        <w:t>(c)</w:t>
      </w:r>
      <w:r>
        <w:tab/>
        <w:t xml:space="preserve">5 are to be medical practitioners, of whom — </w:t>
      </w:r>
    </w:p>
    <w:p>
      <w:pPr>
        <w:pStyle w:val="Indenti"/>
      </w:pPr>
      <w:r>
        <w:tab/>
        <w:t>(i)</w:t>
      </w:r>
      <w:r>
        <w:tab/>
        <w:t>2 are to be general medical practitioners practising in the metropolitan area, nominated by the Australian Medical Association (WA) Incorporated; and</w:t>
      </w:r>
    </w:p>
    <w:p>
      <w:pPr>
        <w:pStyle w:val="Indenti"/>
      </w:pPr>
      <w:r>
        <w:tab/>
        <w:t>(ii)</w:t>
      </w:r>
      <w:r>
        <w:tab/>
        <w:t>2 are to be general medical practitioners having not less than 5 years’ practice outside the metropolitan area, nominated by the Australian Medical Association (WA) Incorporated; and</w:t>
      </w:r>
    </w:p>
    <w:p>
      <w:pPr>
        <w:pStyle w:val="Indenti"/>
      </w:pPr>
      <w:r>
        <w:tab/>
        <w:t>(iii)</w:t>
      </w:r>
      <w:r>
        <w:tab/>
        <w:t>one is to be nominated by the Chief Health Officer;</w:t>
      </w:r>
    </w:p>
    <w:p>
      <w:pPr>
        <w:pStyle w:val="Indenta"/>
      </w:pPr>
      <w:r>
        <w:tab/>
        <w:t>(d)</w:t>
      </w:r>
      <w:r>
        <w:tab/>
        <w:t>2 are to be midwives, nominated by the Chief Health Officer.</w:t>
      </w:r>
    </w:p>
    <w:p>
      <w:pPr>
        <w:pStyle w:val="Footnotesection"/>
      </w:pPr>
      <w:r>
        <w:tab/>
        <w:t>[Section 340B inserted by No. 23 of 1960 s. 4; amended by No. 63 of 1981 s. 4; No. 30 of 1982 s. 14; No. 27 of 1992 s. 84; No. 10 of 1998 s. 39(5); No. 24 of 2000 s. 16(3); No. 28 of 2006 s. 251; No. 8 of 2009 s. 71(4); No. 19 of 2016 s. 42.]</w:t>
      </w:r>
    </w:p>
    <w:p>
      <w:pPr>
        <w:pStyle w:val="Heading5"/>
        <w:rPr>
          <w:snapToGrid w:val="0"/>
        </w:rPr>
      </w:pPr>
      <w:bookmarkStart w:id="581" w:name="_Toc512323839"/>
      <w:r>
        <w:rPr>
          <w:rStyle w:val="CharSectno"/>
        </w:rPr>
        <w:t>340C</w:t>
      </w:r>
      <w:r>
        <w:rPr>
          <w:snapToGrid w:val="0"/>
        </w:rPr>
        <w:t xml:space="preserve">. </w:t>
      </w:r>
      <w:r>
        <w:rPr>
          <w:snapToGrid w:val="0"/>
        </w:rPr>
        <w:tab/>
        <w:t>Appointment of deputies</w:t>
      </w:r>
      <w:bookmarkEnd w:id="581"/>
    </w:p>
    <w:p>
      <w:pPr>
        <w:pStyle w:val="Subsection"/>
        <w:spacing w:before="140"/>
        <w:rPr>
          <w:snapToGrid w:val="0"/>
        </w:rPr>
      </w:pPr>
      <w:r>
        <w:rPr>
          <w:snapToGrid w:val="0"/>
        </w:rPr>
        <w:tab/>
        <w:t>(1)</w:t>
      </w:r>
      <w:r>
        <w:rPr>
          <w:snapToGrid w:val="0"/>
        </w:rPr>
        <w:tab/>
        <w:t xml:space="preserve">The Minister may appoint persons as deputies to act in the respective places of the </w:t>
      </w:r>
      <w:r>
        <w:t xml:space="preserve">Chairperson </w:t>
      </w:r>
      <w:r>
        <w:rPr>
          <w:snapToGrid w:val="0"/>
        </w:rPr>
        <w:t>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40"/>
        <w:rPr>
          <w:snapToGrid w:val="0"/>
        </w:rPr>
      </w:pPr>
      <w:r>
        <w:rPr>
          <w:snapToGrid w:val="0"/>
        </w:rPr>
        <w:tab/>
        <w:t>(2)</w:t>
      </w:r>
      <w:r>
        <w:rPr>
          <w:snapToGrid w:val="0"/>
        </w:rPr>
        <w:tab/>
        <w:t xml:space="preserve">A person is not eligible for appointment as a deputy of a member of the Committee (other than as the deputy of the </w:t>
      </w:r>
      <w:r>
        <w:t xml:space="preserve">Chairperson) </w:t>
      </w:r>
      <w:r>
        <w:rPr>
          <w:snapToGrid w:val="0"/>
        </w:rPr>
        <w:t>unless he</w:t>
      </w:r>
      <w:r>
        <w:t xml:space="preserve"> or she</w:t>
      </w:r>
      <w:r>
        <w:rPr>
          <w:snapToGrid w:val="0"/>
        </w:rPr>
        <w:t xml:space="preserve"> is nominated as deputy by the body by which the member is required under section 340B to be nominated or unless he</w:t>
      </w:r>
      <w:r>
        <w:t xml:space="preserve"> or she</w:t>
      </w:r>
      <w:r>
        <w:rPr>
          <w:snapToGrid w:val="0"/>
        </w:rPr>
        <w:t xml:space="preserve"> is appointed by the Minister under the provisions of section 340D(3).</w:t>
      </w:r>
    </w:p>
    <w:p>
      <w:pPr>
        <w:pStyle w:val="Footnotesection"/>
      </w:pPr>
      <w:r>
        <w:tab/>
        <w:t>[Section 340C inserted by No. 23 of 1960 s. 4; amended by No. 19 of 2016 s. 43.]</w:t>
      </w:r>
    </w:p>
    <w:p>
      <w:pPr>
        <w:pStyle w:val="Heading5"/>
        <w:keepLines w:val="0"/>
        <w:spacing w:before="180"/>
        <w:rPr>
          <w:snapToGrid w:val="0"/>
        </w:rPr>
      </w:pPr>
      <w:bookmarkStart w:id="582" w:name="_Toc512323840"/>
      <w:r>
        <w:rPr>
          <w:rStyle w:val="CharSectno"/>
        </w:rPr>
        <w:t>340D</w:t>
      </w:r>
      <w:r>
        <w:rPr>
          <w:snapToGrid w:val="0"/>
        </w:rPr>
        <w:t xml:space="preserve">. </w:t>
      </w:r>
      <w:r>
        <w:rPr>
          <w:snapToGrid w:val="0"/>
        </w:rPr>
        <w:tab/>
        <w:t>Nominations to be made to Minister</w:t>
      </w:r>
      <w:bookmarkEnd w:id="582"/>
    </w:p>
    <w:p>
      <w:pPr>
        <w:pStyle w:val="Subsection"/>
      </w:pPr>
      <w:r>
        <w:tab/>
        <w:t>(1)</w:t>
      </w:r>
      <w:r>
        <w:tab/>
        <w:t>The bodies mentioned in section 340B(2)(b) and (c)(i) and (ii) must nominate to the Minister, when the Minister so requests, or when a vacancy occurs in accordance with section 340F, one or more appropriately qualified persons to become members of the Committee.</w:t>
      </w:r>
    </w:p>
    <w:p>
      <w:pPr>
        <w:pStyle w:val="Subsection"/>
        <w:rPr>
          <w:snapToGrid w:val="0"/>
        </w:rPr>
      </w:pPr>
      <w:r>
        <w:rPr>
          <w:snapToGrid w:val="0"/>
        </w:rPr>
        <w:tab/>
        <w:t>(2)</w:t>
      </w:r>
      <w:r>
        <w:rPr>
          <w:snapToGrid w:val="0"/>
        </w:rPr>
        <w:tab/>
        <w:t xml:space="preserve">Without affecting the generality of the power conferred by subsection (1), the Minister may from time to time as occasion requires request a body referred to in </w:t>
      </w:r>
      <w:r>
        <w:t xml:space="preserve">section 340B(2)(b) or (c)(i) or (ii) </w:t>
      </w:r>
      <w:r>
        <w:rPr>
          <w:snapToGrid w:val="0"/>
        </w:rPr>
        <w:t xml:space="preserve">to nominate, within a specified period, for appointment as a member of the Committee, or as a deputy member, any number of persons not exceeding 3, and may appoint such one, or as the case may be, more of them as </w:t>
      </w:r>
      <w:r>
        <w:t>the Minister</w:t>
      </w:r>
      <w:r>
        <w:rPr>
          <w:snapToGrid w:val="0"/>
        </w:rPr>
        <w:t xml:space="preserve"> thinks fit.</w:t>
      </w:r>
    </w:p>
    <w:p>
      <w:pPr>
        <w:pStyle w:val="Subsection"/>
        <w:rPr>
          <w:snapToGrid w:val="0"/>
        </w:rPr>
      </w:pPr>
      <w:r>
        <w:rPr>
          <w:snapToGrid w:val="0"/>
        </w:rPr>
        <w:tab/>
        <w:t>(3)</w:t>
      </w:r>
      <w:r>
        <w:rPr>
          <w:snapToGrid w:val="0"/>
        </w:rPr>
        <w:tab/>
        <w:t xml:space="preserve">If no nomination is made within the period specified by the Minister, </w:t>
      </w:r>
      <w:r>
        <w:t>the Minister</w:t>
      </w:r>
      <w:r>
        <w:rPr>
          <w:snapToGrid w:val="0"/>
        </w:rPr>
        <w:t xml:space="preserve"> may appoint such person or persons as </w:t>
      </w:r>
      <w:r>
        <w:t>the Minister</w:t>
      </w:r>
      <w:r>
        <w:rPr>
          <w:snapToGrid w:val="0"/>
        </w:rPr>
        <w:t xml:space="preserve"> thinks fit to fill the office or offices or deputy, as the case may be.</w:t>
      </w:r>
    </w:p>
    <w:p>
      <w:pPr>
        <w:pStyle w:val="Footnotesection"/>
      </w:pPr>
      <w:r>
        <w:tab/>
        <w:t>[Section 340D inserted by No. 23 of 1960 s. 4; amended by No. 19 of 2016 s. 44.]</w:t>
      </w:r>
    </w:p>
    <w:p>
      <w:pPr>
        <w:pStyle w:val="Heading5"/>
        <w:rPr>
          <w:snapToGrid w:val="0"/>
        </w:rPr>
      </w:pPr>
      <w:bookmarkStart w:id="583" w:name="_Toc512323841"/>
      <w:r>
        <w:rPr>
          <w:rStyle w:val="CharSectno"/>
        </w:rPr>
        <w:t>340E</w:t>
      </w:r>
      <w:r>
        <w:rPr>
          <w:snapToGrid w:val="0"/>
        </w:rPr>
        <w:t xml:space="preserve">. </w:t>
      </w:r>
      <w:r>
        <w:rPr>
          <w:snapToGrid w:val="0"/>
        </w:rPr>
        <w:tab/>
        <w:t>Tenure of office</w:t>
      </w:r>
      <w:bookmarkEnd w:id="583"/>
    </w:p>
    <w:p>
      <w:pPr>
        <w:pStyle w:val="Subsection"/>
        <w:rPr>
          <w:snapToGrid w:val="0"/>
        </w:rPr>
      </w:pPr>
      <w:r>
        <w:rPr>
          <w:snapToGrid w:val="0"/>
        </w:rPr>
        <w:tab/>
        <w:t>(1)</w:t>
      </w:r>
      <w:r>
        <w:rPr>
          <w:snapToGrid w:val="0"/>
        </w:rPr>
        <w:tab/>
        <w:t xml:space="preserve">The term of tenure of office of a person appointed as a member of the Committee (other than the </w:t>
      </w:r>
      <w:r>
        <w:t>Chairperson</w:t>
      </w:r>
      <w:r>
        <w:rPr>
          <w:snapToGrid w:val="0"/>
        </w:rPr>
        <w:t xml:space="preserve">)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pPr>
      <w:r>
        <w:tab/>
        <w:t>(2)</w:t>
      </w:r>
      <w:r>
        <w:tab/>
        <w:t>The term of tenure of office of the member referred to in section 340B(2)(a) continues until terminated by the Minister.</w:t>
      </w:r>
    </w:p>
    <w:p>
      <w:pPr>
        <w:pStyle w:val="Footnotesection"/>
      </w:pPr>
      <w:r>
        <w:tab/>
        <w:t>[Section 340E inserted by No. 23 of 1960 s. 4; amended by No. 19 of 2016 s. 45.]</w:t>
      </w:r>
    </w:p>
    <w:p>
      <w:pPr>
        <w:pStyle w:val="Heading5"/>
      </w:pPr>
      <w:bookmarkStart w:id="584" w:name="_Toc512323842"/>
      <w:r>
        <w:rPr>
          <w:rStyle w:val="CharSectno"/>
        </w:rPr>
        <w:t>340F</w:t>
      </w:r>
      <w:r>
        <w:t>.</w:t>
      </w:r>
      <w:r>
        <w:tab/>
        <w:t>When office of member becomes vacant</w:t>
      </w:r>
      <w:bookmarkEnd w:id="584"/>
    </w:p>
    <w:p>
      <w:pPr>
        <w:pStyle w:val="Subsection"/>
      </w:pPr>
      <w:r>
        <w:tab/>
        <w:t>(1)</w:t>
      </w:r>
      <w:r>
        <w:tab/>
        <w:t xml:space="preserve">The office of a member of the Committee becomes vacant if — </w:t>
      </w:r>
    </w:p>
    <w:p>
      <w:pPr>
        <w:pStyle w:val="Indenta"/>
      </w:pPr>
      <w:r>
        <w:tab/>
        <w:t>(a)</w:t>
      </w:r>
      <w:r>
        <w:tab/>
        <w:t>he or she dies; or</w:t>
      </w:r>
    </w:p>
    <w:p>
      <w:pPr>
        <w:pStyle w:val="Indenta"/>
      </w:pPr>
      <w:r>
        <w:tab/>
        <w:t>(b)</w:t>
      </w:r>
      <w:r>
        <w:tab/>
        <w:t>he or she resigns by written notice given to the Minister; or</w:t>
      </w:r>
    </w:p>
    <w:p>
      <w:pPr>
        <w:pStyle w:val="Indenta"/>
      </w:pPr>
      <w:r>
        <w:tab/>
        <w:t>(c)</w:t>
      </w:r>
      <w:r>
        <w:tab/>
        <w:t xml:space="preserve">his or her term of office expires by effluxion of time, unless he or she — </w:t>
      </w:r>
    </w:p>
    <w:p>
      <w:pPr>
        <w:pStyle w:val="Indenti"/>
      </w:pPr>
      <w:r>
        <w:tab/>
        <w:t>(i)</w:t>
      </w:r>
      <w:r>
        <w:tab/>
        <w:t>continues to hold office under subsection (3); or</w:t>
      </w:r>
    </w:p>
    <w:p>
      <w:pPr>
        <w:pStyle w:val="Indenti"/>
      </w:pPr>
      <w:r>
        <w:tab/>
        <w:t>(ii)</w:t>
      </w:r>
      <w:r>
        <w:tab/>
        <w:t>is reappointed;</w:t>
      </w:r>
    </w:p>
    <w:p>
      <w:pPr>
        <w:pStyle w:val="Indenta"/>
      </w:pPr>
      <w:r>
        <w:tab/>
      </w:r>
      <w:r>
        <w:tab/>
        <w:t>or</w:t>
      </w:r>
    </w:p>
    <w:p>
      <w:pPr>
        <w:pStyle w:val="Indenta"/>
      </w:pPr>
      <w:r>
        <w:tab/>
        <w:t>(d)</w:t>
      </w:r>
      <w:r>
        <w:tab/>
        <w:t>the member’s appointment is terminated under subsection (2); or</w:t>
      </w:r>
    </w:p>
    <w:p>
      <w:pPr>
        <w:pStyle w:val="Indenta"/>
      </w:pPr>
      <w:r>
        <w:tab/>
        <w:t>(e)</w:t>
      </w:r>
      <w:r>
        <w:tab/>
        <w:t>in the case of the member referred to in section 340B(2)(a), the Minister terminates the term of tenure of his or her office; or</w:t>
      </w:r>
    </w:p>
    <w:p>
      <w:pPr>
        <w:pStyle w:val="Indenta"/>
      </w:pPr>
      <w:r>
        <w:tab/>
        <w:t>(f)</w:t>
      </w:r>
      <w:r>
        <w:tab/>
        <w:t xml:space="preserve">he or she is, according to the </w:t>
      </w:r>
      <w:r>
        <w:rPr>
          <w:i/>
        </w:rPr>
        <w:t>Interpretation Act 1984</w:t>
      </w:r>
      <w:r>
        <w:t xml:space="preserve"> section 13D, a bankrupt or a person whose affairs are under insolvency laws.</w:t>
      </w:r>
    </w:p>
    <w:p>
      <w:pPr>
        <w:pStyle w:val="Subsection"/>
      </w:pPr>
      <w:r>
        <w:tab/>
        <w:t>(2)</w:t>
      </w:r>
      <w:r>
        <w:tab/>
        <w:t xml:space="preserve">The Minister may, by written notice given to a member, terminate the appointment of the member — </w:t>
      </w:r>
    </w:p>
    <w:p>
      <w:pPr>
        <w:pStyle w:val="Indenta"/>
      </w:pPr>
      <w:r>
        <w:tab/>
        <w:t>(a)</w:t>
      </w:r>
      <w:r>
        <w:tab/>
        <w:t xml:space="preserve">if, in the opinion of the Minister,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pPr>
      <w:r>
        <w:tab/>
        <w:t>(iii)</w:t>
      </w:r>
      <w:r>
        <w:tab/>
        <w:t>absence from the State;</w:t>
      </w:r>
    </w:p>
    <w:p>
      <w:pPr>
        <w:pStyle w:val="Indenta"/>
      </w:pPr>
      <w:r>
        <w:tab/>
      </w:r>
      <w:r>
        <w:tab/>
        <w:t>or</w:t>
      </w:r>
    </w:p>
    <w:p>
      <w:pPr>
        <w:pStyle w:val="Indenta"/>
      </w:pPr>
      <w:r>
        <w:tab/>
        <w:t>(b)</w:t>
      </w:r>
      <w:r>
        <w:tab/>
        <w:t>if, in the opinion of the Minister, the member misbehaves, neglects his or her duties or is incompetent; or</w:t>
      </w:r>
    </w:p>
    <w:p>
      <w:pPr>
        <w:pStyle w:val="Indenta"/>
      </w:pPr>
      <w:r>
        <w:tab/>
        <w:t>(c)</w:t>
      </w:r>
      <w:r>
        <w:tab/>
        <w:t>if the member is absent, without leave and without reasonable excuse, from 3 consecutive meetings of the Committee of which the member had notice.</w:t>
      </w:r>
    </w:p>
    <w:p>
      <w:pPr>
        <w:pStyle w:val="Subsection"/>
      </w:pPr>
      <w:r>
        <w:tab/>
        <w:t>(3)</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(4)</w:t>
      </w:r>
      <w:r>
        <w:tab/>
        <w:t>However, a member cannot continue in office under subsection (3) for longer than 3 months.</w:t>
      </w:r>
    </w:p>
    <w:p>
      <w:pPr>
        <w:pStyle w:val="Footnotesection"/>
      </w:pPr>
      <w:r>
        <w:tab/>
        <w:t>[Section 340F inserted by No. 19 of 2016 s. 46.]</w:t>
      </w:r>
    </w:p>
    <w:p>
      <w:pPr>
        <w:pStyle w:val="Heading5"/>
        <w:rPr>
          <w:snapToGrid w:val="0"/>
        </w:rPr>
      </w:pPr>
      <w:bookmarkStart w:id="585" w:name="_Toc512323843"/>
      <w:r>
        <w:rPr>
          <w:rStyle w:val="CharSectno"/>
        </w:rPr>
        <w:t>340G</w:t>
      </w:r>
      <w:r>
        <w:rPr>
          <w:snapToGrid w:val="0"/>
        </w:rPr>
        <w:t xml:space="preserve">. </w:t>
      </w:r>
      <w:r>
        <w:rPr>
          <w:snapToGrid w:val="0"/>
        </w:rPr>
        <w:tab/>
        <w:t>Vacancies in offices of members to be filled</w:t>
      </w:r>
      <w:bookmarkEnd w:id="585"/>
    </w:p>
    <w:p>
      <w:pPr>
        <w:pStyle w:val="Subsection"/>
      </w:pPr>
      <w:r>
        <w:tab/>
        <w:t>(1)</w:t>
      </w:r>
      <w:r>
        <w:tab/>
        <w:t>When a vacancy occurs in the office of a member of the Committee, the Minister is to appoint a person to fill the vacancy.</w:t>
      </w:r>
    </w:p>
    <w:p>
      <w:pPr>
        <w:pStyle w:val="Subsection"/>
      </w:pPr>
      <w:r>
        <w:tab/>
        <w:t>(2)</w:t>
      </w:r>
      <w:r>
        <w:tab/>
        <w:t>If, under section 340B(2), a specified body has the right to nominate that member, the Minister is not to appoint a person unless he or she is nominated by the appropriate body mentioned in that section, or unless section 340D(3) applies to the office.</w:t>
      </w:r>
    </w:p>
    <w:p>
      <w:pPr>
        <w:pStyle w:val="Subsection"/>
        <w:rPr>
          <w:snapToGrid w:val="0"/>
        </w:rPr>
      </w:pPr>
      <w:r>
        <w:rPr>
          <w:snapToGrid w:val="0"/>
        </w:rPr>
        <w:tab/>
        <w:t>(3)</w:t>
      </w:r>
      <w:r>
        <w:rPr>
          <w:snapToGrid w:val="0"/>
        </w:rPr>
        <w:tab/>
        <w:t>A person is not rendered ineligible for appointment to office of member or deputy because he</w:t>
      </w:r>
      <w:r>
        <w:t xml:space="preserve"> or she</w:t>
      </w:r>
      <w:r>
        <w:rPr>
          <w:snapToGrid w:val="0"/>
        </w:rPr>
        <w:t xml:space="preserve"> has previously occupied office as such.</w:t>
      </w:r>
    </w:p>
    <w:p>
      <w:pPr>
        <w:pStyle w:val="Footnotesection"/>
      </w:pPr>
      <w:r>
        <w:tab/>
        <w:t>[Section 340G inserted by No. 23 of 1960 s. 4; amended by No. 19 of 2016 s. 47.]</w:t>
      </w:r>
    </w:p>
    <w:p>
      <w:pPr>
        <w:pStyle w:val="Heading5"/>
      </w:pPr>
      <w:bookmarkStart w:id="586" w:name="_Toc512323844"/>
      <w:r>
        <w:rPr>
          <w:rStyle w:val="CharSectno"/>
        </w:rPr>
        <w:t>340H</w:t>
      </w:r>
      <w:r>
        <w:t>.</w:t>
      </w:r>
      <w:r>
        <w:tab/>
        <w:t>Meetings and procedure of Committee</w:t>
      </w:r>
      <w:bookmarkEnd w:id="586"/>
    </w:p>
    <w:p>
      <w:pPr>
        <w:pStyle w:val="Subsection"/>
      </w:pPr>
      <w:r>
        <w:tab/>
        <w:t>(1)</w:t>
      </w:r>
      <w:r>
        <w:tab/>
        <w:t>The Committee is to hold the meetings that are necessary for the performance of its functions.</w:t>
      </w:r>
    </w:p>
    <w:p>
      <w:pPr>
        <w:pStyle w:val="Subsection"/>
      </w:pPr>
      <w:r>
        <w:tab/>
        <w:t>(2)</w:t>
      </w:r>
      <w:r>
        <w:tab/>
        <w:t>At any meeting of the Committee, 5 members of the Committee or their respective deputies, including the Chairperson or his or her deputy, constitute a quorum.</w:t>
      </w:r>
    </w:p>
    <w:p>
      <w:pPr>
        <w:pStyle w:val="Subsection"/>
      </w:pPr>
      <w:r>
        <w:tab/>
        <w:t>(3)</w:t>
      </w:r>
      <w:r>
        <w:tab/>
        <w:t xml:space="preserve">A meeting of the Committee may be held — </w:t>
      </w:r>
    </w:p>
    <w:p>
      <w:pPr>
        <w:pStyle w:val="Indenta"/>
      </w:pPr>
      <w:r>
        <w:tab/>
        <w:t>(a)</w:t>
      </w:r>
      <w:r>
        <w:tab/>
        <w:t>by a quorum of the members assembled together at the time and place appointed for the meeting; or</w:t>
      </w:r>
    </w:p>
    <w:p>
      <w:pPr>
        <w:pStyle w:val="Indenta"/>
        <w:keepNext/>
      </w:pPr>
      <w:r>
        <w:tab/>
        <w:t>(b)</w:t>
      </w:r>
      <w:r>
        <w:tab/>
        <w:t>by telephone or audio</w:t>
      </w:r>
      <w:r>
        <w:noBreakHyphen/>
        <w:t xml:space="preserve">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spacing w:before="120"/>
      </w:pPr>
      <w:r>
        <w:tab/>
        <w:t>(4)</w:t>
      </w:r>
      <w:r>
        <w:tab/>
        <w:t>Subject to this section, the Committee may regulate its own procedure in whatever manner it thinks fit.</w:t>
      </w:r>
    </w:p>
    <w:p>
      <w:pPr>
        <w:pStyle w:val="Subsection"/>
        <w:spacing w:before="120"/>
      </w:pPr>
      <w:r>
        <w:tab/>
        <w:t>(5)</w:t>
      </w:r>
      <w:r>
        <w:tab/>
        <w:t xml:space="preserve">Nothing done by the Committee is invalid or defective on the ground only that, when done, there was — </w:t>
      </w:r>
    </w:p>
    <w:p>
      <w:pPr>
        <w:pStyle w:val="Indenta"/>
      </w:pPr>
      <w:r>
        <w:tab/>
        <w:t>(a)</w:t>
      </w:r>
      <w:r>
        <w:tab/>
        <w:t>a vacancy in the office of any member; or</w:t>
      </w:r>
    </w:p>
    <w:p>
      <w:pPr>
        <w:pStyle w:val="Indenta"/>
      </w:pPr>
      <w:r>
        <w:tab/>
        <w:t>(b)</w:t>
      </w:r>
      <w:r>
        <w:tab/>
        <w:t>a defect in the appointment of any member or any deputy of a member.</w:t>
      </w:r>
    </w:p>
    <w:p>
      <w:pPr>
        <w:pStyle w:val="Footnotesection"/>
      </w:pPr>
      <w:r>
        <w:tab/>
        <w:t>[Section 340H inserted by No. 19 of 2016 s. 48.]</w:t>
      </w:r>
    </w:p>
    <w:p>
      <w:pPr>
        <w:pStyle w:val="Heading5"/>
        <w:rPr>
          <w:snapToGrid w:val="0"/>
        </w:rPr>
      </w:pPr>
      <w:bookmarkStart w:id="587" w:name="_Toc512323845"/>
      <w:r>
        <w:rPr>
          <w:rStyle w:val="CharSectno"/>
        </w:rPr>
        <w:t>340I</w:t>
      </w:r>
      <w:r>
        <w:rPr>
          <w:snapToGrid w:val="0"/>
        </w:rPr>
        <w:t xml:space="preserve">. </w:t>
      </w:r>
      <w:r>
        <w:rPr>
          <w:snapToGrid w:val="0"/>
        </w:rPr>
        <w:tab/>
        <w:t>Reimbursement of expenses of members of Committee</w:t>
      </w:r>
      <w:bookmarkEnd w:id="587"/>
    </w:p>
    <w:p>
      <w:pPr>
        <w:pStyle w:val="Subsection"/>
        <w:rPr>
          <w:snapToGrid w:val="0"/>
        </w:rPr>
      </w:pPr>
      <w:r>
        <w:rPr>
          <w:snapToGrid w:val="0"/>
        </w:rPr>
        <w:tab/>
      </w:r>
      <w:r>
        <w:rPr>
          <w:snapToGrid w:val="0"/>
        </w:rPr>
        <w:tab/>
        <w:t xml:space="preserve">The </w:t>
      </w:r>
      <w:r>
        <w:t xml:space="preserve">Chairperson </w:t>
      </w:r>
      <w:r>
        <w:rPr>
          <w:snapToGrid w:val="0"/>
        </w:rPr>
        <w:t>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 amended by No. 19 of 2016 s. 49.]</w:t>
      </w:r>
    </w:p>
    <w:p>
      <w:pPr>
        <w:pStyle w:val="Heading5"/>
        <w:rPr>
          <w:snapToGrid w:val="0"/>
        </w:rPr>
      </w:pPr>
      <w:bookmarkStart w:id="588" w:name="_Toc512323846"/>
      <w:r>
        <w:rPr>
          <w:rStyle w:val="CharSectno"/>
        </w:rPr>
        <w:t>340J</w:t>
      </w:r>
      <w:r>
        <w:rPr>
          <w:snapToGrid w:val="0"/>
        </w:rPr>
        <w:t xml:space="preserve">. </w:t>
      </w:r>
      <w:r>
        <w:rPr>
          <w:snapToGrid w:val="0"/>
        </w:rPr>
        <w:tab/>
        <w:t>Appointment of investigator</w:t>
      </w:r>
      <w:bookmarkEnd w:id="588"/>
    </w:p>
    <w:p>
      <w:pPr>
        <w:pStyle w:val="Subsection"/>
        <w:spacing w:before="120"/>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spacing w:before="120"/>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spacing w:before="120"/>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pPr>
      <w:bookmarkStart w:id="589" w:name="_Toc512323847"/>
      <w:r>
        <w:rPr>
          <w:rStyle w:val="CharSectno"/>
        </w:rPr>
        <w:t>340K</w:t>
      </w:r>
      <w:r>
        <w:t>.</w:t>
      </w:r>
      <w:r>
        <w:tab/>
        <w:t>Functions of Committee</w:t>
      </w:r>
      <w:bookmarkEnd w:id="589"/>
    </w:p>
    <w:p>
      <w:pPr>
        <w:pStyle w:val="Subsection"/>
      </w:pPr>
      <w:r>
        <w:tab/>
        <w:t>(1)</w:t>
      </w:r>
      <w:r>
        <w:tab/>
        <w:t xml:space="preserve">Whenever an investigator presents to the Chairperson of the Committee a report under section 336, the Chairperson — </w:t>
      </w:r>
    </w:p>
    <w:p>
      <w:pPr>
        <w:pStyle w:val="Indenta"/>
      </w:pPr>
      <w:r>
        <w:tab/>
        <w:t>(a)</w:t>
      </w:r>
      <w:r>
        <w:tab/>
        <w:t>must consider the report; and</w:t>
      </w:r>
    </w:p>
    <w:p>
      <w:pPr>
        <w:pStyle w:val="Indenta"/>
      </w:pPr>
      <w:r>
        <w:tab/>
        <w:t>(b)</w:t>
      </w:r>
      <w:r>
        <w:tab/>
        <w:t>having regard to the circumstances disclosed by the report and the nature of the medical case history of the deceased woman, may notify the Chief Health Officer of the receipt of the report.</w:t>
      </w:r>
    </w:p>
    <w:p>
      <w:pPr>
        <w:pStyle w:val="Subsection"/>
      </w:pPr>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p>
    <w:p>
      <w:pPr>
        <w:pStyle w:val="Subsection"/>
      </w:pPr>
      <w:r>
        <w:tab/>
        <w:t>(3)</w:t>
      </w:r>
      <w:r>
        <w:tab/>
        <w:t>The Committee must consider the report of the investigator, and for the purpose of assisting it in its consideration may co</w:t>
      </w:r>
      <w:r>
        <w:noBreakHyphen/>
        <w:t>opt any medical practitioners, nurses, midwives or other persons with specialised knowledge the Committee thinks necessary.</w:t>
      </w:r>
    </w:p>
    <w:p>
      <w:pPr>
        <w:pStyle w:val="Subsection"/>
      </w:pPr>
      <w:r>
        <w:tab/>
        <w:t>(4)</w:t>
      </w:r>
      <w:r>
        <w:tab/>
        <w:t>On its consideration of the report, the Committee must determine whether in the opinion of the Committee the death the subject of the report might have been avoided, and may add to its determination any constructive comments the Committee considers advisable for the future assistance and guidance of medical practitioners, nurses and midwives.</w:t>
      </w:r>
    </w:p>
    <w:p>
      <w:pPr>
        <w:pStyle w:val="Subsection"/>
        <w:keepNext/>
      </w:pPr>
      <w:r>
        <w:tab/>
        <w:t>(5)</w:t>
      </w:r>
      <w:r>
        <w:tab/>
        <w:t xml:space="preserve">The determination of the Committee, including the comments referred to in subsection (4) — </w:t>
      </w:r>
    </w:p>
    <w:p>
      <w:pPr>
        <w:pStyle w:val="Indenta"/>
        <w:keepNext/>
      </w:pPr>
      <w:r>
        <w:tab/>
        <w:t>(a)</w:t>
      </w:r>
      <w:r>
        <w:tab/>
        <w:t xml:space="preserve">must be notified in writing by the Chairperson to — </w:t>
      </w:r>
    </w:p>
    <w:p>
      <w:pPr>
        <w:pStyle w:val="Indenti"/>
      </w:pPr>
      <w:r>
        <w:tab/>
        <w:t>(i)</w:t>
      </w:r>
      <w:r>
        <w:tab/>
        <w:t>the medical practitioner (if any) who was attending the woman at the time of the occurrence of her death; and</w:t>
      </w:r>
    </w:p>
    <w:p>
      <w:pPr>
        <w:pStyle w:val="Indenti"/>
      </w:pPr>
      <w:r>
        <w:tab/>
        <w:t>(ii)</w:t>
      </w:r>
      <w:r>
        <w:tab/>
        <w:t>the nurse or midwife (if any) who was attending the woman at that time;</w:t>
      </w:r>
    </w:p>
    <w:p>
      <w:pPr>
        <w:pStyle w:val="Indenta"/>
      </w:pPr>
      <w:r>
        <w:tab/>
      </w:r>
      <w:r>
        <w:tab/>
        <w:t>and</w:t>
      </w:r>
    </w:p>
    <w:p>
      <w:pPr>
        <w:pStyle w:val="Indenta"/>
      </w:pPr>
      <w:r>
        <w:tab/>
        <w:t>(b)</w:t>
      </w:r>
      <w:r>
        <w:tab/>
        <w:t>may be notified in writing by the Chairperson to any other medical practitioner, nurse or midwife who attended the woman before the occurrence of her death if the Committee considers that that medical practitioner, nurse or midwife should be informed of that determination and those comments.</w:t>
      </w:r>
    </w:p>
    <w:p>
      <w:pPr>
        <w:pStyle w:val="Footnotesection"/>
      </w:pPr>
      <w:r>
        <w:tab/>
        <w:t>[Section 340K inserted by No. 19 of 2016 s. 50.]</w:t>
      </w:r>
    </w:p>
    <w:p>
      <w:pPr>
        <w:pStyle w:val="Heading5"/>
      </w:pPr>
      <w:bookmarkStart w:id="590" w:name="_Toc512323848"/>
      <w:r>
        <w:rPr>
          <w:rStyle w:val="CharSectno"/>
        </w:rPr>
        <w:t>340LA</w:t>
      </w:r>
      <w:r>
        <w:t>.</w:t>
      </w:r>
      <w:r>
        <w:tab/>
        <w:t>Further provisions relating to proceedings of Committee</w:t>
      </w:r>
      <w:bookmarkEnd w:id="590"/>
    </w:p>
    <w:p>
      <w:pPr>
        <w:pStyle w:val="Subsection"/>
      </w:pPr>
      <w:r>
        <w:tab/>
        <w:t>(1)</w:t>
      </w:r>
      <w:r>
        <w:tab/>
        <w:t>As soon as practicable after the Committee has made a determination under section 340K, the Chairperson must forward to the Chief Health Officer all records, reports, statements, memoranda and other documents submitted to and considered by the Committee in making that determination.</w:t>
      </w:r>
    </w:p>
    <w:p>
      <w:pPr>
        <w:pStyle w:val="Subsection"/>
      </w:pPr>
      <w:r>
        <w:tab/>
        <w:t>(2)</w:t>
      </w:r>
      <w:r>
        <w:tab/>
        <w:t>The Chief Health Officer is to have the care and control of those records, reports, statements, memoranda and other documents, and is to keep them, or cause them to be kept, in safe custody.</w:t>
      </w:r>
    </w:p>
    <w:p>
      <w:pPr>
        <w:pStyle w:val="Subsection"/>
      </w:pPr>
      <w:r>
        <w:tab/>
        <w:t>(3)</w:t>
      </w:r>
      <w:r>
        <w:tab/>
        <w:t>Except as provided by this Part and with the Chief Health Officer’s permission in writing, the Chief Health Officer must not permit any of those records, reports, statements, memoranda or other documents to be inspected.</w:t>
      </w:r>
    </w:p>
    <w:p>
      <w:pPr>
        <w:pStyle w:val="Subsection"/>
        <w:keepNext/>
      </w:pPr>
      <w:r>
        <w:tab/>
        <w:t>(4)</w:t>
      </w:r>
      <w:r>
        <w:tab/>
        <w:t>The Chairperson must forward to the Chief Health Officer a summary of the cases investigated by the investigator and considered by the Committee during each year.</w:t>
      </w:r>
    </w:p>
    <w:p>
      <w:pPr>
        <w:pStyle w:val="Footnotesection"/>
      </w:pPr>
      <w:r>
        <w:tab/>
        <w:t>[Section 340LA inserted by No. 19 of 2016 s. 50.]</w:t>
      </w:r>
    </w:p>
    <w:p>
      <w:pPr>
        <w:pStyle w:val="Heading5"/>
      </w:pPr>
      <w:bookmarkStart w:id="591" w:name="_Toc512323849"/>
      <w:r>
        <w:rPr>
          <w:rStyle w:val="CharSectno"/>
        </w:rPr>
        <w:t>340LB</w:t>
      </w:r>
      <w:r>
        <w:t>.</w:t>
      </w:r>
      <w:r>
        <w:tab/>
        <w:t>Contents of notification confidential</w:t>
      </w:r>
      <w:bookmarkEnd w:id="591"/>
    </w:p>
    <w:p>
      <w:pPr>
        <w:pStyle w:val="Subsection"/>
      </w:pPr>
      <w:r>
        <w:tab/>
        <w:t>(1)</w:t>
      </w:r>
      <w:r>
        <w:tab/>
        <w:t>The contents of a notification made under section 340K(5) are not admissible in any court or before any tribunal, board or person in any action, cause or inquiry of any kind whatever.</w:t>
      </w:r>
    </w:p>
    <w:p>
      <w:pPr>
        <w:pStyle w:val="Subsection"/>
      </w:pPr>
      <w:r>
        <w:tab/>
        <w:t>(2)</w:t>
      </w:r>
      <w:r>
        <w:tab/>
        <w:t>A person who exhibits, communicates or divulges in whole or in part the contents of a notification made under section 340K(5) to any person except for the purposes of, and in accordance with, this Part commits an offence.</w:t>
      </w:r>
    </w:p>
    <w:p>
      <w:pPr>
        <w:pStyle w:val="Footnotesection"/>
      </w:pPr>
      <w:r>
        <w:tab/>
        <w:t>[Section 340LB inserted by No. 19 of 2016 s. 50.]</w:t>
      </w:r>
    </w:p>
    <w:p>
      <w:pPr>
        <w:pStyle w:val="Heading5"/>
        <w:rPr>
          <w:snapToGrid w:val="0"/>
        </w:rPr>
      </w:pPr>
      <w:bookmarkStart w:id="592" w:name="_Toc512323850"/>
      <w:r>
        <w:rPr>
          <w:rStyle w:val="CharSectno"/>
        </w:rPr>
        <w:t>340L</w:t>
      </w:r>
      <w:r>
        <w:rPr>
          <w:snapToGrid w:val="0"/>
        </w:rPr>
        <w:t xml:space="preserve">. </w:t>
      </w:r>
      <w:r>
        <w:rPr>
          <w:snapToGrid w:val="0"/>
        </w:rPr>
        <w:tab/>
        <w:t>When report of investigator may be published</w:t>
      </w:r>
      <w:bookmarkEnd w:id="592"/>
    </w:p>
    <w:p>
      <w:pPr>
        <w:pStyle w:val="Subsection"/>
        <w:rPr>
          <w:snapToGrid w:val="0"/>
        </w:rPr>
      </w:pPr>
      <w:r>
        <w:rPr>
          <w:snapToGrid w:val="0"/>
        </w:rPr>
        <w:tab/>
        <w:t>(1)</w:t>
      </w:r>
      <w:r>
        <w:rPr>
          <w:snapToGrid w:val="0"/>
        </w:rPr>
        <w:tab/>
        <w:t xml:space="preserve">The Committee may publish, or cause to be published, in any medical journal, or may make available to </w:t>
      </w:r>
      <w:r>
        <w:t>any educational institution for use in the teaching of</w:t>
      </w:r>
      <w:r>
        <w:rPr>
          <w:snapToGrid w:val="0"/>
        </w:rPr>
        <w:t xml:space="preserve">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 xml:space="preserve">The Committee may impart, or cause to be imparted to medical practitioners, </w:t>
      </w:r>
      <w:r>
        <w:t>nurses, midwives and students of any educational institution</w:t>
      </w:r>
      <w:r>
        <w:rPr>
          <w:snapToGrid w:val="0"/>
        </w:rPr>
        <w:t xml:space="preserve">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 amended by No. 8 of 2009 s. 71(4); No. 19 of 2016 s. 51.]</w:t>
      </w:r>
    </w:p>
    <w:p>
      <w:pPr>
        <w:pStyle w:val="Heading5"/>
        <w:rPr>
          <w:snapToGrid w:val="0"/>
        </w:rPr>
      </w:pPr>
      <w:bookmarkStart w:id="593" w:name="_Toc512323851"/>
      <w:r>
        <w:rPr>
          <w:rStyle w:val="CharSectno"/>
        </w:rPr>
        <w:t>340M</w:t>
      </w:r>
      <w:r>
        <w:rPr>
          <w:snapToGrid w:val="0"/>
        </w:rPr>
        <w:t xml:space="preserve">. </w:t>
      </w:r>
      <w:r>
        <w:rPr>
          <w:snapToGrid w:val="0"/>
        </w:rPr>
        <w:tab/>
        <w:t>Information given for research not to be disclosed</w:t>
      </w:r>
      <w:bookmarkEnd w:id="593"/>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w:t>
      </w:r>
      <w:r>
        <w:t xml:space="preserve"> or her</w:t>
      </w:r>
      <w:r>
        <w:rPr>
          <w:snapToGrid w:val="0"/>
        </w:rPr>
        <w:t xml:space="preserve">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w:t>
      </w:r>
      <w:r>
        <w:t xml:space="preserve"> or her</w:t>
      </w:r>
      <w:r>
        <w:rPr>
          <w:snapToGrid w:val="0"/>
        </w:rPr>
        <w:t xml:space="preserve"> duties, who interviews or in any way communicates with any person referred to in any report of the investigator or any relative of that person, commits an offence, unless the consent in writing of the medical </w:t>
      </w:r>
      <w:r>
        <w:t>practitioner, nurse or midwife</w:t>
      </w:r>
      <w:r>
        <w:rPr>
          <w:snapToGrid w:val="0"/>
        </w:rPr>
        <w:t xml:space="preserve"> attending that person is first obtained.</w:t>
      </w:r>
    </w:p>
    <w:p>
      <w:pPr>
        <w:pStyle w:val="Footnotesection"/>
      </w:pPr>
      <w:r>
        <w:tab/>
        <w:t>[Section 340M inserted by No. 23 of 1960 s. 4; amended by No. 80 of 1987 s. 157; No. 19 of 2016 s. 52.]</w:t>
      </w:r>
    </w:p>
    <w:p>
      <w:pPr>
        <w:pStyle w:val="Ednotesection"/>
        <w:spacing w:before="180"/>
        <w:ind w:left="890" w:hanging="890"/>
        <w:outlineLvl w:val="9"/>
      </w:pPr>
      <w:r>
        <w:t>[</w:t>
      </w:r>
      <w:r>
        <w:rPr>
          <w:b/>
        </w:rPr>
        <w:t>340N.</w:t>
      </w:r>
      <w:r>
        <w:tab/>
        <w:t>Deleted by No. 19 of 2016 s. 53.]</w:t>
      </w:r>
    </w:p>
    <w:p>
      <w:pPr>
        <w:pStyle w:val="Heading2"/>
      </w:pPr>
      <w:bookmarkStart w:id="594" w:name="_Toc498001236"/>
      <w:bookmarkStart w:id="595" w:name="_Toc498001566"/>
      <w:bookmarkStart w:id="596" w:name="_Toc498003218"/>
      <w:bookmarkStart w:id="597" w:name="_Toc498004229"/>
      <w:bookmarkStart w:id="598" w:name="_Toc499029632"/>
      <w:bookmarkStart w:id="599" w:name="_Toc501098700"/>
      <w:bookmarkStart w:id="600" w:name="_Toc501101623"/>
      <w:bookmarkStart w:id="601" w:name="_Toc501116145"/>
      <w:bookmarkStart w:id="602" w:name="_Toc501117406"/>
      <w:bookmarkStart w:id="603" w:name="_Toc501698813"/>
      <w:bookmarkStart w:id="604" w:name="_Toc512323852"/>
      <w:r>
        <w:rPr>
          <w:rStyle w:val="CharPartNo"/>
        </w:rPr>
        <w:t>Part XIIIB</w:t>
      </w:r>
      <w:r>
        <w:rPr>
          <w:rStyle w:val="CharDivNo"/>
        </w:rPr>
        <w:t> </w:t>
      </w:r>
      <w:r>
        <w:t>—</w:t>
      </w:r>
      <w:r>
        <w:rPr>
          <w:rStyle w:val="CharDivText"/>
        </w:rPr>
        <w:t> </w:t>
      </w:r>
      <w:r>
        <w:rPr>
          <w:rStyle w:val="CharPartText"/>
        </w:rPr>
        <w:t>Perinatal and Infant Mortality Committee</w:t>
      </w:r>
      <w:bookmarkEnd w:id="594"/>
      <w:bookmarkEnd w:id="595"/>
      <w:bookmarkEnd w:id="596"/>
      <w:bookmarkEnd w:id="597"/>
      <w:bookmarkEnd w:id="598"/>
      <w:bookmarkEnd w:id="599"/>
      <w:bookmarkEnd w:id="600"/>
      <w:bookmarkEnd w:id="601"/>
      <w:bookmarkEnd w:id="602"/>
      <w:bookmarkEnd w:id="603"/>
      <w:bookmarkEnd w:id="604"/>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605" w:name="_Toc512323853"/>
      <w:r>
        <w:rPr>
          <w:rStyle w:val="CharSectno"/>
        </w:rPr>
        <w:t>340AA</w:t>
      </w:r>
      <w:r>
        <w:rPr>
          <w:snapToGrid w:val="0"/>
        </w:rPr>
        <w:t>.</w:t>
      </w:r>
      <w:r>
        <w:rPr>
          <w:snapToGrid w:val="0"/>
        </w:rPr>
        <w:tab/>
        <w:t>Terms used</w:t>
      </w:r>
      <w:bookmarkEnd w:id="605"/>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Perinatal and Infant Mortality Committee constituted under this Part;</w:t>
      </w:r>
    </w:p>
    <w:p>
      <w:pPr>
        <w:pStyle w:val="Defstart"/>
      </w:pPr>
      <w:r>
        <w:rPr>
          <w:b/>
        </w:rPr>
        <w:tab/>
      </w:r>
      <w:r>
        <w:rPr>
          <w:rStyle w:val="CharDefText"/>
        </w:rPr>
        <w:t>investigator</w:t>
      </w:r>
      <w:r>
        <w:t xml:space="preserve"> means the medical practitioner from time to time appointed under this Part;</w:t>
      </w:r>
    </w:p>
    <w:p>
      <w:pPr>
        <w:pStyle w:val="Defstart"/>
      </w:pPr>
      <w:r>
        <w:rPr>
          <w:b/>
        </w:rPr>
        <w:tab/>
      </w:r>
      <w:r>
        <w:rPr>
          <w:rStyle w:val="CharDefText"/>
        </w:rPr>
        <w:t>member</w:t>
      </w:r>
      <w:r>
        <w:t xml:space="preserve"> means a person appointed to be a member of the Committee, and includes the Chairperson of the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Footnotesection"/>
      </w:pPr>
      <w:r>
        <w:tab/>
        <w:t>[Section 340AA inserted by No. 47 of 1978 s. 34; amended by No. 19 of 2016 s. 54.]</w:t>
      </w:r>
    </w:p>
    <w:p>
      <w:pPr>
        <w:pStyle w:val="Heading5"/>
        <w:rPr>
          <w:snapToGrid w:val="0"/>
        </w:rPr>
      </w:pPr>
      <w:bookmarkStart w:id="606" w:name="_Toc512323854"/>
      <w:r>
        <w:rPr>
          <w:rStyle w:val="CharSectno"/>
        </w:rPr>
        <w:t>340AB</w:t>
      </w:r>
      <w:r>
        <w:rPr>
          <w:snapToGrid w:val="0"/>
        </w:rPr>
        <w:t>.</w:t>
      </w:r>
      <w:r>
        <w:rPr>
          <w:snapToGrid w:val="0"/>
        </w:rPr>
        <w:tab/>
        <w:t>Constitution and offices of Committee</w:t>
      </w:r>
      <w:bookmarkEnd w:id="606"/>
    </w:p>
    <w:p>
      <w:pPr>
        <w:pStyle w:val="Subsection"/>
        <w:spacing w:before="200"/>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spacing w:before="200"/>
      </w:pPr>
      <w:r>
        <w:tab/>
        <w:t>(2)</w:t>
      </w:r>
      <w:r>
        <w:tab/>
        <w:t>The Committee is to consist of 13 members appointed by the Minister.</w:t>
      </w:r>
    </w:p>
    <w:p>
      <w:pPr>
        <w:pStyle w:val="Subsection"/>
        <w:spacing w:before="200"/>
      </w:pPr>
      <w:r>
        <w:tab/>
        <w:t>(3)</w:t>
      </w:r>
      <w:r>
        <w:tab/>
        <w:t xml:space="preserve">Of the persons appointed as members of the Committee — </w:t>
      </w:r>
    </w:p>
    <w:p>
      <w:pPr>
        <w:pStyle w:val="Indenta"/>
      </w:pPr>
      <w:r>
        <w:tab/>
        <w:t>(a)</w:t>
      </w:r>
      <w:r>
        <w:tab/>
        <w:t xml:space="preserve">one is to be the Professor of Obstetrics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r>
        <w:t>; and</w:t>
      </w:r>
    </w:p>
    <w:p>
      <w:pPr>
        <w:pStyle w:val="Indenta"/>
      </w:pPr>
      <w:r>
        <w:tab/>
        <w:t>(b)</w:t>
      </w:r>
      <w:r>
        <w:tab/>
        <w:t>one is to be a medical practitioner specialising in obstetrics, nominated by the Chief Health Officer; and</w:t>
      </w:r>
    </w:p>
    <w:p>
      <w:pPr>
        <w:pStyle w:val="Indenta"/>
        <w:keepNext/>
      </w:pPr>
      <w:r>
        <w:tab/>
        <w:t>(c)</w:t>
      </w:r>
      <w:r>
        <w:tab/>
        <w:t xml:space="preserve">2 are to be medical practitioners nominated by the chief executive of the health service provider for King Edward Memorial Hospital under the </w:t>
      </w:r>
      <w:r>
        <w:rPr>
          <w:i/>
        </w:rPr>
        <w:t>Health Services Act 2016</w:t>
      </w:r>
      <w:r>
        <w:t xml:space="preserve">, of whom — </w:t>
      </w:r>
    </w:p>
    <w:p>
      <w:pPr>
        <w:pStyle w:val="Indenti"/>
      </w:pPr>
      <w:r>
        <w:tab/>
        <w:t>(i)</w:t>
      </w:r>
      <w:r>
        <w:tab/>
        <w:t>one is to be a medical practitioner specialising in neonatal paediatrics at that hospital; and</w:t>
      </w:r>
    </w:p>
    <w:p>
      <w:pPr>
        <w:pStyle w:val="Indenti"/>
      </w:pPr>
      <w:r>
        <w:tab/>
        <w:t>(ii)</w:t>
      </w:r>
      <w:r>
        <w:tab/>
        <w:t>one is to be a medical practitioner specialising in obstetrics at that hospital;</w:t>
      </w:r>
    </w:p>
    <w:p>
      <w:pPr>
        <w:pStyle w:val="Indenta"/>
      </w:pPr>
      <w:r>
        <w:tab/>
      </w:r>
      <w:r>
        <w:tab/>
        <w:t>and</w:t>
      </w:r>
    </w:p>
    <w:p>
      <w:pPr>
        <w:pStyle w:val="Indenta"/>
      </w:pPr>
      <w:r>
        <w:tab/>
        <w:t>(d)</w:t>
      </w:r>
      <w:r>
        <w:tab/>
        <w:t xml:space="preserve">one is to be a medical practitioner specialising in neonatal paediatrics at Princess Margaret Hospital for Children, nominated by the chief executive of the health service provider for that hospital under the </w:t>
      </w:r>
      <w:r>
        <w:rPr>
          <w:i/>
        </w:rPr>
        <w:t>Health Services Act 2016</w:t>
      </w:r>
      <w:r>
        <w:t>; and</w:t>
      </w:r>
    </w:p>
    <w:p>
      <w:pPr>
        <w:pStyle w:val="Indenta"/>
      </w:pPr>
      <w:r>
        <w:tab/>
        <w:t>(e)</w:t>
      </w:r>
      <w:r>
        <w:tab/>
        <w:t>one is to be a medical practitioner specialising in obstetrics and perinatal care, nominated by the Royal Australian and New Zealand College of Obstetricians and Gynaecologists (W.A. Branch); and</w:t>
      </w:r>
    </w:p>
    <w:p>
      <w:pPr>
        <w:pStyle w:val="Indenta"/>
      </w:pPr>
      <w:r>
        <w:tab/>
        <w:t>(f)</w:t>
      </w:r>
      <w:r>
        <w:tab/>
        <w:t xml:space="preserve">3 are to be general medical practitioners (one of whom practises outside the metropolitan area), of whom — </w:t>
      </w:r>
    </w:p>
    <w:p>
      <w:pPr>
        <w:pStyle w:val="Indenti"/>
      </w:pPr>
      <w:r>
        <w:tab/>
        <w:t>(i)</w:t>
      </w:r>
      <w:r>
        <w:tab/>
        <w:t>one is to be nominated by the Australian Medical Association (WA) Incorporated; and</w:t>
      </w:r>
    </w:p>
    <w:p>
      <w:pPr>
        <w:pStyle w:val="Indenti"/>
      </w:pPr>
      <w:r>
        <w:tab/>
        <w:t>(ii)</w:t>
      </w:r>
      <w:r>
        <w:tab/>
        <w:t xml:space="preserve">one is to be nominated by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General Practitioners; and</w:t>
      </w:r>
    </w:p>
    <w:p>
      <w:pPr>
        <w:pStyle w:val="Indenti"/>
      </w:pPr>
      <w:r>
        <w:tab/>
        <w:t>(iii)</w:t>
      </w:r>
      <w:r>
        <w:tab/>
        <w:t>one is to be nominated by the Chief Health Officer;</w:t>
      </w:r>
    </w:p>
    <w:p>
      <w:pPr>
        <w:pStyle w:val="Indenta"/>
      </w:pPr>
      <w:r>
        <w:tab/>
      </w:r>
      <w:r>
        <w:tab/>
        <w:t>and</w:t>
      </w:r>
    </w:p>
    <w:p>
      <w:pPr>
        <w:pStyle w:val="Indenta"/>
      </w:pPr>
      <w:r>
        <w:tab/>
        <w:t>(g)</w:t>
      </w:r>
      <w:r>
        <w:tab/>
        <w:t>one is to be a medical practitioner specialising in clinical epidemiology, nominated by the Chief Health Officer; and</w:t>
      </w:r>
    </w:p>
    <w:p>
      <w:pPr>
        <w:pStyle w:val="Indenta"/>
      </w:pPr>
      <w:r>
        <w:tab/>
        <w:t>(h)</w:t>
      </w:r>
      <w:r>
        <w:tab/>
        <w:t>one is to be a medical practitioner specialising in perinatal pathology, nominated by the Chief Health Officer; and</w:t>
      </w:r>
    </w:p>
    <w:p>
      <w:pPr>
        <w:pStyle w:val="Indenta"/>
      </w:pPr>
      <w:r>
        <w:tab/>
        <w:t>(i)</w:t>
      </w:r>
      <w:r>
        <w:tab/>
        <w:t>one is to be a midwife in clinical practice, nominated by the Chief Health Officer; and</w:t>
      </w:r>
    </w:p>
    <w:p>
      <w:pPr>
        <w:pStyle w:val="Indenta"/>
      </w:pPr>
      <w:r>
        <w:tab/>
        <w:t>(j)</w:t>
      </w:r>
      <w:r>
        <w:tab/>
        <w:t>one is to be a nurse specialising in neonatal paediatrics, nominated by the Chief Health Officer.</w:t>
      </w:r>
    </w:p>
    <w:p>
      <w:pPr>
        <w:pStyle w:val="Subsection"/>
      </w:pPr>
      <w:r>
        <w:tab/>
        <w:t>(4)</w:t>
      </w:r>
      <w:r>
        <w:tab/>
        <w:t>The Chairperson of the Committee is to be appointed by the Minister from among the members of the Committee.</w:t>
      </w:r>
    </w:p>
    <w:p>
      <w:pPr>
        <w:pStyle w:val="Footnotesection"/>
        <w:keepLines w:val="0"/>
        <w:widowControl w:val="0"/>
        <w:spacing w:before="80"/>
        <w:ind w:left="890" w:hanging="890"/>
      </w:pPr>
      <w:r>
        <w:tab/>
        <w:t>[Section 340AB inserted by No. 47 of 1978 s. 34; amended by No. 30 of 1982 s. 15; No. 28 of 1984 s. 31; No. 27 of 1992 s. 84; No. 10 of 1998 s. 39(6); No. 24 of 2000 s. 16(3); No. 28 of 2006 s. 251; No. 8 of 2009 s. 71(4); No. 11 of 2016 s. 291(3); No. 19 of 2016 s. 55.]</w:t>
      </w:r>
    </w:p>
    <w:p>
      <w:pPr>
        <w:pStyle w:val="Heading5"/>
        <w:rPr>
          <w:snapToGrid w:val="0"/>
        </w:rPr>
      </w:pPr>
      <w:bookmarkStart w:id="607" w:name="_Toc512323855"/>
      <w:r>
        <w:rPr>
          <w:rStyle w:val="CharSectno"/>
        </w:rPr>
        <w:t>340AC</w:t>
      </w:r>
      <w:r>
        <w:rPr>
          <w:snapToGrid w:val="0"/>
        </w:rPr>
        <w:t>.</w:t>
      </w:r>
      <w:r>
        <w:rPr>
          <w:snapToGrid w:val="0"/>
        </w:rPr>
        <w:tab/>
        <w:t>Appointment of deputies</w:t>
      </w:r>
      <w:bookmarkEnd w:id="607"/>
    </w:p>
    <w:p>
      <w:pPr>
        <w:pStyle w:val="Subsection"/>
        <w:rPr>
          <w:snapToGrid w:val="0"/>
        </w:rPr>
      </w:pPr>
      <w:r>
        <w:rPr>
          <w:snapToGrid w:val="0"/>
        </w:rPr>
        <w:tab/>
        <w:t>(1)</w:t>
      </w:r>
      <w:r>
        <w:rPr>
          <w:snapToGrid w:val="0"/>
        </w:rPr>
        <w:tab/>
        <w:t xml:space="preserve">The Minister may appoint persons as deputies to act in the respective places of the </w:t>
      </w:r>
      <w:r>
        <w:t xml:space="preserve">Chairperson </w:t>
      </w:r>
      <w:r>
        <w:rPr>
          <w:snapToGrid w:val="0"/>
        </w:rPr>
        <w:t>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w:t>
      </w:r>
      <w:r>
        <w:t xml:space="preserve"> or she</w:t>
      </w:r>
      <w:r>
        <w:rPr>
          <w:snapToGrid w:val="0"/>
        </w:rPr>
        <w:t xml:space="preserve"> is nominated as deputy by that body or unless he</w:t>
      </w:r>
      <w:r>
        <w:t xml:space="preserve"> or she</w:t>
      </w:r>
      <w:r>
        <w:rPr>
          <w:snapToGrid w:val="0"/>
        </w:rPr>
        <w:t xml:space="preserve"> is appointed by the Minister under the provisions of section 340AD(3).</w:t>
      </w:r>
    </w:p>
    <w:p>
      <w:pPr>
        <w:pStyle w:val="Footnotesection"/>
      </w:pPr>
      <w:r>
        <w:tab/>
        <w:t>[Section 340AC inserted by No. 47 of 1978 s. 34; amended by No. 19 of 2016 s. 56.]</w:t>
      </w:r>
    </w:p>
    <w:p>
      <w:pPr>
        <w:pStyle w:val="Heading5"/>
        <w:rPr>
          <w:snapToGrid w:val="0"/>
        </w:rPr>
      </w:pPr>
      <w:bookmarkStart w:id="608" w:name="_Toc512323856"/>
      <w:r>
        <w:rPr>
          <w:rStyle w:val="CharSectno"/>
        </w:rPr>
        <w:t>340AD</w:t>
      </w:r>
      <w:r>
        <w:rPr>
          <w:snapToGrid w:val="0"/>
        </w:rPr>
        <w:t xml:space="preserve">. </w:t>
      </w:r>
      <w:r>
        <w:rPr>
          <w:snapToGrid w:val="0"/>
        </w:rPr>
        <w:tab/>
        <w:t>Nominations to be made to Minister</w:t>
      </w:r>
      <w:bookmarkEnd w:id="608"/>
    </w:p>
    <w:p>
      <w:pPr>
        <w:pStyle w:val="Subsection"/>
      </w:pPr>
      <w:r>
        <w:tab/>
        <w:t>(1)</w:t>
      </w:r>
      <w:r>
        <w:tab/>
        <w:t>The bodies mentioned in section 340AB(3) must nominate to the Minister, when he or she so requests, or when a vacancy occurs in accordance with section 340AF, one or more appropriately qualified persons to become members of the Committee.</w:t>
      </w:r>
    </w:p>
    <w:p>
      <w:pPr>
        <w:pStyle w:val="Subsection"/>
        <w:rPr>
          <w:snapToGrid w:val="0"/>
        </w:rPr>
      </w:pPr>
      <w:r>
        <w:rPr>
          <w:snapToGrid w:val="0"/>
        </w:rPr>
        <w:tab/>
        <w:t>(2)</w:t>
      </w:r>
      <w:r>
        <w:rPr>
          <w:snapToGrid w:val="0"/>
        </w:rPr>
        <w:tab/>
        <w:t xml:space="preserve">Without affecting the generality of the power conferred by subsection (1) the Minister may from time to time as occasion requires request a body referred to in </w:t>
      </w:r>
      <w:r>
        <w:t xml:space="preserve">section 340AB(3) </w:t>
      </w:r>
      <w:r>
        <w:rPr>
          <w:snapToGrid w:val="0"/>
        </w:rPr>
        <w:t xml:space="preserve">to nominate, within a specified period, for appointment as a member of the Committee, or as a deputy member, any number of persons not exceeding 3, and may appoint such one as </w:t>
      </w:r>
      <w:r>
        <w:t xml:space="preserve">the Minister </w:t>
      </w:r>
      <w:r>
        <w:rPr>
          <w:snapToGrid w:val="0"/>
        </w:rPr>
        <w:t>thinks fit.</w:t>
      </w:r>
    </w:p>
    <w:p>
      <w:pPr>
        <w:pStyle w:val="Subsection"/>
        <w:rPr>
          <w:snapToGrid w:val="0"/>
        </w:rPr>
      </w:pPr>
      <w:r>
        <w:rPr>
          <w:snapToGrid w:val="0"/>
        </w:rPr>
        <w:tab/>
        <w:t>(3)</w:t>
      </w:r>
      <w:r>
        <w:rPr>
          <w:snapToGrid w:val="0"/>
        </w:rPr>
        <w:tab/>
        <w:t xml:space="preserve">If no nomination is made within the period specified by the Minister, </w:t>
      </w:r>
      <w:r>
        <w:t xml:space="preserve">the Minister </w:t>
      </w:r>
      <w:r>
        <w:rPr>
          <w:snapToGrid w:val="0"/>
        </w:rPr>
        <w:t xml:space="preserve">may appoint such a person or persons as </w:t>
      </w:r>
      <w:r>
        <w:t xml:space="preserve">the Minister </w:t>
      </w:r>
      <w:r>
        <w:rPr>
          <w:snapToGrid w:val="0"/>
        </w:rPr>
        <w:t>thinks fit to fill the office or to be a deputy as the case may be.</w:t>
      </w:r>
    </w:p>
    <w:p>
      <w:pPr>
        <w:pStyle w:val="Footnotesection"/>
        <w:ind w:left="890" w:hanging="890"/>
      </w:pPr>
      <w:r>
        <w:tab/>
        <w:t>[Section 340AD inserted by No. 47 of 1978 s. 34; amended by No. 19 of 2016 s. 57.]</w:t>
      </w:r>
    </w:p>
    <w:p>
      <w:pPr>
        <w:pStyle w:val="Heading5"/>
        <w:rPr>
          <w:snapToGrid w:val="0"/>
        </w:rPr>
      </w:pPr>
      <w:bookmarkStart w:id="609" w:name="_Toc512323857"/>
      <w:r>
        <w:rPr>
          <w:rStyle w:val="CharSectno"/>
        </w:rPr>
        <w:t>340AE</w:t>
      </w:r>
      <w:r>
        <w:rPr>
          <w:snapToGrid w:val="0"/>
        </w:rPr>
        <w:t xml:space="preserve">. </w:t>
      </w:r>
      <w:r>
        <w:rPr>
          <w:snapToGrid w:val="0"/>
        </w:rPr>
        <w:tab/>
        <w:t>Tenure of office</w:t>
      </w:r>
      <w:bookmarkEnd w:id="609"/>
    </w:p>
    <w:p>
      <w:pPr>
        <w:pStyle w:val="Subsection"/>
        <w:rPr>
          <w:snapToGrid w:val="0"/>
        </w:rPr>
      </w:pPr>
      <w:r>
        <w:rPr>
          <w:snapToGrid w:val="0"/>
        </w:rPr>
        <w:tab/>
        <w:t>(1)</w:t>
      </w:r>
      <w:r>
        <w:rPr>
          <w:snapToGrid w:val="0"/>
        </w:rPr>
        <w:tab/>
        <w:t xml:space="preserve">The term of tenure of office of a person appointed as a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pPr>
      <w:r>
        <w:tab/>
        <w:t>(2)</w:t>
      </w:r>
      <w:r>
        <w:tab/>
        <w:t>The Chairperson holds that office at the pleasure of the Minister.</w:t>
      </w:r>
    </w:p>
    <w:p>
      <w:pPr>
        <w:pStyle w:val="Footnotesection"/>
      </w:pPr>
      <w:r>
        <w:tab/>
        <w:t>[Section 340AE inserted by No. 47 of 1978 s. 34; amended by No. 19 of 2016 s. 58.]</w:t>
      </w:r>
    </w:p>
    <w:p>
      <w:pPr>
        <w:pStyle w:val="Heading5"/>
      </w:pPr>
      <w:bookmarkStart w:id="610" w:name="_Toc512323858"/>
      <w:r>
        <w:rPr>
          <w:rStyle w:val="CharSectno"/>
        </w:rPr>
        <w:t>340AF</w:t>
      </w:r>
      <w:r>
        <w:t>.</w:t>
      </w:r>
      <w:r>
        <w:tab/>
        <w:t>When office of member becomes vacant</w:t>
      </w:r>
      <w:bookmarkEnd w:id="610"/>
    </w:p>
    <w:p>
      <w:pPr>
        <w:pStyle w:val="Subsection"/>
      </w:pPr>
      <w:r>
        <w:tab/>
        <w:t>(1)</w:t>
      </w:r>
      <w:r>
        <w:tab/>
        <w:t xml:space="preserve">The office of a member of the Committee becomes vacant if — </w:t>
      </w:r>
    </w:p>
    <w:p>
      <w:pPr>
        <w:pStyle w:val="Indenta"/>
      </w:pPr>
      <w:r>
        <w:tab/>
        <w:t>(a)</w:t>
      </w:r>
      <w:r>
        <w:tab/>
        <w:t>he or she dies; or</w:t>
      </w:r>
    </w:p>
    <w:p>
      <w:pPr>
        <w:pStyle w:val="Indenta"/>
      </w:pPr>
      <w:r>
        <w:tab/>
        <w:t>(b)</w:t>
      </w:r>
      <w:r>
        <w:tab/>
        <w:t>he or she resigns by written notice given to the Minister; or</w:t>
      </w:r>
    </w:p>
    <w:p>
      <w:pPr>
        <w:pStyle w:val="Indenta"/>
      </w:pPr>
      <w:r>
        <w:tab/>
        <w:t>(c)</w:t>
      </w:r>
      <w:r>
        <w:tab/>
        <w:t xml:space="preserve">his or her term of office expires by effluxion of time, unless he or she — </w:t>
      </w:r>
    </w:p>
    <w:p>
      <w:pPr>
        <w:pStyle w:val="Indenti"/>
      </w:pPr>
      <w:r>
        <w:tab/>
        <w:t>(i)</w:t>
      </w:r>
      <w:r>
        <w:tab/>
        <w:t>continues to hold office under subsection (3); or</w:t>
      </w:r>
    </w:p>
    <w:p>
      <w:pPr>
        <w:pStyle w:val="Indenti"/>
      </w:pPr>
      <w:r>
        <w:tab/>
        <w:t>(ii)</w:t>
      </w:r>
      <w:r>
        <w:tab/>
        <w:t>is reappointed;</w:t>
      </w:r>
    </w:p>
    <w:p>
      <w:pPr>
        <w:pStyle w:val="Indenta"/>
      </w:pPr>
      <w:r>
        <w:tab/>
      </w:r>
      <w:r>
        <w:tab/>
        <w:t>or</w:t>
      </w:r>
    </w:p>
    <w:p>
      <w:pPr>
        <w:pStyle w:val="Indenta"/>
      </w:pPr>
      <w:r>
        <w:tab/>
        <w:t>(d)</w:t>
      </w:r>
      <w:r>
        <w:tab/>
        <w:t>the member’s appointment is terminated under subsection (2); or</w:t>
      </w:r>
    </w:p>
    <w:p>
      <w:pPr>
        <w:pStyle w:val="Indenta"/>
      </w:pPr>
      <w:r>
        <w:tab/>
        <w:t>(e)</w:t>
      </w:r>
      <w:r>
        <w:tab/>
        <w:t>in the case of the Chairperson, the Minister terminates the term of tenure of his or her office; or</w:t>
      </w:r>
    </w:p>
    <w:p>
      <w:pPr>
        <w:pStyle w:val="Indenta"/>
      </w:pPr>
      <w:r>
        <w:tab/>
        <w:t>(f)</w:t>
      </w:r>
      <w:r>
        <w:tab/>
        <w:t xml:space="preserve">he or she is, according to the </w:t>
      </w:r>
      <w:r>
        <w:rPr>
          <w:i/>
        </w:rPr>
        <w:t>Interpretation Act 1984</w:t>
      </w:r>
      <w:r>
        <w:t xml:space="preserve"> section 13D, a bankrupt or a person whose affairs are under insolvency laws.</w:t>
      </w:r>
    </w:p>
    <w:p>
      <w:pPr>
        <w:pStyle w:val="Subsection"/>
      </w:pPr>
      <w:r>
        <w:tab/>
        <w:t>(2)</w:t>
      </w:r>
      <w:r>
        <w:tab/>
        <w:t xml:space="preserve">The Minister may, by written notice given to a member, terminate the appointment of the member — </w:t>
      </w:r>
    </w:p>
    <w:p>
      <w:pPr>
        <w:pStyle w:val="Indenta"/>
      </w:pPr>
      <w:r>
        <w:tab/>
        <w:t>(a)</w:t>
      </w:r>
      <w:r>
        <w:tab/>
        <w:t xml:space="preserve">if, in the opinion of the Minister,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pPr>
      <w:r>
        <w:tab/>
        <w:t>(iii)</w:t>
      </w:r>
      <w:r>
        <w:tab/>
        <w:t>absence from the State;</w:t>
      </w:r>
    </w:p>
    <w:p>
      <w:pPr>
        <w:pStyle w:val="Indenta"/>
      </w:pPr>
      <w:r>
        <w:tab/>
      </w:r>
      <w:r>
        <w:tab/>
        <w:t>or</w:t>
      </w:r>
    </w:p>
    <w:p>
      <w:pPr>
        <w:pStyle w:val="Indenta"/>
      </w:pPr>
      <w:r>
        <w:tab/>
        <w:t>(b)</w:t>
      </w:r>
      <w:r>
        <w:tab/>
        <w:t>if, in the opinion of the Minister, the member misbehaves, neglects his or her duties or is incompetent; or</w:t>
      </w:r>
    </w:p>
    <w:p>
      <w:pPr>
        <w:pStyle w:val="Indenta"/>
      </w:pPr>
      <w:r>
        <w:tab/>
        <w:t>(c)</w:t>
      </w:r>
      <w:r>
        <w:tab/>
        <w:t>if the member is absent, without leave and without reasonable excuse, from 3 consecutive meetings of the Committee of which the member had notice.</w:t>
      </w:r>
    </w:p>
    <w:p>
      <w:pPr>
        <w:pStyle w:val="Subsection"/>
      </w:pPr>
      <w:r>
        <w:tab/>
        <w:t>(3)</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(4)</w:t>
      </w:r>
      <w:r>
        <w:tab/>
        <w:t>However, a member cannot continue in office under subsection (3) for longer than 3 months.</w:t>
      </w:r>
    </w:p>
    <w:p>
      <w:pPr>
        <w:pStyle w:val="Footnotesection"/>
      </w:pPr>
      <w:r>
        <w:tab/>
        <w:t>[Section 340AF inserted by No. 19 of 2016 s. 59.]</w:t>
      </w:r>
    </w:p>
    <w:p>
      <w:pPr>
        <w:pStyle w:val="Heading5"/>
        <w:pageBreakBefore/>
        <w:spacing w:before="100"/>
        <w:rPr>
          <w:snapToGrid w:val="0"/>
        </w:rPr>
      </w:pPr>
      <w:bookmarkStart w:id="611" w:name="_Toc512323859"/>
      <w:r>
        <w:rPr>
          <w:rStyle w:val="CharSectno"/>
        </w:rPr>
        <w:t>340AG</w:t>
      </w:r>
      <w:r>
        <w:rPr>
          <w:snapToGrid w:val="0"/>
        </w:rPr>
        <w:t xml:space="preserve">. </w:t>
      </w:r>
      <w:r>
        <w:rPr>
          <w:snapToGrid w:val="0"/>
        </w:rPr>
        <w:tab/>
        <w:t>Vacancies in offices of members to be filled</w:t>
      </w:r>
      <w:bookmarkEnd w:id="611"/>
    </w:p>
    <w:p>
      <w:pPr>
        <w:pStyle w:val="Subsection"/>
      </w:pPr>
      <w:r>
        <w:tab/>
        <w:t>(1)</w:t>
      </w:r>
      <w:r>
        <w:tab/>
        <w:t>When a vacancy occurs in the office of a member of the Committee, the Minister is to appoint a person to fill the vacancy.</w:t>
      </w:r>
    </w:p>
    <w:p>
      <w:pPr>
        <w:pStyle w:val="Subsection"/>
      </w:pPr>
      <w:r>
        <w:tab/>
        <w:t>(2)</w:t>
      </w:r>
      <w:r>
        <w:tab/>
        <w:t>If, under section 340AB(3), a specified body has the right to nominate that member, the Minister is not to appoint a person unless he or she is nominated by the appropriate body mentioned in that section, or unless section 340AD(3) applies to the office.</w:t>
      </w:r>
    </w:p>
    <w:p>
      <w:pPr>
        <w:pStyle w:val="Subsection"/>
        <w:rPr>
          <w:snapToGrid w:val="0"/>
        </w:rPr>
      </w:pPr>
      <w:r>
        <w:rPr>
          <w:snapToGrid w:val="0"/>
        </w:rPr>
        <w:tab/>
        <w:t>(3)</w:t>
      </w:r>
      <w:r>
        <w:rPr>
          <w:snapToGrid w:val="0"/>
        </w:rPr>
        <w:tab/>
        <w:t xml:space="preserve">A person is not rendered ineligible for appointment to the office of member or as a deputy because he </w:t>
      </w:r>
      <w:r>
        <w:t>or she</w:t>
      </w:r>
      <w:r>
        <w:rPr>
          <w:snapToGrid w:val="0"/>
        </w:rPr>
        <w:t xml:space="preserve"> has previously occupied office as such.</w:t>
      </w:r>
    </w:p>
    <w:p>
      <w:pPr>
        <w:pStyle w:val="Footnotesection"/>
      </w:pPr>
      <w:r>
        <w:tab/>
        <w:t>[Section 340AG inserted by No. 47 of 1978 s. 34; amended by No. 19 of 2016 s. 60.]</w:t>
      </w:r>
    </w:p>
    <w:p>
      <w:pPr>
        <w:pStyle w:val="Heading5"/>
      </w:pPr>
      <w:bookmarkStart w:id="612" w:name="_Toc512323860"/>
      <w:r>
        <w:rPr>
          <w:rStyle w:val="CharSectno"/>
        </w:rPr>
        <w:t>340AH</w:t>
      </w:r>
      <w:r>
        <w:t>.</w:t>
      </w:r>
      <w:r>
        <w:tab/>
        <w:t>Meetings and procedure of Committee</w:t>
      </w:r>
      <w:bookmarkEnd w:id="612"/>
    </w:p>
    <w:p>
      <w:pPr>
        <w:pStyle w:val="Subsection"/>
      </w:pPr>
      <w:r>
        <w:tab/>
        <w:t>(1)</w:t>
      </w:r>
      <w:r>
        <w:tab/>
        <w:t>The Committee is to hold the meetings that are necessary for the performance of its functions.</w:t>
      </w:r>
    </w:p>
    <w:p>
      <w:pPr>
        <w:pStyle w:val="Subsection"/>
      </w:pPr>
      <w:r>
        <w:tab/>
        <w:t>(2)</w:t>
      </w:r>
      <w:r>
        <w:tab/>
        <w:t>At any meeting of the Committee, 6 members of the Committee or their respective deputies, of whom one is to be the Chairperson or his or her deputy, constitute a quorum.</w:t>
      </w:r>
    </w:p>
    <w:p>
      <w:pPr>
        <w:pStyle w:val="Subsection"/>
      </w:pPr>
      <w:r>
        <w:tab/>
        <w:t>(3)</w:t>
      </w:r>
      <w:r>
        <w:tab/>
        <w:t xml:space="preserve">A meeting of the Committee may be held — </w:t>
      </w:r>
    </w:p>
    <w:p>
      <w:pPr>
        <w:pStyle w:val="Indenta"/>
      </w:pPr>
      <w:r>
        <w:tab/>
        <w:t>(a)</w:t>
      </w:r>
      <w:r>
        <w:tab/>
        <w:t>by a quorum of the members assembled together at the time and place appointed for the meeting; or</w:t>
      </w:r>
    </w:p>
    <w:p>
      <w:pPr>
        <w:pStyle w:val="Indenta"/>
      </w:pPr>
      <w:r>
        <w:tab/>
        <w:t>(b)</w:t>
      </w:r>
      <w:r>
        <w:tab/>
        <w:t>by telephone or audio</w:t>
      </w:r>
      <w:r>
        <w:noBreakHyphen/>
        <w:t xml:space="preserve">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pPr>
      <w:r>
        <w:tab/>
        <w:t>(4)</w:t>
      </w:r>
      <w:r>
        <w:tab/>
        <w:t>Subject to this section, the Committee may regulate its own procedure in whatever manner it thinks fit.</w:t>
      </w:r>
    </w:p>
    <w:p>
      <w:pPr>
        <w:pStyle w:val="Subsection"/>
      </w:pPr>
      <w:r>
        <w:tab/>
        <w:t>(5)</w:t>
      </w:r>
      <w:r>
        <w:tab/>
        <w:t xml:space="preserve">Nothing done by the Committee is invalid or defective on the ground only that, when done, there was — </w:t>
      </w:r>
    </w:p>
    <w:p>
      <w:pPr>
        <w:pStyle w:val="Indenta"/>
      </w:pPr>
      <w:r>
        <w:tab/>
        <w:t>(a)</w:t>
      </w:r>
      <w:r>
        <w:tab/>
        <w:t>a vacancy in the office of any member; or</w:t>
      </w:r>
    </w:p>
    <w:p>
      <w:pPr>
        <w:pStyle w:val="Indenta"/>
      </w:pPr>
      <w:r>
        <w:tab/>
        <w:t>(b)</w:t>
      </w:r>
      <w:r>
        <w:tab/>
        <w:t>a defect in the appointment of any member or any deputy of a member.</w:t>
      </w:r>
    </w:p>
    <w:p>
      <w:pPr>
        <w:pStyle w:val="Footnotesection"/>
      </w:pPr>
      <w:r>
        <w:tab/>
        <w:t>[Section 340AH inserted by No. 19 of 2016 s. 61.]</w:t>
      </w:r>
    </w:p>
    <w:p>
      <w:pPr>
        <w:pStyle w:val="Heading5"/>
        <w:rPr>
          <w:snapToGrid w:val="0"/>
        </w:rPr>
      </w:pPr>
      <w:bookmarkStart w:id="613" w:name="_Toc512323861"/>
      <w:r>
        <w:rPr>
          <w:rStyle w:val="CharSectno"/>
        </w:rPr>
        <w:t>340AI</w:t>
      </w:r>
      <w:r>
        <w:rPr>
          <w:snapToGrid w:val="0"/>
        </w:rPr>
        <w:t xml:space="preserve">. </w:t>
      </w:r>
      <w:r>
        <w:rPr>
          <w:snapToGrid w:val="0"/>
        </w:rPr>
        <w:tab/>
        <w:t>Reimbursement of expenses of members</w:t>
      </w:r>
      <w:bookmarkEnd w:id="613"/>
    </w:p>
    <w:p>
      <w:pPr>
        <w:pStyle w:val="Subsection"/>
        <w:rPr>
          <w:snapToGrid w:val="0"/>
        </w:rPr>
      </w:pPr>
      <w:r>
        <w:rPr>
          <w:snapToGrid w:val="0"/>
        </w:rPr>
        <w:tab/>
      </w:r>
      <w:r>
        <w:rPr>
          <w:snapToGrid w:val="0"/>
        </w:rPr>
        <w:tab/>
        <w:t>The Chairperson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 amended by No. 19 of 2016 s. 62.]</w:t>
      </w:r>
    </w:p>
    <w:p>
      <w:pPr>
        <w:pStyle w:val="Heading5"/>
        <w:rPr>
          <w:snapToGrid w:val="0"/>
        </w:rPr>
      </w:pPr>
      <w:bookmarkStart w:id="614" w:name="_Toc512323862"/>
      <w:r>
        <w:rPr>
          <w:rStyle w:val="CharSectno"/>
        </w:rPr>
        <w:t>340AJ</w:t>
      </w:r>
      <w:r>
        <w:rPr>
          <w:snapToGrid w:val="0"/>
        </w:rPr>
        <w:t xml:space="preserve">. </w:t>
      </w:r>
      <w:r>
        <w:rPr>
          <w:snapToGrid w:val="0"/>
        </w:rPr>
        <w:tab/>
        <w:t>Appointment of investigator</w:t>
      </w:r>
      <w:bookmarkEnd w:id="614"/>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pPr>
      <w:r>
        <w:tab/>
        <w:t>(2)</w:t>
      </w:r>
      <w:r>
        <w:tab/>
        <w:t xml:space="preserve">The following provisions apply to the appointment of investigators under subsection (1) — </w:t>
      </w:r>
    </w:p>
    <w:p>
      <w:pPr>
        <w:pStyle w:val="Indenta"/>
      </w:pPr>
      <w:r>
        <w:tab/>
        <w:t>(a)</w:t>
      </w:r>
      <w:r>
        <w:tab/>
        <w:t>if one investigator is appointed, he or she must be a specialist in obstetrics or neonatal paediatrics;</w:t>
      </w:r>
    </w:p>
    <w:p>
      <w:pPr>
        <w:pStyle w:val="Indenta"/>
      </w:pPr>
      <w:r>
        <w:tab/>
        <w:t>(b)</w:t>
      </w:r>
      <w:r>
        <w:tab/>
        <w:t>if 2 investigators are appointed, both of them must be specialists in obstetrics or neonatal paediatrics;</w:t>
      </w:r>
    </w:p>
    <w:p>
      <w:pPr>
        <w:pStyle w:val="Indenta"/>
      </w:pPr>
      <w:r>
        <w:tab/>
        <w:t>(c)</w:t>
      </w:r>
      <w:r>
        <w:tab/>
        <w:t>if 3 or 4 investigators are appointed, 2 of them must be specialists in obstetrics or neonatal paediatrics.</w:t>
      </w:r>
    </w:p>
    <w:p>
      <w:pPr>
        <w:pStyle w:val="Subsection"/>
        <w:rPr>
          <w:snapToGrid w:val="0"/>
        </w:rPr>
      </w:pPr>
      <w:r>
        <w:rPr>
          <w:snapToGrid w:val="0"/>
        </w:rPr>
        <w:tab/>
        <w:t>(3)</w:t>
      </w:r>
      <w:r>
        <w:rPr>
          <w:snapToGrid w:val="0"/>
        </w:rPr>
        <w:tab/>
        <w:t xml:space="preserve">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w:t>
      </w:r>
      <w:r>
        <w:t>or her</w:t>
      </w:r>
      <w:r>
        <w:rPr>
          <w:snapToGrid w:val="0"/>
        </w:rPr>
        <w:t xml:space="preserve"> office, or during a vacancy in the office of such an investigator.</w:t>
      </w:r>
    </w:p>
    <w:p>
      <w:pPr>
        <w:pStyle w:val="Footnotesection"/>
      </w:pPr>
      <w:r>
        <w:tab/>
        <w:t>[Section 340AJ inserted by No. 47 of 1978 s. 34; amended by No. 80 of 1987 s. 158; No. 19 of 2016 s. 63.]</w:t>
      </w:r>
    </w:p>
    <w:p>
      <w:pPr>
        <w:pStyle w:val="Heading5"/>
      </w:pPr>
      <w:bookmarkStart w:id="615" w:name="_Toc512323863"/>
      <w:r>
        <w:rPr>
          <w:rStyle w:val="CharSectno"/>
        </w:rPr>
        <w:t>340AK</w:t>
      </w:r>
      <w:r>
        <w:t>.</w:t>
      </w:r>
      <w:r>
        <w:tab/>
        <w:t>Functions of Committee</w:t>
      </w:r>
      <w:bookmarkEnd w:id="615"/>
    </w:p>
    <w:p>
      <w:pPr>
        <w:pStyle w:val="Subsection"/>
      </w:pPr>
      <w:r>
        <w:tab/>
        <w:t>(1)</w:t>
      </w:r>
      <w:r>
        <w:tab/>
        <w:t xml:space="preserve">Whenever an investigator presents to the Chairperson of the Committee a report under section 336A, the Chairperson — </w:t>
      </w:r>
    </w:p>
    <w:p>
      <w:pPr>
        <w:pStyle w:val="Indenta"/>
      </w:pPr>
      <w:r>
        <w:tab/>
        <w:t>(a)</w:t>
      </w:r>
      <w:r>
        <w:tab/>
        <w:t>must consider the report; and</w:t>
      </w:r>
    </w:p>
    <w:p>
      <w:pPr>
        <w:pStyle w:val="Indenta"/>
      </w:pPr>
      <w:r>
        <w:tab/>
        <w:t>(b)</w:t>
      </w:r>
      <w:r>
        <w:tab/>
        <w:t>having regard to the circumstances disclosed by the report and the nature of the medical case history of the stillborn or deceased child, may notify the Chief Health Officer of the receipt of the report.</w:t>
      </w:r>
    </w:p>
    <w:p>
      <w:pPr>
        <w:pStyle w:val="Subsection"/>
      </w:pPr>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p>
    <w:p>
      <w:pPr>
        <w:pStyle w:val="Subsection"/>
      </w:pPr>
      <w:r>
        <w:tab/>
        <w:t>(3)</w:t>
      </w:r>
      <w:r>
        <w:tab/>
        <w:t>The Committee must consider the report of the investigator, and for the purpose of assisting it in its consideration may co</w:t>
      </w:r>
      <w:r>
        <w:noBreakHyphen/>
        <w:t>opt any medical practitioners, nurses, midwives or other persons with specialised knowledge the Committee thinks necessary.</w:t>
      </w:r>
    </w:p>
    <w:p>
      <w:pPr>
        <w:pStyle w:val="Subsection"/>
      </w:pPr>
      <w:r>
        <w:tab/>
        <w:t>(4)</w:t>
      </w:r>
      <w:r>
        <w:tab/>
        <w:t>On its consideration of the report, the Committee must determine whether in the opinion of the Committee the stillbirth or death the subject of the report might have been avoided, and may add to its determination any constructive comments the Committee considers advisable for the future assistance and guidance of medical practitioners, nurses and midwives.</w:t>
      </w:r>
    </w:p>
    <w:p>
      <w:pPr>
        <w:pStyle w:val="Subsection"/>
        <w:keepNext/>
      </w:pPr>
      <w:r>
        <w:tab/>
        <w:t>(5)</w:t>
      </w:r>
      <w:r>
        <w:tab/>
        <w:t xml:space="preserve">The determination of the Committee, including the comments referred to in subsection (4) — </w:t>
      </w:r>
    </w:p>
    <w:p>
      <w:pPr>
        <w:pStyle w:val="Indenta"/>
      </w:pPr>
      <w:r>
        <w:tab/>
        <w:t>(a)</w:t>
      </w:r>
      <w:r>
        <w:tab/>
        <w:t xml:space="preserve">must be notified in writing by the Chairperson to — </w:t>
      </w:r>
    </w:p>
    <w:p>
      <w:pPr>
        <w:pStyle w:val="Indenti"/>
      </w:pPr>
      <w:r>
        <w:tab/>
        <w:t>(i)</w:t>
      </w:r>
      <w:r>
        <w:tab/>
        <w:t>the medical practitioner (if any) who was attending the child concerned at the time of the occurrence of the stillbirth or death investigated under section 336A; and</w:t>
      </w:r>
    </w:p>
    <w:p>
      <w:pPr>
        <w:pStyle w:val="Indenti"/>
      </w:pPr>
      <w:r>
        <w:tab/>
        <w:t>(ii)</w:t>
      </w:r>
      <w:r>
        <w:tab/>
        <w:t>the nurse or midwife (if any) who was attending the child concerned at that time;</w:t>
      </w:r>
    </w:p>
    <w:p>
      <w:pPr>
        <w:pStyle w:val="Indenta"/>
      </w:pPr>
      <w:r>
        <w:tab/>
      </w:r>
      <w:r>
        <w:tab/>
        <w:t>and</w:t>
      </w:r>
    </w:p>
    <w:p>
      <w:pPr>
        <w:pStyle w:val="Indenta"/>
      </w:pPr>
      <w:r>
        <w:tab/>
        <w:t>(b)</w:t>
      </w:r>
      <w:r>
        <w:tab/>
        <w:t>may be notified in writing by the Chairperson to any other medical practitioner, nurse or midwife who attended the child concerned or his or her mother or both before the occurrence of the stillbirth or death if the Committee considers that that medical practitioner, nurse or midwife should be informed of that determination and those comments.</w:t>
      </w:r>
    </w:p>
    <w:p>
      <w:pPr>
        <w:pStyle w:val="Footnotesection"/>
      </w:pPr>
      <w:r>
        <w:tab/>
        <w:t>[Section 340AK inserted by No. 19 of 2016 s. 64.]</w:t>
      </w:r>
    </w:p>
    <w:p>
      <w:pPr>
        <w:pStyle w:val="Heading5"/>
      </w:pPr>
      <w:bookmarkStart w:id="616" w:name="_Toc512323864"/>
      <w:r>
        <w:rPr>
          <w:rStyle w:val="CharSectno"/>
        </w:rPr>
        <w:t>340ALA</w:t>
      </w:r>
      <w:r>
        <w:t>. Further provisions relating to proceedings of Committee</w:t>
      </w:r>
      <w:bookmarkEnd w:id="616"/>
    </w:p>
    <w:p>
      <w:pPr>
        <w:pStyle w:val="Subsection"/>
      </w:pPr>
      <w:r>
        <w:tab/>
        <w:t>(1)</w:t>
      </w:r>
      <w:r>
        <w:tab/>
        <w:t>As soon as practicable after the Committee has made a determination under section 340AK, the Chairperson must forward to the Chief Health Officer all records, reports, statements, memoranda and other documents submitted to and considered by the Committee in making that determination.</w:t>
      </w:r>
    </w:p>
    <w:p>
      <w:pPr>
        <w:pStyle w:val="Subsection"/>
      </w:pPr>
      <w:r>
        <w:tab/>
        <w:t>(2)</w:t>
      </w:r>
      <w:r>
        <w:tab/>
        <w:t>The Chief Health Officer is to have the care and control of those records, reports, statements, memoranda and other documents, and is to keep them, or cause them to be kept, in safe custody.</w:t>
      </w:r>
    </w:p>
    <w:p>
      <w:pPr>
        <w:pStyle w:val="Subsection"/>
      </w:pPr>
      <w:r>
        <w:tab/>
        <w:t>(3)</w:t>
      </w:r>
      <w:r>
        <w:tab/>
        <w:t>Except as provided by this Part and with the Chief Health Officer’s permission in writing, the Chief Health Officer must not permit any of those records, reports, statements, memoranda or other documents to be inspected.</w:t>
      </w:r>
    </w:p>
    <w:p>
      <w:pPr>
        <w:pStyle w:val="Subsection"/>
      </w:pPr>
      <w:r>
        <w:tab/>
        <w:t>(4)</w:t>
      </w:r>
      <w:r>
        <w:tab/>
        <w:t>The Chairperson must forward to the Chief Health Officer a summary of the cases investigated by the investigators and considered by the Committee during each year.</w:t>
      </w:r>
    </w:p>
    <w:p>
      <w:pPr>
        <w:pStyle w:val="Footnotesection"/>
      </w:pPr>
      <w:r>
        <w:tab/>
        <w:t>[Section 340ALA inserted by No. 19 of 2016 s. 64.]</w:t>
      </w:r>
    </w:p>
    <w:p>
      <w:pPr>
        <w:pStyle w:val="Heading5"/>
      </w:pPr>
      <w:bookmarkStart w:id="617" w:name="_Toc512323865"/>
      <w:r>
        <w:rPr>
          <w:rStyle w:val="CharSectno"/>
        </w:rPr>
        <w:t>340ALB</w:t>
      </w:r>
      <w:r>
        <w:t>. Contents of notification confidential</w:t>
      </w:r>
      <w:bookmarkEnd w:id="617"/>
    </w:p>
    <w:p>
      <w:pPr>
        <w:pStyle w:val="Subsection"/>
      </w:pPr>
      <w:r>
        <w:tab/>
        <w:t>(1)</w:t>
      </w:r>
      <w:r>
        <w:tab/>
        <w:t>The contents of a notification made under section 340AK(5) are not admissible in any court or before any tribunal, board or person in any action, cause or inquiry of any kind whatever.</w:t>
      </w:r>
    </w:p>
    <w:p>
      <w:pPr>
        <w:pStyle w:val="Subsection"/>
      </w:pPr>
      <w:r>
        <w:tab/>
        <w:t>(2)</w:t>
      </w:r>
      <w:r>
        <w:tab/>
        <w:t>A person who exhibits, communicates or divulges in whole or in part the contents of a notification made under section 340AK(5) to any person except for the purposes of, and in accordance with, this Part commits an offence.</w:t>
      </w:r>
    </w:p>
    <w:p>
      <w:pPr>
        <w:pStyle w:val="Footnotesection"/>
      </w:pPr>
      <w:r>
        <w:tab/>
        <w:t>[Section 340ALB inserted by No. 19 of 2016 s. 64.]</w:t>
      </w:r>
    </w:p>
    <w:p>
      <w:pPr>
        <w:pStyle w:val="Heading5"/>
        <w:rPr>
          <w:snapToGrid w:val="0"/>
        </w:rPr>
      </w:pPr>
      <w:bookmarkStart w:id="618" w:name="_Toc512323866"/>
      <w:r>
        <w:rPr>
          <w:rStyle w:val="CharSectno"/>
        </w:rPr>
        <w:t>340AL</w:t>
      </w:r>
      <w:r>
        <w:rPr>
          <w:snapToGrid w:val="0"/>
        </w:rPr>
        <w:t xml:space="preserve">. </w:t>
      </w:r>
      <w:r>
        <w:rPr>
          <w:snapToGrid w:val="0"/>
        </w:rPr>
        <w:tab/>
        <w:t>When report may be published</w:t>
      </w:r>
      <w:bookmarkEnd w:id="618"/>
    </w:p>
    <w:p>
      <w:pPr>
        <w:pStyle w:val="Subsection"/>
        <w:rPr>
          <w:snapToGrid w:val="0"/>
        </w:rPr>
      </w:pPr>
      <w:r>
        <w:rPr>
          <w:snapToGrid w:val="0"/>
        </w:rPr>
        <w:tab/>
        <w:t>(1)</w:t>
      </w:r>
      <w:r>
        <w:rPr>
          <w:snapToGrid w:val="0"/>
        </w:rPr>
        <w:tab/>
        <w:t xml:space="preserve">The Committee may publish, or cause to be published, in any medical journal, or may make available to </w:t>
      </w:r>
      <w:r>
        <w:t>any educational institution for use in the teaching of</w:t>
      </w:r>
      <w:r>
        <w:rPr>
          <w:snapToGrid w:val="0"/>
        </w:rPr>
        <w:t xml:space="preserve">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t xml:space="preserve">the </w:t>
      </w:r>
      <w:r>
        <w:rPr>
          <w:rStyle w:val="CharDefText"/>
        </w:rPr>
        <w:t>researcher</w:t>
      </w:r>
      <w:r>
        <w:rPr>
          <w:snapToGrid w:val="0"/>
        </w:rPr>
        <w:t xml:space="preserve">), recommend to the </w:t>
      </w:r>
      <w:r>
        <w:t>Chief Health Officer</w:t>
      </w:r>
      <w:r>
        <w:rPr>
          <w:snapToGrid w:val="0"/>
        </w:rPr>
        <w:t xml:space="preserve"> that the identity of that child be so divulged.</w:t>
      </w:r>
    </w:p>
    <w:p>
      <w:pPr>
        <w:pStyle w:val="Subsection"/>
        <w:keepNext/>
        <w:keepLines/>
        <w:rPr>
          <w:snapToGrid w:val="0"/>
        </w:rPr>
      </w:pPr>
      <w:r>
        <w:rPr>
          <w:snapToGrid w:val="0"/>
        </w:rPr>
        <w:tab/>
        <w:t>(1b)</w:t>
      </w:r>
      <w:r>
        <w:rPr>
          <w:snapToGrid w:val="0"/>
        </w:rPr>
        <w:tab/>
        <w:t xml:space="preserve">The </w:t>
      </w:r>
      <w:r>
        <w:t>Chief Health Officer may, if he or she</w:t>
      </w:r>
      <w:r>
        <w:rPr>
          <w:snapToGrid w:val="0"/>
        </w:rPr>
        <w:t xml:space="preserve"> agrees with a recommendation made to him</w:t>
      </w:r>
      <w:r>
        <w:t xml:space="preserve"> or her</w:t>
      </w:r>
      <w:r>
        <w:rPr>
          <w:snapToGrid w:val="0"/>
        </w:rPr>
        <w:t xml:space="preserve"> under subsection (1a), authorise the investigator concerned to divulge the identity of the person or child to whom his</w:t>
      </w:r>
      <w:r>
        <w:t xml:space="preserve"> or her</w:t>
      </w:r>
      <w:r>
        <w:rPr>
          <w:snapToGrid w:val="0"/>
        </w:rPr>
        <w:t xml:space="preserve">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w:t>
      </w:r>
      <w:r>
        <w:t xml:space="preserve"> or her</w:t>
      </w:r>
      <w:r>
        <w:rPr>
          <w:snapToGrid w:val="0"/>
        </w:rPr>
        <w:t xml:space="preserve"> under subsection (1b) commits an offence.</w:t>
      </w:r>
    </w:p>
    <w:p>
      <w:pPr>
        <w:pStyle w:val="Subsection"/>
        <w:rPr>
          <w:snapToGrid w:val="0"/>
        </w:rPr>
      </w:pPr>
      <w:r>
        <w:rPr>
          <w:snapToGrid w:val="0"/>
        </w:rPr>
        <w:tab/>
        <w:t>(2)</w:t>
      </w:r>
      <w:r>
        <w:rPr>
          <w:snapToGrid w:val="0"/>
        </w:rPr>
        <w:tab/>
        <w:t xml:space="preserve">The Committee may impart, or cause to be imparted, to medical practitioners, </w:t>
      </w:r>
      <w:r>
        <w:t>nurses, midwives and students of any educational institution</w:t>
      </w:r>
      <w:r>
        <w:rPr>
          <w:snapToGrid w:val="0"/>
        </w:rPr>
        <w:t xml:space="preserve">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 No. 8 of 2009 s. 71(4); No. 19 of 2016 s. 65.]</w:t>
      </w:r>
    </w:p>
    <w:p>
      <w:pPr>
        <w:pStyle w:val="Heading5"/>
        <w:rPr>
          <w:snapToGrid w:val="0"/>
        </w:rPr>
      </w:pPr>
      <w:bookmarkStart w:id="619" w:name="_Toc512323867"/>
      <w:r>
        <w:rPr>
          <w:rStyle w:val="CharSectno"/>
        </w:rPr>
        <w:t>340AM</w:t>
      </w:r>
      <w:r>
        <w:rPr>
          <w:snapToGrid w:val="0"/>
        </w:rPr>
        <w:t>.</w:t>
      </w:r>
      <w:r>
        <w:rPr>
          <w:snapToGrid w:val="0"/>
        </w:rPr>
        <w:tab/>
        <w:t>Information for research not to be disclosed</w:t>
      </w:r>
      <w:bookmarkEnd w:id="619"/>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w:t>
      </w:r>
      <w:r>
        <w:t xml:space="preserve"> or her</w:t>
      </w:r>
      <w:r>
        <w:rPr>
          <w:snapToGrid w:val="0"/>
        </w:rPr>
        <w:t xml:space="preserve">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w:t>
      </w:r>
      <w:r>
        <w:t xml:space="preserve"> or her</w:t>
      </w:r>
      <w:r>
        <w:rPr>
          <w:snapToGrid w:val="0"/>
        </w:rPr>
        <w:t xml:space="preserve"> duties, who interviews or in any way communicates with any person referred to in any report of the investigator or any relative of that person commits an offence, unless the consent in writing of the medical </w:t>
      </w:r>
      <w:r>
        <w:t>practitioner, nurse or midwife</w:t>
      </w:r>
      <w:r>
        <w:rPr>
          <w:snapToGrid w:val="0"/>
        </w:rPr>
        <w:t xml:space="preserve"> who was attending the child at the time of the occurrence of the stillbirth or death being investigated is first obtained.</w:t>
      </w:r>
    </w:p>
    <w:p>
      <w:pPr>
        <w:pStyle w:val="Footnotesection"/>
      </w:pPr>
      <w:r>
        <w:tab/>
        <w:t>[Section 340AM inserted by No. 47 of 1978 s. 34; amended by No. 80 of 1987 s. 161; No. 19 of 2016 s. 66.]</w:t>
      </w:r>
    </w:p>
    <w:p>
      <w:pPr>
        <w:pStyle w:val="Ednotesection"/>
        <w:spacing w:before="180"/>
        <w:ind w:left="890" w:hanging="890"/>
        <w:outlineLvl w:val="9"/>
      </w:pPr>
      <w:r>
        <w:t>[</w:t>
      </w:r>
      <w:r>
        <w:rPr>
          <w:b/>
        </w:rPr>
        <w:t>340AN.</w:t>
      </w:r>
      <w:r>
        <w:tab/>
        <w:t>Deleted by No. 19 of 2016 s. 67.]</w:t>
      </w:r>
    </w:p>
    <w:p>
      <w:pPr>
        <w:pStyle w:val="Heading2"/>
      </w:pPr>
      <w:bookmarkStart w:id="620" w:name="_Toc498001252"/>
      <w:bookmarkStart w:id="621" w:name="_Toc498001582"/>
      <w:bookmarkStart w:id="622" w:name="_Toc498003234"/>
      <w:bookmarkStart w:id="623" w:name="_Toc498004245"/>
      <w:bookmarkStart w:id="624" w:name="_Toc499029648"/>
      <w:bookmarkStart w:id="625" w:name="_Toc501098716"/>
      <w:bookmarkStart w:id="626" w:name="_Toc501101639"/>
      <w:bookmarkStart w:id="627" w:name="_Toc501116161"/>
      <w:bookmarkStart w:id="628" w:name="_Toc501117422"/>
      <w:bookmarkStart w:id="629" w:name="_Toc501698829"/>
      <w:bookmarkStart w:id="630" w:name="_Toc512323868"/>
      <w:r>
        <w:rPr>
          <w:rStyle w:val="CharPartNo"/>
        </w:rPr>
        <w:t>Part XIIIC</w:t>
      </w:r>
      <w:r>
        <w:rPr>
          <w:rStyle w:val="CharDivNo"/>
        </w:rPr>
        <w:t> </w:t>
      </w:r>
      <w:r>
        <w:t>—</w:t>
      </w:r>
      <w:r>
        <w:rPr>
          <w:rStyle w:val="CharDivText"/>
        </w:rPr>
        <w:t> </w:t>
      </w:r>
      <w:r>
        <w:rPr>
          <w:rStyle w:val="CharPartText"/>
        </w:rPr>
        <w:t>Anaesthetic Mortality Committee</w:t>
      </w:r>
      <w:bookmarkEnd w:id="620"/>
      <w:bookmarkEnd w:id="621"/>
      <w:bookmarkEnd w:id="622"/>
      <w:bookmarkEnd w:id="623"/>
      <w:bookmarkEnd w:id="624"/>
      <w:bookmarkEnd w:id="625"/>
      <w:bookmarkEnd w:id="626"/>
      <w:bookmarkEnd w:id="627"/>
      <w:bookmarkEnd w:id="628"/>
      <w:bookmarkEnd w:id="629"/>
      <w:bookmarkEnd w:id="630"/>
    </w:p>
    <w:p>
      <w:pPr>
        <w:pStyle w:val="Footnoteheading"/>
        <w:ind w:left="890" w:hanging="890"/>
        <w:rPr>
          <w:snapToGrid w:val="0"/>
        </w:rPr>
      </w:pPr>
      <w:r>
        <w:rPr>
          <w:snapToGrid w:val="0"/>
        </w:rPr>
        <w:tab/>
        <w:t>[Heading inserted by No. 47 of 1978 s. 36.]</w:t>
      </w:r>
    </w:p>
    <w:p>
      <w:pPr>
        <w:pStyle w:val="Heading5"/>
        <w:rPr>
          <w:snapToGrid w:val="0"/>
        </w:rPr>
      </w:pPr>
      <w:bookmarkStart w:id="631" w:name="_Toc512323869"/>
      <w:r>
        <w:rPr>
          <w:rStyle w:val="CharSectno"/>
        </w:rPr>
        <w:t>340BA</w:t>
      </w:r>
      <w:r>
        <w:rPr>
          <w:snapToGrid w:val="0"/>
        </w:rPr>
        <w:t>.</w:t>
      </w:r>
      <w:r>
        <w:rPr>
          <w:snapToGrid w:val="0"/>
        </w:rPr>
        <w:tab/>
        <w:t>Terms used</w:t>
      </w:r>
      <w:bookmarkEnd w:id="631"/>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Anaesthetic Mortality Committee constituted under this Part;</w:t>
      </w:r>
    </w:p>
    <w:p>
      <w:pPr>
        <w:pStyle w:val="Defstart"/>
      </w:pPr>
      <w:r>
        <w:rPr>
          <w:b/>
        </w:rPr>
        <w:tab/>
      </w:r>
      <w:r>
        <w:rPr>
          <w:rStyle w:val="CharDefText"/>
        </w:rPr>
        <w:t>investigator</w:t>
      </w:r>
      <w:r>
        <w:t xml:space="preserve"> means the specialist anaesthetist from time to time appointed under this Part;</w:t>
      </w:r>
    </w:p>
    <w:p>
      <w:pPr>
        <w:pStyle w:val="Defstart"/>
      </w:pPr>
      <w:r>
        <w:rPr>
          <w:b/>
        </w:rPr>
        <w:tab/>
      </w:r>
      <w:r>
        <w:rPr>
          <w:rStyle w:val="CharDefText"/>
        </w:rPr>
        <w:t>member</w:t>
      </w:r>
      <w:r>
        <w:t xml:space="preserve"> means a person appointed to be a member of the Committee, and includes the Chairperson of the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Footnotesection"/>
      </w:pPr>
      <w:r>
        <w:tab/>
        <w:t>[Section 340BA inserted by No. 47 of 1978 s. 36; amended by No. 19 of 2016 s. 68.]</w:t>
      </w:r>
    </w:p>
    <w:p>
      <w:pPr>
        <w:pStyle w:val="Heading5"/>
        <w:rPr>
          <w:snapToGrid w:val="0"/>
        </w:rPr>
      </w:pPr>
      <w:bookmarkStart w:id="632" w:name="_Toc512323870"/>
      <w:r>
        <w:rPr>
          <w:rStyle w:val="CharSectno"/>
        </w:rPr>
        <w:t>340BB</w:t>
      </w:r>
      <w:r>
        <w:rPr>
          <w:snapToGrid w:val="0"/>
        </w:rPr>
        <w:t xml:space="preserve">. </w:t>
      </w:r>
      <w:r>
        <w:rPr>
          <w:snapToGrid w:val="0"/>
        </w:rPr>
        <w:tab/>
        <w:t>Constitution and offices of Committee</w:t>
      </w:r>
      <w:bookmarkEnd w:id="632"/>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pPr>
      <w:r>
        <w:tab/>
        <w:t>(2)</w:t>
      </w:r>
      <w:r>
        <w:tab/>
        <w:t>The Committee is to consist of 12 members appointed by the Minister.</w:t>
      </w:r>
    </w:p>
    <w:p>
      <w:pPr>
        <w:pStyle w:val="Subsection"/>
      </w:pPr>
      <w:r>
        <w:tab/>
        <w:t>(3)</w:t>
      </w:r>
      <w:r>
        <w:tab/>
        <w:t xml:space="preserve">Of the persons appointed as members of the Committee — </w:t>
      </w:r>
    </w:p>
    <w:p>
      <w:pPr>
        <w:pStyle w:val="Indenta"/>
      </w:pPr>
      <w:r>
        <w:tab/>
        <w:t>(a)</w:t>
      </w:r>
      <w:r>
        <w:tab/>
        <w:t>one is to be nominated by the State Branch of the Australian and New Zealand College of Anaesthetists, and that person is the Chairperson of the Committee; and</w:t>
      </w:r>
    </w:p>
    <w:p>
      <w:pPr>
        <w:pStyle w:val="Indenta"/>
      </w:pPr>
      <w:r>
        <w:tab/>
        <w:t>(b)</w:t>
      </w:r>
      <w:r>
        <w:tab/>
        <w:t xml:space="preserve">one is to be the Professor of Anaesthesia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r>
        <w:t>; and</w:t>
      </w:r>
    </w:p>
    <w:p>
      <w:pPr>
        <w:pStyle w:val="Indenta"/>
      </w:pPr>
      <w:r>
        <w:tab/>
        <w:t>(c)</w:t>
      </w:r>
      <w:r>
        <w:tab/>
        <w:t>one is to be a medical practitioner specialising in anaesthetics, nominated by the State Branch of the Australian and New Zealand College of Anaesthetists; and</w:t>
      </w:r>
    </w:p>
    <w:p>
      <w:pPr>
        <w:pStyle w:val="Indenta"/>
      </w:pPr>
      <w:r>
        <w:tab/>
        <w:t>(d)</w:t>
      </w:r>
      <w:r>
        <w:tab/>
        <w:t>one is to be a medical practitioner specialising in anaesthetics, nominated by the Australian Medical Association (WA) Incorporated; and</w:t>
      </w:r>
    </w:p>
    <w:p>
      <w:pPr>
        <w:pStyle w:val="Indenta"/>
      </w:pPr>
      <w:r>
        <w:tab/>
        <w:t>(e)</w:t>
      </w:r>
      <w:r>
        <w:tab/>
        <w:t>one is to be a medical practitioner specialising in obstetrics and gynaecology, nominated by the Royal Australian and New Zealand College of Obstetricians and Gynaecologists (W.A. Branch); and</w:t>
      </w:r>
    </w:p>
    <w:p>
      <w:pPr>
        <w:pStyle w:val="Indenta"/>
      </w:pPr>
      <w:r>
        <w:tab/>
        <w:t>(f)</w:t>
      </w:r>
      <w:r>
        <w:tab/>
        <w:t>2 are to be general medical practitioners with at least 5 years’ experience and special interest in anaesthesia, nominated by the State Branch of the Royal Australian College of General Practitioners, of whom one practices within the metropolitan area and one outside that area; and</w:t>
      </w:r>
    </w:p>
    <w:p>
      <w:pPr>
        <w:pStyle w:val="Indenta"/>
      </w:pPr>
      <w:r>
        <w:tab/>
        <w:t>(g)</w:t>
      </w:r>
      <w:r>
        <w:tab/>
        <w:t xml:space="preserve">one is to be a medical practitioner specialising in surgery, nominated by the State Branch of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Surgeons; and</w:t>
      </w:r>
    </w:p>
    <w:p>
      <w:pPr>
        <w:pStyle w:val="Indenta"/>
      </w:pPr>
      <w:r>
        <w:tab/>
        <w:t>(h)</w:t>
      </w:r>
      <w:r>
        <w:tab/>
        <w:t>one is to be a medical practitioner, nominated by the Chief Health Officer; and</w:t>
      </w:r>
    </w:p>
    <w:p>
      <w:pPr>
        <w:pStyle w:val="Indenta"/>
      </w:pPr>
      <w:r>
        <w:tab/>
        <w:t>(i)</w:t>
      </w:r>
      <w:r>
        <w:tab/>
        <w:t>one is to be a midwife having not less than 5 years’ experience in, and currently practising, midwifery, nominated by the Chief Health Officer; and</w:t>
      </w:r>
    </w:p>
    <w:p>
      <w:pPr>
        <w:pStyle w:val="Indenta"/>
      </w:pPr>
      <w:r>
        <w:tab/>
        <w:t>(j)</w:t>
      </w:r>
      <w:r>
        <w:tab/>
        <w:t>one is to be a dental practitioner, nominated by the State Branch of the Australian Dental Association; and</w:t>
      </w:r>
    </w:p>
    <w:p>
      <w:pPr>
        <w:pStyle w:val="Indenta"/>
      </w:pPr>
      <w:r>
        <w:tab/>
        <w:t>(k)</w:t>
      </w:r>
      <w:r>
        <w:tab/>
        <w:t xml:space="preserve">one is to be the Professor of Clinical Pharmacology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r>
        <w:t>.</w:t>
      </w:r>
    </w:p>
    <w:p>
      <w:pPr>
        <w:pStyle w:val="Footnotesection"/>
      </w:pPr>
      <w:r>
        <w:tab/>
        <w:t>[Section 340BB inserted by No. 47 of 1978 s. 36; amended by No. 30 of 1982 s. 16; No. 27 of 1992 s. 84; No. 10 of 1998 s. 39(7) and (9); No. 24 of 2000 s. 16(3); No. 28 of 2006 s. 251; No. 8 of 2009 s. 71(4); No. 19 of 2016 s. 69.]</w:t>
      </w:r>
    </w:p>
    <w:p>
      <w:pPr>
        <w:pStyle w:val="Heading5"/>
        <w:pageBreakBefore/>
        <w:spacing w:before="100"/>
        <w:rPr>
          <w:snapToGrid w:val="0"/>
        </w:rPr>
      </w:pPr>
      <w:bookmarkStart w:id="633" w:name="_Toc512323871"/>
      <w:r>
        <w:rPr>
          <w:rStyle w:val="CharSectno"/>
        </w:rPr>
        <w:t>340BC</w:t>
      </w:r>
      <w:r>
        <w:rPr>
          <w:snapToGrid w:val="0"/>
        </w:rPr>
        <w:t xml:space="preserve">. </w:t>
      </w:r>
      <w:r>
        <w:rPr>
          <w:snapToGrid w:val="0"/>
        </w:rPr>
        <w:tab/>
        <w:t>Appointment of deputies</w:t>
      </w:r>
      <w:bookmarkEnd w:id="633"/>
    </w:p>
    <w:p>
      <w:pPr>
        <w:pStyle w:val="Subsection"/>
        <w:spacing w:before="200"/>
        <w:rPr>
          <w:snapToGrid w:val="0"/>
        </w:rPr>
      </w:pPr>
      <w:r>
        <w:rPr>
          <w:snapToGrid w:val="0"/>
        </w:rPr>
        <w:tab/>
        <w:t>(1)</w:t>
      </w:r>
      <w:r>
        <w:rPr>
          <w:snapToGrid w:val="0"/>
        </w:rPr>
        <w:tab/>
        <w:t xml:space="preserve">The Minister may appoint persons as deputies to act in the respective places of the </w:t>
      </w:r>
      <w:r>
        <w:t xml:space="preserve">Chairperson </w:t>
      </w:r>
      <w:r>
        <w:rPr>
          <w:snapToGrid w:val="0"/>
        </w:rPr>
        <w:t>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200"/>
        <w:rPr>
          <w:snapToGrid w:val="0"/>
        </w:rPr>
      </w:pPr>
      <w:r>
        <w:rPr>
          <w:snapToGrid w:val="0"/>
        </w:rPr>
        <w:tab/>
        <w:t>(2)</w:t>
      </w:r>
      <w:r>
        <w:rPr>
          <w:snapToGrid w:val="0"/>
        </w:rPr>
        <w:tab/>
        <w:t xml:space="preserve">Where a member is required under section 340BB to be nominated by a specified body, a person is not eligible for appointment as a deputy of that member of the Committee unless he </w:t>
      </w:r>
      <w:r>
        <w:t>or she</w:t>
      </w:r>
      <w:r>
        <w:rPr>
          <w:snapToGrid w:val="0"/>
        </w:rPr>
        <w:t xml:space="preserve"> is nominated as deputy by that body or unless he </w:t>
      </w:r>
      <w:r>
        <w:t>or she</w:t>
      </w:r>
      <w:r>
        <w:rPr>
          <w:snapToGrid w:val="0"/>
        </w:rPr>
        <w:t xml:space="preserve"> is appointed by the Minister under the provisions of section 340BD(3).</w:t>
      </w:r>
    </w:p>
    <w:p>
      <w:pPr>
        <w:pStyle w:val="Footnotesection"/>
      </w:pPr>
      <w:r>
        <w:tab/>
        <w:t>[Section 340BC inserted by No. 47 of 1978 s. 36; amended by No. 19 of 2016 s. 70.]</w:t>
      </w:r>
    </w:p>
    <w:p>
      <w:pPr>
        <w:pStyle w:val="Heading5"/>
        <w:spacing w:before="180"/>
        <w:rPr>
          <w:snapToGrid w:val="0"/>
        </w:rPr>
      </w:pPr>
      <w:bookmarkStart w:id="634" w:name="_Toc512323872"/>
      <w:r>
        <w:rPr>
          <w:rStyle w:val="CharSectno"/>
        </w:rPr>
        <w:t>340BD</w:t>
      </w:r>
      <w:r>
        <w:rPr>
          <w:snapToGrid w:val="0"/>
        </w:rPr>
        <w:t xml:space="preserve">. </w:t>
      </w:r>
      <w:r>
        <w:rPr>
          <w:snapToGrid w:val="0"/>
        </w:rPr>
        <w:tab/>
        <w:t>Nominations to be made to Minister</w:t>
      </w:r>
      <w:bookmarkEnd w:id="634"/>
    </w:p>
    <w:p>
      <w:pPr>
        <w:pStyle w:val="Subsection"/>
        <w:spacing w:before="200"/>
      </w:pPr>
      <w:r>
        <w:tab/>
        <w:t>(1)</w:t>
      </w:r>
      <w:r>
        <w:tab/>
        <w:t>The bodies mentioned in section 340BB(3) must nominate to the Minister, when he or she so requests, or when a vacancy occurs in accordance with section 340BF, one or more appropriately qualified persons to become members of the Committee.</w:t>
      </w:r>
    </w:p>
    <w:p>
      <w:pPr>
        <w:pStyle w:val="Subsection"/>
        <w:spacing w:before="200"/>
        <w:rPr>
          <w:snapToGrid w:val="0"/>
        </w:rPr>
      </w:pPr>
      <w:r>
        <w:rPr>
          <w:snapToGrid w:val="0"/>
        </w:rPr>
        <w:tab/>
        <w:t>(2)</w:t>
      </w:r>
      <w:r>
        <w:rPr>
          <w:snapToGrid w:val="0"/>
        </w:rPr>
        <w:tab/>
        <w:t xml:space="preserve">Without affecting the generality of the power conferred by subsection (1) the Minister may from time to time as occasion requires request a body referred to in </w:t>
      </w:r>
      <w:r>
        <w:t xml:space="preserve">section 340BB(3) </w:t>
      </w:r>
      <w:r>
        <w:rPr>
          <w:snapToGrid w:val="0"/>
        </w:rPr>
        <w:t>to nominate, within a specified period, for appointment as a member of the Committee, or as a deputy member, any number of persons not exceeding 3, and may appoint such one as he</w:t>
      </w:r>
      <w:r>
        <w:t xml:space="preserve"> or she</w:t>
      </w:r>
      <w:r>
        <w:rPr>
          <w:snapToGrid w:val="0"/>
        </w:rPr>
        <w:t xml:space="preserve"> thinks fit.</w:t>
      </w:r>
    </w:p>
    <w:p>
      <w:pPr>
        <w:pStyle w:val="Subsection"/>
        <w:keepNext/>
        <w:spacing w:before="200"/>
        <w:rPr>
          <w:snapToGrid w:val="0"/>
        </w:rPr>
      </w:pPr>
      <w:r>
        <w:rPr>
          <w:snapToGrid w:val="0"/>
        </w:rPr>
        <w:tab/>
        <w:t>(3)</w:t>
      </w:r>
      <w:r>
        <w:rPr>
          <w:snapToGrid w:val="0"/>
        </w:rPr>
        <w:tab/>
        <w:t>If no nomination is made within the period specified by the Minister, he</w:t>
      </w:r>
      <w:r>
        <w:t xml:space="preserve"> or she</w:t>
      </w:r>
      <w:r>
        <w:rPr>
          <w:snapToGrid w:val="0"/>
        </w:rPr>
        <w:t xml:space="preserve"> may appoint such a person or persons as he</w:t>
      </w:r>
      <w:r>
        <w:t xml:space="preserve"> or she</w:t>
      </w:r>
      <w:r>
        <w:rPr>
          <w:snapToGrid w:val="0"/>
        </w:rPr>
        <w:t xml:space="preserve"> thinks fit to fill the office or to be a deputy as the case may be.</w:t>
      </w:r>
    </w:p>
    <w:p>
      <w:pPr>
        <w:pStyle w:val="Footnotesection"/>
      </w:pPr>
      <w:r>
        <w:tab/>
        <w:t>[Section 340BD inserted by No. 47 of 1978 s. 36; amended by No. 19 of 2016 s. 71.]</w:t>
      </w:r>
    </w:p>
    <w:p>
      <w:pPr>
        <w:pStyle w:val="Heading5"/>
        <w:rPr>
          <w:snapToGrid w:val="0"/>
        </w:rPr>
      </w:pPr>
      <w:bookmarkStart w:id="635" w:name="_Toc512323873"/>
      <w:r>
        <w:rPr>
          <w:rStyle w:val="CharSectno"/>
        </w:rPr>
        <w:t>340BE</w:t>
      </w:r>
      <w:r>
        <w:rPr>
          <w:snapToGrid w:val="0"/>
        </w:rPr>
        <w:t xml:space="preserve">. </w:t>
      </w:r>
      <w:r>
        <w:rPr>
          <w:snapToGrid w:val="0"/>
        </w:rPr>
        <w:tab/>
        <w:t>Tenure of office</w:t>
      </w:r>
      <w:bookmarkEnd w:id="635"/>
    </w:p>
    <w:p>
      <w:pPr>
        <w:pStyle w:val="Subsection"/>
        <w:rPr>
          <w:snapToGrid w:val="0"/>
        </w:rPr>
      </w:pPr>
      <w:r>
        <w:rPr>
          <w:snapToGrid w:val="0"/>
        </w:rPr>
        <w:tab/>
        <w:t>(1)</w:t>
      </w:r>
      <w:r>
        <w:rPr>
          <w:snapToGrid w:val="0"/>
        </w:rPr>
        <w:tab/>
        <w:t xml:space="preserve">The term of tenure of office of a person appointed as a member of the Committee (other than the Chairperson)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w:t>
      </w:r>
      <w:r>
        <w:t xml:space="preserve">Chairperson </w:t>
      </w:r>
      <w:r>
        <w:rPr>
          <w:snapToGrid w:val="0"/>
        </w:rPr>
        <w:t>the period shall be 4 years.</w:t>
      </w:r>
    </w:p>
    <w:p>
      <w:pPr>
        <w:pStyle w:val="Ednotesubsection"/>
      </w:pPr>
      <w:r>
        <w:tab/>
        <w:t>[(2)</w:t>
      </w:r>
      <w:r>
        <w:tab/>
        <w:t>deleted]</w:t>
      </w:r>
    </w:p>
    <w:p>
      <w:pPr>
        <w:pStyle w:val="Footnotesection"/>
      </w:pPr>
      <w:r>
        <w:tab/>
        <w:t>[Section 340BE inserted by No. 47 of 1978 s. 36; amended by No. 19 of 2016 s. 72.]</w:t>
      </w:r>
    </w:p>
    <w:p>
      <w:pPr>
        <w:pStyle w:val="Heading5"/>
      </w:pPr>
      <w:bookmarkStart w:id="636" w:name="_Toc512323874"/>
      <w:r>
        <w:rPr>
          <w:rStyle w:val="CharSectno"/>
        </w:rPr>
        <w:t>340BF</w:t>
      </w:r>
      <w:r>
        <w:t>.</w:t>
      </w:r>
      <w:r>
        <w:tab/>
        <w:t>When office of member becomes vacant</w:t>
      </w:r>
      <w:bookmarkEnd w:id="636"/>
    </w:p>
    <w:p>
      <w:pPr>
        <w:pStyle w:val="Subsection"/>
      </w:pPr>
      <w:r>
        <w:tab/>
        <w:t>(1)</w:t>
      </w:r>
      <w:r>
        <w:tab/>
        <w:t xml:space="preserve">The office of a member of the Committee becomes vacant if — </w:t>
      </w:r>
    </w:p>
    <w:p>
      <w:pPr>
        <w:pStyle w:val="Indenta"/>
      </w:pPr>
      <w:r>
        <w:tab/>
        <w:t>(a)</w:t>
      </w:r>
      <w:r>
        <w:tab/>
        <w:t>he or she dies; or</w:t>
      </w:r>
    </w:p>
    <w:p>
      <w:pPr>
        <w:pStyle w:val="Indenta"/>
      </w:pPr>
      <w:r>
        <w:tab/>
        <w:t>(b)</w:t>
      </w:r>
      <w:r>
        <w:tab/>
        <w:t>he or she resigns by written notice given to the Minister; or</w:t>
      </w:r>
    </w:p>
    <w:p>
      <w:pPr>
        <w:pStyle w:val="Indenta"/>
      </w:pPr>
      <w:r>
        <w:tab/>
        <w:t>(c)</w:t>
      </w:r>
      <w:r>
        <w:tab/>
        <w:t xml:space="preserve">his or her term of office expires by effluxion of time, unless he or she — </w:t>
      </w:r>
    </w:p>
    <w:p>
      <w:pPr>
        <w:pStyle w:val="Indenti"/>
      </w:pPr>
      <w:r>
        <w:tab/>
        <w:t>(i)</w:t>
      </w:r>
      <w:r>
        <w:tab/>
        <w:t>continues to hold office under subsection (3); or</w:t>
      </w:r>
    </w:p>
    <w:p>
      <w:pPr>
        <w:pStyle w:val="Indenti"/>
      </w:pPr>
      <w:r>
        <w:tab/>
        <w:t>(ii)</w:t>
      </w:r>
      <w:r>
        <w:tab/>
        <w:t>is reappointed;</w:t>
      </w:r>
    </w:p>
    <w:p>
      <w:pPr>
        <w:pStyle w:val="Indenta"/>
      </w:pPr>
      <w:r>
        <w:tab/>
      </w:r>
      <w:r>
        <w:tab/>
        <w:t>or</w:t>
      </w:r>
    </w:p>
    <w:p>
      <w:pPr>
        <w:pStyle w:val="Indenta"/>
      </w:pPr>
      <w:r>
        <w:tab/>
        <w:t>(d)</w:t>
      </w:r>
      <w:r>
        <w:tab/>
        <w:t>the member’s appointment is terminated under subsection (2); or</w:t>
      </w:r>
    </w:p>
    <w:p>
      <w:pPr>
        <w:pStyle w:val="Indenta"/>
      </w:pPr>
      <w:r>
        <w:tab/>
        <w:t>(e)</w:t>
      </w:r>
      <w:r>
        <w:tab/>
        <w:t>in the case of the member referred to in section 340BB(3)(a), the Minister terminates the term of tenure of his or her office; or</w:t>
      </w:r>
    </w:p>
    <w:p>
      <w:pPr>
        <w:pStyle w:val="Indenta"/>
      </w:pPr>
      <w:r>
        <w:tab/>
        <w:t>(f)</w:t>
      </w:r>
      <w:r>
        <w:tab/>
        <w:t xml:space="preserve">he or she is, according to the </w:t>
      </w:r>
      <w:r>
        <w:rPr>
          <w:i/>
        </w:rPr>
        <w:t>Interpretation Act 1984</w:t>
      </w:r>
      <w:r>
        <w:t xml:space="preserve"> section 13D, a bankrupt or a person whose affairs are under insolvency laws.</w:t>
      </w:r>
    </w:p>
    <w:p>
      <w:pPr>
        <w:pStyle w:val="Subsection"/>
      </w:pPr>
      <w:r>
        <w:tab/>
        <w:t>(2)</w:t>
      </w:r>
      <w:r>
        <w:tab/>
        <w:t xml:space="preserve">The Minister may, by written notice given to a member, terminate the appointment of the member — </w:t>
      </w:r>
    </w:p>
    <w:p>
      <w:pPr>
        <w:pStyle w:val="Indenta"/>
      </w:pPr>
      <w:r>
        <w:tab/>
        <w:t>(a)</w:t>
      </w:r>
      <w:r>
        <w:tab/>
        <w:t xml:space="preserve">if, in the opinion of the Minister,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keepNext/>
      </w:pPr>
      <w:r>
        <w:tab/>
        <w:t>(iii)</w:t>
      </w:r>
      <w:r>
        <w:tab/>
        <w:t>absence from the State;</w:t>
      </w:r>
    </w:p>
    <w:p>
      <w:pPr>
        <w:pStyle w:val="Indenta"/>
      </w:pPr>
      <w:r>
        <w:tab/>
      </w:r>
      <w:r>
        <w:tab/>
        <w:t>or</w:t>
      </w:r>
    </w:p>
    <w:p>
      <w:pPr>
        <w:pStyle w:val="Indenta"/>
      </w:pPr>
      <w:r>
        <w:tab/>
        <w:t>(b)</w:t>
      </w:r>
      <w:r>
        <w:tab/>
        <w:t>if, in the opinion of the Minister, the member misbehaves, neglects his or her duties or is incompetent; or</w:t>
      </w:r>
    </w:p>
    <w:p>
      <w:pPr>
        <w:pStyle w:val="Indenta"/>
      </w:pPr>
      <w:r>
        <w:tab/>
        <w:t>(c)</w:t>
      </w:r>
      <w:r>
        <w:tab/>
        <w:t>if the member is absent, without leave and without reasonable excuse, from 3 consecutive meetings of the Committee of which the member had notice.</w:t>
      </w:r>
    </w:p>
    <w:p>
      <w:pPr>
        <w:pStyle w:val="Subsection"/>
      </w:pPr>
      <w:r>
        <w:tab/>
        <w:t>(3)</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(4)</w:t>
      </w:r>
      <w:r>
        <w:tab/>
        <w:t>However, a member cannot continue in office under subsection (3) for longer than 3 months.</w:t>
      </w:r>
    </w:p>
    <w:p>
      <w:pPr>
        <w:pStyle w:val="Footnotesection"/>
      </w:pPr>
      <w:r>
        <w:tab/>
        <w:t>[Section 340BF inserted by No. 19 of 2016 s. 73.]</w:t>
      </w:r>
    </w:p>
    <w:p>
      <w:pPr>
        <w:pStyle w:val="Heading5"/>
        <w:pageBreakBefore/>
        <w:spacing w:before="0"/>
        <w:rPr>
          <w:snapToGrid w:val="0"/>
        </w:rPr>
      </w:pPr>
      <w:bookmarkStart w:id="637" w:name="_Toc512323875"/>
      <w:r>
        <w:rPr>
          <w:rStyle w:val="CharSectno"/>
        </w:rPr>
        <w:t>340BG</w:t>
      </w:r>
      <w:r>
        <w:rPr>
          <w:snapToGrid w:val="0"/>
        </w:rPr>
        <w:t xml:space="preserve">. </w:t>
      </w:r>
      <w:r>
        <w:rPr>
          <w:snapToGrid w:val="0"/>
        </w:rPr>
        <w:tab/>
        <w:t>Vacancies in offices of members to be filled</w:t>
      </w:r>
      <w:bookmarkEnd w:id="637"/>
    </w:p>
    <w:p>
      <w:pPr>
        <w:pStyle w:val="Subsection"/>
      </w:pPr>
      <w:r>
        <w:tab/>
        <w:t>(1)</w:t>
      </w:r>
      <w:r>
        <w:tab/>
        <w:t>When a vacancy occurs in the office of a member of the Committee, the Minister is to appoint a person to fill the vacancy.</w:t>
      </w:r>
    </w:p>
    <w:p>
      <w:pPr>
        <w:pStyle w:val="Subsection"/>
      </w:pPr>
      <w:r>
        <w:tab/>
        <w:t>(2)</w:t>
      </w:r>
      <w:r>
        <w:tab/>
        <w:t>If, under section 340BB(3), a specified body has the right to nominate that member, the Minister is not to appoint a person unless he or she is nominated by the appropriate body mentioned in that section, or unless section 340BD(3) applies to the office.</w:t>
      </w:r>
    </w:p>
    <w:p>
      <w:pPr>
        <w:pStyle w:val="Subsection"/>
        <w:rPr>
          <w:snapToGrid w:val="0"/>
        </w:rPr>
      </w:pPr>
      <w:r>
        <w:rPr>
          <w:snapToGrid w:val="0"/>
        </w:rPr>
        <w:tab/>
        <w:t>(3)</w:t>
      </w:r>
      <w:r>
        <w:rPr>
          <w:snapToGrid w:val="0"/>
        </w:rPr>
        <w:tab/>
        <w:t xml:space="preserve">A person is not rendered ineligible for appointment to the office of member or as a deputy because he </w:t>
      </w:r>
      <w:r>
        <w:t>or she</w:t>
      </w:r>
      <w:r>
        <w:rPr>
          <w:snapToGrid w:val="0"/>
        </w:rPr>
        <w:t xml:space="preserve"> has previously occupied office as such.</w:t>
      </w:r>
    </w:p>
    <w:p>
      <w:pPr>
        <w:pStyle w:val="Footnotesection"/>
      </w:pPr>
      <w:r>
        <w:tab/>
        <w:t>[Section 340BG inserted by No. 47 of 1978 s. 36; amended by No. 19 of 2016 s. 74.]</w:t>
      </w:r>
    </w:p>
    <w:p>
      <w:pPr>
        <w:pStyle w:val="Heading5"/>
      </w:pPr>
      <w:bookmarkStart w:id="638" w:name="_Toc512323876"/>
      <w:r>
        <w:rPr>
          <w:rStyle w:val="CharSectno"/>
        </w:rPr>
        <w:t>340BH</w:t>
      </w:r>
      <w:r>
        <w:t>.</w:t>
      </w:r>
      <w:r>
        <w:tab/>
        <w:t>Meetings and procedure of Committee</w:t>
      </w:r>
      <w:bookmarkEnd w:id="638"/>
    </w:p>
    <w:p>
      <w:pPr>
        <w:pStyle w:val="Subsection"/>
      </w:pPr>
      <w:r>
        <w:tab/>
        <w:t>(1)</w:t>
      </w:r>
      <w:r>
        <w:tab/>
        <w:t>The Committee is to hold the meetings that are necessary for the performance of its functions.</w:t>
      </w:r>
    </w:p>
    <w:p>
      <w:pPr>
        <w:pStyle w:val="Subsection"/>
      </w:pPr>
      <w:r>
        <w:tab/>
        <w:t>(2)</w:t>
      </w:r>
      <w:r>
        <w:tab/>
        <w:t>At any meeting of the Committee, 6 members of the Committee or their respective deputies, of whom one is to be the Chairperson or his or her deputy, constitute a quorum.</w:t>
      </w:r>
    </w:p>
    <w:p>
      <w:pPr>
        <w:pStyle w:val="Subsection"/>
      </w:pPr>
      <w:r>
        <w:tab/>
        <w:t>(3)</w:t>
      </w:r>
      <w:r>
        <w:tab/>
        <w:t xml:space="preserve">A meeting of the Committee may be held — </w:t>
      </w:r>
    </w:p>
    <w:p>
      <w:pPr>
        <w:pStyle w:val="Indenta"/>
      </w:pPr>
      <w:r>
        <w:tab/>
        <w:t>(a)</w:t>
      </w:r>
      <w:r>
        <w:tab/>
        <w:t>by a quorum of the members assembled together at the time and place appointed for the meeting; or</w:t>
      </w:r>
    </w:p>
    <w:p>
      <w:pPr>
        <w:pStyle w:val="Indenta"/>
      </w:pPr>
      <w:r>
        <w:tab/>
        <w:t>(b)</w:t>
      </w:r>
      <w:r>
        <w:tab/>
        <w:t>by telephone or audio</w:t>
      </w:r>
      <w:r>
        <w:noBreakHyphen/>
        <w:t xml:space="preserve">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pPr>
      <w:r>
        <w:tab/>
        <w:t>(4)</w:t>
      </w:r>
      <w:r>
        <w:tab/>
        <w:t>Subject to this section, the Committee may regulate its own procedure in whatever manner it thinks fit.</w:t>
      </w:r>
    </w:p>
    <w:p>
      <w:pPr>
        <w:pStyle w:val="Subsection"/>
      </w:pPr>
      <w:r>
        <w:tab/>
        <w:t>(5)</w:t>
      </w:r>
      <w:r>
        <w:tab/>
        <w:t xml:space="preserve">Nothing done by the Committee is invalid or defective on the ground only that, when done, there was — </w:t>
      </w:r>
    </w:p>
    <w:p>
      <w:pPr>
        <w:pStyle w:val="Indenta"/>
      </w:pPr>
      <w:r>
        <w:tab/>
        <w:t>(a)</w:t>
      </w:r>
      <w:r>
        <w:tab/>
        <w:t>a vacancy in the office of any member; or</w:t>
      </w:r>
    </w:p>
    <w:p>
      <w:pPr>
        <w:pStyle w:val="Indenta"/>
      </w:pPr>
      <w:r>
        <w:tab/>
        <w:t>(b)</w:t>
      </w:r>
      <w:r>
        <w:tab/>
        <w:t>a defect in the appointment of any member or any deputy of a member.</w:t>
      </w:r>
    </w:p>
    <w:p>
      <w:pPr>
        <w:pStyle w:val="Footnotesection"/>
      </w:pPr>
      <w:r>
        <w:tab/>
        <w:t>[Section 340BH inserted by No. 19 of 2016 s. 75.]</w:t>
      </w:r>
    </w:p>
    <w:p>
      <w:pPr>
        <w:pStyle w:val="Heading5"/>
        <w:rPr>
          <w:snapToGrid w:val="0"/>
        </w:rPr>
      </w:pPr>
      <w:bookmarkStart w:id="639" w:name="_Toc512323877"/>
      <w:r>
        <w:rPr>
          <w:rStyle w:val="CharSectno"/>
        </w:rPr>
        <w:t>340BI</w:t>
      </w:r>
      <w:r>
        <w:rPr>
          <w:snapToGrid w:val="0"/>
        </w:rPr>
        <w:t xml:space="preserve">. </w:t>
      </w:r>
      <w:r>
        <w:rPr>
          <w:snapToGrid w:val="0"/>
        </w:rPr>
        <w:tab/>
        <w:t>Reimbursement of expenses of members</w:t>
      </w:r>
      <w:bookmarkEnd w:id="639"/>
    </w:p>
    <w:p>
      <w:pPr>
        <w:pStyle w:val="Subsection"/>
        <w:rPr>
          <w:snapToGrid w:val="0"/>
        </w:rPr>
      </w:pPr>
      <w:r>
        <w:rPr>
          <w:snapToGrid w:val="0"/>
        </w:rPr>
        <w:tab/>
      </w:r>
      <w:r>
        <w:rPr>
          <w:snapToGrid w:val="0"/>
        </w:rPr>
        <w:tab/>
        <w:t xml:space="preserve">The </w:t>
      </w:r>
      <w:r>
        <w:t>Chairperson</w:t>
      </w:r>
      <w:r>
        <w:rPr>
          <w:snapToGrid w:val="0"/>
        </w:rPr>
        <w:t xml:space="preserve">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 amended by No. 19 of 2016 s. 76.]</w:t>
      </w:r>
    </w:p>
    <w:p>
      <w:pPr>
        <w:pStyle w:val="Heading5"/>
        <w:spacing w:before="180"/>
        <w:rPr>
          <w:snapToGrid w:val="0"/>
        </w:rPr>
      </w:pPr>
      <w:bookmarkStart w:id="640" w:name="_Toc512323878"/>
      <w:r>
        <w:rPr>
          <w:rStyle w:val="CharSectno"/>
        </w:rPr>
        <w:t>340BJ</w:t>
      </w:r>
      <w:r>
        <w:rPr>
          <w:snapToGrid w:val="0"/>
        </w:rPr>
        <w:t xml:space="preserve">. </w:t>
      </w:r>
      <w:r>
        <w:rPr>
          <w:snapToGrid w:val="0"/>
        </w:rPr>
        <w:tab/>
        <w:t>Appointment of investigator</w:t>
      </w:r>
      <w:bookmarkEnd w:id="640"/>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 xml:space="preserve">The Minister may at any time appoint a person having the necessary qualifications to act, and who shall act, as investigator during the absence of the investigator appointed under subsection (1), or where through any cause such investigator is unable to perform the functions of his </w:t>
      </w:r>
      <w:r>
        <w:t>or her</w:t>
      </w:r>
      <w:r>
        <w:rPr>
          <w:snapToGrid w:val="0"/>
        </w:rPr>
        <w:t xml:space="preserve"> office, or during any vacancy in that office.</w:t>
      </w:r>
    </w:p>
    <w:p>
      <w:pPr>
        <w:pStyle w:val="Footnotesection"/>
      </w:pPr>
      <w:r>
        <w:tab/>
        <w:t>[Section 340BJ inserted by No. 47 of 1978 s. 36; amended by No. 19 of 2016 s. 77.]</w:t>
      </w:r>
    </w:p>
    <w:p>
      <w:pPr>
        <w:pStyle w:val="Heading5"/>
      </w:pPr>
      <w:bookmarkStart w:id="641" w:name="_Toc512323879"/>
      <w:r>
        <w:rPr>
          <w:rStyle w:val="CharSectno"/>
        </w:rPr>
        <w:t>340BK</w:t>
      </w:r>
      <w:r>
        <w:t>.</w:t>
      </w:r>
      <w:r>
        <w:tab/>
        <w:t>Functions of Committee</w:t>
      </w:r>
      <w:bookmarkEnd w:id="641"/>
    </w:p>
    <w:p>
      <w:pPr>
        <w:pStyle w:val="Subsection"/>
      </w:pPr>
      <w:r>
        <w:tab/>
        <w:t>(1)</w:t>
      </w:r>
      <w:r>
        <w:tab/>
        <w:t xml:space="preserve">Whenever an investigator presents to the Chairperson of the Committee a report under section 336B, the Chairperson — </w:t>
      </w:r>
    </w:p>
    <w:p>
      <w:pPr>
        <w:pStyle w:val="Indenta"/>
      </w:pPr>
      <w:r>
        <w:tab/>
        <w:t>(a)</w:t>
      </w:r>
      <w:r>
        <w:tab/>
        <w:t>must consider the report; and</w:t>
      </w:r>
    </w:p>
    <w:p>
      <w:pPr>
        <w:pStyle w:val="Indenta"/>
      </w:pPr>
      <w:r>
        <w:tab/>
        <w:t>(b)</w:t>
      </w:r>
      <w:r>
        <w:tab/>
        <w:t>having regard to the circumstances disclosed by the report and the nature of the medical case history of the deceased, may notify the Chief Health Officer of the receipt of the report.</w:t>
      </w:r>
    </w:p>
    <w:p>
      <w:pPr>
        <w:pStyle w:val="Subsection"/>
      </w:pPr>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p>
    <w:p>
      <w:pPr>
        <w:pStyle w:val="Subsection"/>
      </w:pPr>
      <w:r>
        <w:tab/>
        <w:t>(3)</w:t>
      </w:r>
      <w:r>
        <w:tab/>
        <w:t>The Committee must consider the report of the investigator, and for the purpose of assisting it in its consideration may co</w:t>
      </w:r>
      <w:r>
        <w:noBreakHyphen/>
        <w:t>opt any medical practitioners, dental practitioners, nurses, midwives or other persons with specialised knowledge the Committee thinks necessary.</w:t>
      </w:r>
    </w:p>
    <w:p>
      <w:pPr>
        <w:pStyle w:val="Subsection"/>
      </w:pPr>
      <w:r>
        <w:tab/>
        <w:t>(4)</w:t>
      </w:r>
      <w:r>
        <w:tab/>
        <w:t>On its consideration of the report, the Committee must determine whether in the opinion of the Committee the death the subject of the report might have been avoided, and may add to its determination any constructive comments the Committee considers advisable for the future assistance and guidance of medical practitioners, dental practitioners, nurses and midwives.</w:t>
      </w:r>
    </w:p>
    <w:p>
      <w:pPr>
        <w:pStyle w:val="Subsection"/>
      </w:pPr>
      <w:r>
        <w:tab/>
        <w:t>(5)</w:t>
      </w:r>
      <w:r>
        <w:tab/>
        <w:t xml:space="preserve">The determination of the Committee, including the comments referred to in subsection (4) — </w:t>
      </w:r>
    </w:p>
    <w:p>
      <w:pPr>
        <w:pStyle w:val="Indenta"/>
      </w:pPr>
      <w:r>
        <w:tab/>
        <w:t>(a)</w:t>
      </w:r>
      <w:r>
        <w:tab/>
        <w:t xml:space="preserve">must be notified in writing by the Chairperson to — </w:t>
      </w:r>
    </w:p>
    <w:p>
      <w:pPr>
        <w:pStyle w:val="Indenti"/>
      </w:pPr>
      <w:r>
        <w:tab/>
        <w:t>(i)</w:t>
      </w:r>
      <w:r>
        <w:tab/>
        <w:t>the medical practitioner or dental practitioner, or each medical practitioner or dental practitioner, (if any) who was attending the deceased at the time of the occurrence of the death; and</w:t>
      </w:r>
    </w:p>
    <w:p>
      <w:pPr>
        <w:pStyle w:val="Indenti"/>
        <w:keepNext/>
      </w:pPr>
      <w:r>
        <w:tab/>
        <w:t>(ii)</w:t>
      </w:r>
      <w:r>
        <w:tab/>
        <w:t>the nurse or midwife (if any) who was attending the deceased at that time;</w:t>
      </w:r>
    </w:p>
    <w:p>
      <w:pPr>
        <w:pStyle w:val="Indenta"/>
      </w:pPr>
      <w:r>
        <w:tab/>
      </w:r>
      <w:r>
        <w:tab/>
        <w:t>and</w:t>
      </w:r>
    </w:p>
    <w:p>
      <w:pPr>
        <w:pStyle w:val="Indenta"/>
      </w:pPr>
      <w:r>
        <w:tab/>
        <w:t>(b)</w:t>
      </w:r>
      <w:r>
        <w:tab/>
        <w:t>may be notified in writing by the Chairperson to any other medical practitioner, dental practitioner, nurse or midwife who attended the deceased before the occurrence of the death if the Committee considers that that medical practitioner, dental practitioner, nurse or midwife should be informed of that determination and those comments.</w:t>
      </w:r>
    </w:p>
    <w:p>
      <w:pPr>
        <w:pStyle w:val="Footnotesection"/>
      </w:pPr>
      <w:r>
        <w:tab/>
        <w:t>[Section 340BK inserted by No. 19 of 2016 s. 78.]</w:t>
      </w:r>
    </w:p>
    <w:p>
      <w:pPr>
        <w:pStyle w:val="Heading5"/>
      </w:pPr>
      <w:bookmarkStart w:id="642" w:name="_Toc512323880"/>
      <w:r>
        <w:rPr>
          <w:rStyle w:val="CharSectno"/>
        </w:rPr>
        <w:t>340BLA</w:t>
      </w:r>
      <w:r>
        <w:t>. Further provisions relating to proceedings of Committee</w:t>
      </w:r>
      <w:bookmarkEnd w:id="642"/>
    </w:p>
    <w:p>
      <w:pPr>
        <w:pStyle w:val="Subsection"/>
      </w:pPr>
      <w:r>
        <w:tab/>
        <w:t>(1)</w:t>
      </w:r>
      <w:r>
        <w:tab/>
        <w:t>As soon as practicable after the Committee has made a determination under section 340BK, the Chairperson must forward to the Chief Health Officer all records, reports, statements, memoranda and other documents submitted to and considered by the Committee in making that determination.</w:t>
      </w:r>
    </w:p>
    <w:p>
      <w:pPr>
        <w:pStyle w:val="Subsection"/>
      </w:pPr>
      <w:r>
        <w:tab/>
        <w:t>(2)</w:t>
      </w:r>
      <w:r>
        <w:tab/>
        <w:t>The Chief Health Officer is to have the care and control of those records, reports, statements, memoranda and other documents, and is to keep them, or cause them to be kept, in safe custody.</w:t>
      </w:r>
    </w:p>
    <w:p>
      <w:pPr>
        <w:pStyle w:val="Subsection"/>
      </w:pPr>
      <w:r>
        <w:tab/>
        <w:t>(3)</w:t>
      </w:r>
      <w:r>
        <w:tab/>
        <w:t>Except as provided by this Part and with the Chief Health Officer’s permission in writing, the Chief Health Officer must not permit any of those records, reports, statements, memoranda or other documents to be inspected.</w:t>
      </w:r>
    </w:p>
    <w:p>
      <w:pPr>
        <w:pStyle w:val="Subsection"/>
      </w:pPr>
      <w:r>
        <w:tab/>
        <w:t>(4)</w:t>
      </w:r>
      <w:r>
        <w:tab/>
        <w:t>The Chairperson must forward to the Chief Health Officer a summary of the cases investigated by the investigator and considered by the Committee during each year.</w:t>
      </w:r>
    </w:p>
    <w:p>
      <w:pPr>
        <w:pStyle w:val="Footnotesection"/>
      </w:pPr>
      <w:r>
        <w:tab/>
        <w:t>[Section 340BLA inserted by No. 19 of 2016 s. 78.]</w:t>
      </w:r>
    </w:p>
    <w:p>
      <w:pPr>
        <w:pStyle w:val="Heading5"/>
      </w:pPr>
      <w:bookmarkStart w:id="643" w:name="_Toc512323881"/>
      <w:r>
        <w:rPr>
          <w:rStyle w:val="CharSectno"/>
        </w:rPr>
        <w:t>340BLB</w:t>
      </w:r>
      <w:r>
        <w:t>. Contents of notification confidential</w:t>
      </w:r>
      <w:bookmarkEnd w:id="643"/>
    </w:p>
    <w:p>
      <w:pPr>
        <w:pStyle w:val="Subsection"/>
      </w:pPr>
      <w:r>
        <w:tab/>
        <w:t>(1)</w:t>
      </w:r>
      <w:r>
        <w:tab/>
        <w:t>The contents of a notification made under section 340BK(5) are not admissible in any court or before any tribunal, board or person in any action, cause or inquiry of any kind whatever.</w:t>
      </w:r>
    </w:p>
    <w:p>
      <w:pPr>
        <w:pStyle w:val="Subsection"/>
      </w:pPr>
      <w:r>
        <w:tab/>
        <w:t>(2)</w:t>
      </w:r>
      <w:r>
        <w:tab/>
        <w:t>A person who exhibits, communicates or divulges in whole or in part the contents of a notification made under section 340BK(5) to any person except for the purposes of, and in accordance with, this Part commits an offence.</w:t>
      </w:r>
    </w:p>
    <w:p>
      <w:pPr>
        <w:pStyle w:val="Footnotesection"/>
      </w:pPr>
      <w:r>
        <w:tab/>
        <w:t>[Section 340BLB inserted by No. 19 of 2016 s. 78.]</w:t>
      </w:r>
    </w:p>
    <w:p>
      <w:pPr>
        <w:pStyle w:val="Heading5"/>
        <w:rPr>
          <w:snapToGrid w:val="0"/>
        </w:rPr>
      </w:pPr>
      <w:bookmarkStart w:id="644" w:name="_Toc512323882"/>
      <w:r>
        <w:rPr>
          <w:rStyle w:val="CharSectno"/>
        </w:rPr>
        <w:t>340BL</w:t>
      </w:r>
      <w:r>
        <w:rPr>
          <w:snapToGrid w:val="0"/>
        </w:rPr>
        <w:t xml:space="preserve">. </w:t>
      </w:r>
      <w:r>
        <w:rPr>
          <w:snapToGrid w:val="0"/>
        </w:rPr>
        <w:tab/>
        <w:t>When report may be published</w:t>
      </w:r>
      <w:bookmarkEnd w:id="644"/>
    </w:p>
    <w:p>
      <w:pPr>
        <w:pStyle w:val="Subsection"/>
        <w:rPr>
          <w:snapToGrid w:val="0"/>
        </w:rPr>
      </w:pPr>
      <w:r>
        <w:rPr>
          <w:snapToGrid w:val="0"/>
        </w:rPr>
        <w:tab/>
        <w:t>(1)</w:t>
      </w:r>
      <w:r>
        <w:rPr>
          <w:snapToGrid w:val="0"/>
        </w:rPr>
        <w:tab/>
        <w:t xml:space="preserve">The Committee may publish, or cause to be published, in any reputable health journal, or may make available to </w:t>
      </w:r>
      <w:r>
        <w:t>any educational institution for use in the teaching of</w:t>
      </w:r>
      <w:r>
        <w:rPr>
          <w:snapToGrid w:val="0"/>
        </w:rPr>
        <w:t xml:space="preserve">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 xml:space="preserve">The Committee may impart, or cause to be imparted to medical practitioners, </w:t>
      </w:r>
      <w:r>
        <w:t>dental practitioners, nurses, midwives and students of any educational institution</w:t>
      </w:r>
      <w:r>
        <w:rPr>
          <w:snapToGrid w:val="0"/>
        </w:rPr>
        <w:t xml:space="preserve">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 amended by No. 8 of 2009 s. 71(4); No. 19 of 2016 s. 79.]</w:t>
      </w:r>
    </w:p>
    <w:p>
      <w:pPr>
        <w:pStyle w:val="Heading5"/>
        <w:rPr>
          <w:snapToGrid w:val="0"/>
        </w:rPr>
      </w:pPr>
      <w:bookmarkStart w:id="645" w:name="_Toc512323883"/>
      <w:r>
        <w:rPr>
          <w:rStyle w:val="CharSectno"/>
        </w:rPr>
        <w:t>340BM</w:t>
      </w:r>
      <w:r>
        <w:rPr>
          <w:snapToGrid w:val="0"/>
        </w:rPr>
        <w:t xml:space="preserve">. </w:t>
      </w:r>
      <w:r>
        <w:rPr>
          <w:snapToGrid w:val="0"/>
        </w:rPr>
        <w:tab/>
        <w:t>Information for research not to be disclosed</w:t>
      </w:r>
      <w:bookmarkEnd w:id="645"/>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w:t>
      </w:r>
      <w:r>
        <w:t xml:space="preserve"> or her</w:t>
      </w:r>
      <w:r>
        <w:rPr>
          <w:snapToGrid w:val="0"/>
        </w:rPr>
        <w:t xml:space="preserve">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w:t>
      </w:r>
      <w:r>
        <w:t xml:space="preserve"> or her</w:t>
      </w:r>
      <w:r>
        <w:rPr>
          <w:snapToGrid w:val="0"/>
          <w:spacing w:val="-2"/>
        </w:rPr>
        <w:t xml:space="preserve"> duties, who interviews or in any way communicates with any person referred to in any report of the investigator or any relative of that person commits an offence, unless the consent in writing of the medical </w:t>
      </w:r>
      <w:r>
        <w:t xml:space="preserve">practitioner, dental practitioner, nurse or midwife, or any of them, </w:t>
      </w:r>
      <w:r>
        <w:rPr>
          <w:snapToGrid w:val="0"/>
          <w:spacing w:val="-2"/>
        </w:rPr>
        <w:t>attending that person at the time of the occurrence of the death being investigated is first obtained.</w:t>
      </w:r>
    </w:p>
    <w:p>
      <w:pPr>
        <w:pStyle w:val="Footnotesection"/>
      </w:pPr>
      <w:r>
        <w:tab/>
        <w:t>[Section 340BM inserted by No. 47 of 1978 s. 36; amended by No. 30 of 1982 s. 17; No. 80 of 1987 s. 162; No. 19 of 2016 s. 80.]</w:t>
      </w:r>
    </w:p>
    <w:p>
      <w:pPr>
        <w:pStyle w:val="Ednotesection"/>
        <w:spacing w:before="180"/>
        <w:ind w:left="890" w:hanging="890"/>
        <w:outlineLvl w:val="9"/>
      </w:pPr>
      <w:r>
        <w:t>[</w:t>
      </w:r>
      <w:r>
        <w:rPr>
          <w:b/>
        </w:rPr>
        <w:t>340BN.</w:t>
      </w:r>
      <w:r>
        <w:tab/>
        <w:t>Deleted by No. 19 of 2016 s. 81.]</w:t>
      </w:r>
    </w:p>
    <w:p>
      <w:pPr>
        <w:pStyle w:val="Heading2"/>
        <w:rPr>
          <w:rStyle w:val="CharPartText"/>
        </w:rPr>
      </w:pPr>
      <w:bookmarkStart w:id="646" w:name="_Toc498001268"/>
      <w:bookmarkStart w:id="647" w:name="_Toc498001598"/>
      <w:bookmarkStart w:id="648" w:name="_Toc498003250"/>
      <w:bookmarkStart w:id="649" w:name="_Toc498004261"/>
      <w:bookmarkStart w:id="650" w:name="_Toc499029664"/>
      <w:bookmarkStart w:id="651" w:name="_Toc501098732"/>
      <w:bookmarkStart w:id="652" w:name="_Toc501101655"/>
      <w:bookmarkStart w:id="653" w:name="_Toc501116177"/>
      <w:bookmarkStart w:id="654" w:name="_Toc501117438"/>
      <w:bookmarkStart w:id="655" w:name="_Toc501698845"/>
      <w:bookmarkStart w:id="656" w:name="_Toc512323884"/>
      <w:r>
        <w:rPr>
          <w:rStyle w:val="CharPartNo"/>
        </w:rPr>
        <w:t>Part XIV</w:t>
      </w:r>
      <w:r>
        <w:rPr>
          <w:rStyle w:val="CharDivNo"/>
        </w:rPr>
        <w:t> </w:t>
      </w:r>
      <w:r>
        <w:t>—</w:t>
      </w:r>
      <w:r>
        <w:rPr>
          <w:rStyle w:val="CharDivText"/>
        </w:rPr>
        <w:t> </w:t>
      </w:r>
      <w:r>
        <w:rPr>
          <w:rStyle w:val="CharPartText"/>
        </w:rPr>
        <w:t>Regulations and local laws</w:t>
      </w:r>
      <w:bookmarkEnd w:id="646"/>
      <w:bookmarkEnd w:id="647"/>
      <w:bookmarkEnd w:id="648"/>
      <w:bookmarkEnd w:id="649"/>
      <w:bookmarkEnd w:id="650"/>
      <w:bookmarkEnd w:id="651"/>
      <w:bookmarkEnd w:id="652"/>
      <w:bookmarkEnd w:id="653"/>
      <w:bookmarkEnd w:id="654"/>
      <w:bookmarkEnd w:id="655"/>
      <w:bookmarkEnd w:id="656"/>
    </w:p>
    <w:p>
      <w:pPr>
        <w:pStyle w:val="Footnoteheading"/>
      </w:pPr>
      <w:r>
        <w:tab/>
        <w:t>[Heading amended by No. 14 of 1996 s. 4.]</w:t>
      </w:r>
    </w:p>
    <w:p>
      <w:pPr>
        <w:pStyle w:val="Heading5"/>
        <w:rPr>
          <w:snapToGrid w:val="0"/>
        </w:rPr>
      </w:pPr>
      <w:bookmarkStart w:id="657" w:name="_Toc512323885"/>
      <w:r>
        <w:rPr>
          <w:rStyle w:val="CharSectno"/>
        </w:rPr>
        <w:t>341</w:t>
      </w:r>
      <w:r>
        <w:rPr>
          <w:snapToGrid w:val="0"/>
        </w:rPr>
        <w:t>.</w:t>
      </w:r>
      <w:r>
        <w:rPr>
          <w:snapToGrid w:val="0"/>
        </w:rPr>
        <w:tab/>
        <w:t>Regulations</w:t>
      </w:r>
      <w:bookmarkEnd w:id="65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CEO or the Chief Health Officer</w:t>
      </w:r>
      <w:r>
        <w:rPr>
          <w:snapToGrid w:val="0"/>
        </w:rPr>
        <w:t xml:space="preserve"> may, from time to time, and shall, when the Minister so requires, make regulations as hereinbefore provided, and generally for carrying into effect the provisions of this Act, and the exercise of any powers conferred on the </w:t>
      </w:r>
      <w:r>
        <w:t>CEO or the Chief Health Officer.</w:t>
      </w:r>
    </w:p>
    <w:p>
      <w:pPr>
        <w:pStyle w:val="Footnotesection"/>
      </w:pPr>
      <w:r>
        <w:tab/>
        <w:t>[Section 341, formerly section 265, renumbered as section 341 by No. 38 of 1933 s. 42; amended by No. 80 of 1987 s. 163; No. 28 of 2006 s. 251; No. 19 of 2016 s. 82.]</w:t>
      </w:r>
    </w:p>
    <w:p>
      <w:pPr>
        <w:pStyle w:val="Heading5"/>
        <w:rPr>
          <w:snapToGrid w:val="0"/>
        </w:rPr>
      </w:pPr>
      <w:bookmarkStart w:id="658" w:name="_Toc512323886"/>
      <w:r>
        <w:rPr>
          <w:rStyle w:val="CharSectno"/>
        </w:rPr>
        <w:t>342</w:t>
      </w:r>
      <w:r>
        <w:rPr>
          <w:snapToGrid w:val="0"/>
        </w:rPr>
        <w:t>.</w:t>
      </w:r>
      <w:r>
        <w:rPr>
          <w:snapToGrid w:val="0"/>
        </w:rPr>
        <w:tab/>
        <w:t>Local laws</w:t>
      </w:r>
      <w:bookmarkEnd w:id="658"/>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 xml:space="preserve">may, if the </w:t>
      </w:r>
      <w:r>
        <w:t>Chief Health Officer</w:t>
      </w:r>
      <w:r>
        <w:rPr>
          <w:snapToGrid w:val="0"/>
        </w:rPr>
        <w:t xml:space="preserve"> consents; and</w:t>
      </w:r>
    </w:p>
    <w:p>
      <w:pPr>
        <w:pStyle w:val="Indenta"/>
        <w:rPr>
          <w:snapToGrid w:val="0"/>
        </w:rPr>
      </w:pPr>
      <w:r>
        <w:rPr>
          <w:snapToGrid w:val="0"/>
        </w:rPr>
        <w:tab/>
        <w:t>(b)</w:t>
      </w:r>
      <w:r>
        <w:rPr>
          <w:snapToGrid w:val="0"/>
        </w:rPr>
        <w:tab/>
        <w:t xml:space="preserve">shall, if the </w:t>
      </w:r>
      <w:r>
        <w:t xml:space="preserve">Chief Health Officer </w:t>
      </w:r>
      <w:r>
        <w:rPr>
          <w:snapToGrid w:val="0"/>
        </w:rPr>
        <w:t>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Chief Health Officer.</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Chief Health Officer </w:t>
      </w:r>
      <w:r>
        <w:rPr>
          <w:snapToGrid w:val="0"/>
        </w:rPr>
        <w:t>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 No. 19 of 2016 s. 83.]</w:t>
      </w:r>
    </w:p>
    <w:p>
      <w:pPr>
        <w:pStyle w:val="Heading5"/>
        <w:rPr>
          <w:snapToGrid w:val="0"/>
        </w:rPr>
      </w:pPr>
      <w:bookmarkStart w:id="659" w:name="_Toc512323887"/>
      <w:r>
        <w:rPr>
          <w:rStyle w:val="CharSectno"/>
        </w:rPr>
        <w:t>343</w:t>
      </w:r>
      <w:r>
        <w:rPr>
          <w:snapToGrid w:val="0"/>
        </w:rPr>
        <w:t>.</w:t>
      </w:r>
      <w:r>
        <w:rPr>
          <w:snapToGrid w:val="0"/>
        </w:rPr>
        <w:tab/>
        <w:t>Model local laws</w:t>
      </w:r>
      <w:bookmarkEnd w:id="659"/>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660" w:name="_Toc512323888"/>
      <w:r>
        <w:rPr>
          <w:rStyle w:val="CharSectno"/>
        </w:rPr>
        <w:t>343A</w:t>
      </w:r>
      <w:r>
        <w:rPr>
          <w:snapToGrid w:val="0"/>
        </w:rPr>
        <w:t xml:space="preserve">. </w:t>
      </w:r>
      <w:r>
        <w:rPr>
          <w:snapToGrid w:val="0"/>
        </w:rPr>
        <w:tab/>
        <w:t>Regulations to operate as local laws</w:t>
      </w:r>
      <w:bookmarkEnd w:id="660"/>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661" w:name="_Toc512323889"/>
      <w:r>
        <w:rPr>
          <w:rStyle w:val="CharSectno"/>
        </w:rPr>
        <w:t>343B</w:t>
      </w:r>
      <w:r>
        <w:rPr>
          <w:snapToGrid w:val="0"/>
        </w:rPr>
        <w:t xml:space="preserve">. </w:t>
      </w:r>
      <w:r>
        <w:rPr>
          <w:snapToGrid w:val="0"/>
        </w:rPr>
        <w:tab/>
        <w:t>Governor may amend or repeal local laws</w:t>
      </w:r>
      <w:bookmarkEnd w:id="661"/>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662" w:name="_Toc512323890"/>
      <w:r>
        <w:rPr>
          <w:rStyle w:val="CharSectno"/>
        </w:rPr>
        <w:t>344</w:t>
      </w:r>
      <w:r>
        <w:rPr>
          <w:snapToGrid w:val="0"/>
        </w:rPr>
        <w:t>.</w:t>
      </w:r>
      <w:r>
        <w:rPr>
          <w:snapToGrid w:val="0"/>
        </w:rPr>
        <w:tab/>
        <w:t>Penalties, fees etc.</w:t>
      </w:r>
      <w:bookmarkEnd w:id="662"/>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 and</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xml:space="preserve">, the </w:t>
      </w:r>
      <w:r>
        <w:t>Chief Health Officer</w:t>
      </w:r>
      <w:r>
        <w:rPr>
          <w:snapToGrid w:val="0"/>
        </w:rPr>
        <w:t xml:space="preserve">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formerly section 268, renumbered as section 344 by No. 38 of 1933 s. 42; amended by No. 113 of 1965 s. 8(1); No. 35 of 1966 s. 7; No. 52 of 1968 s. 9; No. 28 of 1984 s. 33; No. 80 of 1987 s. 164; No. 14 of 1996 s. 4; No. 28 of 2006 s. 251; No. 19 of 2016 s. 84.]</w:t>
      </w:r>
    </w:p>
    <w:p>
      <w:pPr>
        <w:pStyle w:val="Heading5"/>
        <w:rPr>
          <w:snapToGrid w:val="0"/>
        </w:rPr>
      </w:pPr>
      <w:bookmarkStart w:id="663" w:name="_Toc512323891"/>
      <w:r>
        <w:rPr>
          <w:rStyle w:val="CharSectno"/>
        </w:rPr>
        <w:t>344A</w:t>
      </w:r>
      <w:r>
        <w:rPr>
          <w:snapToGrid w:val="0"/>
        </w:rPr>
        <w:t xml:space="preserve">. </w:t>
      </w:r>
      <w:r>
        <w:rPr>
          <w:snapToGrid w:val="0"/>
        </w:rPr>
        <w:tab/>
        <w:t>Incorporation by reference</w:t>
      </w:r>
      <w:bookmarkEnd w:id="663"/>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r>
      <w:r>
        <w:t>The CEO or the Chief Health Officer</w:t>
      </w:r>
      <w:r>
        <w:rPr>
          <w:snapToGrid w:val="0"/>
        </w:rPr>
        <w:t xml:space="preserve"> may cause to be published, and amended from time to time, a code of practice in respect of any matter or thing relating to the public health of the people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pPr>
      <w:r>
        <w:tab/>
        <w:t>(3)</w:t>
      </w:r>
      <w:r>
        <w:tab/>
        <w:t>If any standard, rule, code or other provision is adopted under subsection (1), the relevant local government (in the case of adoption by a local law) or the Chief Health Officer (in the case of adoption by any regulations) must ensure that a copy of the standard, rule, code or other provision (as amended, if applicable) is available for public inspection, without charge, during normal office hours at a place prescribed by regulation.</w:t>
      </w:r>
    </w:p>
    <w:p>
      <w:pPr>
        <w:pStyle w:val="Footnotesection"/>
      </w:pPr>
      <w:r>
        <w:tab/>
        <w:t>[Section 344A inserted by No. 28 of 1996 s. 18; amended by No. 74 of 2003 s. 64(2); No. 28 of 2006 s. 251; No. 19 of 2016 s. 85.]</w:t>
      </w:r>
    </w:p>
    <w:p>
      <w:pPr>
        <w:pStyle w:val="Heading5"/>
        <w:rPr>
          <w:snapToGrid w:val="0"/>
        </w:rPr>
      </w:pPr>
      <w:bookmarkStart w:id="664" w:name="_Toc512323892"/>
      <w:r>
        <w:rPr>
          <w:rStyle w:val="CharSectno"/>
        </w:rPr>
        <w:t>344B</w:t>
      </w:r>
      <w:r>
        <w:rPr>
          <w:snapToGrid w:val="0"/>
        </w:rPr>
        <w:t xml:space="preserve">. </w:t>
      </w:r>
      <w:r>
        <w:rPr>
          <w:snapToGrid w:val="0"/>
        </w:rPr>
        <w:tab/>
        <w:t>Evidence of contents of standard etc. adopted</w:t>
      </w:r>
      <w:bookmarkEnd w:id="664"/>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or the Chief Health Officer </w:t>
      </w:r>
      <w:r>
        <w:rPr>
          <w:snapToGrid w:val="0"/>
        </w:rPr>
        <w:t xml:space="preserve">to be a true copy as at any date or during any period is, without proof of the signature of the </w:t>
      </w:r>
      <w:r>
        <w:t xml:space="preserve">CEO or the Chief Health Officer, </w:t>
      </w:r>
      <w:r>
        <w:rPr>
          <w:snapToGrid w:val="0"/>
        </w:rPr>
        <w:t>sufficient evidence of the contents of the standard, rule, code or other provision as at that date or during that period.</w:t>
      </w:r>
    </w:p>
    <w:p>
      <w:pPr>
        <w:pStyle w:val="Footnotesection"/>
      </w:pPr>
      <w:r>
        <w:tab/>
        <w:t>[Section 344B inserted by No. 28 of 1996 s. 18; amended by No. 28 of 2006 s. 251; No. 19 of 2016 s. 86.]</w:t>
      </w:r>
    </w:p>
    <w:p>
      <w:pPr>
        <w:pStyle w:val="Heading5"/>
        <w:rPr>
          <w:snapToGrid w:val="0"/>
        </w:rPr>
      </w:pPr>
      <w:bookmarkStart w:id="665" w:name="_Toc512323893"/>
      <w:r>
        <w:rPr>
          <w:rStyle w:val="CharSectno"/>
        </w:rPr>
        <w:t>344C</w:t>
      </w:r>
      <w:r>
        <w:rPr>
          <w:snapToGrid w:val="0"/>
        </w:rPr>
        <w:t xml:space="preserve">. </w:t>
      </w:r>
      <w:r>
        <w:rPr>
          <w:snapToGrid w:val="0"/>
        </w:rPr>
        <w:tab/>
        <w:t>Fees and charges may be fixed by resolution</w:t>
      </w:r>
      <w:bookmarkEnd w:id="665"/>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keepNext/>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spacing w:before="180"/>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spacing w:before="180"/>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spacing w:before="180"/>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spacing w:before="180"/>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spacing w:before="180"/>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spacing w:after="8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keepNext/>
              <w:rPr>
                <w:snapToGrid w:val="0"/>
              </w:rPr>
            </w:pPr>
            <w:r>
              <w:rPr>
                <w:snapToGrid w:val="0"/>
              </w:rPr>
              <w:t>Sections 133(1), 134(6), (11), (12), (29), (44), (45) and (46), 146(3), 158(3), 199(10) and 344(1)(a).</w:t>
            </w:r>
          </w:p>
        </w:tc>
      </w:tr>
    </w:tbl>
    <w:p>
      <w:pPr>
        <w:pStyle w:val="Footnotesection"/>
        <w:spacing w:after="400"/>
        <w:ind w:left="890" w:hanging="890"/>
      </w:pPr>
      <w:r>
        <w:tab/>
        <w:t>[Section 344C inserted by No. 28 of 1996 s. 18; amended by No. 36 of 2007 Sch. 4 cl. 4(7); No. 43 of 2008 s. 147(15).]</w:t>
      </w:r>
    </w:p>
    <w:p>
      <w:pPr>
        <w:pStyle w:val="Heading5"/>
        <w:rPr>
          <w:snapToGrid w:val="0"/>
        </w:rPr>
      </w:pPr>
      <w:bookmarkStart w:id="666" w:name="_Toc512323894"/>
      <w:r>
        <w:rPr>
          <w:rStyle w:val="CharSectno"/>
        </w:rPr>
        <w:t>345</w:t>
      </w:r>
      <w:r>
        <w:rPr>
          <w:snapToGrid w:val="0"/>
        </w:rPr>
        <w:t>.</w:t>
      </w:r>
      <w:r>
        <w:rPr>
          <w:snapToGrid w:val="0"/>
        </w:rPr>
        <w:tab/>
        <w:t>Regulations to be confirmed</w:t>
      </w:r>
      <w:bookmarkEnd w:id="666"/>
    </w:p>
    <w:p>
      <w:pPr>
        <w:pStyle w:val="Subsection"/>
        <w:spacing w:before="140"/>
        <w:rPr>
          <w:snapToGrid w:val="0"/>
        </w:rPr>
      </w:pPr>
      <w:r>
        <w:rPr>
          <w:snapToGrid w:val="0"/>
        </w:rPr>
        <w:tab/>
        <w:t>(1)</w:t>
      </w:r>
      <w:r>
        <w:rPr>
          <w:snapToGrid w:val="0"/>
        </w:rPr>
        <w:tab/>
        <w:t>All regulations —</w:t>
      </w:r>
    </w:p>
    <w:p>
      <w:pPr>
        <w:pStyle w:val="Indenta"/>
        <w:spacing w:before="60"/>
        <w:rPr>
          <w:snapToGrid w:val="0"/>
        </w:rPr>
      </w:pPr>
      <w:r>
        <w:rPr>
          <w:snapToGrid w:val="0"/>
        </w:rPr>
        <w:tab/>
        <w:t>(a)</w:t>
      </w:r>
      <w:r>
        <w:rPr>
          <w:snapToGrid w:val="0"/>
        </w:rPr>
        <w:tab/>
        <w:t>shall be subject to the approval of the Governor; and</w:t>
      </w:r>
    </w:p>
    <w:p>
      <w:pPr>
        <w:pStyle w:val="Indenta"/>
        <w:spacing w:before="60"/>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spacing w:before="140"/>
      </w:pPr>
      <w:r>
        <w:tab/>
        <w:t>[(2)</w:t>
      </w:r>
      <w:r>
        <w:tab/>
        <w:t>deleted]</w:t>
      </w:r>
    </w:p>
    <w:p>
      <w:pPr>
        <w:pStyle w:val="Footnotesection"/>
      </w:pPr>
      <w:r>
        <w:tab/>
        <w:t>[Section 345 formerly section 269, renumbered as section 345 by No. 38 of 1933 s. 42; amended by No. 28 of 1984 s. 45; No. 14 of 1996 s. 4.]</w:t>
      </w:r>
    </w:p>
    <w:p>
      <w:pPr>
        <w:pStyle w:val="Ednotesection"/>
        <w:outlineLvl w:val="9"/>
      </w:pPr>
      <w:r>
        <w:t>[</w:t>
      </w:r>
      <w:r>
        <w:rPr>
          <w:b/>
        </w:rPr>
        <w:t>346</w:t>
      </w:r>
      <w:r>
        <w:rPr>
          <w:b/>
        </w:rPr>
        <w:noBreakHyphen/>
        <w:t xml:space="preserve">347.  </w:t>
      </w:r>
      <w:r>
        <w:t>Deleted by No. 14 of 1996 s. 4.]</w:t>
      </w:r>
    </w:p>
    <w:p>
      <w:pPr>
        <w:pStyle w:val="Heading5"/>
        <w:rPr>
          <w:snapToGrid w:val="0"/>
        </w:rPr>
      </w:pPr>
      <w:bookmarkStart w:id="667" w:name="_Toc512323895"/>
      <w:r>
        <w:rPr>
          <w:rStyle w:val="CharSectno"/>
        </w:rPr>
        <w:t>348</w:t>
      </w:r>
      <w:r>
        <w:rPr>
          <w:snapToGrid w:val="0"/>
        </w:rPr>
        <w:t>.</w:t>
      </w:r>
      <w:r>
        <w:rPr>
          <w:snapToGrid w:val="0"/>
        </w:rPr>
        <w:tab/>
        <w:t>Evidence of local laws</w:t>
      </w:r>
      <w:bookmarkEnd w:id="667"/>
    </w:p>
    <w:p>
      <w:pPr>
        <w:pStyle w:val="Subsection"/>
        <w:spacing w:before="140"/>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formerly section 272, renumbered as section 348 by No. 38 of 1933 s. 42; amended by No. 14 of 1996 s. 4.]</w:t>
      </w:r>
    </w:p>
    <w:p>
      <w:pPr>
        <w:pStyle w:val="Heading5"/>
        <w:rPr>
          <w:snapToGrid w:val="0"/>
        </w:rPr>
      </w:pPr>
      <w:bookmarkStart w:id="668" w:name="_Toc512323896"/>
      <w:r>
        <w:rPr>
          <w:rStyle w:val="CharSectno"/>
        </w:rPr>
        <w:t>348A</w:t>
      </w:r>
      <w:r>
        <w:rPr>
          <w:snapToGrid w:val="0"/>
        </w:rPr>
        <w:t xml:space="preserve">. </w:t>
      </w:r>
      <w:r>
        <w:rPr>
          <w:snapToGrid w:val="0"/>
        </w:rPr>
        <w:tab/>
        <w:t>Proclamations etc. may be revoked or varied</w:t>
      </w:r>
      <w:bookmarkEnd w:id="668"/>
    </w:p>
    <w:p>
      <w:pPr>
        <w:pStyle w:val="Subsection"/>
        <w:keepNext/>
        <w:spacing w:before="140"/>
        <w:rPr>
          <w:snapToGrid w:val="0"/>
        </w:rPr>
      </w:pPr>
      <w:r>
        <w:rPr>
          <w:snapToGrid w:val="0"/>
        </w:rPr>
        <w:tab/>
        <w:t>(1)</w:t>
      </w:r>
      <w:r>
        <w:rPr>
          <w:snapToGrid w:val="0"/>
        </w:rPr>
        <w:tab/>
        <w:t>Power given by this Act to make proclamations, orders in council or declarations includes power from time to time —</w:t>
      </w:r>
    </w:p>
    <w:p>
      <w:pPr>
        <w:pStyle w:val="Indenta"/>
        <w:spacing w:before="60"/>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spacing w:before="60"/>
        <w:rPr>
          <w:snapToGrid w:val="0"/>
        </w:rPr>
      </w:pPr>
      <w:r>
        <w:rPr>
          <w:snapToGrid w:val="0"/>
        </w:rPr>
        <w:tab/>
        <w:t>(b)</w:t>
      </w:r>
      <w:r>
        <w:rPr>
          <w:snapToGrid w:val="0"/>
        </w:rPr>
        <w:tab/>
        <w:t>to otherwise vary those proclamations, orders in council or declarations,</w:t>
      </w:r>
    </w:p>
    <w:p>
      <w:pPr>
        <w:pStyle w:val="Subsection"/>
        <w:spacing w:before="120"/>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keepNext/>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w:t>
      </w:r>
    </w:p>
    <w:p>
      <w:pPr>
        <w:pStyle w:val="Footnotesection"/>
      </w:pPr>
      <w:r>
        <w:tab/>
        <w:t>[Section 348A inserted by No. 38 of 1960 s. 7.]</w:t>
      </w:r>
    </w:p>
    <w:p>
      <w:pPr>
        <w:pStyle w:val="Heading2"/>
        <w:rPr>
          <w:rStyle w:val="CharPartText"/>
        </w:rPr>
      </w:pPr>
      <w:bookmarkStart w:id="669" w:name="_Toc498001281"/>
      <w:bookmarkStart w:id="670" w:name="_Toc498001611"/>
      <w:bookmarkStart w:id="671" w:name="_Toc498003263"/>
      <w:bookmarkStart w:id="672" w:name="_Toc498004274"/>
      <w:bookmarkStart w:id="673" w:name="_Toc499029677"/>
      <w:bookmarkStart w:id="674" w:name="_Toc501098745"/>
      <w:bookmarkStart w:id="675" w:name="_Toc501101668"/>
      <w:bookmarkStart w:id="676" w:name="_Toc501116190"/>
      <w:bookmarkStart w:id="677" w:name="_Toc501117451"/>
      <w:bookmarkStart w:id="678" w:name="_Toc501698858"/>
      <w:bookmarkStart w:id="679" w:name="_Toc512323897"/>
      <w:r>
        <w:rPr>
          <w:rStyle w:val="CharPartNo"/>
        </w:rPr>
        <w:t>Part XV</w:t>
      </w:r>
      <w:r>
        <w:rPr>
          <w:rStyle w:val="CharDivNo"/>
        </w:rPr>
        <w:t> </w:t>
      </w:r>
      <w:r>
        <w:t>—</w:t>
      </w:r>
      <w:r>
        <w:rPr>
          <w:rStyle w:val="CharDivText"/>
        </w:rPr>
        <w:t> </w:t>
      </w:r>
      <w:r>
        <w:rPr>
          <w:rStyle w:val="CharPartText"/>
        </w:rPr>
        <w:t>Miscellaneous provisions</w:t>
      </w:r>
      <w:bookmarkEnd w:id="669"/>
      <w:bookmarkEnd w:id="670"/>
      <w:bookmarkEnd w:id="671"/>
      <w:bookmarkEnd w:id="672"/>
      <w:bookmarkEnd w:id="673"/>
      <w:bookmarkEnd w:id="674"/>
      <w:bookmarkEnd w:id="675"/>
      <w:bookmarkEnd w:id="676"/>
      <w:bookmarkEnd w:id="677"/>
      <w:bookmarkEnd w:id="678"/>
      <w:bookmarkEnd w:id="679"/>
    </w:p>
    <w:p>
      <w:pPr>
        <w:pStyle w:val="Heading5"/>
        <w:rPr>
          <w:snapToGrid w:val="0"/>
        </w:rPr>
      </w:pPr>
      <w:bookmarkStart w:id="680" w:name="_Toc512323898"/>
      <w:r>
        <w:rPr>
          <w:rStyle w:val="CharSectno"/>
        </w:rPr>
        <w:t>349</w:t>
      </w:r>
      <w:r>
        <w:rPr>
          <w:snapToGrid w:val="0"/>
        </w:rPr>
        <w:t>.</w:t>
      </w:r>
      <w:r>
        <w:rPr>
          <w:snapToGrid w:val="0"/>
        </w:rPr>
        <w:tab/>
        <w:t>Entry</w:t>
      </w:r>
      <w:bookmarkEnd w:id="680"/>
    </w:p>
    <w:p>
      <w:pPr>
        <w:pStyle w:val="Subsection"/>
        <w:rPr>
          <w:snapToGrid w:val="0"/>
        </w:rPr>
      </w:pPr>
      <w:r>
        <w:rPr>
          <w:snapToGrid w:val="0"/>
        </w:rPr>
        <w:tab/>
        <w:t>(1)</w:t>
      </w:r>
      <w:r>
        <w:rPr>
          <w:snapToGrid w:val="0"/>
        </w:rPr>
        <w:tab/>
      </w:r>
      <w:r>
        <w:t>Authorised officers</w:t>
      </w:r>
      <w:r>
        <w:rPr>
          <w:snapToGrid w:val="0"/>
        </w:rPr>
        <w:t xml:space="preserve">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formerly section 273, amended by No. 17 of 1918 s. 50; renumbered as section 349 by No. 38 of 1933 s. 42; amended by No. 113 of 1965 s. 8(1); No. 28 of 1984 s. 34; No. 80 of 1987 s. 165; No. 14 of 1996 s. 4; No. 28 of 2006 s. 251; No. 19 of 2016 s. 87.]</w:t>
      </w:r>
    </w:p>
    <w:p>
      <w:pPr>
        <w:pStyle w:val="Heading5"/>
        <w:rPr>
          <w:snapToGrid w:val="0"/>
        </w:rPr>
      </w:pPr>
      <w:bookmarkStart w:id="681" w:name="_Toc512323899"/>
      <w:r>
        <w:rPr>
          <w:rStyle w:val="CharSectno"/>
        </w:rPr>
        <w:t>350</w:t>
      </w:r>
      <w:r>
        <w:rPr>
          <w:snapToGrid w:val="0"/>
        </w:rPr>
        <w:t>.</w:t>
      </w:r>
      <w:r>
        <w:rPr>
          <w:snapToGrid w:val="0"/>
        </w:rPr>
        <w:tab/>
        <w:t>Vessels</w:t>
      </w:r>
      <w:bookmarkEnd w:id="681"/>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 xml:space="preserve">s Commission, or to any vessel which belongs to the Government of any </w:t>
      </w:r>
      <w:smartTag w:uri="urn:schemas-microsoft-com:office:smarttags" w:element="place">
        <w:smartTag w:uri="urn:schemas-microsoft-com:office:smarttags" w:element="PlaceName">
          <w:r>
            <w:rPr>
              <w:snapToGrid w:val="0"/>
            </w:rPr>
            <w:t>Foreign</w:t>
          </w:r>
        </w:smartTag>
        <w:r>
          <w:rPr>
            <w:snapToGrid w:val="0"/>
          </w:rPr>
          <w:t xml:space="preserve"> </w:t>
        </w:r>
        <w:smartTag w:uri="urn:schemas-microsoft-com:office:smarttags" w:element="PlaceType">
          <w:r>
            <w:rPr>
              <w:snapToGrid w:val="0"/>
            </w:rPr>
            <w:t>State</w:t>
          </w:r>
        </w:smartTag>
      </w:smartTag>
      <w:r>
        <w:rPr>
          <w:snapToGrid w:val="0"/>
        </w:rPr>
        <w:t>.</w:t>
      </w:r>
    </w:p>
    <w:p>
      <w:pPr>
        <w:pStyle w:val="Footnotesection"/>
      </w:pPr>
      <w:r>
        <w:tab/>
        <w:t>[Section 350, formerly section 274, renumbered as section 350 by No. 38 of 1933 s. 42; amended by No. 14 of 1996 s. 4.]</w:t>
      </w:r>
    </w:p>
    <w:p>
      <w:pPr>
        <w:pStyle w:val="Heading5"/>
        <w:rPr>
          <w:snapToGrid w:val="0"/>
        </w:rPr>
      </w:pPr>
      <w:bookmarkStart w:id="682" w:name="_Toc512323900"/>
      <w:r>
        <w:rPr>
          <w:rStyle w:val="CharSectno"/>
        </w:rPr>
        <w:t>351</w:t>
      </w:r>
      <w:r>
        <w:rPr>
          <w:snapToGrid w:val="0"/>
        </w:rPr>
        <w:t>.</w:t>
      </w:r>
      <w:r>
        <w:rPr>
          <w:snapToGrid w:val="0"/>
        </w:rPr>
        <w:tab/>
        <w:t>Obstructing execution of Act</w:t>
      </w:r>
      <w:bookmarkEnd w:id="682"/>
    </w:p>
    <w:p>
      <w:pPr>
        <w:pStyle w:val="Subsection"/>
        <w:rPr>
          <w:snapToGrid w:val="0"/>
        </w:rPr>
      </w:pPr>
      <w:r>
        <w:rPr>
          <w:snapToGrid w:val="0"/>
        </w:rPr>
        <w:tab/>
        <w:t>(1)</w:t>
      </w:r>
      <w:r>
        <w:rPr>
          <w:snapToGrid w:val="0"/>
        </w:rPr>
        <w:tab/>
        <w:t>Any person who obstructs, hinders, resists, or in anywise opposes the</w:t>
      </w:r>
      <w:r>
        <w:t xml:space="preserve"> CEO, the Chief Health Officer, any authorised officer, </w:t>
      </w:r>
      <w:r>
        <w:rPr>
          <w:snapToGrid w:val="0"/>
        </w:rPr>
        <w:t>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 the Chief Health Officer, an authorised officer </w:t>
      </w:r>
      <w:r>
        <w:rPr>
          <w:snapToGrid w:val="0"/>
        </w:rPr>
        <w:t>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xml:space="preserve">, the </w:t>
      </w:r>
      <w:r>
        <w:t>Chief Health Officer, an authorised officer</w:t>
      </w:r>
      <w:r>
        <w:rPr>
          <w:snapToGrid w:val="0"/>
        </w:rPr>
        <w:t xml:space="preserve"> or the local government to state the name of the owner of such premises, refuses or wilfully omits to disclose, or wilfully misstates the name of such owner, commits an offence.</w:t>
      </w:r>
    </w:p>
    <w:p>
      <w:pPr>
        <w:pStyle w:val="Footnotesection"/>
      </w:pPr>
      <w:r>
        <w:tab/>
        <w:t>[Section 351, formerly section 275, renumbered as section 351 by No. 38 of 1933 s. 42; amended by No. 113 of 1965 s. 8(1); No. 28 of 1984 s. 35; No. 80 of 1987 s. 166; No. 14 of 1996 s. 4; No. 28 of 2006 s. 251; No. 19 of 2016 s. 88.]</w:t>
      </w:r>
    </w:p>
    <w:p>
      <w:pPr>
        <w:pStyle w:val="Heading5"/>
        <w:rPr>
          <w:snapToGrid w:val="0"/>
        </w:rPr>
      </w:pPr>
      <w:bookmarkStart w:id="683" w:name="_Toc512323901"/>
      <w:r>
        <w:rPr>
          <w:rStyle w:val="CharSectno"/>
        </w:rPr>
        <w:t>352</w:t>
      </w:r>
      <w:r>
        <w:rPr>
          <w:snapToGrid w:val="0"/>
        </w:rPr>
        <w:t>.</w:t>
      </w:r>
      <w:r>
        <w:rPr>
          <w:snapToGrid w:val="0"/>
        </w:rPr>
        <w:tab/>
        <w:t>Duty of police officers and authorised officers</w:t>
      </w:r>
      <w:bookmarkEnd w:id="683"/>
    </w:p>
    <w:p>
      <w:pPr>
        <w:pStyle w:val="Subsection"/>
        <w:rPr>
          <w:snapToGrid w:val="0"/>
        </w:rPr>
      </w:pPr>
      <w:r>
        <w:rPr>
          <w:snapToGrid w:val="0"/>
        </w:rPr>
        <w:tab/>
        <w:t>(1)</w:t>
      </w:r>
      <w:r>
        <w:rPr>
          <w:snapToGrid w:val="0"/>
        </w:rPr>
        <w:tab/>
        <w:t xml:space="preserve">It shall be the duty of every member of the police force and </w:t>
      </w:r>
      <w:r>
        <w:t>authorised</w:t>
      </w:r>
      <w:r>
        <w:rPr>
          <w:snapToGrid w:val="0"/>
        </w:rPr>
        <w:t xml:space="preserve">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 xml:space="preserve">Any such person who refuses to state his name and place of abode when required by a member of the police force or </w:t>
      </w:r>
      <w:r>
        <w:t>authorised</w:t>
      </w:r>
      <w:r>
        <w:rPr>
          <w:snapToGrid w:val="0"/>
        </w:rPr>
        <w:t xml:space="preserve">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ind w:left="890" w:hanging="890"/>
      </w:pPr>
      <w:r>
        <w:tab/>
        <w:t>[Section 352, formerly section 276, renumbered as section 352 by No. 38 of 1933 s. 42; amended by No. 71 of 1948 s. 14; No. 113 of 1965 s. 8(1); No. 24 of 1970 s. 12; No. 80 of 1987 s. 167; No. 59 of 1991 s. 5; No. 14 of 1996 s. 4; No. 59 of 2004 s. 141; No. 19 of 2016 s. 99.]</w:t>
      </w:r>
    </w:p>
    <w:p>
      <w:pPr>
        <w:pStyle w:val="Heading5"/>
        <w:rPr>
          <w:snapToGrid w:val="0"/>
        </w:rPr>
      </w:pPr>
      <w:bookmarkStart w:id="684" w:name="_Toc512323902"/>
      <w:r>
        <w:rPr>
          <w:rStyle w:val="CharSectno"/>
        </w:rPr>
        <w:t>353</w:t>
      </w:r>
      <w:r>
        <w:rPr>
          <w:snapToGrid w:val="0"/>
        </w:rPr>
        <w:t>.</w:t>
      </w:r>
      <w:r>
        <w:rPr>
          <w:snapToGrid w:val="0"/>
        </w:rPr>
        <w:tab/>
        <w:t>Power to take possession of and lease land or premises on which expenses are due</w:t>
      </w:r>
      <w:bookmarkEnd w:id="684"/>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formerly section 277, renumbered as section 353 by No. 38 of 1933 s. 42; amended by No. 14 of 1996 s. 4.]</w:t>
      </w:r>
    </w:p>
    <w:p>
      <w:pPr>
        <w:pStyle w:val="Heading5"/>
        <w:rPr>
          <w:snapToGrid w:val="0"/>
        </w:rPr>
      </w:pPr>
      <w:bookmarkStart w:id="685" w:name="_Toc512323903"/>
      <w:r>
        <w:rPr>
          <w:rStyle w:val="CharSectno"/>
        </w:rPr>
        <w:t>354</w:t>
      </w:r>
      <w:r>
        <w:rPr>
          <w:snapToGrid w:val="0"/>
        </w:rPr>
        <w:t>.</w:t>
      </w:r>
      <w:r>
        <w:rPr>
          <w:snapToGrid w:val="0"/>
        </w:rPr>
        <w:tab/>
        <w:t>Service of notice</w:t>
      </w:r>
      <w:bookmarkEnd w:id="685"/>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keepLines/>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keepNext/>
        <w:keepLines/>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ind w:left="890" w:hanging="890"/>
      </w:pPr>
      <w:r>
        <w:tab/>
        <w:t>[Section 354, formerly section 278, amended by No. 17 of 1918 s. 52; renumbered as section 354 by No. 38 of 1933 s. 42; amended by No. 28 of 1984 s. 36; No. 14 of 1996 s. 4; No. 84 of 2004 s. 80 and 82; No. 28 of 2006 s. 251.]</w:t>
      </w:r>
    </w:p>
    <w:p>
      <w:pPr>
        <w:pStyle w:val="Heading5"/>
        <w:spacing w:before="260"/>
        <w:rPr>
          <w:snapToGrid w:val="0"/>
        </w:rPr>
      </w:pPr>
      <w:bookmarkStart w:id="686" w:name="_Toc512323904"/>
      <w:r>
        <w:rPr>
          <w:rStyle w:val="CharSectno"/>
        </w:rPr>
        <w:t>355</w:t>
      </w:r>
      <w:r>
        <w:rPr>
          <w:snapToGrid w:val="0"/>
        </w:rPr>
        <w:t>.</w:t>
      </w:r>
      <w:r>
        <w:rPr>
          <w:snapToGrid w:val="0"/>
        </w:rPr>
        <w:tab/>
        <w:t>Continued operation of notices and orders</w:t>
      </w:r>
      <w:bookmarkEnd w:id="686"/>
    </w:p>
    <w:p>
      <w:pPr>
        <w:pStyle w:val="Subsection"/>
        <w:spacing w:before="200"/>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Footnotesection"/>
        <w:ind w:left="890" w:hanging="890"/>
      </w:pPr>
      <w:r>
        <w:tab/>
        <w:t>[Section 355, formerly section 279, renumbered as section 355 by No. 38 of 1933 s. 42.]</w:t>
      </w:r>
    </w:p>
    <w:p>
      <w:pPr>
        <w:pStyle w:val="Heading5"/>
        <w:spacing w:before="260"/>
        <w:rPr>
          <w:snapToGrid w:val="0"/>
        </w:rPr>
      </w:pPr>
      <w:bookmarkStart w:id="687" w:name="_Toc512323905"/>
      <w:r>
        <w:rPr>
          <w:rStyle w:val="CharSectno"/>
        </w:rPr>
        <w:t>356</w:t>
      </w:r>
      <w:r>
        <w:rPr>
          <w:snapToGrid w:val="0"/>
        </w:rPr>
        <w:t>.</w:t>
      </w:r>
      <w:r>
        <w:rPr>
          <w:snapToGrid w:val="0"/>
        </w:rPr>
        <w:tab/>
        <w:t>Proof of ownership</w:t>
      </w:r>
      <w:bookmarkEnd w:id="687"/>
    </w:p>
    <w:p>
      <w:pPr>
        <w:pStyle w:val="Subsection"/>
        <w:spacing w:before="200"/>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spacing w:before="80"/>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spacing w:before="200"/>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spacing w:before="200"/>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spacing w:before="200"/>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spacing w:before="200"/>
        <w:rPr>
          <w:snapToGrid w:val="0"/>
        </w:rPr>
      </w:pPr>
      <w:r>
        <w:rPr>
          <w:snapToGrid w:val="0"/>
        </w:rPr>
        <w:tab/>
      </w:r>
      <w:r>
        <w:rPr>
          <w:snapToGrid w:val="0"/>
        </w:rPr>
        <w:tab/>
        <w:t>Provided also, that nothing in this section shall exclude or take away existing methods of proof.</w:t>
      </w:r>
    </w:p>
    <w:p>
      <w:pPr>
        <w:pStyle w:val="Footnotesection"/>
      </w:pPr>
      <w:r>
        <w:tab/>
        <w:t>[Section 356, formerly section 280, amended by No. 28 of 1912 s. 9; renumbered as section 356 by No. 38 of 1933 s. 42; amended by No. 81 of 1996 s. 153(1).]</w:t>
      </w:r>
    </w:p>
    <w:p>
      <w:pPr>
        <w:pStyle w:val="Heading5"/>
        <w:rPr>
          <w:snapToGrid w:val="0"/>
        </w:rPr>
      </w:pPr>
      <w:bookmarkStart w:id="688" w:name="_Toc512323906"/>
      <w:r>
        <w:rPr>
          <w:rStyle w:val="CharSectno"/>
        </w:rPr>
        <w:t>357</w:t>
      </w:r>
      <w:r>
        <w:rPr>
          <w:snapToGrid w:val="0"/>
        </w:rPr>
        <w:t>.</w:t>
      </w:r>
      <w:r>
        <w:rPr>
          <w:snapToGrid w:val="0"/>
        </w:rPr>
        <w:tab/>
        <w:t>Power to suspend or cancel licences</w:t>
      </w:r>
      <w:bookmarkEnd w:id="688"/>
    </w:p>
    <w:p>
      <w:pPr>
        <w:pStyle w:val="Subsection"/>
        <w:spacing w:before="200"/>
        <w:rPr>
          <w:snapToGrid w:val="0"/>
        </w:rPr>
      </w:pPr>
      <w:r>
        <w:rPr>
          <w:snapToGrid w:val="0"/>
        </w:rPr>
        <w:tab/>
      </w:r>
      <w:r>
        <w:rPr>
          <w:snapToGrid w:val="0"/>
        </w:rPr>
        <w:tab/>
        <w:t>On the conviction of any person for any offence under this Act, the</w:t>
      </w:r>
      <w:r>
        <w:t xml:space="preserve"> CEO</w:t>
      </w:r>
      <w:r>
        <w:rPr>
          <w:snapToGrid w:val="0"/>
        </w:rPr>
        <w:t xml:space="preserve">, the </w:t>
      </w:r>
      <w:r>
        <w:t>Chief Health Officer or the local government</w:t>
      </w:r>
      <w:r>
        <w:rPr>
          <w:snapToGrid w:val="0"/>
        </w:rPr>
        <w:t xml:space="preserve">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formerly section 281, amended by No. 30 of 1932 s. 44; renumbered as section 356 by No. 38 of 1933 s. 42; amended by No. 28 of 1984 s. 37; No. 80 of 1987 s. 168; No. 14 of 1996 s. 4; No. 28 of 2006 s. 251; No. 19 of 2016 s. 89.]</w:t>
      </w:r>
    </w:p>
    <w:p>
      <w:pPr>
        <w:pStyle w:val="Heading5"/>
        <w:rPr>
          <w:snapToGrid w:val="0"/>
        </w:rPr>
      </w:pPr>
      <w:bookmarkStart w:id="689" w:name="_Toc512323907"/>
      <w:r>
        <w:rPr>
          <w:rStyle w:val="CharSectno"/>
        </w:rPr>
        <w:t>358</w:t>
      </w:r>
      <w:r>
        <w:rPr>
          <w:snapToGrid w:val="0"/>
        </w:rPr>
        <w:t>.</w:t>
      </w:r>
      <w:r>
        <w:rPr>
          <w:snapToGrid w:val="0"/>
        </w:rPr>
        <w:tab/>
        <w:t>Prosecution of offences</w:t>
      </w:r>
      <w:bookmarkEnd w:id="689"/>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 xml:space="preserve">An </w:t>
      </w:r>
      <w:r>
        <w:t>authorised</w:t>
      </w:r>
      <w:r>
        <w:rPr>
          <w:snapToGrid w:val="0"/>
        </w:rPr>
        <w:t xml:space="preserve">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formerly section 282, renumbered as section 358 by No. 38 of 1933 s. 42; amended by No. 24 of 1970 s. 12; No. 80 of 1987 s. 169; No. 59 of 1991 s. 5(1); No. 14 of 1996 s. 4; No. 28 of 1996 s. 21; No. 19 of 2016 s. 99.]</w:t>
      </w:r>
    </w:p>
    <w:p>
      <w:pPr>
        <w:pStyle w:val="Heading5"/>
        <w:rPr>
          <w:snapToGrid w:val="0"/>
        </w:rPr>
      </w:pPr>
      <w:bookmarkStart w:id="690" w:name="_Toc512323908"/>
      <w:r>
        <w:rPr>
          <w:rStyle w:val="CharSectno"/>
        </w:rPr>
        <w:t>359</w:t>
      </w:r>
      <w:r>
        <w:rPr>
          <w:snapToGrid w:val="0"/>
        </w:rPr>
        <w:t>.</w:t>
      </w:r>
      <w:r>
        <w:rPr>
          <w:snapToGrid w:val="0"/>
        </w:rPr>
        <w:tab/>
        <w:t>No abatement</w:t>
      </w:r>
      <w:bookmarkEnd w:id="690"/>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formerly section 283, renumbered as section 359 by No. 38 of 1933 s. 42; amended by No. 84 of 2004 s. 80.]</w:t>
      </w:r>
    </w:p>
    <w:p>
      <w:pPr>
        <w:pStyle w:val="Heading5"/>
        <w:rPr>
          <w:snapToGrid w:val="0"/>
        </w:rPr>
      </w:pPr>
      <w:bookmarkStart w:id="691" w:name="_Toc512323909"/>
      <w:r>
        <w:rPr>
          <w:rStyle w:val="CharSectno"/>
        </w:rPr>
        <w:t>360</w:t>
      </w:r>
      <w:r>
        <w:rPr>
          <w:snapToGrid w:val="0"/>
        </w:rPr>
        <w:t>.</w:t>
      </w:r>
      <w:r>
        <w:rPr>
          <w:snapToGrid w:val="0"/>
        </w:rPr>
        <w:tab/>
        <w:t>Penalties</w:t>
      </w:r>
      <w:bookmarkEnd w:id="691"/>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spacing w:before="60"/>
        <w:rPr>
          <w:snapToGrid w:val="0"/>
        </w:rPr>
      </w:pPr>
      <w:r>
        <w:rPr>
          <w:snapToGrid w:val="0"/>
        </w:rPr>
        <w:tab/>
        <w:t>(i)</w:t>
      </w:r>
      <w:r>
        <w:rPr>
          <w:snapToGrid w:val="0"/>
        </w:rPr>
        <w:tab/>
        <w:t>a penalty which is not more than $500 and not less than —</w:t>
      </w:r>
    </w:p>
    <w:p>
      <w:pPr>
        <w:pStyle w:val="IndentI0"/>
        <w:spacing w:before="60"/>
        <w:rPr>
          <w:snapToGrid w:val="0"/>
        </w:rPr>
      </w:pPr>
      <w:r>
        <w:rPr>
          <w:snapToGrid w:val="0"/>
        </w:rPr>
        <w:tab/>
        <w:t>(A)</w:t>
      </w:r>
      <w:r>
        <w:rPr>
          <w:snapToGrid w:val="0"/>
        </w:rPr>
        <w:tab/>
        <w:t>in the case of a first such offence, $50; and</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rPr>
          <w:snapToGrid w:val="0"/>
        </w:rPr>
      </w:pPr>
      <w:r>
        <w:rPr>
          <w:snapToGrid w:val="0"/>
        </w:rPr>
        <w:tab/>
        <w:t>(A)</w:t>
      </w:r>
      <w:r>
        <w:rPr>
          <w:snapToGrid w:val="0"/>
        </w:rPr>
        <w:tab/>
        <w:t>in the case of a first such offence, $100; and</w:t>
      </w:r>
    </w:p>
    <w:p>
      <w:pPr>
        <w:pStyle w:val="IndentI0"/>
        <w:rPr>
          <w:snapToGrid w:val="0"/>
        </w:rPr>
      </w:pPr>
      <w:r>
        <w:rPr>
          <w:snapToGrid w:val="0"/>
        </w:rPr>
        <w:tab/>
        <w:t>(B)</w:t>
      </w:r>
      <w:r>
        <w:rPr>
          <w:snapToGrid w:val="0"/>
        </w:rPr>
        <w:tab/>
        <w:t>in the case of a second such offence, $200; and</w:t>
      </w:r>
    </w:p>
    <w:p>
      <w:pPr>
        <w:pStyle w:val="IndentI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keepNext/>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rPr>
          <w:snapToGrid w:val="0"/>
        </w:rPr>
      </w:pPr>
      <w:r>
        <w:rPr>
          <w:snapToGrid w:val="0"/>
        </w:rPr>
        <w:tab/>
        <w:t>(A)</w:t>
      </w:r>
      <w:r>
        <w:rPr>
          <w:snapToGrid w:val="0"/>
        </w:rPr>
        <w:tab/>
        <w:t>in the case of a first offence, $200; and</w:t>
      </w:r>
    </w:p>
    <w:p>
      <w:pPr>
        <w:pStyle w:val="IndentI0"/>
        <w:rPr>
          <w:snapToGrid w:val="0"/>
        </w:rPr>
      </w:pPr>
      <w:r>
        <w:rPr>
          <w:snapToGrid w:val="0"/>
        </w:rPr>
        <w:tab/>
        <w:t>(B)</w:t>
      </w:r>
      <w:r>
        <w:rPr>
          <w:snapToGrid w:val="0"/>
        </w:rPr>
        <w:tab/>
        <w:t>in the case of a second offence, $400; and</w:t>
      </w:r>
    </w:p>
    <w:p>
      <w:pPr>
        <w:pStyle w:val="IndentI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rPr>
          <w:snapToGrid w:val="0"/>
        </w:rPr>
      </w:pPr>
      <w:r>
        <w:rPr>
          <w:snapToGrid w:val="0"/>
        </w:rPr>
        <w:tab/>
        <w:t>(A)</w:t>
      </w:r>
      <w:r>
        <w:rPr>
          <w:snapToGrid w:val="0"/>
        </w:rPr>
        <w:tab/>
        <w:t>in the case of a first such offence, $250; and</w:t>
      </w:r>
    </w:p>
    <w:p>
      <w:pPr>
        <w:pStyle w:val="IndentI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keepNext/>
        <w:rPr>
          <w:snapToGrid w:val="0"/>
        </w:rPr>
      </w:pPr>
      <w:r>
        <w:rPr>
          <w:snapToGrid w:val="0"/>
        </w:rPr>
        <w:tab/>
        <w:t>(e)</w:t>
      </w:r>
      <w:r>
        <w:rPr>
          <w:snapToGrid w:val="0"/>
        </w:rPr>
        <w:tab/>
        <w:t>Part V of Schedule 5 is liable to —</w:t>
      </w:r>
    </w:p>
    <w:p>
      <w:pPr>
        <w:pStyle w:val="Indenti"/>
        <w:keepNext/>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 and</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 and</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spacing w:before="100"/>
        <w:rPr>
          <w:snapToGrid w:val="0"/>
        </w:rPr>
      </w:pPr>
      <w:r>
        <w:rPr>
          <w:snapToGrid w:val="0"/>
        </w:rPr>
        <w:tab/>
      </w:r>
      <w:r>
        <w:rPr>
          <w:snapToGrid w:val="0"/>
        </w:rPr>
        <w:tab/>
        <w:t>or</w:t>
      </w:r>
    </w:p>
    <w:p>
      <w:pPr>
        <w:pStyle w:val="Indenta"/>
        <w:keepNext/>
        <w:spacing w:before="100"/>
        <w:rPr>
          <w:snapToGrid w:val="0"/>
        </w:rPr>
      </w:pPr>
      <w:r>
        <w:rPr>
          <w:snapToGrid w:val="0"/>
        </w:rPr>
        <w:tab/>
        <w:t>(g)</w:t>
      </w:r>
      <w:r>
        <w:rPr>
          <w:snapToGrid w:val="0"/>
        </w:rPr>
        <w:tab/>
        <w:t>Part VII of Schedule 5 is liable to —</w:t>
      </w:r>
    </w:p>
    <w:p>
      <w:pPr>
        <w:pStyle w:val="Indenti"/>
        <w:keepNext/>
        <w:spacing w:before="100"/>
        <w:rPr>
          <w:snapToGrid w:val="0"/>
        </w:rPr>
      </w:pPr>
      <w:r>
        <w:rPr>
          <w:snapToGrid w:val="0"/>
        </w:rPr>
        <w:tab/>
        <w:t>(i)</w:t>
      </w:r>
      <w:r>
        <w:rPr>
          <w:snapToGrid w:val="0"/>
        </w:rPr>
        <w:tab/>
        <w:t>a penalty which is not more than $10 000 or imprisonment for a period of 12 months and not less than —</w:t>
      </w:r>
    </w:p>
    <w:p>
      <w:pPr>
        <w:pStyle w:val="IndentI0"/>
        <w:spacing w:before="100"/>
        <w:rPr>
          <w:snapToGrid w:val="0"/>
        </w:rPr>
      </w:pPr>
      <w:r>
        <w:rPr>
          <w:snapToGrid w:val="0"/>
        </w:rPr>
        <w:tab/>
        <w:t>(A)</w:t>
      </w:r>
      <w:r>
        <w:rPr>
          <w:snapToGrid w:val="0"/>
        </w:rPr>
        <w:tab/>
        <w:t>in the case of a first such offence, $1 000; and</w:t>
      </w:r>
    </w:p>
    <w:p>
      <w:pPr>
        <w:pStyle w:val="IndentI0"/>
        <w:spacing w:before="100"/>
        <w:rPr>
          <w:snapToGrid w:val="0"/>
        </w:rPr>
      </w:pPr>
      <w:r>
        <w:rPr>
          <w:snapToGrid w:val="0"/>
        </w:rPr>
        <w:tab/>
        <w:t>(B)</w:t>
      </w:r>
      <w:r>
        <w:rPr>
          <w:snapToGrid w:val="0"/>
        </w:rPr>
        <w:tab/>
        <w:t>in the case of a second such offence, $2 000; and</w:t>
      </w:r>
    </w:p>
    <w:p>
      <w:pPr>
        <w:pStyle w:val="IndentI0"/>
        <w:spacing w:before="100"/>
        <w:rPr>
          <w:snapToGrid w:val="0"/>
        </w:rPr>
      </w:pPr>
      <w:r>
        <w:rPr>
          <w:snapToGrid w:val="0"/>
        </w:rPr>
        <w:tab/>
        <w:t>(C)</w:t>
      </w:r>
      <w:r>
        <w:rPr>
          <w:snapToGrid w:val="0"/>
        </w:rPr>
        <w:tab/>
        <w:t>in the case of a third or subsequent such offence, $5 000;</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(ii)</w:t>
      </w:r>
      <w:r>
        <w:rPr>
          <w:snapToGrid w:val="0"/>
        </w:rPr>
        <w:tab/>
        <w:t>if that offence is a continuing offence, a daily penalty which is not more than $1 000 and not less than $500;</w:t>
      </w:r>
    </w:p>
    <w:p>
      <w:pPr>
        <w:pStyle w:val="Indenta"/>
        <w:keepNext/>
        <w:spacing w:before="100"/>
        <w:rPr>
          <w:snapToGrid w:val="0"/>
        </w:rPr>
      </w:pPr>
      <w:r>
        <w:rPr>
          <w:snapToGrid w:val="0"/>
        </w:rPr>
        <w:tab/>
        <w:t>(h)</w:t>
      </w:r>
      <w:r>
        <w:rPr>
          <w:snapToGrid w:val="0"/>
        </w:rPr>
        <w:tab/>
        <w:t>Part VIII of Schedule 5 is liable to —</w:t>
      </w:r>
    </w:p>
    <w:p>
      <w:pPr>
        <w:pStyle w:val="Indenti"/>
        <w:spacing w:before="100"/>
        <w:rPr>
          <w:snapToGrid w:val="0"/>
        </w:rPr>
      </w:pPr>
      <w:r>
        <w:rPr>
          <w:snapToGrid w:val="0"/>
        </w:rPr>
        <w:tab/>
        <w:t>(i)</w:t>
      </w:r>
      <w:r>
        <w:rPr>
          <w:snapToGrid w:val="0"/>
        </w:rPr>
        <w:tab/>
        <w:t>a penalty which is not more than $15 000; and</w:t>
      </w:r>
    </w:p>
    <w:p>
      <w:pPr>
        <w:pStyle w:val="Indenti"/>
        <w:spacing w:before="100"/>
        <w:rPr>
          <w:snapToGrid w:val="0"/>
        </w:rPr>
      </w:pPr>
      <w:r>
        <w:rPr>
          <w:snapToGrid w:val="0"/>
        </w:rPr>
        <w:tab/>
        <w:t>(ii)</w:t>
      </w:r>
      <w:r>
        <w:rPr>
          <w:snapToGrid w:val="0"/>
        </w:rPr>
        <w:tab/>
        <w:t>if that offence is a continuing offence, a daily penalty which is not more than $1 000.</w:t>
      </w:r>
    </w:p>
    <w:p>
      <w:pPr>
        <w:pStyle w:val="Subsection"/>
        <w:spacing w:before="200"/>
      </w:pPr>
      <w:r>
        <w:tab/>
        <w:t>(2)</w:t>
      </w:r>
      <w:r>
        <w:tab/>
        <w:t>Local laws and regulations made under this Act may create offences with —</w:t>
      </w:r>
    </w:p>
    <w:p>
      <w:pPr>
        <w:pStyle w:val="Indenta"/>
      </w:pPr>
      <w:r>
        <w:tab/>
        <w:t>(a)</w:t>
      </w:r>
      <w:r>
        <w:tab/>
        <w:t>a maximum penalty of not more than $10 000; and</w:t>
      </w:r>
    </w:p>
    <w:p>
      <w:pPr>
        <w:pStyle w:val="Indenta"/>
      </w:pPr>
      <w:r>
        <w:tab/>
        <w:t>(b)</w:t>
      </w:r>
      <w:r>
        <w:tab/>
        <w:t>if the offence is a continuing offence, a daily penalty of not more than $1 000.</w:t>
      </w:r>
    </w:p>
    <w:p>
      <w:pPr>
        <w:pStyle w:val="Subsection"/>
        <w:spacing w:before="200"/>
      </w:pPr>
      <w:r>
        <w:tab/>
        <w:t>(3)</w:t>
      </w:r>
      <w:r>
        <w:tab/>
        <w:t>For the purposes of subsection  (2) —</w:t>
      </w:r>
    </w:p>
    <w:p>
      <w:pPr>
        <w:pStyle w:val="Indenta"/>
      </w:pPr>
      <w:r>
        <w:tab/>
        <w:t>(a)</w:t>
      </w:r>
      <w:r>
        <w:tab/>
        <w:t>local laws and regulations may provide for the imposition of a minimum penalty for an offence; and</w:t>
      </w:r>
    </w:p>
    <w:p>
      <w:pPr>
        <w:pStyle w:val="Indenta"/>
      </w:pPr>
      <w:r>
        <w:tab/>
        <w:t>(b)</w:t>
      </w:r>
      <w:r>
        <w:tab/>
        <w:t>the level of the penalty for an offence (whether the maximum penalty or a minimum penalty) may be related to either or both of the following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Footnotesection"/>
        <w:keepLines w:val="0"/>
      </w:pPr>
      <w:r>
        <w:tab/>
        <w:t>[Section 360 inserted by No. 80 of 1987 s. 170; amended by No. 59 of 1991 s. 18 and 26; No. 78 of 1995 s. 147; No. 14 of 1996 s. 4; No. 57 of 1997 s. 68(2); No. 62 of 1998 s. 6; No. 50 of 2003 s. 71(2); No. 43 of 2008 s. 147(16); No. 13 of 2014 s. 157; No. 19 of 2016 s. 90.]</w:t>
      </w:r>
    </w:p>
    <w:p>
      <w:pPr>
        <w:pStyle w:val="Heading5"/>
        <w:spacing w:before="260"/>
        <w:rPr>
          <w:snapToGrid w:val="0"/>
        </w:rPr>
      </w:pPr>
      <w:bookmarkStart w:id="692" w:name="_Toc512323910"/>
      <w:r>
        <w:rPr>
          <w:rStyle w:val="CharSectno"/>
        </w:rPr>
        <w:t>361</w:t>
      </w:r>
      <w:r>
        <w:rPr>
          <w:snapToGrid w:val="0"/>
        </w:rPr>
        <w:t>.</w:t>
      </w:r>
      <w:r>
        <w:rPr>
          <w:snapToGrid w:val="0"/>
        </w:rPr>
        <w:tab/>
        <w:t>General penalty</w:t>
      </w:r>
      <w:bookmarkEnd w:id="692"/>
    </w:p>
    <w:p>
      <w:pPr>
        <w:pStyle w:val="Subsection"/>
        <w:spacing w:before="200"/>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Deleted by No. 35 of 1966 s. 10.]</w:t>
      </w:r>
    </w:p>
    <w:p>
      <w:pPr>
        <w:pStyle w:val="Heading5"/>
        <w:rPr>
          <w:snapToGrid w:val="0"/>
        </w:rPr>
      </w:pPr>
      <w:bookmarkStart w:id="693" w:name="_Toc512323911"/>
      <w:r>
        <w:rPr>
          <w:rStyle w:val="CharSectno"/>
        </w:rPr>
        <w:t>362</w:t>
      </w:r>
      <w:r>
        <w:rPr>
          <w:snapToGrid w:val="0"/>
        </w:rPr>
        <w:t>.</w:t>
      </w:r>
      <w:r>
        <w:rPr>
          <w:snapToGrid w:val="0"/>
        </w:rPr>
        <w:tab/>
        <w:t>Proceedings for offence</w:t>
      </w:r>
      <w:bookmarkEnd w:id="693"/>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xml:space="preserve">, the </w:t>
      </w:r>
      <w:r>
        <w:t xml:space="preserve">Chief Health Officer </w:t>
      </w:r>
      <w:r>
        <w:rPr>
          <w:snapToGrid w:val="0"/>
        </w:rPr>
        <w:t>or the local government of the district in which the offence is committed, or an officer of the local government, or a member of the police force, without the consent in writing of the Attorney General.</w:t>
      </w:r>
    </w:p>
    <w:p>
      <w:pPr>
        <w:pStyle w:val="Footnotesection"/>
      </w:pPr>
      <w:r>
        <w:tab/>
        <w:t>[Section 362, formerly section 286, renumbered as section 362 by No. 38 of 1933 s. 42; amended by No. 28 of 1984 s. 38; No. 80 of 1987 s. 171; No. 14 of 1996 s. 4; No. 59 of 2004 s. 141; No. 28 of 2006 s. 251; No. 19 of 2016 s. 91.]</w:t>
      </w:r>
    </w:p>
    <w:p>
      <w:pPr>
        <w:pStyle w:val="Ednotesection"/>
        <w:ind w:left="890" w:hanging="890"/>
        <w:outlineLvl w:val="9"/>
      </w:pPr>
      <w:r>
        <w:t>[</w:t>
      </w:r>
      <w:r>
        <w:rPr>
          <w:b/>
        </w:rPr>
        <w:t>363.</w:t>
      </w:r>
      <w:r>
        <w:t xml:space="preserve"> </w:t>
      </w:r>
      <w:r>
        <w:tab/>
        <w:t>Deleted by No. 59 of 2004 s. 141.]</w:t>
      </w:r>
    </w:p>
    <w:p>
      <w:pPr>
        <w:pStyle w:val="Ednotesection"/>
        <w:ind w:left="890" w:hanging="890"/>
        <w:outlineLvl w:val="9"/>
      </w:pPr>
      <w:r>
        <w:t>[</w:t>
      </w:r>
      <w:r>
        <w:rPr>
          <w:b/>
        </w:rPr>
        <w:t>364.</w:t>
      </w:r>
      <w:r>
        <w:tab/>
        <w:t>Deleted by No. 35 of 1935 s. 48A (as amended by No. 73 of 1954 s. 8).]</w:t>
      </w:r>
    </w:p>
    <w:p>
      <w:pPr>
        <w:pStyle w:val="Heading5"/>
        <w:rPr>
          <w:snapToGrid w:val="0"/>
        </w:rPr>
      </w:pPr>
      <w:bookmarkStart w:id="694" w:name="_Toc512323912"/>
      <w:r>
        <w:rPr>
          <w:rStyle w:val="CharSectno"/>
        </w:rPr>
        <w:t>365</w:t>
      </w:r>
      <w:r>
        <w:rPr>
          <w:snapToGrid w:val="0"/>
        </w:rPr>
        <w:t>.</w:t>
      </w:r>
      <w:r>
        <w:rPr>
          <w:snapToGrid w:val="0"/>
        </w:rPr>
        <w:tab/>
        <w:t>Protection against personal liability</w:t>
      </w:r>
      <w:bookmarkEnd w:id="694"/>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xml:space="preserve">, the </w:t>
      </w:r>
      <w:r>
        <w:t xml:space="preserve">Chief Health Officer </w:t>
      </w:r>
      <w:r>
        <w:rPr>
          <w:snapToGrid w:val="0"/>
        </w:rPr>
        <w:t>or the local government, and no matter or thing done by any officer or other person acting under the direction of the</w:t>
      </w:r>
      <w:r>
        <w:t xml:space="preserve"> CEO</w:t>
      </w:r>
      <w:r>
        <w:rPr>
          <w:snapToGrid w:val="0"/>
        </w:rPr>
        <w:t xml:space="preserve">, the </w:t>
      </w:r>
      <w:r>
        <w:t xml:space="preserve">Chief Health Officer </w:t>
      </w:r>
      <w:r>
        <w:rPr>
          <w:snapToGrid w:val="0"/>
        </w:rPr>
        <w:t xml:space="preserve">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xml:space="preserve">, the </w:t>
      </w:r>
      <w:r>
        <w:t xml:space="preserve">Chief Health Officer </w:t>
      </w:r>
      <w:r>
        <w:rPr>
          <w:snapToGrid w:val="0"/>
        </w:rPr>
        <w:t>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formerly section 289, renumbered as section 365 by No. 38 of 1933 s. 42; amended by No. 28 of 1984 s. 39; No. 14 of 1996 s. 4; No. 28 of 2006 s. 251; No. 19 of 2016 s. 92.]</w:t>
      </w:r>
    </w:p>
    <w:p>
      <w:pPr>
        <w:pStyle w:val="Heading5"/>
        <w:rPr>
          <w:snapToGrid w:val="0"/>
        </w:rPr>
      </w:pPr>
      <w:bookmarkStart w:id="695" w:name="_Toc512323913"/>
      <w:r>
        <w:rPr>
          <w:rStyle w:val="CharSectno"/>
        </w:rPr>
        <w:t>366</w:t>
      </w:r>
      <w:r>
        <w:rPr>
          <w:snapToGrid w:val="0"/>
        </w:rPr>
        <w:t>.</w:t>
      </w:r>
      <w:r>
        <w:rPr>
          <w:snapToGrid w:val="0"/>
        </w:rPr>
        <w:tab/>
        <w:t>No officer to be concerned in contract</w:t>
      </w:r>
      <w:bookmarkEnd w:id="695"/>
    </w:p>
    <w:p>
      <w:pPr>
        <w:pStyle w:val="Subsection"/>
        <w:spacing w:before="180"/>
        <w:rPr>
          <w:snapToGrid w:val="0"/>
        </w:rPr>
      </w:pPr>
      <w:r>
        <w:rPr>
          <w:snapToGrid w:val="0"/>
        </w:rPr>
        <w:tab/>
        <w:t>(1)</w:t>
      </w:r>
      <w:r>
        <w:rPr>
          <w:snapToGrid w:val="0"/>
        </w:rPr>
        <w:tab/>
      </w:r>
      <w:r>
        <w:t xml:space="preserve">No CEO or Chief Health Officer, </w:t>
      </w:r>
      <w:r>
        <w:rPr>
          <w:snapToGrid w:val="0"/>
        </w:rPr>
        <w:t>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spacing w:before="180"/>
        <w:rPr>
          <w:snapToGrid w:val="0"/>
        </w:rPr>
      </w:pPr>
      <w:r>
        <w:rPr>
          <w:snapToGrid w:val="0"/>
        </w:rPr>
        <w:tab/>
      </w:r>
      <w:r>
        <w:rPr>
          <w:snapToGrid w:val="0"/>
        </w:rPr>
        <w:tab/>
        <w:t xml:space="preserve">But this subsection shall not apply to any such bargain or contract entered into by a member of the council of a local government as </w:t>
      </w:r>
      <w:r>
        <w:t xml:space="preserve">he or she, </w:t>
      </w:r>
      <w:r>
        <w:rPr>
          <w:snapToGrid w:val="0"/>
        </w:rPr>
        <w:t>while being such member, could lawfully enter into.</w:t>
      </w:r>
    </w:p>
    <w:p>
      <w:pPr>
        <w:pStyle w:val="Subsection"/>
        <w:spacing w:before="180"/>
        <w:rPr>
          <w:snapToGrid w:val="0"/>
        </w:rPr>
      </w:pPr>
      <w:r>
        <w:rPr>
          <w:snapToGrid w:val="0"/>
        </w:rPr>
        <w:tab/>
        <w:t>(2)</w:t>
      </w:r>
      <w:r>
        <w:rPr>
          <w:snapToGrid w:val="0"/>
        </w:rPr>
        <w:tab/>
        <w:t xml:space="preserve">If </w:t>
      </w:r>
      <w:r>
        <w:t>the CEO, the Chief Health Officer or any member or person is concerned or interested in the circumstances referred to in subsection (1), or if the CEO, the Chief Health Officer or any member</w:t>
      </w:r>
      <w:r>
        <w:rPr>
          <w:snapToGrid w:val="0"/>
        </w:rPr>
        <w:t xml:space="preserve"> or person, under colour of his</w:t>
      </w:r>
      <w:r>
        <w:t xml:space="preserve"> or her</w:t>
      </w:r>
      <w:r>
        <w:rPr>
          <w:snapToGrid w:val="0"/>
        </w:rPr>
        <w:t xml:space="preserve"> office or employment, exacts, takes, or accepts any fee or reward whatsoever, other than his</w:t>
      </w:r>
      <w:r>
        <w:t xml:space="preserve"> or her</w:t>
      </w:r>
      <w:r>
        <w:rPr>
          <w:snapToGrid w:val="0"/>
        </w:rPr>
        <w:t xml:space="preserve"> proper salary, wages, remuneration, and allowances, he</w:t>
      </w:r>
      <w:r>
        <w:t xml:space="preserve"> or she</w:t>
      </w:r>
      <w:r>
        <w:rPr>
          <w:snapToGrid w:val="0"/>
        </w:rPr>
        <w:t xml:space="preserve"> shall be incapable of afterwards holding or continuing in any office or employment under this Act, and commits an offence.</w:t>
      </w:r>
    </w:p>
    <w:p>
      <w:pPr>
        <w:pStyle w:val="Footnotesection"/>
        <w:ind w:left="890" w:hanging="890"/>
      </w:pPr>
      <w:r>
        <w:tab/>
        <w:t>[Section 366, formerly section 290, renumbered as section 366 by No. 38 of 1933 s. 42; amended by No. 113 of 1965 s. 8(1); No. 28 of 1984 s. 40; No. 80 of 1987 s. 173; No. 14 of 1996 s. 4; No. 28 of 2006 s. 251; No. 19 of 2016 s. 93.]</w:t>
      </w:r>
    </w:p>
    <w:p>
      <w:pPr>
        <w:pStyle w:val="Heading5"/>
        <w:spacing w:before="240"/>
        <w:rPr>
          <w:snapToGrid w:val="0"/>
        </w:rPr>
      </w:pPr>
      <w:bookmarkStart w:id="696" w:name="_Toc512323914"/>
      <w:r>
        <w:rPr>
          <w:rStyle w:val="CharSectno"/>
        </w:rPr>
        <w:t>367</w:t>
      </w:r>
      <w:r>
        <w:rPr>
          <w:snapToGrid w:val="0"/>
        </w:rPr>
        <w:t>.</w:t>
      </w:r>
      <w:r>
        <w:rPr>
          <w:snapToGrid w:val="0"/>
        </w:rPr>
        <w:tab/>
        <w:t>Recovery of expenses from local government</w:t>
      </w:r>
      <w:bookmarkEnd w:id="696"/>
    </w:p>
    <w:p>
      <w:pPr>
        <w:pStyle w:val="Subsection"/>
        <w:spacing w:before="180"/>
        <w:rPr>
          <w:snapToGrid w:val="0"/>
        </w:rPr>
      </w:pPr>
      <w:r>
        <w:rPr>
          <w:snapToGrid w:val="0"/>
        </w:rPr>
        <w:tab/>
        <w:t>(1)</w:t>
      </w:r>
      <w:r>
        <w:rPr>
          <w:snapToGrid w:val="0"/>
        </w:rPr>
        <w:tab/>
        <w:t xml:space="preserve">All expenses incurred by the </w:t>
      </w:r>
      <w:r>
        <w:t>Chief Health Officer</w:t>
      </w:r>
      <w:r>
        <w:rPr>
          <w:snapToGrid w:val="0"/>
        </w:rPr>
        <w:t xml:space="preserve"> on behalf of a local government, or for which a local government is liable under this Act, shall be recoverable as a debt due to the Crown.</w:t>
      </w:r>
    </w:p>
    <w:p>
      <w:pPr>
        <w:pStyle w:val="Subsection"/>
        <w:spacing w:before="18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ind w:left="890" w:hanging="890"/>
      </w:pPr>
      <w:r>
        <w:tab/>
        <w:t>[Section 367, formerly section 291, renumbered as section 367 by No. 38 of 1933 s. 42; amended by No. 28 of 1984 s. 45; No. 14 of 1996 s. 4; No. 19 of 2016 s. 100.]</w:t>
      </w:r>
    </w:p>
    <w:p>
      <w:pPr>
        <w:pStyle w:val="Heading5"/>
        <w:spacing w:before="180"/>
        <w:rPr>
          <w:snapToGrid w:val="0"/>
        </w:rPr>
      </w:pPr>
      <w:bookmarkStart w:id="697" w:name="_Toc512323915"/>
      <w:r>
        <w:rPr>
          <w:rStyle w:val="CharSectno"/>
        </w:rPr>
        <w:t>368</w:t>
      </w:r>
      <w:r>
        <w:rPr>
          <w:snapToGrid w:val="0"/>
        </w:rPr>
        <w:t>.</w:t>
      </w:r>
      <w:r>
        <w:rPr>
          <w:snapToGrid w:val="0"/>
        </w:rPr>
        <w:tab/>
        <w:t>Contribution</w:t>
      </w:r>
      <w:bookmarkEnd w:id="697"/>
    </w:p>
    <w:p>
      <w:pPr>
        <w:pStyle w:val="Subsection"/>
        <w:spacing w:before="12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Footnotesection"/>
      </w:pPr>
      <w:r>
        <w:tab/>
        <w:t>[Section 368, formerly section 292, renumbered as section 368 by No. 38 of 1933 s. 42.]</w:t>
      </w:r>
    </w:p>
    <w:p>
      <w:pPr>
        <w:pStyle w:val="Heading5"/>
        <w:spacing w:before="180"/>
        <w:rPr>
          <w:snapToGrid w:val="0"/>
        </w:rPr>
      </w:pPr>
      <w:bookmarkStart w:id="698" w:name="_Toc512323916"/>
      <w:r>
        <w:rPr>
          <w:rStyle w:val="CharSectno"/>
        </w:rPr>
        <w:t>369</w:t>
      </w:r>
      <w:r>
        <w:rPr>
          <w:snapToGrid w:val="0"/>
        </w:rPr>
        <w:t>.</w:t>
      </w:r>
      <w:r>
        <w:rPr>
          <w:snapToGrid w:val="0"/>
        </w:rPr>
        <w:tab/>
        <w:t>Liability of owner and occupier under requisition or order</w:t>
      </w:r>
      <w:bookmarkEnd w:id="698"/>
    </w:p>
    <w:p>
      <w:pPr>
        <w:pStyle w:val="Subsection"/>
        <w:keepNext/>
        <w:keepLines/>
        <w:spacing w:before="120"/>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xml:space="preserve">, the </w:t>
      </w:r>
      <w:r>
        <w:t>Chief Health Officer</w:t>
      </w:r>
      <w:r>
        <w:rPr>
          <w:snapToGrid w:val="0"/>
        </w:rPr>
        <w:t xml:space="preserve"> or a local government in connection with any such work;</w:t>
      </w:r>
    </w:p>
    <w:p>
      <w:pPr>
        <w:pStyle w:val="Subsection"/>
        <w:spacing w:before="12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formerly section 293, renumbered as section 369 by No. 38 of 1933 s. 42; amended by No. 28 of 1984 s. 41; No. 14 of 1996 s. 4; No. 28 of 2006 s. 251; No. 19 of 2016 s. 100.]</w:t>
      </w:r>
    </w:p>
    <w:p>
      <w:pPr>
        <w:pStyle w:val="Heading5"/>
        <w:spacing w:before="180"/>
        <w:rPr>
          <w:snapToGrid w:val="0"/>
        </w:rPr>
      </w:pPr>
      <w:bookmarkStart w:id="699" w:name="_Toc512323917"/>
      <w:r>
        <w:rPr>
          <w:rStyle w:val="CharSectno"/>
        </w:rPr>
        <w:t>370</w:t>
      </w:r>
      <w:r>
        <w:rPr>
          <w:snapToGrid w:val="0"/>
        </w:rPr>
        <w:t>.</w:t>
      </w:r>
      <w:r>
        <w:rPr>
          <w:snapToGrid w:val="0"/>
        </w:rPr>
        <w:tab/>
        <w:t>Penalty if owner or occupier hinders the other</w:t>
      </w:r>
      <w:bookmarkEnd w:id="699"/>
    </w:p>
    <w:p>
      <w:pPr>
        <w:pStyle w:val="Subsection"/>
        <w:spacing w:before="120"/>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formerly section 294, renumbered as section 370 by No. 38 of 1933 s. 42; amended by No. 113 of 1965 s. 8(1); No. 80 of 1987 s. 174.]</w:t>
      </w:r>
    </w:p>
    <w:p>
      <w:pPr>
        <w:pStyle w:val="Heading5"/>
        <w:spacing w:before="180"/>
        <w:rPr>
          <w:snapToGrid w:val="0"/>
        </w:rPr>
      </w:pPr>
      <w:bookmarkStart w:id="700" w:name="_Toc512323918"/>
      <w:r>
        <w:rPr>
          <w:rStyle w:val="CharSectno"/>
        </w:rPr>
        <w:t>371</w:t>
      </w:r>
      <w:r>
        <w:rPr>
          <w:snapToGrid w:val="0"/>
        </w:rPr>
        <w:t>.</w:t>
      </w:r>
      <w:r>
        <w:rPr>
          <w:snapToGrid w:val="0"/>
        </w:rPr>
        <w:tab/>
        <w:t>Money owing to local government to be charge against land in certain cases</w:t>
      </w:r>
      <w:bookmarkEnd w:id="700"/>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ind w:left="890" w:hanging="890"/>
      </w:pPr>
      <w:r>
        <w:tab/>
        <w:t>[Section 371, inserted as section 322A by No. 30 of 1932 s. 45; renumbered as section 371 by No. 38 of 1933 s. 42; amended by No. 14 of 1996 s. 4.]</w:t>
      </w:r>
    </w:p>
    <w:p>
      <w:pPr>
        <w:pStyle w:val="Heading5"/>
        <w:spacing w:before="240"/>
        <w:rPr>
          <w:snapToGrid w:val="0"/>
        </w:rPr>
      </w:pPr>
      <w:bookmarkStart w:id="701" w:name="_Toc512323919"/>
      <w:r>
        <w:rPr>
          <w:rStyle w:val="CharSectno"/>
        </w:rPr>
        <w:t>372</w:t>
      </w:r>
      <w:r>
        <w:rPr>
          <w:snapToGrid w:val="0"/>
        </w:rPr>
        <w:t>.</w:t>
      </w:r>
      <w:r>
        <w:rPr>
          <w:snapToGrid w:val="0"/>
        </w:rPr>
        <w:tab/>
        <w:t>Provisions as to charge on land or premises</w:t>
      </w:r>
      <w:bookmarkEnd w:id="701"/>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w:t>
      </w:r>
      <w:smartTag w:uri="urn:schemas-microsoft-com:office:smarttags" w:element="Street">
        <w:smartTag w:uri="urn:schemas-microsoft-com:office:smarttags" w:element="address">
          <w:r>
            <w:t>Magistrates Court</w:t>
          </w:r>
        </w:smartTag>
      </w:smartTag>
      <w:r>
        <w:t xml:space="preserve">,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keepLines w:val="0"/>
        <w:ind w:left="890" w:hanging="890"/>
      </w:pPr>
      <w:r>
        <w:tab/>
        <w:t>[Section 372, formerly section 295, amended by No. 17 of 1918 s. 52; No. 30 of 1932 s. 46; renumbered as section 372 by No. 38 of 1933 s. 42; amended by No. 28 of 1984 s. 42; No. 14 of 1996 s. 4; No. 81 of 1996 s. 153(2); No. 57 of 1997 s. 68(3); No. 59 of 2004 s. 141; No. 28 of 2006 s. 251; No. 60 of 2006 s. 135(2).]</w:t>
      </w:r>
    </w:p>
    <w:p>
      <w:pPr>
        <w:pStyle w:val="Heading5"/>
        <w:spacing w:before="240"/>
        <w:rPr>
          <w:snapToGrid w:val="0"/>
        </w:rPr>
      </w:pPr>
      <w:bookmarkStart w:id="702" w:name="_Toc512323920"/>
      <w:r>
        <w:rPr>
          <w:rStyle w:val="CharSectno"/>
        </w:rPr>
        <w:t>373</w:t>
      </w:r>
      <w:r>
        <w:rPr>
          <w:snapToGrid w:val="0"/>
        </w:rPr>
        <w:t>.</w:t>
      </w:r>
      <w:r>
        <w:rPr>
          <w:snapToGrid w:val="0"/>
        </w:rPr>
        <w:tab/>
        <w:t>References to owner and occupier</w:t>
      </w:r>
      <w:bookmarkEnd w:id="702"/>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ind w:left="890" w:hanging="890"/>
      </w:pPr>
      <w:r>
        <w:tab/>
        <w:t>[Section 373, formerly section 296, renumbered as section 373 by No. 38 of 1933 s. 42; amended by No. 14 of 1996 s. 4.]</w:t>
      </w:r>
    </w:p>
    <w:p>
      <w:pPr>
        <w:pStyle w:val="Heading5"/>
        <w:spacing w:before="240"/>
        <w:rPr>
          <w:snapToGrid w:val="0"/>
        </w:rPr>
      </w:pPr>
      <w:bookmarkStart w:id="703" w:name="_Toc512323921"/>
      <w:r>
        <w:rPr>
          <w:rStyle w:val="CharSectno"/>
        </w:rPr>
        <w:t>374</w:t>
      </w:r>
      <w:r>
        <w:rPr>
          <w:snapToGrid w:val="0"/>
        </w:rPr>
        <w:t>.</w:t>
      </w:r>
      <w:r>
        <w:rPr>
          <w:snapToGrid w:val="0"/>
        </w:rPr>
        <w:tab/>
        <w:t>Appearance of local governments in legal proceedings</w:t>
      </w:r>
      <w:bookmarkEnd w:id="703"/>
    </w:p>
    <w:p>
      <w:pPr>
        <w:pStyle w:val="Subsection"/>
        <w:spacing w:before="200"/>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ind w:left="890" w:hanging="890"/>
      </w:pPr>
      <w:r>
        <w:tab/>
        <w:t>[Section 374, formerly section 297, renumbered as section 374 by No. 38 of 1933 s. 42; amended by No. 14 of 1996 s. 4.]</w:t>
      </w:r>
    </w:p>
    <w:p>
      <w:pPr>
        <w:pStyle w:val="Heading5"/>
        <w:rPr>
          <w:snapToGrid w:val="0"/>
        </w:rPr>
      </w:pPr>
      <w:bookmarkStart w:id="704" w:name="_Toc512323922"/>
      <w:r>
        <w:rPr>
          <w:rStyle w:val="CharSectno"/>
        </w:rPr>
        <w:t>375</w:t>
      </w:r>
      <w:r>
        <w:rPr>
          <w:snapToGrid w:val="0"/>
        </w:rPr>
        <w:t>.</w:t>
      </w:r>
      <w:r>
        <w:rPr>
          <w:snapToGrid w:val="0"/>
        </w:rPr>
        <w:tab/>
        <w:t>Power to inspect register of births and deaths</w:t>
      </w:r>
      <w:bookmarkEnd w:id="704"/>
    </w:p>
    <w:p>
      <w:pPr>
        <w:pStyle w:val="Subsection"/>
        <w:keepNext/>
        <w:rPr>
          <w:snapToGrid w:val="0"/>
        </w:rPr>
      </w:pPr>
      <w:r>
        <w:rPr>
          <w:snapToGrid w:val="0"/>
        </w:rPr>
        <w:tab/>
      </w:r>
      <w:r>
        <w:rPr>
          <w:snapToGrid w:val="0"/>
        </w:rPr>
        <w:tab/>
        <w:t xml:space="preserve">Any </w:t>
      </w:r>
      <w:r>
        <w:t>authorised officer</w:t>
      </w:r>
      <w:r>
        <w:rPr>
          <w:snapToGrid w:val="0"/>
        </w:rPr>
        <w:t xml:space="preserve"> at all reasonable times —</w:t>
      </w:r>
    </w:p>
    <w:p>
      <w:pPr>
        <w:pStyle w:val="Indenta"/>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6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
          <w:iCs/>
        </w:rPr>
        <w:t>1997</w:t>
      </w:r>
      <w:r>
        <w:rPr>
          <w:iCs/>
        </w:rPr>
        <w:t>,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ind w:left="890" w:hanging="890"/>
      </w:pPr>
      <w:r>
        <w:tab/>
        <w:t>[Section 375, formerly section 298, renumbered as section 375 by No. 38 of 1933 s. 42; amended by No. 14 of 1996 s. 4; No. 81 of 1996 s. 153(2); No. 60 of 2006 s. 135(3); No. 19 of 2016 s. 99.]</w:t>
      </w:r>
    </w:p>
    <w:p>
      <w:pPr>
        <w:pStyle w:val="Heading5"/>
        <w:rPr>
          <w:snapToGrid w:val="0"/>
        </w:rPr>
      </w:pPr>
      <w:bookmarkStart w:id="705" w:name="_Toc512323923"/>
      <w:r>
        <w:rPr>
          <w:rStyle w:val="CharSectno"/>
        </w:rPr>
        <w:t>376</w:t>
      </w:r>
      <w:r>
        <w:rPr>
          <w:snapToGrid w:val="0"/>
        </w:rPr>
        <w:t>.</w:t>
      </w:r>
      <w:r>
        <w:rPr>
          <w:snapToGrid w:val="0"/>
        </w:rPr>
        <w:tab/>
        <w:t>Authentication of documents</w:t>
      </w:r>
      <w:bookmarkEnd w:id="705"/>
    </w:p>
    <w:p>
      <w:pPr>
        <w:pStyle w:val="Subsection"/>
        <w:rPr>
          <w:snapToGrid w:val="0"/>
        </w:rPr>
      </w:pPr>
      <w:r>
        <w:rPr>
          <w:snapToGrid w:val="0"/>
        </w:rPr>
        <w:tab/>
      </w:r>
      <w:r>
        <w:rPr>
          <w:snapToGrid w:val="0"/>
        </w:rPr>
        <w:tab/>
        <w:t>Every document required to be signed, made, or authenticated by the</w:t>
      </w:r>
      <w:r>
        <w:t xml:space="preserve"> CEO</w:t>
      </w:r>
      <w:r>
        <w:rPr>
          <w:snapToGrid w:val="0"/>
        </w:rPr>
        <w:t xml:space="preserve">, the </w:t>
      </w:r>
      <w:r>
        <w:t>Chief Health Officer</w:t>
      </w:r>
      <w:r>
        <w:rPr>
          <w:snapToGrid w:val="0"/>
        </w:rPr>
        <w:t xml:space="preserve"> or by any local government shall (unless otherwise provided) be sufficiently authenticated if appearing to be signed by an officer of the Department authorised for that purpose by the</w:t>
      </w:r>
      <w:r>
        <w:t xml:space="preserve"> CEO or the Chief Health Officer, </w:t>
      </w:r>
      <w:r>
        <w:rPr>
          <w:snapToGrid w:val="0"/>
        </w:rPr>
        <w:t>or by any member or officer of the local government.</w:t>
      </w:r>
    </w:p>
    <w:p>
      <w:pPr>
        <w:pStyle w:val="Footnotesection"/>
        <w:ind w:left="890" w:hanging="890"/>
      </w:pPr>
      <w:r>
        <w:tab/>
        <w:t>[Section 376, formerly section 299, amended by No. 17 of 1918 s. 52; renumbered as section 376 by No. 38 of 1933 s. 42; amended by No. 28 of 1984 s. 43; No. 14 of 1996 s. 4; No. 28 of 2006 s. 251; No. 19 of 2016 s. 94.]</w:t>
      </w:r>
    </w:p>
    <w:p>
      <w:pPr>
        <w:pStyle w:val="Heading5"/>
        <w:rPr>
          <w:snapToGrid w:val="0"/>
        </w:rPr>
      </w:pPr>
      <w:bookmarkStart w:id="706" w:name="_Toc512323924"/>
      <w:r>
        <w:rPr>
          <w:rStyle w:val="CharSectno"/>
        </w:rPr>
        <w:t>377</w:t>
      </w:r>
      <w:r>
        <w:rPr>
          <w:snapToGrid w:val="0"/>
        </w:rPr>
        <w:t>.</w:t>
      </w:r>
      <w:r>
        <w:rPr>
          <w:snapToGrid w:val="0"/>
        </w:rPr>
        <w:tab/>
        <w:t>Evidence</w:t>
      </w:r>
      <w:bookmarkEnd w:id="706"/>
    </w:p>
    <w:p>
      <w:pPr>
        <w:pStyle w:val="Subsection"/>
        <w:keepNext/>
        <w:keepLines/>
        <w:spacing w:before="180"/>
        <w:rPr>
          <w:snapToGrid w:val="0"/>
        </w:rPr>
      </w:pPr>
      <w:r>
        <w:rPr>
          <w:snapToGrid w:val="0"/>
        </w:rPr>
        <w:tab/>
      </w:r>
      <w:r>
        <w:rPr>
          <w:snapToGrid w:val="0"/>
        </w:rPr>
        <w:tab/>
        <w:t>In any prosecution or other legal proceeding under this Act or any regulation or local law —</w:t>
      </w:r>
    </w:p>
    <w:p>
      <w:pPr>
        <w:pStyle w:val="Indenta"/>
        <w:spacing w:before="100"/>
        <w:rPr>
          <w:snapToGrid w:val="0"/>
        </w:rPr>
      </w:pPr>
      <w:r>
        <w:rPr>
          <w:snapToGrid w:val="0"/>
        </w:rPr>
        <w:tab/>
        <w:t>(1)</w:t>
      </w:r>
      <w:r>
        <w:rPr>
          <w:snapToGrid w:val="0"/>
        </w:rPr>
        <w:tab/>
        <w:t>the signature of the</w:t>
      </w:r>
      <w:r>
        <w:t xml:space="preserve"> CEO</w:t>
      </w:r>
      <w:r>
        <w:rPr>
          <w:snapToGrid w:val="0"/>
        </w:rPr>
        <w:t xml:space="preserve">, the </w:t>
      </w:r>
      <w:r>
        <w:t xml:space="preserve">Chief Health Officer, </w:t>
      </w:r>
      <w:r>
        <w:rPr>
          <w:snapToGrid w:val="0"/>
        </w:rPr>
        <w:t xml:space="preserve">an officer of the Department authorised for that purpose by the </w:t>
      </w:r>
      <w:r>
        <w:t xml:space="preserve">CEO </w:t>
      </w:r>
      <w:r>
        <w:rPr>
          <w:snapToGrid w:val="0"/>
        </w:rPr>
        <w:t>and of the chief executive officer of the local government shall be judicially noticed;</w:t>
      </w:r>
    </w:p>
    <w:p>
      <w:pPr>
        <w:pStyle w:val="Indenta"/>
        <w:spacing w:before="10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xml:space="preserve">, the </w:t>
      </w:r>
      <w:r>
        <w:t xml:space="preserve">Chief Health Officer </w:t>
      </w:r>
      <w:r>
        <w:rPr>
          <w:snapToGrid w:val="0"/>
        </w:rPr>
        <w:t>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spacing w:before="10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0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00"/>
        <w:rPr>
          <w:snapToGrid w:val="0"/>
        </w:rPr>
      </w:pPr>
      <w:r>
        <w:rPr>
          <w:snapToGrid w:val="0"/>
        </w:rPr>
        <w:tab/>
        <w:t>(4)</w:t>
      </w:r>
      <w:r>
        <w:rPr>
          <w:snapToGrid w:val="0"/>
        </w:rPr>
        <w:tab/>
        <w:t xml:space="preserve">no proof shall be required of the particular or general appointment or qualification of any </w:t>
      </w:r>
      <w:r>
        <w:t>authorised officer</w:t>
      </w:r>
      <w:r>
        <w:rPr>
          <w:snapToGrid w:val="0"/>
        </w:rPr>
        <w:t xml:space="preserve"> or any officer of a local government;</w:t>
      </w:r>
    </w:p>
    <w:p>
      <w:pPr>
        <w:pStyle w:val="Ednotepara"/>
        <w:keepNext/>
        <w:spacing w:before="100"/>
        <w:ind w:left="1610" w:hanging="1610"/>
        <w:rPr>
          <w:snapToGrid w:val="0"/>
        </w:rPr>
      </w:pPr>
      <w:r>
        <w:tab/>
        <w:t>[(5)</w:t>
      </w:r>
      <w:r>
        <w:tab/>
        <w:t>deleted]</w:t>
      </w:r>
    </w:p>
    <w:p>
      <w:pPr>
        <w:pStyle w:val="Indenta"/>
        <w:spacing w:before="14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14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14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14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Ednotepara"/>
        <w:keepNext/>
        <w:spacing w:before="100"/>
        <w:ind w:left="1610" w:hanging="1610"/>
      </w:pPr>
      <w:r>
        <w:tab/>
        <w:t>[(10)</w:t>
      </w:r>
      <w:r>
        <w:tab/>
      </w:r>
      <w:r>
        <w:tab/>
        <w:t>deleted]</w:t>
      </w:r>
    </w:p>
    <w:p>
      <w:pPr>
        <w:pStyle w:val="Indenta"/>
        <w:keepNext/>
        <w:keepLines/>
        <w:spacing w:before="14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spacing w:after="120"/>
        <w:ind w:left="890" w:hanging="890"/>
      </w:pPr>
      <w:r>
        <w:tab/>
        <w:t>[Section 377, formerly section 300, amended by No. 28 of 1912 s. 10; No. 17 of 1918 s. 51 and 52; No. 30 of 1932 s. 47; renumbered as section 377 by No. 38 of 1933 s. 42; amended by No. 21 of 1944 s. 14; No. 28 of 1984 s. 44; No. 80 of 1987 s. 175; No. 14 of 1996 s. 4; No. 57 of 1997 s. 68(3); No. 59 of 2004 s. 141; No. 84 of 2004 s. 80 and 82; No. 28 of 2006 s. 251; No. 43 of 2008 s. 147(17); No. 13 of 2014 s. 158; No. 19 of 2016 s. 95.]</w:t>
      </w:r>
    </w:p>
    <w:p>
      <w:pPr>
        <w:pStyle w:val="Heading5"/>
        <w:rPr>
          <w:snapToGrid w:val="0"/>
        </w:rPr>
      </w:pPr>
      <w:bookmarkStart w:id="707" w:name="_Toc512323925"/>
      <w:r>
        <w:rPr>
          <w:rStyle w:val="CharSectno"/>
        </w:rPr>
        <w:t>378</w:t>
      </w:r>
      <w:r>
        <w:rPr>
          <w:snapToGrid w:val="0"/>
        </w:rPr>
        <w:t>.</w:t>
      </w:r>
      <w:r>
        <w:rPr>
          <w:snapToGrid w:val="0"/>
        </w:rPr>
        <w:tab/>
        <w:t>Regulations and local laws to be judicially noticed</w:t>
      </w:r>
      <w:bookmarkEnd w:id="707"/>
    </w:p>
    <w:p>
      <w:pPr>
        <w:pStyle w:val="Subsection"/>
        <w:keepNext/>
        <w:keepLines/>
        <w:rPr>
          <w:snapToGrid w:val="0"/>
        </w:rPr>
      </w:pPr>
      <w:r>
        <w:rPr>
          <w:snapToGrid w:val="0"/>
        </w:rPr>
        <w:tab/>
      </w:r>
      <w:r>
        <w:rPr>
          <w:snapToGrid w:val="0"/>
        </w:rPr>
        <w:tab/>
        <w:t>All courts shall take judicial notice of all local laws and regulations under this Act.</w:t>
      </w:r>
    </w:p>
    <w:p>
      <w:pPr>
        <w:pStyle w:val="Footnotesection"/>
        <w:ind w:left="890" w:hanging="890"/>
      </w:pPr>
      <w:r>
        <w:tab/>
        <w:t>[Section 378 inserted as section 301 by No. 55 of 1915 s. 4; renumbered as section 378 by No. 38 of 1933 s. 42; amended by No. 14 of 1996 s. 4; No. 59 of 2004 s. 141.]</w:t>
      </w:r>
    </w:p>
    <w:p>
      <w:pPr>
        <w:pStyle w:val="Heading5"/>
      </w:pPr>
      <w:bookmarkStart w:id="708" w:name="_Toc512323926"/>
      <w:r>
        <w:rPr>
          <w:rStyle w:val="CharSectno"/>
        </w:rPr>
        <w:t>379</w:t>
      </w:r>
      <w:r>
        <w:t>.</w:t>
      </w:r>
      <w:r>
        <w:tab/>
        <w:t xml:space="preserve">Transitional provisions for </w:t>
      </w:r>
      <w:r>
        <w:rPr>
          <w:i/>
        </w:rPr>
        <w:t>Public Health (Consequential Provisions) Act 2016</w:t>
      </w:r>
      <w:bookmarkEnd w:id="708"/>
    </w:p>
    <w:p>
      <w:pPr>
        <w:pStyle w:val="Subsection"/>
      </w:pPr>
      <w:r>
        <w:tab/>
      </w:r>
      <w:r>
        <w:tab/>
        <w:t>Schedule 6 sets out transitional provisions.</w:t>
      </w:r>
    </w:p>
    <w:p>
      <w:pPr>
        <w:pStyle w:val="Footnotesection"/>
      </w:pPr>
      <w:r>
        <w:tab/>
        <w:t>[Section 379 inserted by No. 19 of 2016 s. 96.]</w:t>
      </w:r>
    </w:p>
    <w:p>
      <w:pPr>
        <w:pStyle w:val="yEdnoteschedule"/>
        <w:spacing w:before="120"/>
      </w:pPr>
      <w:r>
        <w:t>[Schedule 1 deleted by No. 19 of 2016 s. 272.]</w:t>
      </w:r>
    </w:p>
    <w:p>
      <w:pPr>
        <w:rPr>
          <w:rStyle w:val="CharDivText"/>
        </w:rPr>
        <w:sectPr>
          <w:headerReference w:type="even" r:id="rId22"/>
          <w:headerReference w:type="default" r:id="rId23"/>
          <w:headerReference w:type="first" r:id="rId24"/>
          <w:pgSz w:w="11907" w:h="16840" w:code="9"/>
          <w:pgMar w:top="2376" w:right="2410" w:bottom="3544" w:left="2410" w:header="709" w:footer="3379" w:gutter="0"/>
          <w:pgNumType w:start="1"/>
          <w:cols w:space="720"/>
          <w:noEndnote/>
          <w:titlePg/>
          <w:docGrid w:linePitch="326"/>
        </w:sectPr>
      </w:pPr>
    </w:p>
    <w:p>
      <w:pPr>
        <w:pStyle w:val="yScheduleHeading"/>
        <w:outlineLvl w:val="0"/>
      </w:pPr>
      <w:bookmarkStart w:id="709" w:name="_Toc498001311"/>
      <w:bookmarkStart w:id="710" w:name="_Toc498001641"/>
      <w:bookmarkStart w:id="711" w:name="_Toc498003293"/>
      <w:bookmarkStart w:id="712" w:name="_Toc498004304"/>
      <w:bookmarkStart w:id="713" w:name="_Toc499029707"/>
      <w:bookmarkStart w:id="714" w:name="_Toc501098775"/>
      <w:bookmarkStart w:id="715" w:name="_Toc501101698"/>
      <w:bookmarkStart w:id="716" w:name="_Toc501116220"/>
      <w:bookmarkStart w:id="717" w:name="_Toc501117481"/>
      <w:bookmarkStart w:id="718" w:name="_Toc501698888"/>
      <w:bookmarkStart w:id="719" w:name="_Toc512323927"/>
      <w:r>
        <w:rPr>
          <w:rStyle w:val="CharSchNo"/>
        </w:rPr>
        <w:t>Schedule 2</w:t>
      </w:r>
      <w:bookmarkEnd w:id="709"/>
      <w:bookmarkEnd w:id="710"/>
      <w:bookmarkEnd w:id="711"/>
      <w:bookmarkEnd w:id="712"/>
      <w:bookmarkEnd w:id="713"/>
      <w:bookmarkEnd w:id="714"/>
      <w:bookmarkEnd w:id="715"/>
      <w:bookmarkEnd w:id="716"/>
      <w:bookmarkEnd w:id="717"/>
      <w:bookmarkEnd w:id="718"/>
      <w:bookmarkEnd w:id="719"/>
    </w:p>
    <w:p>
      <w:pPr>
        <w:pStyle w:val="yShoulderClause"/>
      </w:pPr>
      <w:r>
        <w:t>[Section 186]</w:t>
      </w:r>
    </w:p>
    <w:p>
      <w:pPr>
        <w:pStyle w:val="yFootnoteheading"/>
      </w:pPr>
      <w:r>
        <w:tab/>
        <w:t>[Heading amended by No. 26 of 1985 s. 10.]</w:t>
      </w:r>
    </w:p>
    <w:p>
      <w:pPr>
        <w:pStyle w:val="yHeading2"/>
        <w:spacing w:after="120"/>
        <w:outlineLvl w:val="0"/>
      </w:pPr>
      <w:bookmarkStart w:id="720" w:name="_Toc498001312"/>
      <w:bookmarkStart w:id="721" w:name="_Toc498001642"/>
      <w:bookmarkStart w:id="722" w:name="_Toc498003294"/>
      <w:bookmarkStart w:id="723" w:name="_Toc498004305"/>
      <w:bookmarkStart w:id="724" w:name="_Toc499029708"/>
      <w:bookmarkStart w:id="725" w:name="_Toc501098776"/>
      <w:bookmarkStart w:id="726" w:name="_Toc501101699"/>
      <w:bookmarkStart w:id="727" w:name="_Toc501116221"/>
      <w:bookmarkStart w:id="728" w:name="_Toc501117482"/>
      <w:bookmarkStart w:id="729" w:name="_Toc501698889"/>
      <w:bookmarkStart w:id="730" w:name="_Toc512323928"/>
      <w:r>
        <w:rPr>
          <w:rStyle w:val="CharSchText"/>
        </w:rPr>
        <w:t>Offensive trades</w:t>
      </w:r>
      <w:bookmarkEnd w:id="720"/>
      <w:bookmarkEnd w:id="721"/>
      <w:bookmarkEnd w:id="722"/>
      <w:bookmarkEnd w:id="723"/>
      <w:bookmarkEnd w:id="724"/>
      <w:bookmarkEnd w:id="725"/>
      <w:bookmarkEnd w:id="726"/>
      <w:bookmarkEnd w:id="727"/>
      <w:bookmarkEnd w:id="728"/>
      <w:bookmarkEnd w:id="729"/>
      <w:bookmarkEnd w:id="730"/>
    </w:p>
    <w:p>
      <w:pPr>
        <w:pStyle w:val="yMiscellaneousBody"/>
        <w:rPr>
          <w:snapToGrid w:val="0"/>
        </w:rPr>
      </w:pPr>
      <w:r>
        <w:t>Any of the trades, businesses, or occupations usually carried on, in, or connected with the undermentioned works or establishments, that is to say</w:t>
      </w:r>
      <w:r>
        <w:rPr>
          <w:snapToGrid w:val="0"/>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Ednoteschedule"/>
        <w:keepNext/>
        <w:spacing w:before="120"/>
      </w:pPr>
      <w:r>
        <w:t>[Schedule 3 deleted by No. 43 of 2008 s. 147(14).]</w:t>
      </w:r>
    </w:p>
    <w:p>
      <w:pPr>
        <w:pStyle w:val="yEdnoteschedule"/>
        <w:spacing w:before="120"/>
      </w:pPr>
      <w:r>
        <w:t>[Schedule 4 deleted by No. 19 of 2016 s. 274.]</w:t>
      </w:r>
    </w:p>
    <w:p>
      <w:pPr>
        <w:pStyle w:val="yScheduleHeading"/>
        <w:outlineLvl w:val="0"/>
      </w:pPr>
      <w:bookmarkStart w:id="731" w:name="_Toc498001313"/>
      <w:bookmarkStart w:id="732" w:name="_Toc498001643"/>
      <w:bookmarkStart w:id="733" w:name="_Toc498003295"/>
      <w:bookmarkStart w:id="734" w:name="_Toc498004306"/>
      <w:bookmarkStart w:id="735" w:name="_Toc499029709"/>
      <w:bookmarkStart w:id="736" w:name="_Toc501098777"/>
      <w:bookmarkStart w:id="737" w:name="_Toc501101700"/>
      <w:bookmarkStart w:id="738" w:name="_Toc501116222"/>
      <w:bookmarkStart w:id="739" w:name="_Toc501117483"/>
      <w:bookmarkStart w:id="740" w:name="_Toc501698890"/>
      <w:bookmarkStart w:id="741" w:name="_Toc512323929"/>
      <w:r>
        <w:rPr>
          <w:rStyle w:val="CharSchNo"/>
        </w:rPr>
        <w:t>Schedule 5</w:t>
      </w:r>
      <w:bookmarkEnd w:id="731"/>
      <w:bookmarkEnd w:id="732"/>
      <w:bookmarkEnd w:id="733"/>
      <w:bookmarkEnd w:id="734"/>
      <w:bookmarkEnd w:id="735"/>
      <w:bookmarkEnd w:id="736"/>
      <w:bookmarkEnd w:id="737"/>
      <w:bookmarkEnd w:id="738"/>
      <w:bookmarkEnd w:id="739"/>
      <w:bookmarkEnd w:id="740"/>
      <w:bookmarkEnd w:id="741"/>
    </w:p>
    <w:p>
      <w:pPr>
        <w:pStyle w:val="yShoulderClause"/>
      </w:pPr>
      <w:r>
        <w:t>[Section 360(1)]</w:t>
      </w:r>
    </w:p>
    <w:p>
      <w:pPr>
        <w:pStyle w:val="yHeading2"/>
        <w:outlineLvl w:val="0"/>
      </w:pPr>
      <w:bookmarkStart w:id="742" w:name="_Toc498001314"/>
      <w:bookmarkStart w:id="743" w:name="_Toc498001644"/>
      <w:bookmarkStart w:id="744" w:name="_Toc498003296"/>
      <w:bookmarkStart w:id="745" w:name="_Toc498004307"/>
      <w:bookmarkStart w:id="746" w:name="_Toc499029710"/>
      <w:bookmarkStart w:id="747" w:name="_Toc501098778"/>
      <w:bookmarkStart w:id="748" w:name="_Toc501101701"/>
      <w:bookmarkStart w:id="749" w:name="_Toc501116223"/>
      <w:bookmarkStart w:id="750" w:name="_Toc501117484"/>
      <w:bookmarkStart w:id="751" w:name="_Toc501698891"/>
      <w:bookmarkStart w:id="752" w:name="_Toc512323930"/>
      <w:r>
        <w:rPr>
          <w:rStyle w:val="CharSchText"/>
        </w:rPr>
        <w:t>Penalties</w:t>
      </w:r>
      <w:bookmarkEnd w:id="742"/>
      <w:bookmarkEnd w:id="743"/>
      <w:bookmarkEnd w:id="744"/>
      <w:bookmarkEnd w:id="745"/>
      <w:bookmarkEnd w:id="746"/>
      <w:bookmarkEnd w:id="747"/>
      <w:bookmarkEnd w:id="748"/>
      <w:bookmarkEnd w:id="749"/>
      <w:bookmarkEnd w:id="750"/>
      <w:bookmarkEnd w:id="751"/>
      <w:bookmarkEnd w:id="752"/>
    </w:p>
    <w:p>
      <w:pPr>
        <w:pStyle w:val="yFootnoteheading"/>
      </w:pPr>
      <w:r>
        <w:tab/>
        <w:t>[Heading inserted by No. 80 of 1987 s. 176.]</w:t>
      </w:r>
    </w:p>
    <w:p>
      <w:pPr>
        <w:pStyle w:val="MiscellaneousHeading"/>
        <w:outlineLvl w:val="0"/>
        <w:rPr>
          <w:sz w:val="22"/>
        </w:rPr>
      </w:pPr>
      <w:r>
        <w:rPr>
          <w:i/>
          <w:sz w:val="22"/>
        </w:rPr>
        <w:t>Part I</w:t>
      </w:r>
    </w:p>
    <w:p>
      <w:pPr>
        <w:pStyle w:val="yMiscellaneousBody"/>
        <w:tabs>
          <w:tab w:val="left" w:pos="560"/>
        </w:tabs>
        <w:ind w:left="588" w:hanging="588"/>
      </w:pPr>
      <w:r>
        <w:t>Sections 77, 78(1a), 86(2), 92(1), 101(3), 102, 114(1), 116(d), 120(2), 126(1a), 151, 153(2), 157(4), 181(2), 184(3), 189, 203(2), 263(4), 285(1), 306(1) and (2), 311, 349(2), 351(2) and (5) and 352(3).</w:t>
      </w:r>
    </w:p>
    <w:p>
      <w:pPr>
        <w:pStyle w:val="yFootnotesection"/>
      </w:pPr>
      <w:r>
        <w:tab/>
        <w:t>[Part I inserted by No. 80 of 1987 s. 176; amended by No. 23 of 2006 s. 13(1); No. 36 of 2007 Sch. 4 cl. 4(8); No. 43 of 2008 s. 147(18); No. 13 of 2014 s. 159(a).]</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196(2), 260(3), 262(4), 266, 268, 269, 273(4) and (6), 277(5), 280(4), 294(7)(a), 307(8), 332(2), 335(3), 337(6), 338(1), 351(1) and (3) and 370.</w:t>
      </w:r>
    </w:p>
    <w:p>
      <w:pPr>
        <w:pStyle w:val="yFootnotesection"/>
      </w:pPr>
      <w:r>
        <w:tab/>
        <w:t>[Part II inserted by No. 80 of 1987 s. 176; amended by No. 59 of 1991 s. 28(a); No. 28 of 1996 s. 19; No. 28 of 2003 s. 77(3); No. 23 of 2006 s. 13(2); No. 43 of 2008 s. 147(19); No. 13 of 2014 s. 159(b).]</w:t>
      </w:r>
    </w:p>
    <w:p>
      <w:pPr>
        <w:pStyle w:val="MiscellaneousHeading"/>
        <w:outlineLvl w:val="0"/>
        <w:rPr>
          <w:i/>
          <w:sz w:val="22"/>
        </w:rPr>
      </w:pPr>
      <w:r>
        <w:rPr>
          <w:i/>
          <w:sz w:val="22"/>
        </w:rPr>
        <w:t>Part III</w:t>
      </w:r>
    </w:p>
    <w:p>
      <w:pPr>
        <w:pStyle w:val="yMiscellaneousBody"/>
        <w:tabs>
          <w:tab w:val="left" w:pos="560"/>
        </w:tabs>
        <w:ind w:left="588" w:hanging="588"/>
      </w:pPr>
      <w:r>
        <w:t>Sections 276(5), 276A(5) and 300(5).</w:t>
      </w:r>
    </w:p>
    <w:p>
      <w:pPr>
        <w:pStyle w:val="yFootnotesection"/>
      </w:pPr>
      <w:r>
        <w:tab/>
        <w:t>[Part III inserted by No. 80 of 1987 s. 176; amended by No. 57 of 1997 s. 68(4); No. 23 of 2006 s. 13(3); No. 43 of 2008 s. 147(20).]</w:t>
      </w:r>
    </w:p>
    <w:p>
      <w:pPr>
        <w:pStyle w:val="MiscellaneousHeading"/>
        <w:outlineLvl w:val="0"/>
        <w:rPr>
          <w:i/>
          <w:sz w:val="22"/>
        </w:rPr>
      </w:pPr>
      <w:r>
        <w:rPr>
          <w:i/>
          <w:sz w:val="22"/>
        </w:rPr>
        <w:t>Part IV</w:t>
      </w:r>
    </w:p>
    <w:p>
      <w:pPr>
        <w:pStyle w:val="yMiscellaneousBody"/>
        <w:keepNext/>
        <w:tabs>
          <w:tab w:val="left" w:pos="560"/>
        </w:tabs>
        <w:ind w:left="588" w:hanging="588"/>
      </w:pPr>
      <w:r>
        <w:t>Sections 98, 99(4), 108(4), 109, 188, 267(1), 278(1), 279, 282(2), 310(1), 313(1), 332(1), 336(5a), 336A(5a), 336B(7a), 340LB(2), 340M(1) and (2), 340ALB(2), 340AM(1) and (2), 340BLB(2), 340BM(1) and (2) and 366(2).</w:t>
      </w:r>
    </w:p>
    <w:p>
      <w:pPr>
        <w:pStyle w:val="yFootnotesection"/>
      </w:pPr>
      <w:r>
        <w:tab/>
        <w:t>[Part IV inserted by No. 80 of 1987 s. 176; amended by No. 59 of 1991 s. 19 and 28(b); No. 74 of 2003 s. 64(3); No. 23 of 2006 s. 13(4); No. 43 of 2008 s. 147(21); No. 13 of 2014 s. 159(c); No. 19 of 2016 s. 97.]</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255 and 264(1).</w:t>
      </w:r>
    </w:p>
    <w:p>
      <w:pPr>
        <w:pStyle w:val="yFootnotesection"/>
      </w:pPr>
      <w:r>
        <w:tab/>
        <w:t>[Part V inserted by No. 80 of 1987 s. 176; amended by No. 43 of 2008 s. 147(22).]</w:t>
      </w:r>
    </w:p>
    <w:p>
      <w:pPr>
        <w:pStyle w:val="MiscellaneousHeading"/>
        <w:outlineLvl w:val="0"/>
        <w:rPr>
          <w:i/>
          <w:sz w:val="22"/>
        </w:rPr>
      </w:pPr>
      <w:r>
        <w:rPr>
          <w:i/>
          <w:sz w:val="22"/>
        </w:rPr>
        <w:t>Part VI</w:t>
      </w:r>
    </w:p>
    <w:p>
      <w:pPr>
        <w:pStyle w:val="yMiscellaneousBody"/>
        <w:tabs>
          <w:tab w:val="left" w:pos="560"/>
        </w:tabs>
        <w:ind w:left="588" w:hanging="588"/>
      </w:pPr>
      <w:r>
        <w:t>Sections 182, 193(2), 195, 246FD(1), 246FE(1), 246FF(1), 246FG(1), 297(1), 314(1) and 340AL(1c).</w:t>
      </w:r>
    </w:p>
    <w:p>
      <w:pPr>
        <w:pStyle w:val="yFootnotesection"/>
      </w:pPr>
      <w:r>
        <w:tab/>
        <w:t>[Part VI inserted by No. 80 of 1987 s. 176; amended by No. 59 of 1991 s. 28(c); No. 43 of 2008 s. 147(23); No. 13 of 2014 s. 159(d).]</w:t>
      </w:r>
    </w:p>
    <w:p>
      <w:pPr>
        <w:pStyle w:val="MiscellaneousHeading"/>
        <w:outlineLvl w:val="0"/>
        <w:rPr>
          <w:i/>
          <w:sz w:val="22"/>
        </w:rPr>
      </w:pPr>
      <w:r>
        <w:rPr>
          <w:i/>
          <w:sz w:val="22"/>
        </w:rPr>
        <w:t>Part VII</w:t>
      </w:r>
    </w:p>
    <w:p>
      <w:pPr>
        <w:pStyle w:val="yMiscellaneousBody"/>
        <w:tabs>
          <w:tab w:val="left" w:pos="560"/>
        </w:tabs>
        <w:ind w:left="588" w:hanging="588"/>
      </w:pPr>
      <w:r>
        <w:t>Sections 129, 131(2) and 312.</w:t>
      </w:r>
    </w:p>
    <w:p>
      <w:pPr>
        <w:pStyle w:val="yFootnotesection"/>
      </w:pPr>
      <w:r>
        <w:tab/>
        <w:t>[Part VII inserted by No. 80 of 1987 s. 176; amended by No. 43 of 2008 s. 147(24); No. 13 of 2014 s. 159(e).]</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[Part VIII inserted by No. 50 of 1996 s. 6.]</w:t>
      </w:r>
    </w:p>
    <w:p>
      <w:pPr>
        <w:sectPr>
          <w:headerReference w:type="even" r:id="rId25"/>
          <w:headerReference w:type="default" r:id="rId26"/>
          <w:headerReference w:type="first" r:id="rId27"/>
          <w:pgSz w:w="11907" w:h="16840" w:code="9"/>
          <w:pgMar w:top="2376" w:right="2410" w:bottom="3544" w:left="2410" w:header="709" w:footer="3379" w:gutter="0"/>
          <w:cols w:space="720"/>
          <w:noEndnote/>
          <w:docGrid w:linePitch="326"/>
        </w:sectPr>
      </w:pPr>
    </w:p>
    <w:p>
      <w:pPr>
        <w:pStyle w:val="yScheduleHeading"/>
      </w:pPr>
      <w:bookmarkStart w:id="754" w:name="_Toc498001315"/>
      <w:bookmarkStart w:id="755" w:name="_Toc498001645"/>
      <w:bookmarkStart w:id="756" w:name="_Toc498003297"/>
      <w:bookmarkStart w:id="757" w:name="_Toc498004308"/>
      <w:bookmarkStart w:id="758" w:name="_Toc499029711"/>
      <w:bookmarkStart w:id="759" w:name="_Toc501098779"/>
      <w:bookmarkStart w:id="760" w:name="_Toc501101702"/>
      <w:bookmarkStart w:id="761" w:name="_Toc501116224"/>
      <w:bookmarkStart w:id="762" w:name="_Toc501117485"/>
      <w:bookmarkStart w:id="763" w:name="_Toc501698892"/>
      <w:bookmarkStart w:id="764" w:name="_Toc512323931"/>
      <w:r>
        <w:rPr>
          <w:rStyle w:val="CharSchNo"/>
        </w:rPr>
        <w:t>Schedule 6</w:t>
      </w:r>
      <w:r>
        <w:t> — </w:t>
      </w:r>
      <w:r>
        <w:rPr>
          <w:rStyle w:val="CharSchText"/>
        </w:rPr>
        <w:t xml:space="preserve">Transitional provisions for </w:t>
      </w:r>
      <w:r>
        <w:rPr>
          <w:rStyle w:val="CharSchText"/>
          <w:i/>
        </w:rPr>
        <w:t>Public Health (Consequential Provisions) Act 2016</w:t>
      </w:r>
      <w:bookmarkEnd w:id="754"/>
      <w:bookmarkEnd w:id="755"/>
      <w:bookmarkEnd w:id="756"/>
      <w:bookmarkEnd w:id="757"/>
      <w:bookmarkEnd w:id="758"/>
      <w:bookmarkEnd w:id="759"/>
      <w:bookmarkEnd w:id="760"/>
      <w:bookmarkEnd w:id="761"/>
      <w:bookmarkEnd w:id="762"/>
      <w:bookmarkEnd w:id="763"/>
      <w:bookmarkEnd w:id="764"/>
    </w:p>
    <w:p>
      <w:pPr>
        <w:pStyle w:val="yShoulderClause"/>
      </w:pPr>
      <w:r>
        <w:t>[s. 379]</w:t>
      </w:r>
    </w:p>
    <w:p>
      <w:pPr>
        <w:pStyle w:val="yFootnoteheading"/>
      </w:pPr>
      <w:r>
        <w:tab/>
        <w:t>[Heading inserted by No. 19 of 2016 s. 98.]</w:t>
      </w:r>
    </w:p>
    <w:p>
      <w:pPr>
        <w:pStyle w:val="yHeading5"/>
      </w:pPr>
      <w:bookmarkStart w:id="765" w:name="_Toc512323932"/>
      <w:r>
        <w:rPr>
          <w:rStyle w:val="CharSClsNo"/>
        </w:rPr>
        <w:t>1</w:t>
      </w:r>
      <w:r>
        <w:t>.</w:t>
      </w:r>
      <w:r>
        <w:tab/>
        <w:t xml:space="preserve">References to </w:t>
      </w:r>
      <w:r>
        <w:rPr>
          <w:i/>
        </w:rPr>
        <w:t>Health Act 1911</w:t>
      </w:r>
      <w:r>
        <w:t xml:space="preserve"> may be taken to be references to </w:t>
      </w:r>
      <w:r>
        <w:rPr>
          <w:i/>
        </w:rPr>
        <w:t>Health (Miscellaneous Provisions) Act 1911</w:t>
      </w:r>
      <w:bookmarkEnd w:id="765"/>
    </w:p>
    <w:p>
      <w:pPr>
        <w:pStyle w:val="ySubsection"/>
      </w:pPr>
      <w:r>
        <w:tab/>
        <w:t>(1)</w:t>
      </w:r>
      <w:r>
        <w:tab/>
        <w:t xml:space="preserve">A reference in a document (other than a written law) to the </w:t>
      </w:r>
      <w:r>
        <w:rPr>
          <w:i/>
        </w:rPr>
        <w:t>Health Act 1911</w:t>
      </w:r>
      <w:r>
        <w:t xml:space="preserve"> may be taken to be a reference to the </w:t>
      </w:r>
      <w:r>
        <w:rPr>
          <w:i/>
        </w:rPr>
        <w:t>Health (Miscellaneous Provisions) Act 1911</w:t>
      </w:r>
      <w:r>
        <w:t xml:space="preserve"> if it would be appropriate in the context to do so.</w:t>
      </w:r>
    </w:p>
    <w:p>
      <w:pPr>
        <w:pStyle w:val="ySubsection"/>
      </w:pPr>
      <w:r>
        <w:tab/>
        <w:t>(2)</w:t>
      </w:r>
      <w:r>
        <w:tab/>
        <w:t xml:space="preserve">This clause does not prejudice or affect the application of the </w:t>
      </w:r>
      <w:r>
        <w:rPr>
          <w:i/>
        </w:rPr>
        <w:t>Interpretation Act 1984</w:t>
      </w:r>
      <w:r>
        <w:t xml:space="preserve"> section 16(1).</w:t>
      </w:r>
    </w:p>
    <w:p>
      <w:pPr>
        <w:pStyle w:val="yFootnotesection"/>
      </w:pPr>
      <w:r>
        <w:tab/>
        <w:t>[Clause 1 inserted by No. 19 of 2016 s. 98.]</w:t>
      </w:r>
    </w:p>
    <w:p>
      <w:pPr>
        <w:pStyle w:val="yHeading5"/>
      </w:pPr>
      <w:bookmarkStart w:id="766" w:name="_Toc512323933"/>
      <w:r>
        <w:rPr>
          <w:rStyle w:val="CharSClsNo"/>
        </w:rPr>
        <w:t>2</w:t>
      </w:r>
      <w:r>
        <w:t>.</w:t>
      </w:r>
      <w:r>
        <w:tab/>
        <w:t>Continuing effect of things done by Executive Director, Public Health and Executive Director, Personal Health</w:t>
      </w:r>
      <w:bookmarkEnd w:id="766"/>
    </w:p>
    <w:p>
      <w:pPr>
        <w:pStyle w:val="ySubsection"/>
      </w:pPr>
      <w:r>
        <w:tab/>
      </w:r>
      <w:r>
        <w:tab/>
        <w:t xml:space="preserve">A thing done or omitted to be done by, to or in relation to the Executive Director, Public Health or the Executive Director, Personal Health before the day on which the </w:t>
      </w:r>
      <w:r>
        <w:rPr>
          <w:i/>
        </w:rPr>
        <w:t>Public Health (Consequential Provisions) Act 2016</w:t>
      </w:r>
      <w:r>
        <w:t xml:space="preserve"> section 96 comes into operation (the </w:t>
      </w:r>
      <w:r>
        <w:rPr>
          <w:rStyle w:val="CharDefText"/>
        </w:rPr>
        <w:t>commencement day</w:t>
      </w:r>
      <w:r>
        <w:t>), whether under this Act or any other written law, has the same effect on and from the commencement day, to the extent that it has any force or significance on or after the commencement day, as if it had been done or omitted by, to or in relation to the Chief Health Officer.</w:t>
      </w:r>
    </w:p>
    <w:p>
      <w:pPr>
        <w:pStyle w:val="yFootnotesection"/>
      </w:pPr>
      <w:r>
        <w:tab/>
        <w:t>[Clause 2 inserted by No. 19 of 2016 s. 98.]</w:t>
      </w:r>
    </w:p>
    <w:p>
      <w:pPr>
        <w:pStyle w:val="yHeading5"/>
      </w:pPr>
      <w:bookmarkStart w:id="767" w:name="_Toc512323934"/>
      <w:r>
        <w:rPr>
          <w:rStyle w:val="CharSClsNo"/>
        </w:rPr>
        <w:t>3</w:t>
      </w:r>
      <w:r>
        <w:t>.</w:t>
      </w:r>
      <w:r>
        <w:tab/>
        <w:t>References to former titles</w:t>
      </w:r>
      <w:bookmarkEnd w:id="767"/>
    </w:p>
    <w:p>
      <w:pPr>
        <w:pStyle w:val="ySubsection"/>
      </w:pPr>
      <w:r>
        <w:tab/>
        <w:t>(1)</w:t>
      </w:r>
      <w:r>
        <w:tab/>
        <w:t>A reference in a written law or document to the Executive Director, Public Health or the Executive Director, Personal Health may, if the context permits, be taken to be a reference to the Chief Health Officer.</w:t>
      </w:r>
    </w:p>
    <w:p>
      <w:pPr>
        <w:pStyle w:val="ySubsection"/>
      </w:pPr>
      <w:r>
        <w:tab/>
        <w:t>(2)</w:t>
      </w:r>
      <w:r>
        <w:tab/>
        <w:t>A reference in a written law or document to an environmental health officer, medical officer or public health official may, if the context permits, be taken to be a reference to an authorised officer.</w:t>
      </w:r>
    </w:p>
    <w:p>
      <w:pPr>
        <w:pStyle w:val="yFootnotesection"/>
      </w:pPr>
      <w:r>
        <w:tab/>
        <w:t>[Clause 3 inserted by No. 19 of 2016 s. 98.]</w:t>
      </w:r>
    </w:p>
    <w:p>
      <w:pPr>
        <w:pStyle w:val="yHeading5"/>
      </w:pPr>
      <w:bookmarkStart w:id="768" w:name="_Toc512323935"/>
      <w:r>
        <w:rPr>
          <w:rStyle w:val="CharSClsNo"/>
        </w:rPr>
        <w:t>4</w:t>
      </w:r>
      <w:r>
        <w:t>.</w:t>
      </w:r>
      <w:r>
        <w:tab/>
        <w:t>Transitional provisions for Local Health Authorities Analytical Committee</w:t>
      </w:r>
      <w:bookmarkEnd w:id="768"/>
    </w:p>
    <w:p>
      <w:pPr>
        <w:pStyle w:val="ySubsection"/>
      </w:pPr>
      <w:r>
        <w:tab/>
      </w:r>
      <w:r>
        <w:tab/>
        <w:t xml:space="preserve">Despite sections 247A(3) and 247BA(1), the members of the Local Health Authorities Analytical Committee who held office immediately before the day on which the </w:t>
      </w:r>
      <w:r>
        <w:rPr>
          <w:i/>
        </w:rPr>
        <w:t>Public Health (Consequential Provisions) Act 2016</w:t>
      </w:r>
      <w:r>
        <w:t xml:space="preserve"> section 32 comes into operation (the </w:t>
      </w:r>
      <w:r>
        <w:rPr>
          <w:rStyle w:val="CharDefText"/>
        </w:rPr>
        <w:t>commencement day</w:t>
      </w:r>
      <w:r>
        <w:t xml:space="preserve">) continue in office, under and subject to Part VIIIA, as members of that Committee — </w:t>
      </w:r>
    </w:p>
    <w:p>
      <w:pPr>
        <w:pStyle w:val="yIndenta"/>
      </w:pPr>
      <w:r>
        <w:tab/>
        <w:t>(a)</w:t>
      </w:r>
      <w:r>
        <w:tab/>
        <w:t xml:space="preserve">in the case of the members appointed under section 247A(3)(a) (as that subsection was in force immediately before the commencement day) — </w:t>
      </w:r>
    </w:p>
    <w:p>
      <w:pPr>
        <w:pStyle w:val="yIndenti0"/>
      </w:pPr>
      <w:r>
        <w:tab/>
        <w:t>(i)</w:t>
      </w:r>
      <w:r>
        <w:tab/>
        <w:t>as if they had been appointed by the Minister on the nomination of WALGA; and</w:t>
      </w:r>
    </w:p>
    <w:p>
      <w:pPr>
        <w:pStyle w:val="yIndenti0"/>
      </w:pPr>
      <w:r>
        <w:tab/>
        <w:t>(ii)</w:t>
      </w:r>
      <w:r>
        <w:tab/>
        <w:t>each with a term of office of 3 years beginning on the commencement day;</w:t>
      </w:r>
    </w:p>
    <w:p>
      <w:pPr>
        <w:pStyle w:val="yIndenta"/>
      </w:pPr>
      <w:r>
        <w:tab/>
      </w:r>
      <w:r>
        <w:tab/>
        <w:t>and</w:t>
      </w:r>
    </w:p>
    <w:p>
      <w:pPr>
        <w:pStyle w:val="yIndenta"/>
      </w:pPr>
      <w:r>
        <w:tab/>
        <w:t>(b)</w:t>
      </w:r>
      <w:r>
        <w:tab/>
        <w:t xml:space="preserve">in the case of the members appointed under section 247A(3)(b) or (c) (as that subsection was in force immediately before the commencement day) — </w:t>
      </w:r>
    </w:p>
    <w:p>
      <w:pPr>
        <w:pStyle w:val="yIndenti0"/>
      </w:pPr>
      <w:r>
        <w:tab/>
        <w:t>(i)</w:t>
      </w:r>
      <w:r>
        <w:tab/>
        <w:t>as if they had been appointed by the Minister on the nomination of WALGA; and</w:t>
      </w:r>
    </w:p>
    <w:p>
      <w:pPr>
        <w:pStyle w:val="yIndenti0"/>
      </w:pPr>
      <w:r>
        <w:tab/>
        <w:t>(ii)</w:t>
      </w:r>
      <w:r>
        <w:tab/>
        <w:t>each with a term of office beginning on the commencement day that is the balance of the member’s term of office remaining immediately before the commencement day.</w:t>
      </w:r>
    </w:p>
    <w:p>
      <w:pPr>
        <w:pStyle w:val="yFootnotesection"/>
      </w:pPr>
      <w:r>
        <w:tab/>
        <w:t>[Clause 4 inserted by No. 19 of 2016 s. 98.]</w:t>
      </w:r>
    </w:p>
    <w:p>
      <w:pPr>
        <w:pStyle w:val="yHeading5"/>
      </w:pPr>
      <w:bookmarkStart w:id="769" w:name="_Toc512323936"/>
      <w:r>
        <w:rPr>
          <w:rStyle w:val="CharSClsNo"/>
        </w:rPr>
        <w:t>5</w:t>
      </w:r>
      <w:r>
        <w:t>.</w:t>
      </w:r>
      <w:r>
        <w:tab/>
        <w:t>Transitional provisions for Maternal Mortality Committee, Perinatal and Infant Mortality Committee and Anaesthetic Mortality Committee</w:t>
      </w:r>
      <w:bookmarkEnd w:id="769"/>
    </w:p>
    <w:p>
      <w:pPr>
        <w:pStyle w:val="ySubsection"/>
      </w:pPr>
      <w:r>
        <w:tab/>
        <w:t>(1)</w:t>
      </w:r>
      <w:r>
        <w:tab/>
        <w:t xml:space="preserve">The persons who held office under Part XIIIA as permanent or provisional members of the Maternal Mortality Committee, or as deputies of members of that Committee, immediately before the coming into operation of the </w:t>
      </w:r>
      <w:r>
        <w:rPr>
          <w:i/>
        </w:rPr>
        <w:t>Public Health (Consequential Provisions) Act 2016</w:t>
      </w:r>
      <w:r>
        <w:t xml:space="preserve"> section 42 — </w:t>
      </w:r>
    </w:p>
    <w:p>
      <w:pPr>
        <w:pStyle w:val="yIndenta"/>
      </w:pPr>
      <w:r>
        <w:tab/>
        <w:t>(a)</w:t>
      </w:r>
      <w:r>
        <w:tab/>
        <w:t>continue in office, under and subject to Part XIIIA, as members or, as the case requires, deputies of members of that Committee until the expiry of their respective terms (if any); and</w:t>
      </w:r>
    </w:p>
    <w:p>
      <w:pPr>
        <w:pStyle w:val="yIndenta"/>
      </w:pPr>
      <w:r>
        <w:tab/>
        <w:t>(b)</w:t>
      </w:r>
      <w:r>
        <w:tab/>
        <w:t>in the case of those persons who held office as permanent or provisional members, continue in office without distinction as to whether they were appointed as permanent or provisional members.</w:t>
      </w:r>
    </w:p>
    <w:p>
      <w:pPr>
        <w:pStyle w:val="ySubsection"/>
      </w:pPr>
      <w:r>
        <w:tab/>
        <w:t>(2)</w:t>
      </w:r>
      <w:r>
        <w:tab/>
        <w:t xml:space="preserve">The persons who held office under Part XIIIB as permanent or provisional members of the Perinatal and Infant Mortality Committee, or as deputies of members of that Committee, immediately before the coming into operation of the </w:t>
      </w:r>
      <w:r>
        <w:rPr>
          <w:i/>
        </w:rPr>
        <w:t>Public Health (Consequential Provisions) Act 2016</w:t>
      </w:r>
      <w:r>
        <w:t xml:space="preserve"> section 55 — </w:t>
      </w:r>
    </w:p>
    <w:p>
      <w:pPr>
        <w:pStyle w:val="yIndenta"/>
      </w:pPr>
      <w:r>
        <w:tab/>
        <w:t>(a)</w:t>
      </w:r>
      <w:r>
        <w:tab/>
        <w:t>continue in office, under and subject to Part XIIIB, as members or, as the case requires, deputies of members of that Committee until the expiry of their respective terms (if any); and</w:t>
      </w:r>
    </w:p>
    <w:p>
      <w:pPr>
        <w:pStyle w:val="yIndenta"/>
      </w:pPr>
      <w:r>
        <w:tab/>
        <w:t>(b)</w:t>
      </w:r>
      <w:r>
        <w:tab/>
        <w:t>in the case of those persons who held office as permanent or provisional members, continue in office without distinction as to whether they were appointed as permanent or provisional members.</w:t>
      </w:r>
    </w:p>
    <w:p>
      <w:pPr>
        <w:pStyle w:val="ySubsection"/>
      </w:pPr>
      <w:r>
        <w:tab/>
        <w:t>(3)</w:t>
      </w:r>
      <w:r>
        <w:tab/>
        <w:t xml:space="preserve">The persons who held office under Part XIIIC as permanent or provisional members of the Anaesthetic Mortality Committee, or as deputies of members of that Committee, immediately before the coming into operation of the </w:t>
      </w:r>
      <w:r>
        <w:rPr>
          <w:i/>
        </w:rPr>
        <w:t>Public Health (Consequential Provisions) Act 2016</w:t>
      </w:r>
      <w:r>
        <w:t xml:space="preserve"> section 69 — </w:t>
      </w:r>
    </w:p>
    <w:p>
      <w:pPr>
        <w:pStyle w:val="yIndenta"/>
      </w:pPr>
      <w:r>
        <w:tab/>
        <w:t>(a)</w:t>
      </w:r>
      <w:r>
        <w:tab/>
        <w:t>continue in office, under and subject to Part XIIIC, as members or, as the case requires, deputies of members of that Committee until the expiry of their respective terms (if any); and</w:t>
      </w:r>
    </w:p>
    <w:p>
      <w:pPr>
        <w:pStyle w:val="yIndenta"/>
      </w:pPr>
      <w:r>
        <w:tab/>
        <w:t>(b)</w:t>
      </w:r>
      <w:r>
        <w:tab/>
        <w:t>in the case of those persons who held office as permanent or provisional members, continue in office without distinction as to whether they were appointed as permanent or provisional members.</w:t>
      </w:r>
    </w:p>
    <w:p>
      <w:pPr>
        <w:pStyle w:val="yFootnotesection"/>
      </w:pPr>
      <w:r>
        <w:tab/>
        <w:t>[Clause 5 inserted by No. 19 of 2016 s. 98.]</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76" w:right="2410" w:bottom="3544" w:left="2410" w:header="709" w:footer="3379" w:gutter="0"/>
          <w:cols w:space="720"/>
          <w:noEndnote/>
          <w:docGrid w:linePitch="326"/>
        </w:sectPr>
      </w:pPr>
    </w:p>
    <w:p>
      <w:pPr>
        <w:pStyle w:val="nHeading2"/>
        <w:outlineLvl w:val="0"/>
      </w:pPr>
      <w:bookmarkStart w:id="770" w:name="_Toc498001321"/>
      <w:bookmarkStart w:id="771" w:name="_Toc498001651"/>
      <w:bookmarkStart w:id="772" w:name="_Toc498003303"/>
      <w:bookmarkStart w:id="773" w:name="_Toc498004314"/>
      <w:bookmarkStart w:id="774" w:name="_Toc499029717"/>
      <w:bookmarkStart w:id="775" w:name="_Toc501098785"/>
      <w:bookmarkStart w:id="776" w:name="_Toc501101708"/>
      <w:bookmarkStart w:id="777" w:name="_Toc501116230"/>
      <w:bookmarkStart w:id="778" w:name="_Toc501117491"/>
      <w:bookmarkStart w:id="779" w:name="_Toc501698898"/>
      <w:bookmarkStart w:id="780" w:name="_Toc512323937"/>
      <w:r>
        <w:t>Notes</w:t>
      </w:r>
      <w:bookmarkEnd w:id="770"/>
      <w:bookmarkEnd w:id="771"/>
      <w:bookmarkEnd w:id="772"/>
      <w:bookmarkEnd w:id="773"/>
      <w:bookmarkEnd w:id="774"/>
      <w:bookmarkEnd w:id="775"/>
      <w:bookmarkEnd w:id="776"/>
      <w:bookmarkEnd w:id="777"/>
      <w:bookmarkEnd w:id="778"/>
      <w:bookmarkEnd w:id="779"/>
      <w:bookmarkEnd w:id="780"/>
    </w:p>
    <w:p>
      <w:pPr>
        <w:pStyle w:val="nSubsection"/>
      </w:pPr>
      <w:r>
        <w:rPr>
          <w:vertAlign w:val="superscript"/>
        </w:rPr>
        <w:t>1</w:t>
      </w:r>
      <w:r>
        <w:tab/>
        <w:t xml:space="preserve">This is a compilation of the </w:t>
      </w:r>
      <w:r>
        <w:rPr>
          <w:i/>
          <w:noProof/>
        </w:rPr>
        <w:t>Health (Miscellaneous Provisions) Act 1911</w:t>
      </w:r>
      <w:r>
        <w:t xml:space="preserve"> and includes the amendments made by the other written laws referred to in the following table</w:t>
      </w:r>
      <w:r>
        <w:rPr>
          <w:vertAlign w:val="superscript"/>
        </w:rPr>
        <w:t> 1a, 6, 7</w:t>
      </w:r>
      <w:r>
        <w:t>.  The table also contains information about any reprint.</w:t>
      </w:r>
    </w:p>
    <w:p>
      <w:pPr>
        <w:pStyle w:val="nHeading3"/>
      </w:pPr>
      <w:bookmarkStart w:id="781" w:name="_Toc512323938"/>
      <w:r>
        <w:t>Compilation table</w:t>
      </w:r>
      <w:bookmarkEnd w:id="781"/>
    </w:p>
    <w:tbl>
      <w:tblPr>
        <w:tblW w:w="7137" w:type="dxa"/>
        <w:tblInd w:w="56" w:type="dxa"/>
        <w:tblLayout w:type="fixed"/>
        <w:tblCellMar>
          <w:left w:w="56" w:type="dxa"/>
          <w:right w:w="56" w:type="dxa"/>
        </w:tblCellMar>
        <w:tblLook w:val="0000" w:firstRow="0" w:lastRow="0" w:firstColumn="0" w:lastColumn="0" w:noHBand="0" w:noVBand="0"/>
      </w:tblPr>
      <w:tblGrid>
        <w:gridCol w:w="50"/>
        <w:gridCol w:w="2215"/>
        <w:gridCol w:w="51"/>
        <w:gridCol w:w="1082"/>
        <w:gridCol w:w="51"/>
        <w:gridCol w:w="1083"/>
        <w:gridCol w:w="50"/>
        <w:gridCol w:w="2501"/>
        <w:gridCol w:w="54"/>
      </w:tblGrid>
      <w:tr>
        <w:trPr>
          <w:gridAfter w:val="1"/>
          <w:wAfter w:w="54" w:type="dxa"/>
          <w:cantSplit/>
          <w:tblHeader/>
        </w:trPr>
        <w:tc>
          <w:tcPr>
            <w:tcW w:w="2266" w:type="dxa"/>
            <w:gridSpan w:val="2"/>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3"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3"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54" w:type="dxa"/>
          <w:cantSplit/>
        </w:trPr>
        <w:tc>
          <w:tcPr>
            <w:tcW w:w="2266" w:type="dxa"/>
            <w:gridSpan w:val="2"/>
          </w:tcPr>
          <w:p>
            <w:pPr>
              <w:pStyle w:val="nTable"/>
              <w:spacing w:after="40"/>
              <w:ind w:right="170"/>
              <w:rPr>
                <w:vertAlign w:val="superscript"/>
              </w:rPr>
            </w:pPr>
            <w:r>
              <w:rPr>
                <w:i/>
              </w:rPr>
              <w:t>Health Act 1911 </w:t>
            </w:r>
            <w:r>
              <w:rPr>
                <w:vertAlign w:val="superscript"/>
              </w:rPr>
              <w:t>8</w:t>
            </w:r>
          </w:p>
        </w:tc>
        <w:tc>
          <w:tcPr>
            <w:tcW w:w="1133" w:type="dxa"/>
            <w:gridSpan w:val="2"/>
          </w:tcPr>
          <w:p>
            <w:pPr>
              <w:pStyle w:val="nTable"/>
              <w:spacing w:after="40"/>
            </w:pPr>
            <w:r>
              <w:t>34 of 1911</w:t>
            </w:r>
            <w:r>
              <w:br/>
              <w:t>(1 Geo. V No. 45)</w:t>
            </w:r>
          </w:p>
        </w:tc>
        <w:tc>
          <w:tcPr>
            <w:tcW w:w="1133" w:type="dxa"/>
            <w:gridSpan w:val="2"/>
          </w:tcPr>
          <w:p>
            <w:pPr>
              <w:pStyle w:val="nTable"/>
              <w:spacing w:after="40"/>
            </w:pPr>
            <w:r>
              <w:t>16 Feb 1911</w:t>
            </w:r>
          </w:p>
        </w:tc>
        <w:tc>
          <w:tcPr>
            <w:tcW w:w="2551" w:type="dxa"/>
            <w:gridSpan w:val="2"/>
          </w:tcPr>
          <w:p>
            <w:pPr>
              <w:pStyle w:val="nTable"/>
              <w:spacing w:after="40"/>
            </w:pPr>
            <w:r>
              <w:t xml:space="preserve">1 Jun 1911 (see s. 1 and </w:t>
            </w:r>
            <w:r>
              <w:rPr>
                <w:i/>
              </w:rPr>
              <w:t>Gazette</w:t>
            </w:r>
            <w:r>
              <w:t xml:space="preserve"> 3 Mar 1911 p. 961)</w:t>
            </w:r>
          </w:p>
        </w:tc>
      </w:tr>
      <w:tr>
        <w:trPr>
          <w:gridAfter w:val="1"/>
          <w:wAfter w:w="54" w:type="dxa"/>
          <w:cantSplit/>
        </w:trPr>
        <w:tc>
          <w:tcPr>
            <w:tcW w:w="2266" w:type="dxa"/>
            <w:gridSpan w:val="2"/>
          </w:tcPr>
          <w:p>
            <w:pPr>
              <w:pStyle w:val="nTable"/>
              <w:spacing w:after="40"/>
              <w:ind w:right="170"/>
            </w:pPr>
            <w:r>
              <w:rPr>
                <w:i/>
              </w:rPr>
              <w:t>Health Act Amendment Act 1911</w:t>
            </w:r>
          </w:p>
        </w:tc>
        <w:tc>
          <w:tcPr>
            <w:tcW w:w="1133" w:type="dxa"/>
            <w:gridSpan w:val="2"/>
          </w:tcPr>
          <w:p>
            <w:pPr>
              <w:pStyle w:val="nTable"/>
              <w:spacing w:after="40"/>
            </w:pPr>
            <w:r>
              <w:t>3 of 1912</w:t>
            </w:r>
            <w:r>
              <w:br/>
              <w:t>(2 Geo. V No. 11)</w:t>
            </w:r>
          </w:p>
        </w:tc>
        <w:tc>
          <w:tcPr>
            <w:tcW w:w="1133" w:type="dxa"/>
            <w:gridSpan w:val="2"/>
          </w:tcPr>
          <w:p>
            <w:pPr>
              <w:pStyle w:val="nTable"/>
              <w:spacing w:after="40"/>
            </w:pPr>
            <w:r>
              <w:t>9 Jan 1912</w:t>
            </w:r>
          </w:p>
        </w:tc>
        <w:tc>
          <w:tcPr>
            <w:tcW w:w="2551" w:type="dxa"/>
            <w:gridSpan w:val="2"/>
          </w:tcPr>
          <w:p>
            <w:pPr>
              <w:pStyle w:val="nTable"/>
              <w:spacing w:after="40"/>
            </w:pPr>
            <w:r>
              <w:t>9 Jan 1912</w:t>
            </w:r>
          </w:p>
        </w:tc>
      </w:tr>
      <w:tr>
        <w:trPr>
          <w:gridAfter w:val="1"/>
          <w:wAfter w:w="54" w:type="dxa"/>
          <w:cantSplit/>
        </w:trPr>
        <w:tc>
          <w:tcPr>
            <w:tcW w:w="2266" w:type="dxa"/>
            <w:gridSpan w:val="2"/>
          </w:tcPr>
          <w:p>
            <w:pPr>
              <w:pStyle w:val="nTable"/>
              <w:spacing w:after="40"/>
              <w:ind w:right="170"/>
            </w:pPr>
            <w:r>
              <w:rPr>
                <w:i/>
              </w:rPr>
              <w:t>Health Act Amendment Act 1912</w:t>
            </w:r>
          </w:p>
        </w:tc>
        <w:tc>
          <w:tcPr>
            <w:tcW w:w="1133" w:type="dxa"/>
            <w:gridSpan w:val="2"/>
          </w:tcPr>
          <w:p>
            <w:pPr>
              <w:pStyle w:val="nTable"/>
              <w:spacing w:after="40"/>
            </w:pPr>
            <w:r>
              <w:t>28 of 1912</w:t>
            </w:r>
            <w:r>
              <w:br/>
              <w:t>(3 Geo. V No. 9)</w:t>
            </w:r>
          </w:p>
        </w:tc>
        <w:tc>
          <w:tcPr>
            <w:tcW w:w="1133" w:type="dxa"/>
            <w:gridSpan w:val="2"/>
          </w:tcPr>
          <w:p>
            <w:pPr>
              <w:pStyle w:val="nTable"/>
              <w:spacing w:after="40"/>
            </w:pPr>
            <w:r>
              <w:t>27 Sep 1912</w:t>
            </w:r>
          </w:p>
        </w:tc>
        <w:tc>
          <w:tcPr>
            <w:tcW w:w="2551" w:type="dxa"/>
            <w:gridSpan w:val="2"/>
          </w:tcPr>
          <w:p>
            <w:pPr>
              <w:pStyle w:val="nTable"/>
              <w:spacing w:after="40"/>
            </w:pPr>
            <w:r>
              <w:t>27 Sep 1912</w:t>
            </w:r>
          </w:p>
        </w:tc>
      </w:tr>
      <w:tr>
        <w:trPr>
          <w:gridAfter w:val="1"/>
          <w:wAfter w:w="54" w:type="dxa"/>
          <w:cantSplit/>
        </w:trPr>
        <w:tc>
          <w:tcPr>
            <w:tcW w:w="2266" w:type="dxa"/>
            <w:gridSpan w:val="2"/>
          </w:tcPr>
          <w:p>
            <w:pPr>
              <w:pStyle w:val="nTable"/>
              <w:spacing w:after="40"/>
              <w:ind w:right="170"/>
            </w:pPr>
            <w:r>
              <w:rPr>
                <w:i/>
              </w:rPr>
              <w:t>Health Act Amendment Act 1915</w:t>
            </w:r>
          </w:p>
        </w:tc>
        <w:tc>
          <w:tcPr>
            <w:tcW w:w="1133" w:type="dxa"/>
            <w:gridSpan w:val="2"/>
          </w:tcPr>
          <w:p>
            <w:pPr>
              <w:pStyle w:val="nTable"/>
              <w:spacing w:after="40"/>
            </w:pPr>
            <w:r>
              <w:t>55 of 1915</w:t>
            </w:r>
            <w:r>
              <w:br/>
              <w:t>(6 Geo. V No. 22)</w:t>
            </w:r>
          </w:p>
        </w:tc>
        <w:tc>
          <w:tcPr>
            <w:tcW w:w="1133" w:type="dxa"/>
            <w:gridSpan w:val="2"/>
          </w:tcPr>
          <w:p>
            <w:pPr>
              <w:pStyle w:val="nTable"/>
              <w:spacing w:after="40"/>
            </w:pPr>
            <w:r>
              <w:t>8 Dec 1915</w:t>
            </w:r>
          </w:p>
        </w:tc>
        <w:tc>
          <w:tcPr>
            <w:tcW w:w="2551" w:type="dxa"/>
            <w:gridSpan w:val="2"/>
          </w:tcPr>
          <w:p>
            <w:pPr>
              <w:pStyle w:val="nTable"/>
              <w:spacing w:after="40"/>
            </w:pPr>
            <w:r>
              <w:t>8 Dec 1915</w:t>
            </w:r>
          </w:p>
        </w:tc>
      </w:tr>
      <w:tr>
        <w:trPr>
          <w:gridAfter w:val="1"/>
          <w:wAfter w:w="54" w:type="dxa"/>
          <w:cantSplit/>
        </w:trPr>
        <w:tc>
          <w:tcPr>
            <w:tcW w:w="2266" w:type="dxa"/>
            <w:gridSpan w:val="2"/>
          </w:tcPr>
          <w:p>
            <w:pPr>
              <w:pStyle w:val="nTable"/>
              <w:spacing w:after="40"/>
              <w:ind w:right="170"/>
            </w:pPr>
            <w:r>
              <w:rPr>
                <w:i/>
              </w:rPr>
              <w:t>Health Act Amendment Act 1918</w:t>
            </w:r>
          </w:p>
        </w:tc>
        <w:tc>
          <w:tcPr>
            <w:tcW w:w="1133" w:type="dxa"/>
            <w:gridSpan w:val="2"/>
          </w:tcPr>
          <w:p>
            <w:pPr>
              <w:pStyle w:val="nTable"/>
              <w:spacing w:after="40"/>
            </w:pPr>
            <w:r>
              <w:t>17 of 1918</w:t>
            </w:r>
            <w:r>
              <w:br/>
              <w:t>(9 Geo. V No. 7)</w:t>
            </w:r>
          </w:p>
        </w:tc>
        <w:tc>
          <w:tcPr>
            <w:tcW w:w="1133" w:type="dxa"/>
            <w:gridSpan w:val="2"/>
          </w:tcPr>
          <w:p>
            <w:pPr>
              <w:pStyle w:val="nTable"/>
              <w:spacing w:after="40"/>
            </w:pPr>
            <w:r>
              <w:t>13 Jun 1918</w:t>
            </w:r>
          </w:p>
        </w:tc>
        <w:tc>
          <w:tcPr>
            <w:tcW w:w="2551" w:type="dxa"/>
            <w:gridSpan w:val="2"/>
          </w:tcPr>
          <w:p>
            <w:pPr>
              <w:pStyle w:val="nTable"/>
              <w:spacing w:after="40"/>
            </w:pPr>
            <w:r>
              <w:t>13 Jun 1918</w:t>
            </w:r>
          </w:p>
        </w:tc>
      </w:tr>
      <w:tr>
        <w:trPr>
          <w:gridAfter w:val="1"/>
          <w:wAfter w:w="54" w:type="dxa"/>
          <w:cantSplit/>
        </w:trPr>
        <w:tc>
          <w:tcPr>
            <w:tcW w:w="2266" w:type="dxa"/>
            <w:gridSpan w:val="2"/>
          </w:tcPr>
          <w:p>
            <w:pPr>
              <w:pStyle w:val="nTable"/>
              <w:spacing w:after="40"/>
              <w:ind w:right="170"/>
            </w:pPr>
            <w:r>
              <w:rPr>
                <w:i/>
              </w:rPr>
              <w:t>Health Act Amendment Act 1919</w:t>
            </w:r>
          </w:p>
        </w:tc>
        <w:tc>
          <w:tcPr>
            <w:tcW w:w="1133" w:type="dxa"/>
            <w:gridSpan w:val="2"/>
          </w:tcPr>
          <w:p>
            <w:pPr>
              <w:pStyle w:val="nTable"/>
              <w:spacing w:after="40"/>
            </w:pPr>
            <w:r>
              <w:t>15 of 1919</w:t>
            </w:r>
            <w:r>
              <w:br/>
              <w:t>(10 Geo. V No. 3)</w:t>
            </w:r>
          </w:p>
        </w:tc>
        <w:tc>
          <w:tcPr>
            <w:tcW w:w="1133" w:type="dxa"/>
            <w:gridSpan w:val="2"/>
          </w:tcPr>
          <w:p>
            <w:pPr>
              <w:pStyle w:val="nTable"/>
              <w:spacing w:after="40"/>
            </w:pPr>
            <w:r>
              <w:t>30 Sep 1919</w:t>
            </w:r>
          </w:p>
        </w:tc>
        <w:tc>
          <w:tcPr>
            <w:tcW w:w="2551" w:type="dxa"/>
            <w:gridSpan w:val="2"/>
          </w:tcPr>
          <w:p>
            <w:pPr>
              <w:pStyle w:val="nTable"/>
              <w:spacing w:after="40"/>
            </w:pPr>
            <w:r>
              <w:t>30 Sep 1919</w:t>
            </w:r>
          </w:p>
        </w:tc>
      </w:tr>
      <w:tr>
        <w:trPr>
          <w:gridAfter w:val="1"/>
          <w:wAfter w:w="50" w:type="dxa"/>
          <w:cantSplit/>
        </w:trPr>
        <w:tc>
          <w:tcPr>
            <w:tcW w:w="7087" w:type="dxa"/>
            <w:gridSpan w:val="8"/>
          </w:tcPr>
          <w:p>
            <w:pPr>
              <w:pStyle w:val="nTable"/>
              <w:spacing w:after="40"/>
            </w:pPr>
            <w:r>
              <w:rPr>
                <w:b/>
              </w:rPr>
              <w:t xml:space="preserve">Reprint of the </w:t>
            </w:r>
            <w:r>
              <w:rPr>
                <w:b/>
                <w:i/>
              </w:rPr>
              <w:t>Health Act 1911</w:t>
            </w:r>
            <w:r>
              <w:rPr>
                <w:b/>
              </w:rPr>
              <w:t xml:space="preserve"> in Appendix to Session Volume 1919</w:t>
            </w:r>
            <w:r>
              <w:t xml:space="preserve"> (includes amendments listed above)</w:t>
            </w:r>
          </w:p>
        </w:tc>
      </w:tr>
      <w:tr>
        <w:trPr>
          <w:gridAfter w:val="1"/>
          <w:wAfter w:w="53" w:type="dxa"/>
          <w:cantSplit/>
        </w:trPr>
        <w:tc>
          <w:tcPr>
            <w:tcW w:w="2266" w:type="dxa"/>
            <w:gridSpan w:val="2"/>
          </w:tcPr>
          <w:p>
            <w:pPr>
              <w:pStyle w:val="nTable"/>
              <w:spacing w:after="40"/>
              <w:ind w:right="170"/>
            </w:pPr>
            <w:r>
              <w:rPr>
                <w:i/>
              </w:rPr>
              <w:t>Health Act Continuation Act 1920</w:t>
            </w:r>
          </w:p>
        </w:tc>
        <w:tc>
          <w:tcPr>
            <w:tcW w:w="1133" w:type="dxa"/>
            <w:gridSpan w:val="2"/>
          </w:tcPr>
          <w:p>
            <w:pPr>
              <w:pStyle w:val="nTable"/>
              <w:spacing w:after="40"/>
            </w:pPr>
            <w:r>
              <w:t>12 of 1920</w:t>
            </w:r>
            <w:r>
              <w:br/>
              <w:t>(11 Geo. V No. 12)</w:t>
            </w:r>
          </w:p>
        </w:tc>
        <w:tc>
          <w:tcPr>
            <w:tcW w:w="1134" w:type="dxa"/>
            <w:gridSpan w:val="2"/>
          </w:tcPr>
          <w:p>
            <w:pPr>
              <w:pStyle w:val="nTable"/>
              <w:spacing w:after="40"/>
            </w:pPr>
            <w:r>
              <w:t>29 Nov 1920</w:t>
            </w:r>
          </w:p>
        </w:tc>
        <w:tc>
          <w:tcPr>
            <w:tcW w:w="2551" w:type="dxa"/>
            <w:gridSpan w:val="2"/>
          </w:tcPr>
          <w:p>
            <w:pPr>
              <w:pStyle w:val="nTable"/>
              <w:spacing w:after="40"/>
            </w:pPr>
            <w:r>
              <w:t>29 Nov 1920</w:t>
            </w:r>
          </w:p>
        </w:tc>
      </w:tr>
      <w:tr>
        <w:trPr>
          <w:gridAfter w:val="1"/>
          <w:wAfter w:w="53" w:type="dxa"/>
          <w:cantSplit/>
        </w:trPr>
        <w:tc>
          <w:tcPr>
            <w:tcW w:w="2266" w:type="dxa"/>
            <w:gridSpan w:val="2"/>
          </w:tcPr>
          <w:p>
            <w:pPr>
              <w:pStyle w:val="nTable"/>
              <w:spacing w:after="40"/>
              <w:ind w:right="170"/>
            </w:pPr>
            <w:r>
              <w:rPr>
                <w:i/>
              </w:rPr>
              <w:t>Health Act Amendment Act 1921</w:t>
            </w:r>
          </w:p>
        </w:tc>
        <w:tc>
          <w:tcPr>
            <w:tcW w:w="1133" w:type="dxa"/>
            <w:gridSpan w:val="2"/>
          </w:tcPr>
          <w:p>
            <w:pPr>
              <w:pStyle w:val="nTable"/>
              <w:spacing w:after="40"/>
            </w:pPr>
            <w:r>
              <w:t>5 of 1922</w:t>
            </w:r>
            <w:r>
              <w:br/>
              <w:t>(12 Geo. V No. 39)</w:t>
            </w:r>
          </w:p>
        </w:tc>
        <w:tc>
          <w:tcPr>
            <w:tcW w:w="1134" w:type="dxa"/>
            <w:gridSpan w:val="2"/>
          </w:tcPr>
          <w:p>
            <w:pPr>
              <w:pStyle w:val="nTable"/>
              <w:spacing w:after="40"/>
            </w:pPr>
            <w:r>
              <w:t>31 Jan 1922</w:t>
            </w:r>
          </w:p>
        </w:tc>
        <w:tc>
          <w:tcPr>
            <w:tcW w:w="2551" w:type="dxa"/>
            <w:gridSpan w:val="2"/>
          </w:tcPr>
          <w:p>
            <w:pPr>
              <w:pStyle w:val="nTable"/>
              <w:spacing w:after="40"/>
            </w:pPr>
            <w:r>
              <w:t>31 Jan 1922</w:t>
            </w:r>
          </w:p>
        </w:tc>
      </w:tr>
      <w:tr>
        <w:trPr>
          <w:gridAfter w:val="1"/>
          <w:wAfter w:w="53" w:type="dxa"/>
          <w:cantSplit/>
        </w:trPr>
        <w:tc>
          <w:tcPr>
            <w:tcW w:w="2266" w:type="dxa"/>
            <w:gridSpan w:val="2"/>
          </w:tcPr>
          <w:p>
            <w:pPr>
              <w:pStyle w:val="nTable"/>
              <w:spacing w:after="40"/>
              <w:ind w:right="170"/>
            </w:pPr>
            <w:r>
              <w:rPr>
                <w:i/>
              </w:rPr>
              <w:t>Health Act Amendment Act 1926</w:t>
            </w:r>
          </w:p>
        </w:tc>
        <w:tc>
          <w:tcPr>
            <w:tcW w:w="1133" w:type="dxa"/>
            <w:gridSpan w:val="2"/>
          </w:tcPr>
          <w:p>
            <w:pPr>
              <w:pStyle w:val="nTable"/>
              <w:spacing w:after="40"/>
            </w:pPr>
            <w:r>
              <w:t>50 of 1926</w:t>
            </w:r>
            <w:r>
              <w:br/>
              <w:t>(17 Geo. V No. 50)</w:t>
            </w:r>
          </w:p>
        </w:tc>
        <w:tc>
          <w:tcPr>
            <w:tcW w:w="1134" w:type="dxa"/>
            <w:gridSpan w:val="2"/>
          </w:tcPr>
          <w:p>
            <w:pPr>
              <w:pStyle w:val="nTable"/>
              <w:spacing w:after="40"/>
            </w:pPr>
            <w:r>
              <w:t>24 Dec 1926</w:t>
            </w:r>
          </w:p>
        </w:tc>
        <w:tc>
          <w:tcPr>
            <w:tcW w:w="2551" w:type="dxa"/>
            <w:gridSpan w:val="2"/>
          </w:tcPr>
          <w:p>
            <w:pPr>
              <w:pStyle w:val="nTable"/>
              <w:spacing w:after="40"/>
            </w:pPr>
            <w:r>
              <w:t>24 Dec 1926</w:t>
            </w:r>
          </w:p>
        </w:tc>
      </w:tr>
      <w:tr>
        <w:trPr>
          <w:gridAfter w:val="1"/>
          <w:wAfter w:w="50" w:type="dxa"/>
          <w:cantSplit/>
        </w:trPr>
        <w:tc>
          <w:tcPr>
            <w:tcW w:w="7087" w:type="dxa"/>
            <w:gridSpan w:val="8"/>
          </w:tcPr>
          <w:p>
            <w:pPr>
              <w:pStyle w:val="nTable"/>
              <w:spacing w:after="40"/>
            </w:pPr>
            <w:r>
              <w:rPr>
                <w:b/>
              </w:rPr>
              <w:t xml:space="preserve">Reprint of the </w:t>
            </w:r>
            <w:r>
              <w:rPr>
                <w:b/>
                <w:i/>
              </w:rPr>
              <w:t>Health Act 1911</w:t>
            </w:r>
            <w:r>
              <w:rPr>
                <w:b/>
              </w:rPr>
              <w:t xml:space="preserve"> in Appendix to Session Volume 1931</w:t>
            </w:r>
            <w:r>
              <w:t xml:space="preserve"> (includes amendments listed above)</w:t>
            </w:r>
          </w:p>
        </w:tc>
      </w:tr>
      <w:tr>
        <w:trPr>
          <w:gridAfter w:val="1"/>
          <w:wAfter w:w="54" w:type="dxa"/>
          <w:cantSplit/>
        </w:trPr>
        <w:tc>
          <w:tcPr>
            <w:tcW w:w="2266" w:type="dxa"/>
            <w:gridSpan w:val="2"/>
          </w:tcPr>
          <w:p>
            <w:pPr>
              <w:pStyle w:val="nTable"/>
              <w:spacing w:after="40"/>
              <w:ind w:right="170"/>
            </w:pPr>
            <w:r>
              <w:rPr>
                <w:i/>
              </w:rPr>
              <w:t>Health Act Amendment Act 1932</w:t>
            </w:r>
          </w:p>
        </w:tc>
        <w:tc>
          <w:tcPr>
            <w:tcW w:w="1133" w:type="dxa"/>
            <w:gridSpan w:val="2"/>
          </w:tcPr>
          <w:p>
            <w:pPr>
              <w:pStyle w:val="nTable"/>
              <w:spacing w:after="40"/>
            </w:pPr>
            <w:r>
              <w:t>30 of 1932</w:t>
            </w:r>
            <w:r>
              <w:br/>
              <w:t>(23 Geo. V No. 30)</w:t>
            </w:r>
          </w:p>
        </w:tc>
        <w:tc>
          <w:tcPr>
            <w:tcW w:w="1133" w:type="dxa"/>
            <w:gridSpan w:val="2"/>
          </w:tcPr>
          <w:p>
            <w:pPr>
              <w:pStyle w:val="nTable"/>
              <w:spacing w:after="40"/>
            </w:pPr>
            <w:r>
              <w:t>30 Dec 1932</w:t>
            </w:r>
          </w:p>
        </w:tc>
        <w:tc>
          <w:tcPr>
            <w:tcW w:w="2551" w:type="dxa"/>
            <w:gridSpan w:val="2"/>
          </w:tcPr>
          <w:p>
            <w:pPr>
              <w:pStyle w:val="nTable"/>
              <w:spacing w:after="40"/>
            </w:pPr>
            <w:r>
              <w:t>30 Dec 1932</w:t>
            </w:r>
          </w:p>
        </w:tc>
      </w:tr>
      <w:tr>
        <w:trPr>
          <w:gridAfter w:val="1"/>
          <w:wAfter w:w="54" w:type="dxa"/>
          <w:cantSplit/>
        </w:trPr>
        <w:tc>
          <w:tcPr>
            <w:tcW w:w="2266" w:type="dxa"/>
            <w:gridSpan w:val="2"/>
          </w:tcPr>
          <w:p>
            <w:pPr>
              <w:pStyle w:val="nTable"/>
              <w:spacing w:after="40"/>
              <w:ind w:right="170"/>
            </w:pPr>
            <w:r>
              <w:rPr>
                <w:i/>
              </w:rPr>
              <w:t>Health Act Amendment Act 1933</w:t>
            </w:r>
          </w:p>
        </w:tc>
        <w:tc>
          <w:tcPr>
            <w:tcW w:w="1133" w:type="dxa"/>
            <w:gridSpan w:val="2"/>
          </w:tcPr>
          <w:p>
            <w:pPr>
              <w:pStyle w:val="nTable"/>
              <w:spacing w:after="40"/>
            </w:pPr>
            <w:r>
              <w:t>5 of 1933</w:t>
            </w:r>
            <w:r>
              <w:br/>
              <w:t>(24 Geo. V No. 5)</w:t>
            </w:r>
          </w:p>
        </w:tc>
        <w:tc>
          <w:tcPr>
            <w:tcW w:w="1133" w:type="dxa"/>
            <w:gridSpan w:val="2"/>
          </w:tcPr>
          <w:p>
            <w:pPr>
              <w:pStyle w:val="nTable"/>
              <w:spacing w:after="40"/>
            </w:pPr>
            <w:r>
              <w:t>2 Oct 1933</w:t>
            </w:r>
          </w:p>
        </w:tc>
        <w:tc>
          <w:tcPr>
            <w:tcW w:w="2551" w:type="dxa"/>
            <w:gridSpan w:val="2"/>
          </w:tcPr>
          <w:p>
            <w:pPr>
              <w:pStyle w:val="nTable"/>
              <w:spacing w:after="40"/>
            </w:pPr>
            <w:r>
              <w:t>2 Oct 1933</w:t>
            </w:r>
          </w:p>
        </w:tc>
      </w:tr>
      <w:tr>
        <w:trPr>
          <w:gridAfter w:val="1"/>
          <w:wAfter w:w="54" w:type="dxa"/>
          <w:cantSplit/>
        </w:trPr>
        <w:tc>
          <w:tcPr>
            <w:tcW w:w="2266" w:type="dxa"/>
            <w:gridSpan w:val="2"/>
          </w:tcPr>
          <w:p>
            <w:pPr>
              <w:pStyle w:val="nTable"/>
              <w:spacing w:after="40"/>
              <w:ind w:right="170"/>
            </w:pPr>
            <w:r>
              <w:rPr>
                <w:i/>
              </w:rPr>
              <w:t>Health Act Amendment Act 1933 (No. 2)</w:t>
            </w:r>
          </w:p>
        </w:tc>
        <w:tc>
          <w:tcPr>
            <w:tcW w:w="1133" w:type="dxa"/>
            <w:gridSpan w:val="2"/>
          </w:tcPr>
          <w:p>
            <w:pPr>
              <w:pStyle w:val="nTable"/>
              <w:spacing w:after="40"/>
            </w:pPr>
            <w:r>
              <w:t>38 of 1933</w:t>
            </w:r>
            <w:r>
              <w:br/>
              <w:t>(24 Geo. V No. 38)</w:t>
            </w:r>
            <w:r>
              <w:br/>
              <w:t>(as amended by No. 16 of 1935)</w:t>
            </w:r>
          </w:p>
        </w:tc>
        <w:tc>
          <w:tcPr>
            <w:tcW w:w="1133" w:type="dxa"/>
            <w:gridSpan w:val="2"/>
          </w:tcPr>
          <w:p>
            <w:pPr>
              <w:pStyle w:val="nTable"/>
              <w:spacing w:after="40"/>
            </w:pPr>
            <w:r>
              <w:t>4 Jan 1934</w:t>
            </w:r>
          </w:p>
        </w:tc>
        <w:tc>
          <w:tcPr>
            <w:tcW w:w="2551" w:type="dxa"/>
            <w:gridSpan w:val="2"/>
          </w:tcPr>
          <w:p>
            <w:pPr>
              <w:pStyle w:val="nTable"/>
              <w:spacing w:after="40"/>
            </w:pPr>
            <w:r>
              <w:t>4 Jan 1934</w:t>
            </w:r>
          </w:p>
        </w:tc>
      </w:tr>
      <w:tr>
        <w:trPr>
          <w:gridAfter w:val="1"/>
          <w:wAfter w:w="54" w:type="dxa"/>
          <w:cantSplit/>
        </w:trPr>
        <w:tc>
          <w:tcPr>
            <w:tcW w:w="2266" w:type="dxa"/>
            <w:gridSpan w:val="2"/>
          </w:tcPr>
          <w:p>
            <w:pPr>
              <w:pStyle w:val="nTable"/>
              <w:spacing w:after="40"/>
              <w:ind w:right="170"/>
            </w:pPr>
            <w:r>
              <w:rPr>
                <w:i/>
              </w:rPr>
              <w:t>Health Act Amendment Act 1937</w:t>
            </w:r>
          </w:p>
        </w:tc>
        <w:tc>
          <w:tcPr>
            <w:tcW w:w="1133" w:type="dxa"/>
            <w:gridSpan w:val="2"/>
          </w:tcPr>
          <w:p>
            <w:pPr>
              <w:pStyle w:val="nTable"/>
              <w:spacing w:after="40"/>
            </w:pPr>
            <w:r>
              <w:t>32 of 1937</w:t>
            </w:r>
            <w:r>
              <w:br/>
              <w:t>(1 and 2 Geo. VI No. 32)</w:t>
            </w:r>
          </w:p>
        </w:tc>
        <w:tc>
          <w:tcPr>
            <w:tcW w:w="1133" w:type="dxa"/>
            <w:gridSpan w:val="2"/>
          </w:tcPr>
          <w:p>
            <w:pPr>
              <w:pStyle w:val="nTable"/>
              <w:spacing w:after="40"/>
            </w:pPr>
            <w:r>
              <w:t>18 Jan 1938</w:t>
            </w:r>
          </w:p>
        </w:tc>
        <w:tc>
          <w:tcPr>
            <w:tcW w:w="2551" w:type="dxa"/>
            <w:gridSpan w:val="2"/>
          </w:tcPr>
          <w:p>
            <w:pPr>
              <w:pStyle w:val="nTable"/>
              <w:spacing w:after="40"/>
            </w:pPr>
            <w:r>
              <w:t>18 Jan 1938</w:t>
            </w:r>
          </w:p>
        </w:tc>
      </w:tr>
      <w:tr>
        <w:trPr>
          <w:gridAfter w:val="1"/>
          <w:wAfter w:w="50" w:type="dxa"/>
          <w:cantSplit/>
        </w:trPr>
        <w:tc>
          <w:tcPr>
            <w:tcW w:w="7087" w:type="dxa"/>
            <w:gridSpan w:val="8"/>
          </w:tcPr>
          <w:p>
            <w:pPr>
              <w:pStyle w:val="nTable"/>
              <w:spacing w:after="40"/>
            </w:pPr>
            <w:r>
              <w:rPr>
                <w:b/>
              </w:rPr>
              <w:t xml:space="preserve">Reprint of the </w:t>
            </w:r>
            <w:r>
              <w:rPr>
                <w:b/>
                <w:i/>
              </w:rPr>
              <w:t>Health Act 1911</w:t>
            </w:r>
            <w:r>
              <w:rPr>
                <w:b/>
              </w:rPr>
              <w:t xml:space="preserve"> in Volume 1 of Reprinted Acts </w:t>
            </w:r>
            <w:r>
              <w:t>(includes amendments listed above)</w:t>
            </w:r>
          </w:p>
        </w:tc>
      </w:tr>
      <w:tr>
        <w:trPr>
          <w:gridAfter w:val="1"/>
          <w:wAfter w:w="53" w:type="dxa"/>
          <w:cantSplit/>
        </w:trPr>
        <w:tc>
          <w:tcPr>
            <w:tcW w:w="2266" w:type="dxa"/>
            <w:gridSpan w:val="2"/>
          </w:tcPr>
          <w:p>
            <w:pPr>
              <w:pStyle w:val="nTable"/>
              <w:spacing w:after="40"/>
              <w:ind w:right="170"/>
            </w:pPr>
            <w:r>
              <w:rPr>
                <w:i/>
              </w:rPr>
              <w:t>Health Act Amendment Act 1942</w:t>
            </w:r>
          </w:p>
        </w:tc>
        <w:tc>
          <w:tcPr>
            <w:tcW w:w="1133" w:type="dxa"/>
            <w:gridSpan w:val="2"/>
          </w:tcPr>
          <w:p>
            <w:pPr>
              <w:pStyle w:val="nTable"/>
              <w:spacing w:after="40"/>
            </w:pPr>
            <w:r>
              <w:t>34 of 1942</w:t>
            </w:r>
            <w:r>
              <w:br/>
              <w:t>(6 and 7 Geo. VI No. 34)</w:t>
            </w:r>
          </w:p>
        </w:tc>
        <w:tc>
          <w:tcPr>
            <w:tcW w:w="1134" w:type="dxa"/>
            <w:gridSpan w:val="2"/>
          </w:tcPr>
          <w:p>
            <w:pPr>
              <w:pStyle w:val="nTable"/>
              <w:spacing w:after="40"/>
            </w:pPr>
            <w:r>
              <w:t>23 Dec 1942</w:t>
            </w:r>
          </w:p>
        </w:tc>
        <w:tc>
          <w:tcPr>
            <w:tcW w:w="2551" w:type="dxa"/>
            <w:gridSpan w:val="2"/>
          </w:tcPr>
          <w:p>
            <w:pPr>
              <w:pStyle w:val="nTable"/>
              <w:spacing w:after="40"/>
            </w:pPr>
            <w:r>
              <w:t>23 Dec 1942</w:t>
            </w:r>
          </w:p>
        </w:tc>
      </w:tr>
      <w:tr>
        <w:trPr>
          <w:gridAfter w:val="1"/>
          <w:wAfter w:w="53" w:type="dxa"/>
          <w:cantSplit/>
        </w:trPr>
        <w:tc>
          <w:tcPr>
            <w:tcW w:w="2266" w:type="dxa"/>
            <w:gridSpan w:val="2"/>
          </w:tcPr>
          <w:p>
            <w:pPr>
              <w:pStyle w:val="nTable"/>
              <w:spacing w:after="40"/>
              <w:ind w:right="170"/>
            </w:pPr>
            <w:r>
              <w:rPr>
                <w:i/>
              </w:rPr>
              <w:t>Nurses Registration Act Amendment Act 1944</w:t>
            </w:r>
            <w:r>
              <w:t xml:space="preserve"> s. 12</w:t>
            </w:r>
          </w:p>
        </w:tc>
        <w:tc>
          <w:tcPr>
            <w:tcW w:w="1133" w:type="dxa"/>
            <w:gridSpan w:val="2"/>
          </w:tcPr>
          <w:p>
            <w:pPr>
              <w:pStyle w:val="nTable"/>
              <w:spacing w:after="40"/>
            </w:pPr>
            <w:r>
              <w:t>14 of 1944</w:t>
            </w:r>
            <w:r>
              <w:br/>
              <w:t>(8 Geo. VI No. 14)</w:t>
            </w:r>
          </w:p>
        </w:tc>
        <w:tc>
          <w:tcPr>
            <w:tcW w:w="1134" w:type="dxa"/>
            <w:gridSpan w:val="2"/>
          </w:tcPr>
          <w:p>
            <w:pPr>
              <w:pStyle w:val="nTable"/>
              <w:spacing w:after="40"/>
            </w:pPr>
            <w:r>
              <w:t>8 Dec 1944</w:t>
            </w:r>
          </w:p>
        </w:tc>
        <w:tc>
          <w:tcPr>
            <w:tcW w:w="2551" w:type="dxa"/>
            <w:gridSpan w:val="2"/>
          </w:tcPr>
          <w:p>
            <w:pPr>
              <w:pStyle w:val="nTable"/>
              <w:spacing w:after="40"/>
            </w:pPr>
            <w:r>
              <w:t>8 Dec 1944</w:t>
            </w:r>
          </w:p>
        </w:tc>
      </w:tr>
      <w:tr>
        <w:trPr>
          <w:gridAfter w:val="1"/>
          <w:wAfter w:w="53" w:type="dxa"/>
          <w:cantSplit/>
        </w:trPr>
        <w:tc>
          <w:tcPr>
            <w:tcW w:w="2266" w:type="dxa"/>
            <w:gridSpan w:val="2"/>
          </w:tcPr>
          <w:p>
            <w:pPr>
              <w:pStyle w:val="nTable"/>
              <w:spacing w:after="40"/>
              <w:ind w:right="170"/>
            </w:pPr>
            <w:r>
              <w:rPr>
                <w:i/>
              </w:rPr>
              <w:t>Health Act Amendment Act 1944</w:t>
            </w:r>
          </w:p>
        </w:tc>
        <w:tc>
          <w:tcPr>
            <w:tcW w:w="1133" w:type="dxa"/>
            <w:gridSpan w:val="2"/>
          </w:tcPr>
          <w:p>
            <w:pPr>
              <w:pStyle w:val="nTable"/>
              <w:spacing w:after="40"/>
            </w:pPr>
            <w:r>
              <w:t>21 of 1944</w:t>
            </w:r>
            <w:r>
              <w:br/>
              <w:t>(8 and 9 Geo. VI No. 21)</w:t>
            </w:r>
          </w:p>
        </w:tc>
        <w:tc>
          <w:tcPr>
            <w:tcW w:w="1134" w:type="dxa"/>
            <w:gridSpan w:val="2"/>
          </w:tcPr>
          <w:p>
            <w:pPr>
              <w:pStyle w:val="nTable"/>
              <w:spacing w:after="40"/>
            </w:pPr>
            <w:r>
              <w:t>23 Dec 1944</w:t>
            </w:r>
          </w:p>
        </w:tc>
        <w:tc>
          <w:tcPr>
            <w:tcW w:w="2551" w:type="dxa"/>
            <w:gridSpan w:val="2"/>
          </w:tcPr>
          <w:p>
            <w:pPr>
              <w:pStyle w:val="nTable"/>
              <w:spacing w:after="40"/>
            </w:pPr>
            <w:r>
              <w:t>23 Dec 1944</w:t>
            </w:r>
          </w:p>
        </w:tc>
      </w:tr>
      <w:tr>
        <w:trPr>
          <w:gridAfter w:val="1"/>
          <w:wAfter w:w="50" w:type="dxa"/>
          <w:cantSplit/>
        </w:trPr>
        <w:tc>
          <w:tcPr>
            <w:tcW w:w="7087" w:type="dxa"/>
            <w:gridSpan w:val="8"/>
          </w:tcPr>
          <w:p>
            <w:pPr>
              <w:pStyle w:val="nTable"/>
              <w:spacing w:after="40"/>
            </w:pPr>
            <w:r>
              <w:rPr>
                <w:b/>
              </w:rPr>
              <w:t xml:space="preserve">Reprint of the </w:t>
            </w:r>
            <w:r>
              <w:rPr>
                <w:b/>
                <w:i/>
              </w:rPr>
              <w:t>Health Act 1911</w:t>
            </w:r>
            <w:r>
              <w:rPr>
                <w:b/>
              </w:rPr>
              <w:t xml:space="preserve"> not in a Volume </w:t>
            </w:r>
            <w:r>
              <w:t>(includes amendments listed above)</w:t>
            </w:r>
          </w:p>
        </w:tc>
      </w:tr>
      <w:tr>
        <w:trPr>
          <w:gridAfter w:val="1"/>
          <w:wAfter w:w="53" w:type="dxa"/>
          <w:cantSplit/>
        </w:trPr>
        <w:tc>
          <w:tcPr>
            <w:tcW w:w="2266" w:type="dxa"/>
            <w:gridSpan w:val="2"/>
          </w:tcPr>
          <w:p>
            <w:pPr>
              <w:pStyle w:val="nTable"/>
              <w:spacing w:after="40"/>
              <w:ind w:right="170"/>
            </w:pPr>
            <w:r>
              <w:rPr>
                <w:i/>
              </w:rPr>
              <w:t>Health Act Amendment Act 1948</w:t>
            </w:r>
          </w:p>
        </w:tc>
        <w:tc>
          <w:tcPr>
            <w:tcW w:w="1133" w:type="dxa"/>
            <w:gridSpan w:val="2"/>
          </w:tcPr>
          <w:p>
            <w:pPr>
              <w:pStyle w:val="nTable"/>
              <w:spacing w:after="40"/>
            </w:pPr>
            <w:r>
              <w:t>22 of 1948</w:t>
            </w:r>
            <w:r>
              <w:br/>
              <w:t>(12 Geo. VI No. 22)</w:t>
            </w:r>
          </w:p>
        </w:tc>
        <w:tc>
          <w:tcPr>
            <w:tcW w:w="1134" w:type="dxa"/>
            <w:gridSpan w:val="2"/>
          </w:tcPr>
          <w:p>
            <w:pPr>
              <w:pStyle w:val="nTable"/>
              <w:spacing w:after="40"/>
            </w:pPr>
            <w:r>
              <w:t>18 Nov 1948</w:t>
            </w:r>
          </w:p>
        </w:tc>
        <w:tc>
          <w:tcPr>
            <w:tcW w:w="2551" w:type="dxa"/>
            <w:gridSpan w:val="2"/>
          </w:tcPr>
          <w:p>
            <w:pPr>
              <w:pStyle w:val="nTable"/>
              <w:spacing w:after="40"/>
            </w:pPr>
            <w:r>
              <w:t>18 Nov 1948</w:t>
            </w:r>
          </w:p>
        </w:tc>
      </w:tr>
      <w:tr>
        <w:trPr>
          <w:gridAfter w:val="1"/>
          <w:wAfter w:w="53" w:type="dxa"/>
          <w:cantSplit/>
        </w:trPr>
        <w:tc>
          <w:tcPr>
            <w:tcW w:w="2266" w:type="dxa"/>
            <w:gridSpan w:val="2"/>
          </w:tcPr>
          <w:p>
            <w:pPr>
              <w:pStyle w:val="nTable"/>
              <w:spacing w:after="40"/>
              <w:ind w:right="170"/>
            </w:pPr>
            <w:r>
              <w:rPr>
                <w:i/>
              </w:rPr>
              <w:t>Health Act Amendment Act (No. 2) 1948</w:t>
            </w:r>
          </w:p>
        </w:tc>
        <w:tc>
          <w:tcPr>
            <w:tcW w:w="1133" w:type="dxa"/>
            <w:gridSpan w:val="2"/>
          </w:tcPr>
          <w:p>
            <w:pPr>
              <w:pStyle w:val="nTable"/>
              <w:spacing w:after="40"/>
            </w:pPr>
            <w:r>
              <w:t>70 of 1948</w:t>
            </w:r>
            <w:r>
              <w:br/>
              <w:t>(12 and 13 Geo. VI No. 70)</w:t>
            </w:r>
          </w:p>
        </w:tc>
        <w:tc>
          <w:tcPr>
            <w:tcW w:w="1134" w:type="dxa"/>
            <w:gridSpan w:val="2"/>
          </w:tcPr>
          <w:p>
            <w:pPr>
              <w:pStyle w:val="nTable"/>
              <w:spacing w:after="40"/>
            </w:pPr>
            <w:r>
              <w:t>21 Jan 1949</w:t>
            </w:r>
          </w:p>
        </w:tc>
        <w:tc>
          <w:tcPr>
            <w:tcW w:w="2551" w:type="dxa"/>
            <w:gridSpan w:val="2"/>
          </w:tcPr>
          <w:p>
            <w:pPr>
              <w:pStyle w:val="nTable"/>
              <w:spacing w:after="40"/>
            </w:pPr>
            <w:r>
              <w:t>21 Jan 1949</w:t>
            </w:r>
          </w:p>
        </w:tc>
      </w:tr>
      <w:tr>
        <w:trPr>
          <w:gridAfter w:val="1"/>
          <w:wAfter w:w="53" w:type="dxa"/>
        </w:trPr>
        <w:tc>
          <w:tcPr>
            <w:tcW w:w="2266" w:type="dxa"/>
            <w:gridSpan w:val="2"/>
          </w:tcPr>
          <w:p>
            <w:pPr>
              <w:pStyle w:val="nTable"/>
              <w:keepNext/>
              <w:spacing w:after="40"/>
              <w:ind w:right="170"/>
            </w:pPr>
            <w:r>
              <w:rPr>
                <w:i/>
              </w:rPr>
              <w:t>Health Act Amendment Act (No. 3) 1948</w:t>
            </w:r>
          </w:p>
        </w:tc>
        <w:tc>
          <w:tcPr>
            <w:tcW w:w="1133" w:type="dxa"/>
            <w:gridSpan w:val="2"/>
          </w:tcPr>
          <w:p>
            <w:pPr>
              <w:pStyle w:val="nTable"/>
              <w:keepNext/>
              <w:spacing w:after="40"/>
            </w:pPr>
            <w:r>
              <w:t>71 of 1948</w:t>
            </w:r>
            <w:r>
              <w:br/>
              <w:t>(12 and 13 Geo. VI No. 71)</w:t>
            </w:r>
          </w:p>
        </w:tc>
        <w:tc>
          <w:tcPr>
            <w:tcW w:w="1134" w:type="dxa"/>
            <w:gridSpan w:val="2"/>
          </w:tcPr>
          <w:p>
            <w:pPr>
              <w:pStyle w:val="nTable"/>
              <w:keepNext/>
              <w:spacing w:after="40"/>
            </w:pPr>
            <w:r>
              <w:t>21 Jan 1949</w:t>
            </w:r>
          </w:p>
        </w:tc>
        <w:tc>
          <w:tcPr>
            <w:tcW w:w="2551" w:type="dxa"/>
            <w:gridSpan w:val="2"/>
          </w:tcPr>
          <w:p>
            <w:pPr>
              <w:pStyle w:val="nTable"/>
              <w:keepNext/>
              <w:spacing w:after="40"/>
            </w:pPr>
            <w:r>
              <w:t>21 Jan 1949</w:t>
            </w:r>
          </w:p>
        </w:tc>
      </w:tr>
      <w:tr>
        <w:trPr>
          <w:gridAfter w:val="1"/>
          <w:wAfter w:w="50" w:type="dxa"/>
          <w:cantSplit/>
        </w:trPr>
        <w:tc>
          <w:tcPr>
            <w:tcW w:w="7087" w:type="dxa"/>
            <w:gridSpan w:val="8"/>
          </w:tcPr>
          <w:p>
            <w:pPr>
              <w:pStyle w:val="nTable"/>
              <w:spacing w:after="40"/>
            </w:pPr>
            <w:r>
              <w:rPr>
                <w:b/>
              </w:rPr>
              <w:t xml:space="preserve">Reprint of the </w:t>
            </w:r>
            <w:r>
              <w:rPr>
                <w:b/>
                <w:i/>
              </w:rPr>
              <w:t>Health Act 1911</w:t>
            </w:r>
            <w:r>
              <w:rPr>
                <w:b/>
              </w:rPr>
              <w:t xml:space="preserve"> approved 17 Mar 1949 in Volume 3 of Reprinted Acts </w:t>
            </w:r>
            <w:r>
              <w:t>(includes amendments listed above)</w:t>
            </w:r>
          </w:p>
        </w:tc>
      </w:tr>
      <w:tr>
        <w:trPr>
          <w:gridAfter w:val="1"/>
          <w:wAfter w:w="53" w:type="dxa"/>
          <w:cantSplit/>
        </w:trPr>
        <w:tc>
          <w:tcPr>
            <w:tcW w:w="2266" w:type="dxa"/>
            <w:gridSpan w:val="2"/>
          </w:tcPr>
          <w:p>
            <w:pPr>
              <w:pStyle w:val="nTable"/>
              <w:spacing w:after="40"/>
              <w:ind w:right="170"/>
            </w:pPr>
            <w:r>
              <w:rPr>
                <w:i/>
              </w:rPr>
              <w:t>Health Act Amendment Act 1950</w:t>
            </w:r>
          </w:p>
        </w:tc>
        <w:tc>
          <w:tcPr>
            <w:tcW w:w="1133" w:type="dxa"/>
            <w:gridSpan w:val="2"/>
          </w:tcPr>
          <w:p>
            <w:pPr>
              <w:pStyle w:val="nTable"/>
              <w:spacing w:after="40"/>
            </w:pPr>
            <w:r>
              <w:t>25 of 1950</w:t>
            </w:r>
            <w:r>
              <w:br/>
              <w:t>(14 Geo. VI No. 25)</w:t>
            </w:r>
          </w:p>
        </w:tc>
        <w:tc>
          <w:tcPr>
            <w:tcW w:w="1134" w:type="dxa"/>
            <w:gridSpan w:val="2"/>
          </w:tcPr>
          <w:p>
            <w:pPr>
              <w:pStyle w:val="nTable"/>
              <w:spacing w:after="40"/>
            </w:pPr>
            <w:r>
              <w:t>5 Dec 1950</w:t>
            </w:r>
          </w:p>
        </w:tc>
        <w:tc>
          <w:tcPr>
            <w:tcW w:w="2551" w:type="dxa"/>
            <w:gridSpan w:val="2"/>
          </w:tcPr>
          <w:p>
            <w:pPr>
              <w:pStyle w:val="nTable"/>
              <w:spacing w:after="40"/>
            </w:pPr>
            <w:r>
              <w:t>5 Dec 1950</w:t>
            </w:r>
          </w:p>
        </w:tc>
      </w:tr>
      <w:tr>
        <w:trPr>
          <w:gridAfter w:val="1"/>
          <w:wAfter w:w="53" w:type="dxa"/>
          <w:cantSplit/>
        </w:trPr>
        <w:tc>
          <w:tcPr>
            <w:tcW w:w="2266" w:type="dxa"/>
            <w:gridSpan w:val="2"/>
          </w:tcPr>
          <w:p>
            <w:pPr>
              <w:pStyle w:val="nTable"/>
              <w:spacing w:after="40"/>
              <w:ind w:right="170"/>
            </w:pPr>
            <w:r>
              <w:rPr>
                <w:i/>
              </w:rPr>
              <w:t>Health Act Amendment Act 1952</w:t>
            </w:r>
          </w:p>
        </w:tc>
        <w:tc>
          <w:tcPr>
            <w:tcW w:w="1133" w:type="dxa"/>
            <w:gridSpan w:val="2"/>
          </w:tcPr>
          <w:p>
            <w:pPr>
              <w:pStyle w:val="nTable"/>
              <w:spacing w:after="40"/>
            </w:pPr>
            <w:r>
              <w:t>11 of 1952</w:t>
            </w:r>
            <w:r>
              <w:br/>
              <w:t>(1 Eliz. II No. 11)</w:t>
            </w:r>
          </w:p>
        </w:tc>
        <w:tc>
          <w:tcPr>
            <w:tcW w:w="1134" w:type="dxa"/>
            <w:gridSpan w:val="2"/>
          </w:tcPr>
          <w:p>
            <w:pPr>
              <w:pStyle w:val="nTable"/>
              <w:spacing w:after="40"/>
            </w:pPr>
            <w:r>
              <w:t>4 Nov 1952</w:t>
            </w:r>
          </w:p>
        </w:tc>
        <w:tc>
          <w:tcPr>
            <w:tcW w:w="2551" w:type="dxa"/>
            <w:gridSpan w:val="2"/>
          </w:tcPr>
          <w:p>
            <w:pPr>
              <w:pStyle w:val="nTable"/>
              <w:spacing w:after="40"/>
            </w:pPr>
            <w:r>
              <w:t>4 Nov 1952</w:t>
            </w:r>
          </w:p>
        </w:tc>
      </w:tr>
      <w:tr>
        <w:trPr>
          <w:gridAfter w:val="1"/>
          <w:wAfter w:w="53" w:type="dxa"/>
          <w:cantSplit/>
        </w:trPr>
        <w:tc>
          <w:tcPr>
            <w:tcW w:w="2266" w:type="dxa"/>
            <w:gridSpan w:val="2"/>
          </w:tcPr>
          <w:p>
            <w:pPr>
              <w:pStyle w:val="nTable"/>
              <w:spacing w:after="40"/>
              <w:ind w:right="170"/>
            </w:pPr>
            <w:r>
              <w:rPr>
                <w:i/>
              </w:rPr>
              <w:t>Health Act Amendment Act (No. 2) 1952</w:t>
            </w:r>
          </w:p>
        </w:tc>
        <w:tc>
          <w:tcPr>
            <w:tcW w:w="1133" w:type="dxa"/>
            <w:gridSpan w:val="2"/>
          </w:tcPr>
          <w:p>
            <w:pPr>
              <w:pStyle w:val="nTable"/>
              <w:spacing w:after="40"/>
            </w:pPr>
            <w:r>
              <w:t>25 of 1952</w:t>
            </w:r>
            <w:r>
              <w:br/>
              <w:t>(1 Eliz. II No. 25)</w:t>
            </w:r>
          </w:p>
        </w:tc>
        <w:tc>
          <w:tcPr>
            <w:tcW w:w="1134" w:type="dxa"/>
            <w:gridSpan w:val="2"/>
          </w:tcPr>
          <w:p>
            <w:pPr>
              <w:pStyle w:val="nTable"/>
              <w:spacing w:after="40"/>
            </w:pPr>
            <w:r>
              <w:t>28 Nov 1952</w:t>
            </w:r>
          </w:p>
        </w:tc>
        <w:tc>
          <w:tcPr>
            <w:tcW w:w="2551" w:type="dxa"/>
            <w:gridSpan w:val="2"/>
          </w:tcPr>
          <w:p>
            <w:pPr>
              <w:pStyle w:val="nTable"/>
              <w:spacing w:after="40"/>
            </w:pPr>
            <w:r>
              <w:t>28 Nov 1952</w:t>
            </w:r>
          </w:p>
        </w:tc>
      </w:tr>
      <w:tr>
        <w:trPr>
          <w:gridAfter w:val="1"/>
          <w:wAfter w:w="53" w:type="dxa"/>
          <w:cantSplit/>
        </w:trPr>
        <w:tc>
          <w:tcPr>
            <w:tcW w:w="2266" w:type="dxa"/>
            <w:gridSpan w:val="2"/>
          </w:tcPr>
          <w:p>
            <w:pPr>
              <w:pStyle w:val="nTable"/>
              <w:spacing w:after="40"/>
              <w:ind w:right="170"/>
            </w:pPr>
            <w:r>
              <w:rPr>
                <w:i/>
              </w:rPr>
              <w:t>Health Act Amendment Act (No. 2) 1954</w:t>
            </w:r>
          </w:p>
        </w:tc>
        <w:tc>
          <w:tcPr>
            <w:tcW w:w="1133" w:type="dxa"/>
            <w:gridSpan w:val="2"/>
          </w:tcPr>
          <w:p>
            <w:pPr>
              <w:pStyle w:val="nTable"/>
              <w:spacing w:after="40"/>
            </w:pPr>
            <w:r>
              <w:t>34 of 1954</w:t>
            </w:r>
            <w:r>
              <w:br/>
              <w:t>(3 Eliz. II No. 34)</w:t>
            </w:r>
          </w:p>
        </w:tc>
        <w:tc>
          <w:tcPr>
            <w:tcW w:w="1134" w:type="dxa"/>
            <w:gridSpan w:val="2"/>
          </w:tcPr>
          <w:p>
            <w:pPr>
              <w:pStyle w:val="nTable"/>
              <w:spacing w:after="40"/>
            </w:pPr>
            <w:r>
              <w:t>18 Nov 1954</w:t>
            </w:r>
          </w:p>
        </w:tc>
        <w:tc>
          <w:tcPr>
            <w:tcW w:w="2551" w:type="dxa"/>
            <w:gridSpan w:val="2"/>
          </w:tcPr>
          <w:p>
            <w:pPr>
              <w:pStyle w:val="nTable"/>
              <w:spacing w:after="40"/>
            </w:pPr>
            <w:r>
              <w:t xml:space="preserve">12 Apr 1957 (see s. 2 and </w:t>
            </w:r>
            <w:r>
              <w:rPr>
                <w:i/>
              </w:rPr>
              <w:t>Gazette</w:t>
            </w:r>
            <w:r>
              <w:t xml:space="preserve"> 12 Apr 1957 p. 1081)</w:t>
            </w:r>
          </w:p>
        </w:tc>
      </w:tr>
      <w:tr>
        <w:trPr>
          <w:gridAfter w:val="1"/>
          <w:wAfter w:w="53" w:type="dxa"/>
          <w:cantSplit/>
        </w:trPr>
        <w:tc>
          <w:tcPr>
            <w:tcW w:w="2266" w:type="dxa"/>
            <w:gridSpan w:val="2"/>
          </w:tcPr>
          <w:p>
            <w:pPr>
              <w:pStyle w:val="nTable"/>
              <w:spacing w:after="40"/>
              <w:ind w:right="170"/>
            </w:pPr>
            <w:r>
              <w:rPr>
                <w:i/>
              </w:rPr>
              <w:t>Health Act Amendment Act 1954</w:t>
            </w:r>
          </w:p>
        </w:tc>
        <w:tc>
          <w:tcPr>
            <w:tcW w:w="1133" w:type="dxa"/>
            <w:gridSpan w:val="2"/>
          </w:tcPr>
          <w:p>
            <w:pPr>
              <w:pStyle w:val="nTable"/>
              <w:spacing w:after="40"/>
            </w:pPr>
            <w:r>
              <w:t>45 of 1954</w:t>
            </w:r>
            <w:r>
              <w:br/>
              <w:t>(3 Eliz. II No. 45)</w:t>
            </w:r>
          </w:p>
        </w:tc>
        <w:tc>
          <w:tcPr>
            <w:tcW w:w="1134" w:type="dxa"/>
            <w:gridSpan w:val="2"/>
          </w:tcPr>
          <w:p>
            <w:pPr>
              <w:pStyle w:val="nTable"/>
              <w:spacing w:after="40"/>
            </w:pPr>
            <w:r>
              <w:t>8 Dec 1954</w:t>
            </w:r>
          </w:p>
        </w:tc>
        <w:tc>
          <w:tcPr>
            <w:tcW w:w="2551" w:type="dxa"/>
            <w:gridSpan w:val="2"/>
          </w:tcPr>
          <w:p>
            <w:pPr>
              <w:pStyle w:val="nTable"/>
              <w:spacing w:after="40"/>
            </w:pPr>
            <w:r>
              <w:t>8 Dec 1954</w:t>
            </w:r>
          </w:p>
        </w:tc>
      </w:tr>
      <w:tr>
        <w:trPr>
          <w:gridAfter w:val="1"/>
          <w:wAfter w:w="53" w:type="dxa"/>
          <w:cantSplit/>
        </w:trPr>
        <w:tc>
          <w:tcPr>
            <w:tcW w:w="2266" w:type="dxa"/>
            <w:gridSpan w:val="2"/>
          </w:tcPr>
          <w:p>
            <w:pPr>
              <w:pStyle w:val="nTable"/>
              <w:spacing w:after="40"/>
              <w:ind w:right="170"/>
            </w:pPr>
            <w:r>
              <w:rPr>
                <w:i/>
              </w:rPr>
              <w:t xml:space="preserve">Limitation Act 1935 </w:t>
            </w:r>
            <w:r>
              <w:t>s. 48A(1)</w:t>
            </w:r>
          </w:p>
        </w:tc>
        <w:tc>
          <w:tcPr>
            <w:tcW w:w="1133" w:type="dxa"/>
            <w:gridSpan w:val="2"/>
          </w:tcPr>
          <w:p>
            <w:pPr>
              <w:pStyle w:val="nTable"/>
              <w:spacing w:after="40"/>
            </w:pPr>
            <w:r>
              <w:t>35 of 1935</w:t>
            </w:r>
            <w:r>
              <w:br/>
              <w:t>(26 Geo. V No. 35)</w:t>
            </w:r>
            <w:r>
              <w:br/>
              <w:t>(as amended by No. 73 of 1954 s. 8)</w:t>
            </w:r>
          </w:p>
        </w:tc>
        <w:tc>
          <w:tcPr>
            <w:tcW w:w="1134" w:type="dxa"/>
            <w:gridSpan w:val="2"/>
          </w:tcPr>
          <w:p>
            <w:pPr>
              <w:pStyle w:val="nTable"/>
              <w:spacing w:after="40"/>
            </w:pPr>
            <w:r>
              <w:t>14 Jan 1955</w:t>
            </w:r>
          </w:p>
        </w:tc>
        <w:tc>
          <w:tcPr>
            <w:tcW w:w="2551" w:type="dxa"/>
            <w:gridSpan w:val="2"/>
          </w:tcPr>
          <w:p>
            <w:pPr>
              <w:pStyle w:val="nTable"/>
              <w:spacing w:after="40"/>
            </w:pPr>
            <w:r>
              <w:t>Relevant amendments (see s. 48A and Second Sch.</w:t>
            </w:r>
            <w:r>
              <w:rPr>
                <w:rFonts w:ascii="Times" w:hAnsi="Times"/>
                <w:vertAlign w:val="superscript"/>
              </w:rPr>
              <w:t xml:space="preserve">  9</w:t>
            </w:r>
            <w:r>
              <w:t>)</w:t>
            </w:r>
            <w:r>
              <w:br/>
              <w:t>took effect on 1 Mar 1955</w:t>
            </w:r>
            <w:r>
              <w:br/>
              <w:t xml:space="preserve">(see s. 2 and </w:t>
            </w:r>
            <w:r>
              <w:rPr>
                <w:i/>
              </w:rPr>
              <w:t>Gazette</w:t>
            </w:r>
            <w:r>
              <w:t xml:space="preserve"> 18 Feb 1955 p. 343) </w:t>
            </w:r>
          </w:p>
        </w:tc>
      </w:tr>
      <w:tr>
        <w:trPr>
          <w:gridAfter w:val="1"/>
          <w:wAfter w:w="53" w:type="dxa"/>
          <w:cantSplit/>
        </w:trPr>
        <w:tc>
          <w:tcPr>
            <w:tcW w:w="2266" w:type="dxa"/>
            <w:gridSpan w:val="2"/>
          </w:tcPr>
          <w:p>
            <w:pPr>
              <w:pStyle w:val="nTable"/>
              <w:spacing w:after="40"/>
              <w:ind w:right="170"/>
            </w:pPr>
            <w:r>
              <w:rPr>
                <w:i/>
              </w:rPr>
              <w:t>Health Act Amendment Act 1955</w:t>
            </w:r>
          </w:p>
        </w:tc>
        <w:tc>
          <w:tcPr>
            <w:tcW w:w="1133" w:type="dxa"/>
            <w:gridSpan w:val="2"/>
          </w:tcPr>
          <w:p>
            <w:pPr>
              <w:pStyle w:val="nTable"/>
              <w:spacing w:after="40"/>
            </w:pPr>
            <w:r>
              <w:t>29 of 1955</w:t>
            </w:r>
            <w:r>
              <w:br/>
              <w:t>(4 Eliz. II No. 29)</w:t>
            </w:r>
          </w:p>
        </w:tc>
        <w:tc>
          <w:tcPr>
            <w:tcW w:w="1134" w:type="dxa"/>
            <w:gridSpan w:val="2"/>
          </w:tcPr>
          <w:p>
            <w:pPr>
              <w:pStyle w:val="nTable"/>
              <w:spacing w:after="40"/>
            </w:pPr>
            <w:r>
              <w:t>15 Nov 1955</w:t>
            </w:r>
          </w:p>
        </w:tc>
        <w:tc>
          <w:tcPr>
            <w:tcW w:w="2551" w:type="dxa"/>
            <w:gridSpan w:val="2"/>
          </w:tcPr>
          <w:p>
            <w:pPr>
              <w:pStyle w:val="nTable"/>
              <w:spacing w:after="40"/>
            </w:pPr>
            <w:r>
              <w:t>15 Nov 1955</w:t>
            </w:r>
          </w:p>
        </w:tc>
      </w:tr>
      <w:tr>
        <w:trPr>
          <w:gridAfter w:val="1"/>
          <w:wAfter w:w="53" w:type="dxa"/>
          <w:cantSplit/>
        </w:trPr>
        <w:tc>
          <w:tcPr>
            <w:tcW w:w="2266" w:type="dxa"/>
            <w:gridSpan w:val="2"/>
          </w:tcPr>
          <w:p>
            <w:pPr>
              <w:pStyle w:val="nTable"/>
              <w:spacing w:after="40"/>
              <w:ind w:right="170"/>
            </w:pPr>
            <w:r>
              <w:rPr>
                <w:i/>
              </w:rPr>
              <w:t>Health Act Amendment Act 1956</w:t>
            </w:r>
          </w:p>
        </w:tc>
        <w:tc>
          <w:tcPr>
            <w:tcW w:w="1133" w:type="dxa"/>
            <w:gridSpan w:val="2"/>
          </w:tcPr>
          <w:p>
            <w:pPr>
              <w:pStyle w:val="nTable"/>
              <w:spacing w:after="40"/>
            </w:pPr>
            <w:r>
              <w:t>17 of 1956</w:t>
            </w:r>
            <w:r>
              <w:br/>
              <w:t>(5 Eliz. II No. 17)</w:t>
            </w:r>
          </w:p>
        </w:tc>
        <w:tc>
          <w:tcPr>
            <w:tcW w:w="1134" w:type="dxa"/>
            <w:gridSpan w:val="2"/>
          </w:tcPr>
          <w:p>
            <w:pPr>
              <w:pStyle w:val="nTable"/>
              <w:spacing w:after="40"/>
            </w:pPr>
            <w:r>
              <w:t>26 Oct 1956</w:t>
            </w:r>
          </w:p>
        </w:tc>
        <w:tc>
          <w:tcPr>
            <w:tcW w:w="2551" w:type="dxa"/>
            <w:gridSpan w:val="2"/>
          </w:tcPr>
          <w:p>
            <w:pPr>
              <w:pStyle w:val="nTable"/>
              <w:spacing w:after="40"/>
            </w:pPr>
            <w:r>
              <w:t>26 Oct 1956</w:t>
            </w:r>
          </w:p>
        </w:tc>
      </w:tr>
      <w:tr>
        <w:trPr>
          <w:gridAfter w:val="1"/>
          <w:wAfter w:w="50" w:type="dxa"/>
          <w:cantSplit/>
        </w:trPr>
        <w:tc>
          <w:tcPr>
            <w:tcW w:w="7087" w:type="dxa"/>
            <w:gridSpan w:val="8"/>
          </w:tcPr>
          <w:p>
            <w:pPr>
              <w:pStyle w:val="nTable"/>
              <w:spacing w:after="40"/>
            </w:pPr>
            <w:r>
              <w:rPr>
                <w:b/>
              </w:rPr>
              <w:t xml:space="preserve">Reprint of the </w:t>
            </w:r>
            <w:r>
              <w:rPr>
                <w:b/>
                <w:i/>
              </w:rPr>
              <w:t>Health Act 1911</w:t>
            </w:r>
            <w:r>
              <w:rPr>
                <w:b/>
              </w:rPr>
              <w:t xml:space="preserve"> approved 5 Jun 1957 in Volume 11 of Reprinted Acts </w:t>
            </w:r>
            <w:r>
              <w:t>(includes amendments listed above)</w:t>
            </w:r>
          </w:p>
        </w:tc>
      </w:tr>
      <w:tr>
        <w:trPr>
          <w:gridAfter w:val="1"/>
          <w:wAfter w:w="53" w:type="dxa"/>
          <w:cantSplit/>
        </w:trPr>
        <w:tc>
          <w:tcPr>
            <w:tcW w:w="2266" w:type="dxa"/>
            <w:gridSpan w:val="2"/>
          </w:tcPr>
          <w:p>
            <w:pPr>
              <w:pStyle w:val="nTable"/>
              <w:spacing w:after="40"/>
              <w:ind w:right="170"/>
            </w:pPr>
            <w:r>
              <w:rPr>
                <w:i/>
              </w:rPr>
              <w:t>Health Act Amendment Act 1957</w:t>
            </w:r>
          </w:p>
        </w:tc>
        <w:tc>
          <w:tcPr>
            <w:tcW w:w="1133" w:type="dxa"/>
            <w:gridSpan w:val="2"/>
          </w:tcPr>
          <w:p>
            <w:pPr>
              <w:pStyle w:val="nTable"/>
              <w:spacing w:after="40"/>
            </w:pPr>
            <w:r>
              <w:t>21 of 1957</w:t>
            </w:r>
            <w:r>
              <w:br/>
              <w:t>(6 Eliz. II No. 21)</w:t>
            </w:r>
          </w:p>
        </w:tc>
        <w:tc>
          <w:tcPr>
            <w:tcW w:w="1134" w:type="dxa"/>
            <w:gridSpan w:val="2"/>
          </w:tcPr>
          <w:p>
            <w:pPr>
              <w:pStyle w:val="nTable"/>
              <w:spacing w:after="40"/>
            </w:pPr>
            <w:r>
              <w:t>9 Oct 1957</w:t>
            </w:r>
          </w:p>
        </w:tc>
        <w:tc>
          <w:tcPr>
            <w:tcW w:w="2551" w:type="dxa"/>
            <w:gridSpan w:val="2"/>
          </w:tcPr>
          <w:p>
            <w:pPr>
              <w:pStyle w:val="nTable"/>
              <w:spacing w:after="40"/>
            </w:pPr>
            <w:r>
              <w:t xml:space="preserve">1 Dec 1957 (see s. 2 and </w:t>
            </w:r>
            <w:r>
              <w:rPr>
                <w:i/>
              </w:rPr>
              <w:t>Gazette</w:t>
            </w:r>
            <w:r>
              <w:t xml:space="preserve"> 29 Nov 1957 p. 3445)</w:t>
            </w:r>
          </w:p>
        </w:tc>
      </w:tr>
      <w:tr>
        <w:trPr>
          <w:gridAfter w:val="1"/>
          <w:wAfter w:w="53" w:type="dxa"/>
          <w:cantSplit/>
        </w:trPr>
        <w:tc>
          <w:tcPr>
            <w:tcW w:w="2266" w:type="dxa"/>
            <w:gridSpan w:val="2"/>
          </w:tcPr>
          <w:p>
            <w:pPr>
              <w:pStyle w:val="nTable"/>
              <w:spacing w:after="40"/>
              <w:ind w:right="170"/>
            </w:pPr>
            <w:r>
              <w:rPr>
                <w:i/>
              </w:rPr>
              <w:t>Health Act Amendment Act 1959</w:t>
            </w:r>
          </w:p>
        </w:tc>
        <w:tc>
          <w:tcPr>
            <w:tcW w:w="1133" w:type="dxa"/>
            <w:gridSpan w:val="2"/>
          </w:tcPr>
          <w:p>
            <w:pPr>
              <w:pStyle w:val="nTable"/>
              <w:spacing w:after="40"/>
            </w:pPr>
            <w:r>
              <w:t>22 of 1959</w:t>
            </w:r>
            <w:r>
              <w:br/>
              <w:t>(8 Eliz. II No. 22)</w:t>
            </w:r>
          </w:p>
        </w:tc>
        <w:tc>
          <w:tcPr>
            <w:tcW w:w="1134" w:type="dxa"/>
            <w:gridSpan w:val="2"/>
          </w:tcPr>
          <w:p>
            <w:pPr>
              <w:pStyle w:val="nTable"/>
              <w:spacing w:after="40"/>
            </w:pPr>
            <w:r>
              <w:t>8 Oct 1959</w:t>
            </w:r>
          </w:p>
        </w:tc>
        <w:tc>
          <w:tcPr>
            <w:tcW w:w="2551" w:type="dxa"/>
            <w:gridSpan w:val="2"/>
          </w:tcPr>
          <w:p>
            <w:pPr>
              <w:pStyle w:val="nTable"/>
              <w:spacing w:after="40"/>
            </w:pPr>
            <w:r>
              <w:t>8 Oct 1959</w:t>
            </w:r>
          </w:p>
        </w:tc>
      </w:tr>
      <w:tr>
        <w:trPr>
          <w:gridAfter w:val="1"/>
          <w:wAfter w:w="53" w:type="dxa"/>
          <w:cantSplit/>
        </w:trPr>
        <w:tc>
          <w:tcPr>
            <w:tcW w:w="2266" w:type="dxa"/>
            <w:gridSpan w:val="2"/>
          </w:tcPr>
          <w:p>
            <w:pPr>
              <w:pStyle w:val="nTable"/>
              <w:spacing w:after="40"/>
              <w:ind w:right="170"/>
            </w:pPr>
            <w:r>
              <w:rPr>
                <w:i/>
              </w:rPr>
              <w:t>Health Act Amendment Act 1960</w:t>
            </w:r>
          </w:p>
        </w:tc>
        <w:tc>
          <w:tcPr>
            <w:tcW w:w="1133" w:type="dxa"/>
            <w:gridSpan w:val="2"/>
          </w:tcPr>
          <w:p>
            <w:pPr>
              <w:pStyle w:val="nTable"/>
              <w:spacing w:after="40"/>
            </w:pPr>
            <w:r>
              <w:t>23 of 1960</w:t>
            </w:r>
            <w:r>
              <w:br/>
              <w:t>(9 Eliz. II No. 23)</w:t>
            </w:r>
          </w:p>
        </w:tc>
        <w:tc>
          <w:tcPr>
            <w:tcW w:w="1134" w:type="dxa"/>
            <w:gridSpan w:val="2"/>
          </w:tcPr>
          <w:p>
            <w:pPr>
              <w:pStyle w:val="nTable"/>
              <w:spacing w:after="40"/>
            </w:pPr>
            <w:r>
              <w:t>11 Oct 1960</w:t>
            </w:r>
          </w:p>
        </w:tc>
        <w:tc>
          <w:tcPr>
            <w:tcW w:w="2551" w:type="dxa"/>
            <w:gridSpan w:val="2"/>
          </w:tcPr>
          <w:p>
            <w:pPr>
              <w:pStyle w:val="nTable"/>
              <w:spacing w:after="40"/>
            </w:pPr>
            <w:r>
              <w:t>11 Oct 1960</w:t>
            </w:r>
          </w:p>
        </w:tc>
      </w:tr>
      <w:tr>
        <w:trPr>
          <w:gridAfter w:val="1"/>
          <w:wAfter w:w="53" w:type="dxa"/>
          <w:cantSplit/>
        </w:trPr>
        <w:tc>
          <w:tcPr>
            <w:tcW w:w="2266" w:type="dxa"/>
            <w:gridSpan w:val="2"/>
          </w:tcPr>
          <w:p>
            <w:pPr>
              <w:pStyle w:val="nTable"/>
              <w:spacing w:after="40"/>
              <w:ind w:right="170"/>
            </w:pPr>
            <w:r>
              <w:rPr>
                <w:i/>
              </w:rPr>
              <w:t>Health Act Amendment Act (No. 2) 1960</w:t>
            </w:r>
          </w:p>
        </w:tc>
        <w:tc>
          <w:tcPr>
            <w:tcW w:w="1133" w:type="dxa"/>
            <w:gridSpan w:val="2"/>
          </w:tcPr>
          <w:p>
            <w:pPr>
              <w:pStyle w:val="nTable"/>
              <w:spacing w:after="40"/>
            </w:pPr>
            <w:r>
              <w:t>38 of 1960</w:t>
            </w:r>
            <w:r>
              <w:br/>
              <w:t>(9 Eliz. II No. 38)</w:t>
            </w:r>
          </w:p>
        </w:tc>
        <w:tc>
          <w:tcPr>
            <w:tcW w:w="1134" w:type="dxa"/>
            <w:gridSpan w:val="2"/>
          </w:tcPr>
          <w:p>
            <w:pPr>
              <w:pStyle w:val="nTable"/>
              <w:spacing w:after="40"/>
            </w:pPr>
            <w:r>
              <w:t>3 Nov 1960</w:t>
            </w:r>
          </w:p>
        </w:tc>
        <w:tc>
          <w:tcPr>
            <w:tcW w:w="2551" w:type="dxa"/>
            <w:gridSpan w:val="2"/>
          </w:tcPr>
          <w:p>
            <w:pPr>
              <w:pStyle w:val="nTable"/>
              <w:spacing w:after="40"/>
            </w:pPr>
            <w:r>
              <w:t>3 Nov 1960</w:t>
            </w:r>
          </w:p>
        </w:tc>
      </w:tr>
      <w:tr>
        <w:trPr>
          <w:gridAfter w:val="1"/>
          <w:wAfter w:w="53" w:type="dxa"/>
          <w:cantSplit/>
        </w:trPr>
        <w:tc>
          <w:tcPr>
            <w:tcW w:w="2266" w:type="dxa"/>
            <w:gridSpan w:val="2"/>
          </w:tcPr>
          <w:p>
            <w:pPr>
              <w:pStyle w:val="nTable"/>
              <w:spacing w:after="40"/>
              <w:ind w:right="170"/>
            </w:pPr>
            <w:r>
              <w:rPr>
                <w:i/>
              </w:rPr>
              <w:t>Health Act Amendment Act 1962</w:t>
            </w:r>
          </w:p>
        </w:tc>
        <w:tc>
          <w:tcPr>
            <w:tcW w:w="1133" w:type="dxa"/>
            <w:gridSpan w:val="2"/>
          </w:tcPr>
          <w:p>
            <w:pPr>
              <w:pStyle w:val="nTable"/>
              <w:spacing w:after="40"/>
            </w:pPr>
            <w:r>
              <w:t>33 of 1962</w:t>
            </w:r>
            <w:r>
              <w:br/>
              <w:t>(11 Eliz. II No. 33)</w:t>
            </w:r>
          </w:p>
        </w:tc>
        <w:tc>
          <w:tcPr>
            <w:tcW w:w="1134" w:type="dxa"/>
            <w:gridSpan w:val="2"/>
          </w:tcPr>
          <w:p>
            <w:pPr>
              <w:pStyle w:val="nTable"/>
              <w:spacing w:after="40"/>
            </w:pPr>
            <w:r>
              <w:t>29 Oct 1962</w:t>
            </w:r>
          </w:p>
        </w:tc>
        <w:tc>
          <w:tcPr>
            <w:tcW w:w="2551" w:type="dxa"/>
            <w:gridSpan w:val="2"/>
          </w:tcPr>
          <w:p>
            <w:pPr>
              <w:pStyle w:val="nTable"/>
              <w:spacing w:after="40"/>
            </w:pPr>
            <w:r>
              <w:t>29 Oct 1962</w:t>
            </w:r>
          </w:p>
        </w:tc>
      </w:tr>
      <w:tr>
        <w:trPr>
          <w:gridAfter w:val="1"/>
          <w:wAfter w:w="53" w:type="dxa"/>
          <w:cantSplit/>
        </w:trPr>
        <w:tc>
          <w:tcPr>
            <w:tcW w:w="2266" w:type="dxa"/>
            <w:gridSpan w:val="2"/>
          </w:tcPr>
          <w:p>
            <w:pPr>
              <w:pStyle w:val="nTable"/>
              <w:spacing w:after="40"/>
              <w:ind w:right="170"/>
            </w:pPr>
            <w:r>
              <w:rPr>
                <w:i/>
              </w:rPr>
              <w:t>Health Act Amendment Act (No. 3) 1962</w:t>
            </w:r>
          </w:p>
        </w:tc>
        <w:tc>
          <w:tcPr>
            <w:tcW w:w="1133" w:type="dxa"/>
            <w:gridSpan w:val="2"/>
          </w:tcPr>
          <w:p>
            <w:pPr>
              <w:pStyle w:val="nTable"/>
              <w:spacing w:after="40"/>
            </w:pPr>
            <w:r>
              <w:t>49 of 1962</w:t>
            </w:r>
            <w:r>
              <w:br/>
              <w:t>(11 Eliz. II No. 49)</w:t>
            </w:r>
          </w:p>
        </w:tc>
        <w:tc>
          <w:tcPr>
            <w:tcW w:w="1134" w:type="dxa"/>
            <w:gridSpan w:val="2"/>
          </w:tcPr>
          <w:p>
            <w:pPr>
              <w:pStyle w:val="nTable"/>
              <w:spacing w:after="40"/>
            </w:pPr>
            <w:r>
              <w:t>20 Nov 1962</w:t>
            </w:r>
          </w:p>
        </w:tc>
        <w:tc>
          <w:tcPr>
            <w:tcW w:w="2551" w:type="dxa"/>
            <w:gridSpan w:val="2"/>
          </w:tcPr>
          <w:p>
            <w:pPr>
              <w:pStyle w:val="nTable"/>
              <w:spacing w:after="40"/>
            </w:pPr>
            <w:r>
              <w:t>20 Nov 1962</w:t>
            </w:r>
          </w:p>
        </w:tc>
      </w:tr>
      <w:tr>
        <w:trPr>
          <w:gridAfter w:val="1"/>
          <w:wAfter w:w="53" w:type="dxa"/>
          <w:cantSplit/>
        </w:trPr>
        <w:tc>
          <w:tcPr>
            <w:tcW w:w="2266" w:type="dxa"/>
            <w:gridSpan w:val="2"/>
          </w:tcPr>
          <w:p>
            <w:pPr>
              <w:pStyle w:val="nTable"/>
              <w:spacing w:after="40"/>
              <w:ind w:right="170"/>
            </w:pPr>
            <w:r>
              <w:rPr>
                <w:i/>
              </w:rPr>
              <w:t>Health Act Amendment Act 1964</w:t>
            </w:r>
          </w:p>
        </w:tc>
        <w:tc>
          <w:tcPr>
            <w:tcW w:w="1133" w:type="dxa"/>
            <w:gridSpan w:val="2"/>
          </w:tcPr>
          <w:p>
            <w:pPr>
              <w:pStyle w:val="nTable"/>
              <w:spacing w:after="40"/>
            </w:pPr>
            <w:r>
              <w:t>18 of 1964</w:t>
            </w:r>
            <w:r>
              <w:br/>
              <w:t>(13 Eliz. II No. 18)</w:t>
            </w:r>
          </w:p>
        </w:tc>
        <w:tc>
          <w:tcPr>
            <w:tcW w:w="1134" w:type="dxa"/>
            <w:gridSpan w:val="2"/>
          </w:tcPr>
          <w:p>
            <w:pPr>
              <w:pStyle w:val="nTable"/>
              <w:spacing w:after="40"/>
            </w:pPr>
            <w:r>
              <w:t>8 Oct 1964</w:t>
            </w:r>
          </w:p>
        </w:tc>
        <w:tc>
          <w:tcPr>
            <w:tcW w:w="2551" w:type="dxa"/>
            <w:gridSpan w:val="2"/>
          </w:tcPr>
          <w:p>
            <w:pPr>
              <w:pStyle w:val="nTable"/>
              <w:spacing w:after="40"/>
            </w:pPr>
            <w:r>
              <w:t>8 Oct 1964</w:t>
            </w:r>
          </w:p>
        </w:tc>
      </w:tr>
      <w:tr>
        <w:trPr>
          <w:gridAfter w:val="1"/>
          <w:wAfter w:w="53" w:type="dxa"/>
          <w:cantSplit/>
        </w:trPr>
        <w:tc>
          <w:tcPr>
            <w:tcW w:w="2266" w:type="dxa"/>
            <w:gridSpan w:val="2"/>
          </w:tcPr>
          <w:p>
            <w:pPr>
              <w:pStyle w:val="nTable"/>
              <w:spacing w:after="40"/>
              <w:ind w:right="170"/>
            </w:pPr>
            <w:r>
              <w:rPr>
                <w:i/>
              </w:rPr>
              <w:t>Health Act Amendment Act 1965</w:t>
            </w:r>
          </w:p>
        </w:tc>
        <w:tc>
          <w:tcPr>
            <w:tcW w:w="1133" w:type="dxa"/>
            <w:gridSpan w:val="2"/>
          </w:tcPr>
          <w:p>
            <w:pPr>
              <w:pStyle w:val="nTable"/>
              <w:spacing w:after="40"/>
            </w:pPr>
            <w:r>
              <w:t>8 of 1965</w:t>
            </w:r>
          </w:p>
        </w:tc>
        <w:tc>
          <w:tcPr>
            <w:tcW w:w="1134" w:type="dxa"/>
            <w:gridSpan w:val="2"/>
          </w:tcPr>
          <w:p>
            <w:pPr>
              <w:pStyle w:val="nTable"/>
              <w:spacing w:after="40"/>
            </w:pPr>
            <w:r>
              <w:t>15 Sep 1965</w:t>
            </w:r>
          </w:p>
        </w:tc>
        <w:tc>
          <w:tcPr>
            <w:tcW w:w="2551" w:type="dxa"/>
            <w:gridSpan w:val="2"/>
          </w:tcPr>
          <w:p>
            <w:pPr>
              <w:pStyle w:val="nTable"/>
              <w:spacing w:after="40"/>
            </w:pPr>
            <w:r>
              <w:t>15 Sep 1965</w:t>
            </w:r>
          </w:p>
        </w:tc>
      </w:tr>
      <w:tr>
        <w:trPr>
          <w:gridAfter w:val="1"/>
          <w:wAfter w:w="53" w:type="dxa"/>
          <w:cantSplit/>
        </w:trPr>
        <w:tc>
          <w:tcPr>
            <w:tcW w:w="2266" w:type="dxa"/>
            <w:gridSpan w:val="2"/>
          </w:tcPr>
          <w:p>
            <w:pPr>
              <w:pStyle w:val="nTable"/>
              <w:spacing w:after="40"/>
              <w:ind w:right="170"/>
            </w:pPr>
            <w:r>
              <w:rPr>
                <w:i/>
              </w:rPr>
              <w:t>Decimal Currency Act 1965</w:t>
            </w:r>
          </w:p>
        </w:tc>
        <w:tc>
          <w:tcPr>
            <w:tcW w:w="1133" w:type="dxa"/>
            <w:gridSpan w:val="2"/>
          </w:tcPr>
          <w:p>
            <w:pPr>
              <w:pStyle w:val="nTable"/>
              <w:spacing w:after="40"/>
            </w:pPr>
            <w:r>
              <w:t>113 of 1965</w:t>
            </w:r>
          </w:p>
        </w:tc>
        <w:tc>
          <w:tcPr>
            <w:tcW w:w="1134" w:type="dxa"/>
            <w:gridSpan w:val="2"/>
          </w:tcPr>
          <w:p>
            <w:pPr>
              <w:pStyle w:val="nTable"/>
              <w:spacing w:after="40"/>
            </w:pPr>
            <w:r>
              <w:t>21 Dec 1965</w:t>
            </w:r>
          </w:p>
        </w:tc>
        <w:tc>
          <w:tcPr>
            <w:tcW w:w="2551" w:type="dxa"/>
            <w:gridSpan w:val="2"/>
          </w:tcPr>
          <w:p>
            <w:pPr>
              <w:pStyle w:val="nTable"/>
              <w:spacing w:after="40"/>
            </w:pPr>
            <w:r>
              <w:t>Act other than s. 4-9: 21 Dec 1965 (see s. 2(1));</w:t>
            </w:r>
            <w:r>
              <w:br/>
              <w:t>s. 4-9: 14 Feb 1966 (see s. 2(2))</w:t>
            </w:r>
          </w:p>
        </w:tc>
      </w:tr>
      <w:tr>
        <w:trPr>
          <w:gridAfter w:val="1"/>
          <w:wAfter w:w="50" w:type="dxa"/>
          <w:cantSplit/>
        </w:trPr>
        <w:tc>
          <w:tcPr>
            <w:tcW w:w="7087" w:type="dxa"/>
            <w:gridSpan w:val="8"/>
          </w:tcPr>
          <w:p>
            <w:pPr>
              <w:pStyle w:val="nTable"/>
              <w:spacing w:after="40"/>
            </w:pPr>
            <w:r>
              <w:rPr>
                <w:b/>
              </w:rPr>
              <w:t xml:space="preserve">Reprint of the </w:t>
            </w:r>
            <w:r>
              <w:rPr>
                <w:b/>
                <w:i/>
              </w:rPr>
              <w:t>Health Act 1911</w:t>
            </w:r>
            <w:r>
              <w:rPr>
                <w:b/>
              </w:rPr>
              <w:t xml:space="preserve"> approved 1 Jun 1966 in Volume 19 of Reprinted Acts </w:t>
            </w:r>
            <w:r>
              <w:t>(includes amendments listed above)</w:t>
            </w:r>
          </w:p>
        </w:tc>
      </w:tr>
      <w:tr>
        <w:trPr>
          <w:gridAfter w:val="1"/>
          <w:wAfter w:w="53" w:type="dxa"/>
          <w:cantSplit/>
        </w:trPr>
        <w:tc>
          <w:tcPr>
            <w:tcW w:w="2266" w:type="dxa"/>
            <w:gridSpan w:val="2"/>
          </w:tcPr>
          <w:p>
            <w:pPr>
              <w:pStyle w:val="nTable"/>
              <w:spacing w:after="40"/>
              <w:ind w:right="170"/>
            </w:pPr>
            <w:r>
              <w:rPr>
                <w:i/>
              </w:rPr>
              <w:t>Health Act Amendment Act 1966</w:t>
            </w:r>
          </w:p>
        </w:tc>
        <w:tc>
          <w:tcPr>
            <w:tcW w:w="1133" w:type="dxa"/>
            <w:gridSpan w:val="2"/>
          </w:tcPr>
          <w:p>
            <w:pPr>
              <w:pStyle w:val="nTable"/>
              <w:spacing w:after="40"/>
            </w:pPr>
            <w:r>
              <w:t>35 of 1966</w:t>
            </w:r>
          </w:p>
        </w:tc>
        <w:tc>
          <w:tcPr>
            <w:tcW w:w="1134" w:type="dxa"/>
            <w:gridSpan w:val="2"/>
          </w:tcPr>
          <w:p>
            <w:pPr>
              <w:pStyle w:val="nTable"/>
              <w:spacing w:after="40"/>
            </w:pPr>
            <w:r>
              <w:t>31 Oct 1966</w:t>
            </w:r>
          </w:p>
        </w:tc>
        <w:tc>
          <w:tcPr>
            <w:tcW w:w="2551" w:type="dxa"/>
            <w:gridSpan w:val="2"/>
          </w:tcPr>
          <w:p>
            <w:pPr>
              <w:pStyle w:val="nTable"/>
              <w:spacing w:after="40"/>
            </w:pPr>
            <w:r>
              <w:t xml:space="preserve">16 Dec 1966 (see s. 2 and </w:t>
            </w:r>
            <w:r>
              <w:rPr>
                <w:i/>
              </w:rPr>
              <w:t xml:space="preserve">Gazette </w:t>
            </w:r>
            <w:r>
              <w:t>16 Dec 1966 p. 3315)</w:t>
            </w:r>
          </w:p>
        </w:tc>
      </w:tr>
      <w:tr>
        <w:trPr>
          <w:gridAfter w:val="1"/>
          <w:wAfter w:w="53" w:type="dxa"/>
          <w:cantSplit/>
        </w:trPr>
        <w:tc>
          <w:tcPr>
            <w:tcW w:w="2266" w:type="dxa"/>
            <w:gridSpan w:val="2"/>
          </w:tcPr>
          <w:p>
            <w:pPr>
              <w:pStyle w:val="nTable"/>
              <w:spacing w:after="40"/>
              <w:ind w:right="170"/>
            </w:pPr>
            <w:r>
              <w:rPr>
                <w:i/>
              </w:rPr>
              <w:t>Health Act Amendment Act 1968</w:t>
            </w:r>
          </w:p>
        </w:tc>
        <w:tc>
          <w:tcPr>
            <w:tcW w:w="1133" w:type="dxa"/>
            <w:gridSpan w:val="2"/>
          </w:tcPr>
          <w:p>
            <w:pPr>
              <w:pStyle w:val="nTable"/>
              <w:spacing w:after="40"/>
            </w:pPr>
            <w:r>
              <w:t>52 of 1968</w:t>
            </w:r>
          </w:p>
        </w:tc>
        <w:tc>
          <w:tcPr>
            <w:tcW w:w="1134" w:type="dxa"/>
            <w:gridSpan w:val="2"/>
          </w:tcPr>
          <w:p>
            <w:pPr>
              <w:pStyle w:val="nTable"/>
              <w:spacing w:after="40"/>
              <w:rPr>
                <w:spacing w:val="-4"/>
              </w:rPr>
            </w:pPr>
            <w:r>
              <w:rPr>
                <w:spacing w:val="-4"/>
              </w:rPr>
              <w:t>12 Nov 1968</w:t>
            </w:r>
          </w:p>
        </w:tc>
        <w:tc>
          <w:tcPr>
            <w:tcW w:w="2551" w:type="dxa"/>
            <w:gridSpan w:val="2"/>
          </w:tcPr>
          <w:p>
            <w:pPr>
              <w:pStyle w:val="nTable"/>
              <w:spacing w:after="40"/>
            </w:pPr>
            <w:r>
              <w:t>12 Nov 1968</w:t>
            </w:r>
          </w:p>
        </w:tc>
      </w:tr>
      <w:tr>
        <w:trPr>
          <w:gridAfter w:val="1"/>
          <w:wAfter w:w="53" w:type="dxa"/>
          <w:cantSplit/>
        </w:trPr>
        <w:tc>
          <w:tcPr>
            <w:tcW w:w="2266" w:type="dxa"/>
            <w:gridSpan w:val="2"/>
          </w:tcPr>
          <w:p>
            <w:pPr>
              <w:pStyle w:val="nTable"/>
              <w:spacing w:after="40"/>
              <w:ind w:right="170"/>
            </w:pPr>
            <w:r>
              <w:rPr>
                <w:i/>
              </w:rPr>
              <w:t>Health Act Amendment Act 1970</w:t>
            </w:r>
          </w:p>
        </w:tc>
        <w:tc>
          <w:tcPr>
            <w:tcW w:w="1133" w:type="dxa"/>
            <w:gridSpan w:val="2"/>
          </w:tcPr>
          <w:p>
            <w:pPr>
              <w:pStyle w:val="nTable"/>
              <w:keepNext/>
              <w:keepLines/>
              <w:spacing w:after="40"/>
            </w:pPr>
            <w:r>
              <w:t>24 of 1970</w:t>
            </w:r>
          </w:p>
        </w:tc>
        <w:tc>
          <w:tcPr>
            <w:tcW w:w="1134" w:type="dxa"/>
            <w:gridSpan w:val="2"/>
          </w:tcPr>
          <w:p>
            <w:pPr>
              <w:pStyle w:val="nTable"/>
              <w:keepNext/>
              <w:keepLines/>
              <w:spacing w:after="40"/>
              <w:rPr>
                <w:spacing w:val="-4"/>
              </w:rPr>
            </w:pPr>
            <w:r>
              <w:rPr>
                <w:spacing w:val="-4"/>
              </w:rPr>
              <w:t>20 May 1970</w:t>
            </w:r>
          </w:p>
        </w:tc>
        <w:tc>
          <w:tcPr>
            <w:tcW w:w="2551" w:type="dxa"/>
            <w:gridSpan w:val="2"/>
          </w:tcPr>
          <w:p>
            <w:pPr>
              <w:pStyle w:val="nTable"/>
              <w:keepNext/>
              <w:keepLines/>
              <w:spacing w:after="40"/>
            </w:pPr>
            <w:r>
              <w:t xml:space="preserve">1 Oct 1970 (see s. 2 and </w:t>
            </w:r>
            <w:r>
              <w:rPr>
                <w:i/>
              </w:rPr>
              <w:t>Gazette</w:t>
            </w:r>
            <w:r>
              <w:t xml:space="preserve"> 25 Sep 1970 p. 3015)</w:t>
            </w:r>
          </w:p>
        </w:tc>
      </w:tr>
      <w:tr>
        <w:trPr>
          <w:gridAfter w:val="1"/>
          <w:wAfter w:w="53" w:type="dxa"/>
          <w:cantSplit/>
        </w:trPr>
        <w:tc>
          <w:tcPr>
            <w:tcW w:w="2266" w:type="dxa"/>
            <w:gridSpan w:val="2"/>
          </w:tcPr>
          <w:p>
            <w:pPr>
              <w:pStyle w:val="nTable"/>
              <w:spacing w:after="40"/>
              <w:ind w:right="170"/>
            </w:pPr>
            <w:r>
              <w:rPr>
                <w:i/>
              </w:rPr>
              <w:t>Age of Majority Act 1972</w:t>
            </w:r>
            <w:r>
              <w:t xml:space="preserve"> s. 6(2)</w:t>
            </w:r>
          </w:p>
        </w:tc>
        <w:tc>
          <w:tcPr>
            <w:tcW w:w="1133" w:type="dxa"/>
            <w:gridSpan w:val="2"/>
          </w:tcPr>
          <w:p>
            <w:pPr>
              <w:pStyle w:val="nTable"/>
              <w:spacing w:after="40"/>
            </w:pPr>
            <w:r>
              <w:t>46 of 1972</w:t>
            </w:r>
          </w:p>
        </w:tc>
        <w:tc>
          <w:tcPr>
            <w:tcW w:w="1134" w:type="dxa"/>
            <w:gridSpan w:val="2"/>
          </w:tcPr>
          <w:p>
            <w:pPr>
              <w:pStyle w:val="nTable"/>
              <w:spacing w:after="40"/>
            </w:pPr>
            <w:r>
              <w:t>18 Sep 1972</w:t>
            </w:r>
          </w:p>
        </w:tc>
        <w:tc>
          <w:tcPr>
            <w:tcW w:w="2551" w:type="dxa"/>
            <w:gridSpan w:val="2"/>
          </w:tcPr>
          <w:p>
            <w:pPr>
              <w:pStyle w:val="nTable"/>
              <w:spacing w:after="40"/>
            </w:pPr>
            <w:r>
              <w:t xml:space="preserve">1 Nov 1972 (see s. 2 and </w:t>
            </w:r>
            <w:r>
              <w:rPr>
                <w:i/>
              </w:rPr>
              <w:t>Gazette</w:t>
            </w:r>
            <w:r>
              <w:t xml:space="preserve"> 13 Oct 1972 p. 4069)</w:t>
            </w:r>
          </w:p>
        </w:tc>
      </w:tr>
      <w:tr>
        <w:trPr>
          <w:gridAfter w:val="1"/>
          <w:wAfter w:w="53" w:type="dxa"/>
        </w:trPr>
        <w:tc>
          <w:tcPr>
            <w:tcW w:w="2266" w:type="dxa"/>
            <w:gridSpan w:val="2"/>
          </w:tcPr>
          <w:p>
            <w:pPr>
              <w:pStyle w:val="nTable"/>
              <w:keepNext/>
              <w:spacing w:after="40"/>
              <w:ind w:right="170"/>
            </w:pPr>
            <w:r>
              <w:rPr>
                <w:i/>
              </w:rPr>
              <w:t>Metric Conversion Act 1972</w:t>
            </w:r>
          </w:p>
        </w:tc>
        <w:tc>
          <w:tcPr>
            <w:tcW w:w="1133" w:type="dxa"/>
            <w:gridSpan w:val="2"/>
          </w:tcPr>
          <w:p>
            <w:pPr>
              <w:pStyle w:val="nTable"/>
              <w:keepNext/>
              <w:spacing w:after="40"/>
            </w:pPr>
            <w:r>
              <w:t>94 of 1972 (as amended by No. 19, 83 of 1973 and 42 of 1975)</w:t>
            </w:r>
          </w:p>
        </w:tc>
        <w:tc>
          <w:tcPr>
            <w:tcW w:w="1134" w:type="dxa"/>
            <w:gridSpan w:val="2"/>
            <w:tcBorders>
              <w:bottom w:val="nil"/>
            </w:tcBorders>
          </w:tcPr>
          <w:p>
            <w:pPr>
              <w:pStyle w:val="nTable"/>
              <w:keepNext/>
              <w:spacing w:after="40"/>
            </w:pPr>
            <w:r>
              <w:t>4 Dec 1972</w:t>
            </w:r>
          </w:p>
        </w:tc>
        <w:tc>
          <w:tcPr>
            <w:tcW w:w="2551" w:type="dxa"/>
            <w:gridSpan w:val="2"/>
          </w:tcPr>
          <w:p>
            <w:pPr>
              <w:pStyle w:val="nTable"/>
              <w:keepNext/>
              <w:spacing w:after="40"/>
            </w:pPr>
            <w:r>
              <w:t>Relevant amendments (see Third Sch.</w:t>
            </w:r>
            <w:r>
              <w:rPr>
                <w:rFonts w:ascii="Times" w:hAnsi="Times"/>
                <w:vertAlign w:val="superscript"/>
              </w:rPr>
              <w:t> 10</w:t>
            </w:r>
            <w:r>
              <w:t xml:space="preserve">) took effect on 8 Feb 1974 (see s. 4(2) and </w:t>
            </w:r>
            <w:r>
              <w:rPr>
                <w:i/>
              </w:rPr>
              <w:t>Gazette</w:t>
            </w:r>
            <w:r>
              <w:t xml:space="preserve"> 8 Feb 1974 p. 325);</w:t>
            </w:r>
            <w:r>
              <w:br/>
              <w:t>Relevant amendments (see Fourth Sch.</w:t>
            </w:r>
            <w:r>
              <w:rPr>
                <w:rFonts w:ascii="Times" w:hAnsi="Times"/>
                <w:vertAlign w:val="superscript"/>
              </w:rPr>
              <w:t> 10</w:t>
            </w:r>
            <w:r>
              <w:t xml:space="preserve">) took effect on 19 Dec 1975 (see s. 4(2) and </w:t>
            </w:r>
            <w:r>
              <w:rPr>
                <w:i/>
              </w:rPr>
              <w:t>Gazette</w:t>
            </w:r>
            <w:r>
              <w:t xml:space="preserve"> 19 Dec 1975 p. 4577)</w:t>
            </w:r>
          </w:p>
        </w:tc>
      </w:tr>
      <w:tr>
        <w:trPr>
          <w:gridAfter w:val="1"/>
          <w:wAfter w:w="53" w:type="dxa"/>
          <w:cantSplit/>
        </w:trPr>
        <w:tc>
          <w:tcPr>
            <w:tcW w:w="2266" w:type="dxa"/>
            <w:gridSpan w:val="2"/>
          </w:tcPr>
          <w:p>
            <w:pPr>
              <w:pStyle w:val="nTable"/>
              <w:spacing w:after="40"/>
              <w:ind w:right="170"/>
            </w:pPr>
            <w:r>
              <w:rPr>
                <w:i/>
              </w:rPr>
              <w:t>Health Act Amendment Act 1973</w:t>
            </w:r>
          </w:p>
        </w:tc>
        <w:tc>
          <w:tcPr>
            <w:tcW w:w="1133" w:type="dxa"/>
            <w:gridSpan w:val="2"/>
          </w:tcPr>
          <w:p>
            <w:pPr>
              <w:pStyle w:val="nTable"/>
              <w:spacing w:after="40"/>
            </w:pPr>
            <w:r>
              <w:t>102 of 1973</w:t>
            </w:r>
          </w:p>
        </w:tc>
        <w:tc>
          <w:tcPr>
            <w:tcW w:w="1134" w:type="dxa"/>
            <w:gridSpan w:val="2"/>
          </w:tcPr>
          <w:p>
            <w:pPr>
              <w:pStyle w:val="nTable"/>
              <w:spacing w:after="40"/>
            </w:pPr>
            <w:r>
              <w:t>28 Dec 1973</w:t>
            </w:r>
          </w:p>
        </w:tc>
        <w:tc>
          <w:tcPr>
            <w:tcW w:w="2551" w:type="dxa"/>
            <w:gridSpan w:val="2"/>
          </w:tcPr>
          <w:p>
            <w:pPr>
              <w:pStyle w:val="nTable"/>
              <w:spacing w:after="40"/>
            </w:pPr>
            <w:r>
              <w:t xml:space="preserve">22 Mar 1974 (see s. 2 and </w:t>
            </w:r>
            <w:r>
              <w:rPr>
                <w:i/>
              </w:rPr>
              <w:t>Gazette</w:t>
            </w:r>
            <w:r>
              <w:t xml:space="preserve"> 22 Mar 1974 p. 902)</w:t>
            </w:r>
          </w:p>
        </w:tc>
      </w:tr>
      <w:tr>
        <w:trPr>
          <w:gridAfter w:val="1"/>
          <w:wAfter w:w="50" w:type="dxa"/>
          <w:cantSplit/>
        </w:trPr>
        <w:tc>
          <w:tcPr>
            <w:tcW w:w="7087" w:type="dxa"/>
            <w:gridSpan w:val="8"/>
          </w:tcPr>
          <w:p>
            <w:pPr>
              <w:pStyle w:val="nTable"/>
              <w:spacing w:after="40"/>
            </w:pPr>
            <w:r>
              <w:rPr>
                <w:b/>
              </w:rPr>
              <w:t xml:space="preserve">Reprint of the </w:t>
            </w:r>
            <w:r>
              <w:rPr>
                <w:b/>
                <w:i/>
              </w:rPr>
              <w:t>Health Act 1911</w:t>
            </w:r>
            <w:r>
              <w:rPr>
                <w:b/>
              </w:rPr>
              <w:t xml:space="preserve"> approved 14 Apr 1975 </w:t>
            </w:r>
            <w:r>
              <w:t xml:space="preserve">(includes amendments listed above except those listed in the </w:t>
            </w:r>
            <w:r>
              <w:rPr>
                <w:i/>
              </w:rPr>
              <w:t>Metric Conversion Act 1972</w:t>
            </w:r>
            <w:r>
              <w:t xml:space="preserve"> Fourth Sch.)</w:t>
            </w:r>
          </w:p>
        </w:tc>
      </w:tr>
      <w:tr>
        <w:trPr>
          <w:gridAfter w:val="1"/>
          <w:wAfter w:w="53" w:type="dxa"/>
          <w:cantSplit/>
        </w:trPr>
        <w:tc>
          <w:tcPr>
            <w:tcW w:w="2266" w:type="dxa"/>
            <w:gridSpan w:val="2"/>
          </w:tcPr>
          <w:p>
            <w:pPr>
              <w:pStyle w:val="nTable"/>
              <w:spacing w:after="40"/>
              <w:ind w:right="170"/>
            </w:pPr>
            <w:r>
              <w:rPr>
                <w:i/>
              </w:rPr>
              <w:t>Health Act Amendment Act 1975</w:t>
            </w:r>
          </w:p>
        </w:tc>
        <w:tc>
          <w:tcPr>
            <w:tcW w:w="1133" w:type="dxa"/>
            <w:gridSpan w:val="2"/>
          </w:tcPr>
          <w:p>
            <w:pPr>
              <w:pStyle w:val="nTable"/>
              <w:spacing w:after="40"/>
            </w:pPr>
            <w:r>
              <w:t>2 of 1975</w:t>
            </w:r>
          </w:p>
        </w:tc>
        <w:tc>
          <w:tcPr>
            <w:tcW w:w="1134" w:type="dxa"/>
            <w:gridSpan w:val="2"/>
          </w:tcPr>
          <w:p>
            <w:pPr>
              <w:pStyle w:val="nTable"/>
              <w:spacing w:after="40"/>
            </w:pPr>
            <w:r>
              <w:t>9 May 1975</w:t>
            </w:r>
          </w:p>
        </w:tc>
        <w:tc>
          <w:tcPr>
            <w:tcW w:w="2551" w:type="dxa"/>
            <w:gridSpan w:val="2"/>
          </w:tcPr>
          <w:p>
            <w:pPr>
              <w:pStyle w:val="nTable"/>
              <w:spacing w:after="40"/>
            </w:pPr>
            <w:r>
              <w:t>Act other than s. 7: 9 May 1975 (see s. 2(1));</w:t>
            </w:r>
            <w:r>
              <w:br/>
              <w:t xml:space="preserve">s. 7: 6 Feb 1976 (see s. 2(2) and </w:t>
            </w:r>
            <w:r>
              <w:rPr>
                <w:i/>
              </w:rPr>
              <w:t>Gazette</w:t>
            </w:r>
            <w:r>
              <w:t xml:space="preserve"> 6 Feb 1976 p. 273)</w:t>
            </w:r>
          </w:p>
        </w:tc>
      </w:tr>
      <w:tr>
        <w:trPr>
          <w:gridAfter w:val="1"/>
          <w:wAfter w:w="53" w:type="dxa"/>
          <w:cantSplit/>
        </w:trPr>
        <w:tc>
          <w:tcPr>
            <w:tcW w:w="2266" w:type="dxa"/>
            <w:gridSpan w:val="2"/>
          </w:tcPr>
          <w:p>
            <w:pPr>
              <w:pStyle w:val="nTable"/>
              <w:spacing w:after="40"/>
              <w:ind w:right="170"/>
            </w:pPr>
            <w:r>
              <w:rPr>
                <w:i/>
              </w:rPr>
              <w:t>Health Act Amendment Act 1976</w:t>
            </w:r>
          </w:p>
        </w:tc>
        <w:tc>
          <w:tcPr>
            <w:tcW w:w="1133" w:type="dxa"/>
            <w:gridSpan w:val="2"/>
          </w:tcPr>
          <w:p>
            <w:pPr>
              <w:pStyle w:val="nTable"/>
              <w:spacing w:after="40"/>
            </w:pPr>
            <w:r>
              <w:t>101 of 1976</w:t>
            </w:r>
          </w:p>
        </w:tc>
        <w:tc>
          <w:tcPr>
            <w:tcW w:w="1134" w:type="dxa"/>
            <w:gridSpan w:val="2"/>
          </w:tcPr>
          <w:p>
            <w:pPr>
              <w:pStyle w:val="nTable"/>
              <w:spacing w:after="40"/>
            </w:pPr>
            <w:r>
              <w:t>17 Nov 1976</w:t>
            </w:r>
          </w:p>
        </w:tc>
        <w:tc>
          <w:tcPr>
            <w:tcW w:w="2551" w:type="dxa"/>
            <w:gridSpan w:val="2"/>
          </w:tcPr>
          <w:p>
            <w:pPr>
              <w:pStyle w:val="nTable"/>
              <w:spacing w:after="40"/>
            </w:pPr>
            <w:r>
              <w:t xml:space="preserve">18 Feb 1977 (see s. 2 and </w:t>
            </w:r>
            <w:r>
              <w:rPr>
                <w:i/>
              </w:rPr>
              <w:t>Gazette</w:t>
            </w:r>
            <w:r>
              <w:t xml:space="preserve"> 18 Feb 1977 p. 467)</w:t>
            </w:r>
          </w:p>
        </w:tc>
      </w:tr>
      <w:tr>
        <w:trPr>
          <w:gridAfter w:val="1"/>
          <w:wAfter w:w="53" w:type="dxa"/>
          <w:cantSplit/>
        </w:trPr>
        <w:tc>
          <w:tcPr>
            <w:tcW w:w="2266" w:type="dxa"/>
            <w:gridSpan w:val="2"/>
          </w:tcPr>
          <w:p>
            <w:pPr>
              <w:pStyle w:val="nTable"/>
              <w:spacing w:after="40"/>
              <w:ind w:right="170"/>
            </w:pPr>
            <w:r>
              <w:rPr>
                <w:i/>
              </w:rPr>
              <w:t>Health Act Amendment Act 1978</w:t>
            </w:r>
          </w:p>
        </w:tc>
        <w:tc>
          <w:tcPr>
            <w:tcW w:w="1133" w:type="dxa"/>
            <w:gridSpan w:val="2"/>
          </w:tcPr>
          <w:p>
            <w:pPr>
              <w:pStyle w:val="nTable"/>
              <w:spacing w:after="40"/>
            </w:pPr>
            <w:r>
              <w:t>47 of 1978</w:t>
            </w:r>
          </w:p>
        </w:tc>
        <w:tc>
          <w:tcPr>
            <w:tcW w:w="1134" w:type="dxa"/>
            <w:gridSpan w:val="2"/>
          </w:tcPr>
          <w:p>
            <w:pPr>
              <w:pStyle w:val="nTable"/>
              <w:spacing w:after="40"/>
            </w:pPr>
            <w:r>
              <w:t>29 Aug 1978</w:t>
            </w:r>
          </w:p>
        </w:tc>
        <w:tc>
          <w:tcPr>
            <w:tcW w:w="2551" w:type="dxa"/>
            <w:gridSpan w:val="2"/>
          </w:tcPr>
          <w:p>
            <w:pPr>
              <w:pStyle w:val="nTable"/>
              <w:spacing w:after="40"/>
            </w:pPr>
            <w:r>
              <w:t xml:space="preserve">Act other than s. 3(a) and 30: 16 Mar 1979 (see s. 2 and </w:t>
            </w:r>
            <w:r>
              <w:rPr>
                <w:i/>
              </w:rPr>
              <w:t>Gazette</w:t>
            </w:r>
            <w:r>
              <w:t xml:space="preserve"> 16 Mar 1979 p. 676);</w:t>
            </w:r>
            <w:r>
              <w:br/>
              <w:t xml:space="preserve">s. 3(a) and 30: 21 Dec 1979 (see s. 2 and </w:t>
            </w:r>
            <w:r>
              <w:rPr>
                <w:i/>
              </w:rPr>
              <w:t>Gazette</w:t>
            </w:r>
            <w:r>
              <w:t xml:space="preserve"> 21 Dec 1979 p. 3906)</w:t>
            </w:r>
          </w:p>
        </w:tc>
      </w:tr>
      <w:tr>
        <w:trPr>
          <w:gridAfter w:val="1"/>
          <w:wAfter w:w="53" w:type="dxa"/>
          <w:cantSplit/>
        </w:trPr>
        <w:tc>
          <w:tcPr>
            <w:tcW w:w="2266" w:type="dxa"/>
            <w:gridSpan w:val="2"/>
          </w:tcPr>
          <w:p>
            <w:pPr>
              <w:pStyle w:val="nTable"/>
              <w:spacing w:after="40"/>
              <w:ind w:right="170"/>
            </w:pPr>
            <w:r>
              <w:rPr>
                <w:i/>
              </w:rPr>
              <w:t>Acts Amendment and Repeal (Valuation of Land) Act 1978</w:t>
            </w:r>
            <w:r>
              <w:t xml:space="preserve"> Pt. VII</w:t>
            </w:r>
          </w:p>
        </w:tc>
        <w:tc>
          <w:tcPr>
            <w:tcW w:w="1133" w:type="dxa"/>
            <w:gridSpan w:val="2"/>
          </w:tcPr>
          <w:p>
            <w:pPr>
              <w:pStyle w:val="nTable"/>
              <w:keepNext/>
              <w:keepLines/>
              <w:spacing w:after="40"/>
            </w:pPr>
            <w:r>
              <w:t>76 of 1978</w:t>
            </w:r>
          </w:p>
        </w:tc>
        <w:tc>
          <w:tcPr>
            <w:tcW w:w="1134" w:type="dxa"/>
            <w:gridSpan w:val="2"/>
          </w:tcPr>
          <w:p>
            <w:pPr>
              <w:pStyle w:val="nTable"/>
              <w:keepNext/>
              <w:keepLines/>
              <w:spacing w:after="40"/>
            </w:pPr>
            <w:r>
              <w:t>20 Oct 1978</w:t>
            </w:r>
          </w:p>
        </w:tc>
        <w:tc>
          <w:tcPr>
            <w:tcW w:w="2551" w:type="dxa"/>
            <w:gridSpan w:val="2"/>
          </w:tcPr>
          <w:p>
            <w:pPr>
              <w:pStyle w:val="nTable"/>
              <w:keepNext/>
              <w:keepLines/>
              <w:spacing w:after="40"/>
            </w:pPr>
            <w:r>
              <w:t xml:space="preserve">1 Jul 1979 (see s. 2 and </w:t>
            </w:r>
            <w:r>
              <w:rPr>
                <w:i/>
              </w:rPr>
              <w:t>Gazette</w:t>
            </w:r>
            <w:r>
              <w:t xml:space="preserve"> 11 May 1979 p. 1211)</w:t>
            </w:r>
          </w:p>
        </w:tc>
      </w:tr>
      <w:tr>
        <w:trPr>
          <w:gridAfter w:val="1"/>
          <w:wAfter w:w="53" w:type="dxa"/>
          <w:cantSplit/>
        </w:trPr>
        <w:tc>
          <w:tcPr>
            <w:tcW w:w="2266" w:type="dxa"/>
            <w:gridSpan w:val="2"/>
          </w:tcPr>
          <w:p>
            <w:pPr>
              <w:pStyle w:val="nTable"/>
              <w:spacing w:after="40"/>
              <w:ind w:right="170"/>
            </w:pPr>
            <w:r>
              <w:rPr>
                <w:i/>
              </w:rPr>
              <w:t>Health Act Amendment Act 1979</w:t>
            </w:r>
          </w:p>
        </w:tc>
        <w:tc>
          <w:tcPr>
            <w:tcW w:w="1133" w:type="dxa"/>
            <w:gridSpan w:val="2"/>
          </w:tcPr>
          <w:p>
            <w:pPr>
              <w:pStyle w:val="nTable"/>
              <w:spacing w:after="40"/>
            </w:pPr>
            <w:r>
              <w:t>72 of 1979</w:t>
            </w:r>
          </w:p>
        </w:tc>
        <w:tc>
          <w:tcPr>
            <w:tcW w:w="1134" w:type="dxa"/>
            <w:gridSpan w:val="2"/>
          </w:tcPr>
          <w:p>
            <w:pPr>
              <w:pStyle w:val="nTable"/>
              <w:spacing w:after="40"/>
            </w:pPr>
            <w:r>
              <w:t>27 Nov 1979</w:t>
            </w:r>
          </w:p>
        </w:tc>
        <w:tc>
          <w:tcPr>
            <w:tcW w:w="2551" w:type="dxa"/>
            <w:gridSpan w:val="2"/>
          </w:tcPr>
          <w:p>
            <w:pPr>
              <w:pStyle w:val="nTable"/>
              <w:spacing w:after="40"/>
            </w:pPr>
            <w:r>
              <w:t>27 Nov 1979</w:t>
            </w:r>
          </w:p>
        </w:tc>
      </w:tr>
      <w:tr>
        <w:trPr>
          <w:gridAfter w:val="1"/>
          <w:wAfter w:w="50" w:type="dxa"/>
          <w:cantSplit/>
        </w:trPr>
        <w:tc>
          <w:tcPr>
            <w:tcW w:w="7087" w:type="dxa"/>
            <w:gridSpan w:val="8"/>
          </w:tcPr>
          <w:p>
            <w:pPr>
              <w:pStyle w:val="nTable"/>
              <w:spacing w:after="40"/>
            </w:pPr>
            <w:r>
              <w:rPr>
                <w:b/>
              </w:rPr>
              <w:t xml:space="preserve">Reprint of the </w:t>
            </w:r>
            <w:r>
              <w:rPr>
                <w:b/>
                <w:i/>
              </w:rPr>
              <w:t>Health Act 1911</w:t>
            </w:r>
            <w:r>
              <w:rPr>
                <w:b/>
              </w:rPr>
              <w:t xml:space="preserve"> approved 14 May 1981 </w:t>
            </w:r>
            <w:r>
              <w:t>(includes amendments listed above)</w:t>
            </w:r>
          </w:p>
        </w:tc>
      </w:tr>
      <w:tr>
        <w:trPr>
          <w:gridAfter w:val="1"/>
          <w:wAfter w:w="53" w:type="dxa"/>
          <w:cantSplit/>
        </w:trPr>
        <w:tc>
          <w:tcPr>
            <w:tcW w:w="2266" w:type="dxa"/>
            <w:gridSpan w:val="2"/>
          </w:tcPr>
          <w:p>
            <w:pPr>
              <w:pStyle w:val="nTable"/>
              <w:spacing w:after="40"/>
              <w:ind w:right="170"/>
            </w:pPr>
            <w:r>
              <w:rPr>
                <w:i/>
              </w:rPr>
              <w:t>Acts Amendment (Statutory Designations) and Validation Act 1981</w:t>
            </w:r>
            <w:r>
              <w:t xml:space="preserve"> s. 4</w:t>
            </w:r>
            <w:r>
              <w:rPr>
                <w:rFonts w:ascii="Times" w:hAnsi="Times"/>
                <w:vertAlign w:val="superscript"/>
              </w:rPr>
              <w:t> 11</w:t>
            </w:r>
          </w:p>
        </w:tc>
        <w:tc>
          <w:tcPr>
            <w:tcW w:w="1133" w:type="dxa"/>
            <w:gridSpan w:val="2"/>
          </w:tcPr>
          <w:p>
            <w:pPr>
              <w:pStyle w:val="nTable"/>
              <w:spacing w:after="40"/>
            </w:pPr>
            <w:r>
              <w:t>63 of 1981</w:t>
            </w:r>
          </w:p>
        </w:tc>
        <w:tc>
          <w:tcPr>
            <w:tcW w:w="1134" w:type="dxa"/>
            <w:gridSpan w:val="2"/>
          </w:tcPr>
          <w:p>
            <w:pPr>
              <w:pStyle w:val="nTable"/>
              <w:spacing w:after="40"/>
            </w:pPr>
            <w:r>
              <w:t>13 Oct 1981</w:t>
            </w:r>
          </w:p>
        </w:tc>
        <w:tc>
          <w:tcPr>
            <w:tcW w:w="2551" w:type="dxa"/>
            <w:gridSpan w:val="2"/>
          </w:tcPr>
          <w:p>
            <w:pPr>
              <w:pStyle w:val="nTable"/>
              <w:spacing w:after="40"/>
            </w:pPr>
            <w:r>
              <w:t>13 Oct 1981</w:t>
            </w:r>
          </w:p>
        </w:tc>
      </w:tr>
      <w:tr>
        <w:trPr>
          <w:gridAfter w:val="1"/>
          <w:wAfter w:w="53" w:type="dxa"/>
          <w:cantSplit/>
        </w:trPr>
        <w:tc>
          <w:tcPr>
            <w:tcW w:w="2266" w:type="dxa"/>
            <w:gridSpan w:val="2"/>
          </w:tcPr>
          <w:p>
            <w:pPr>
              <w:pStyle w:val="nTable"/>
              <w:spacing w:after="40"/>
              <w:ind w:right="170"/>
            </w:pPr>
            <w:r>
              <w:rPr>
                <w:i/>
              </w:rPr>
              <w:t>Health Amendment Act 1982</w:t>
            </w:r>
          </w:p>
        </w:tc>
        <w:tc>
          <w:tcPr>
            <w:tcW w:w="1133" w:type="dxa"/>
            <w:gridSpan w:val="2"/>
          </w:tcPr>
          <w:p>
            <w:pPr>
              <w:pStyle w:val="nTable"/>
              <w:spacing w:after="40"/>
            </w:pPr>
            <w:r>
              <w:t>30 of 1982</w:t>
            </w:r>
          </w:p>
        </w:tc>
        <w:tc>
          <w:tcPr>
            <w:tcW w:w="1134" w:type="dxa"/>
            <w:gridSpan w:val="2"/>
          </w:tcPr>
          <w:p>
            <w:pPr>
              <w:pStyle w:val="nTable"/>
              <w:spacing w:after="40"/>
            </w:pPr>
            <w:r>
              <w:t>27 May 1982</w:t>
            </w:r>
          </w:p>
        </w:tc>
        <w:tc>
          <w:tcPr>
            <w:tcW w:w="2551" w:type="dxa"/>
            <w:gridSpan w:val="2"/>
          </w:tcPr>
          <w:p>
            <w:pPr>
              <w:pStyle w:val="nTable"/>
              <w:spacing w:after="40"/>
            </w:pPr>
            <w:r>
              <w:t xml:space="preserve">30 Jul 1982 (see s. 2 and </w:t>
            </w:r>
            <w:r>
              <w:rPr>
                <w:i/>
              </w:rPr>
              <w:t>Gazette</w:t>
            </w:r>
            <w:r>
              <w:t xml:space="preserve"> 30 Jul 1982 p. 2931)</w:t>
            </w:r>
          </w:p>
        </w:tc>
      </w:tr>
      <w:tr>
        <w:trPr>
          <w:gridAfter w:val="1"/>
          <w:wAfter w:w="53" w:type="dxa"/>
          <w:cantSplit/>
        </w:trPr>
        <w:tc>
          <w:tcPr>
            <w:tcW w:w="2266" w:type="dxa"/>
            <w:gridSpan w:val="2"/>
          </w:tcPr>
          <w:p>
            <w:pPr>
              <w:pStyle w:val="nTable"/>
              <w:spacing w:after="40"/>
              <w:ind w:right="170"/>
            </w:pPr>
            <w:r>
              <w:rPr>
                <w:i/>
              </w:rPr>
              <w:t>Human Tissue and Transplant Act 1982</w:t>
            </w:r>
            <w:r>
              <w:t xml:space="preserve"> s. 36(2)</w:t>
            </w:r>
          </w:p>
        </w:tc>
        <w:tc>
          <w:tcPr>
            <w:tcW w:w="1133" w:type="dxa"/>
            <w:gridSpan w:val="2"/>
          </w:tcPr>
          <w:p>
            <w:pPr>
              <w:pStyle w:val="nTable"/>
              <w:spacing w:after="40"/>
            </w:pPr>
            <w:r>
              <w:t>116 of 1982</w:t>
            </w:r>
          </w:p>
        </w:tc>
        <w:tc>
          <w:tcPr>
            <w:tcW w:w="1134" w:type="dxa"/>
            <w:gridSpan w:val="2"/>
          </w:tcPr>
          <w:p>
            <w:pPr>
              <w:pStyle w:val="nTable"/>
              <w:spacing w:after="40"/>
            </w:pPr>
            <w:r>
              <w:t>8 Dec 1982</w:t>
            </w:r>
          </w:p>
        </w:tc>
        <w:tc>
          <w:tcPr>
            <w:tcW w:w="2551" w:type="dxa"/>
            <w:gridSpan w:val="2"/>
          </w:tcPr>
          <w:p>
            <w:pPr>
              <w:pStyle w:val="nTable"/>
              <w:spacing w:after="40"/>
            </w:pPr>
            <w:r>
              <w:t>1 Mar 1983 (see s. 2)</w:t>
            </w:r>
          </w:p>
        </w:tc>
      </w:tr>
      <w:tr>
        <w:trPr>
          <w:gridAfter w:val="1"/>
          <w:wAfter w:w="53" w:type="dxa"/>
          <w:cantSplit/>
        </w:trPr>
        <w:tc>
          <w:tcPr>
            <w:tcW w:w="2266" w:type="dxa"/>
            <w:gridSpan w:val="2"/>
          </w:tcPr>
          <w:p>
            <w:pPr>
              <w:pStyle w:val="nTable"/>
              <w:spacing w:after="40"/>
              <w:ind w:right="170"/>
            </w:pPr>
            <w:r>
              <w:rPr>
                <w:i/>
              </w:rPr>
              <w:t>Health Legislation Amendment Act 1984</w:t>
            </w:r>
            <w:r>
              <w:t xml:space="preserve"> Pt. VIII</w:t>
            </w:r>
            <w:r>
              <w:rPr>
                <w:rFonts w:ascii="Times" w:hAnsi="Times"/>
                <w:vertAlign w:val="superscript"/>
              </w:rPr>
              <w:t> 12</w:t>
            </w:r>
          </w:p>
        </w:tc>
        <w:tc>
          <w:tcPr>
            <w:tcW w:w="1133" w:type="dxa"/>
            <w:gridSpan w:val="2"/>
          </w:tcPr>
          <w:p>
            <w:pPr>
              <w:pStyle w:val="nTable"/>
              <w:spacing w:after="40"/>
            </w:pPr>
            <w:r>
              <w:t>28 of 1984</w:t>
            </w:r>
          </w:p>
        </w:tc>
        <w:tc>
          <w:tcPr>
            <w:tcW w:w="1134" w:type="dxa"/>
            <w:gridSpan w:val="2"/>
          </w:tcPr>
          <w:p>
            <w:pPr>
              <w:pStyle w:val="nTable"/>
              <w:spacing w:after="40"/>
            </w:pPr>
            <w:r>
              <w:t>31 May 1984</w:t>
            </w:r>
          </w:p>
        </w:tc>
        <w:tc>
          <w:tcPr>
            <w:tcW w:w="2551" w:type="dxa"/>
            <w:gridSpan w:val="2"/>
          </w:tcPr>
          <w:p>
            <w:pPr>
              <w:pStyle w:val="nTable"/>
              <w:spacing w:after="40"/>
            </w:pPr>
            <w:r>
              <w:t xml:space="preserve">1 Jul 1984 (see s. 2 and </w:t>
            </w:r>
            <w:r>
              <w:rPr>
                <w:i/>
              </w:rPr>
              <w:t xml:space="preserve">Gazette </w:t>
            </w:r>
            <w:r>
              <w:t>15 Jun 1984 p. 1629)</w:t>
            </w:r>
          </w:p>
        </w:tc>
      </w:tr>
      <w:tr>
        <w:trPr>
          <w:gridAfter w:val="1"/>
          <w:wAfter w:w="53" w:type="dxa"/>
          <w:cantSplit/>
        </w:trPr>
        <w:tc>
          <w:tcPr>
            <w:tcW w:w="2266" w:type="dxa"/>
            <w:gridSpan w:val="2"/>
          </w:tcPr>
          <w:p>
            <w:pPr>
              <w:pStyle w:val="nTable"/>
              <w:spacing w:after="40"/>
              <w:ind w:right="170"/>
            </w:pPr>
            <w:r>
              <w:rPr>
                <w:i/>
              </w:rPr>
              <w:t>Health Amendment Act 1985</w:t>
            </w:r>
            <w:r>
              <w:rPr>
                <w:rFonts w:ascii="Times" w:hAnsi="Times"/>
                <w:vertAlign w:val="superscript"/>
              </w:rPr>
              <w:t> 13</w:t>
            </w:r>
          </w:p>
        </w:tc>
        <w:tc>
          <w:tcPr>
            <w:tcW w:w="1133" w:type="dxa"/>
            <w:gridSpan w:val="2"/>
          </w:tcPr>
          <w:p>
            <w:pPr>
              <w:pStyle w:val="nTable"/>
              <w:spacing w:after="40"/>
            </w:pPr>
            <w:r>
              <w:t>26 of 1985</w:t>
            </w:r>
          </w:p>
        </w:tc>
        <w:tc>
          <w:tcPr>
            <w:tcW w:w="1134" w:type="dxa"/>
            <w:gridSpan w:val="2"/>
          </w:tcPr>
          <w:p>
            <w:pPr>
              <w:pStyle w:val="nTable"/>
              <w:spacing w:after="40"/>
            </w:pPr>
            <w:r>
              <w:t>6 May 1985</w:t>
            </w:r>
          </w:p>
        </w:tc>
        <w:tc>
          <w:tcPr>
            <w:tcW w:w="2551" w:type="dxa"/>
            <w:gridSpan w:val="2"/>
          </w:tcPr>
          <w:p>
            <w:pPr>
              <w:pStyle w:val="nTable"/>
              <w:spacing w:after="40"/>
            </w:pPr>
            <w:r>
              <w:t>6 Nov 1985 (see s. 2)</w:t>
            </w:r>
          </w:p>
        </w:tc>
      </w:tr>
      <w:tr>
        <w:trPr>
          <w:gridAfter w:val="1"/>
          <w:wAfter w:w="53" w:type="dxa"/>
          <w:cantSplit/>
        </w:trPr>
        <w:tc>
          <w:tcPr>
            <w:tcW w:w="2266" w:type="dxa"/>
            <w:gridSpan w:val="2"/>
          </w:tcPr>
          <w:p>
            <w:pPr>
              <w:pStyle w:val="nTable"/>
              <w:spacing w:after="40"/>
              <w:ind w:right="170"/>
            </w:pPr>
            <w:r>
              <w:rPr>
                <w:i/>
              </w:rPr>
              <w:t>Acts Amendment and Repeal (Statutory Bodies) Act 1985</w:t>
            </w:r>
            <w:r>
              <w:t xml:space="preserve"> Pt. II</w:t>
            </w:r>
          </w:p>
        </w:tc>
        <w:tc>
          <w:tcPr>
            <w:tcW w:w="1133" w:type="dxa"/>
            <w:gridSpan w:val="2"/>
          </w:tcPr>
          <w:p>
            <w:pPr>
              <w:pStyle w:val="nTable"/>
              <w:spacing w:after="40"/>
            </w:pPr>
            <w:r>
              <w:t>57 of 1985</w:t>
            </w:r>
          </w:p>
        </w:tc>
        <w:tc>
          <w:tcPr>
            <w:tcW w:w="1134" w:type="dxa"/>
            <w:gridSpan w:val="2"/>
          </w:tcPr>
          <w:p>
            <w:pPr>
              <w:pStyle w:val="nTable"/>
              <w:spacing w:after="40"/>
            </w:pPr>
            <w:r>
              <w:t>28 Oct 1985</w:t>
            </w:r>
          </w:p>
        </w:tc>
        <w:tc>
          <w:tcPr>
            <w:tcW w:w="2551" w:type="dxa"/>
            <w:gridSpan w:val="2"/>
          </w:tcPr>
          <w:p>
            <w:pPr>
              <w:pStyle w:val="nTable"/>
              <w:spacing w:after="40"/>
            </w:pPr>
            <w:r>
              <w:t>25 Nov 1985</w:t>
            </w:r>
          </w:p>
        </w:tc>
      </w:tr>
      <w:tr>
        <w:trPr>
          <w:gridAfter w:val="1"/>
          <w:wAfter w:w="53" w:type="dxa"/>
          <w:cantSplit/>
        </w:trPr>
        <w:tc>
          <w:tcPr>
            <w:tcW w:w="2266" w:type="dxa"/>
            <w:gridSpan w:val="2"/>
          </w:tcPr>
          <w:p>
            <w:pPr>
              <w:pStyle w:val="nTable"/>
              <w:spacing w:after="40"/>
              <w:ind w:right="170"/>
            </w:pPr>
            <w:r>
              <w:rPr>
                <w:i/>
              </w:rPr>
              <w:t>Acts Amendment (Hospitals) Act 1985</w:t>
            </w:r>
            <w:r>
              <w:t xml:space="preserve"> Pt. II</w:t>
            </w:r>
          </w:p>
        </w:tc>
        <w:tc>
          <w:tcPr>
            <w:tcW w:w="1133" w:type="dxa"/>
            <w:gridSpan w:val="2"/>
          </w:tcPr>
          <w:p>
            <w:pPr>
              <w:pStyle w:val="nTable"/>
              <w:spacing w:after="40"/>
            </w:pPr>
            <w:r>
              <w:t>53 of 1985</w:t>
            </w:r>
          </w:p>
        </w:tc>
        <w:tc>
          <w:tcPr>
            <w:tcW w:w="1134" w:type="dxa"/>
            <w:gridSpan w:val="2"/>
          </w:tcPr>
          <w:p>
            <w:pPr>
              <w:pStyle w:val="nTable"/>
              <w:spacing w:after="40"/>
            </w:pPr>
            <w:r>
              <w:t>5 Nov 1985</w:t>
            </w:r>
          </w:p>
        </w:tc>
        <w:tc>
          <w:tcPr>
            <w:tcW w:w="2551" w:type="dxa"/>
            <w:gridSpan w:val="2"/>
          </w:tcPr>
          <w:p>
            <w:pPr>
              <w:pStyle w:val="nTable"/>
              <w:spacing w:after="40"/>
            </w:pPr>
            <w:r>
              <w:t xml:space="preserve">23 Jan 1987 (see s. 2 and </w:t>
            </w:r>
            <w:r>
              <w:rPr>
                <w:i/>
              </w:rPr>
              <w:t>Gazette</w:t>
            </w:r>
            <w:r>
              <w:t xml:space="preserve"> 23 Jan 1987 p. 179)</w:t>
            </w:r>
          </w:p>
        </w:tc>
      </w:tr>
      <w:tr>
        <w:trPr>
          <w:gridAfter w:val="1"/>
          <w:wAfter w:w="53" w:type="dxa"/>
          <w:cantSplit/>
        </w:trPr>
        <w:tc>
          <w:tcPr>
            <w:tcW w:w="2266" w:type="dxa"/>
            <w:gridSpan w:val="2"/>
          </w:tcPr>
          <w:p>
            <w:pPr>
              <w:pStyle w:val="nTable"/>
              <w:spacing w:after="40"/>
              <w:ind w:right="170"/>
            </w:pPr>
            <w:r>
              <w:rPr>
                <w:i/>
              </w:rPr>
              <w:t>Acts Amendment (Financial Administration and Audit) Act 1985</w:t>
            </w:r>
            <w:r>
              <w:t xml:space="preserve"> s. 3</w:t>
            </w:r>
            <w:r>
              <w:rPr>
                <w:rFonts w:ascii="Times" w:hAnsi="Times"/>
                <w:vertAlign w:val="superscript"/>
              </w:rPr>
              <w:t> 14</w:t>
            </w:r>
          </w:p>
        </w:tc>
        <w:tc>
          <w:tcPr>
            <w:tcW w:w="1133" w:type="dxa"/>
            <w:gridSpan w:val="2"/>
          </w:tcPr>
          <w:p>
            <w:pPr>
              <w:pStyle w:val="nTable"/>
              <w:spacing w:after="40"/>
            </w:pPr>
            <w:r>
              <w:t>98 of 1985</w:t>
            </w:r>
          </w:p>
        </w:tc>
        <w:tc>
          <w:tcPr>
            <w:tcW w:w="1134" w:type="dxa"/>
            <w:gridSpan w:val="2"/>
          </w:tcPr>
          <w:p>
            <w:pPr>
              <w:pStyle w:val="nTable"/>
              <w:spacing w:after="40"/>
            </w:pPr>
            <w:r>
              <w:t>4 Dec 1985</w:t>
            </w:r>
          </w:p>
        </w:tc>
        <w:tc>
          <w:tcPr>
            <w:tcW w:w="2551" w:type="dxa"/>
            <w:gridSpan w:val="2"/>
          </w:tcPr>
          <w:p>
            <w:pPr>
              <w:pStyle w:val="nTable"/>
              <w:spacing w:after="40"/>
            </w:pPr>
            <w:r>
              <w:t xml:space="preserve">1 Jul 1986 (see s. 2 and </w:t>
            </w:r>
            <w:r>
              <w:rPr>
                <w:i/>
              </w:rPr>
              <w:t>Gazette</w:t>
            </w:r>
            <w:r>
              <w:t xml:space="preserve"> 30 Jun 1986 p. 2255)</w:t>
            </w:r>
          </w:p>
        </w:tc>
      </w:tr>
      <w:tr>
        <w:trPr>
          <w:gridAfter w:val="1"/>
          <w:wAfter w:w="53" w:type="dxa"/>
          <w:cantSplit/>
        </w:trPr>
        <w:tc>
          <w:tcPr>
            <w:tcW w:w="2266" w:type="dxa"/>
            <w:gridSpan w:val="2"/>
          </w:tcPr>
          <w:p>
            <w:pPr>
              <w:pStyle w:val="nTable"/>
              <w:spacing w:after="40"/>
              <w:ind w:right="170"/>
            </w:pPr>
            <w:r>
              <w:rPr>
                <w:i/>
              </w:rPr>
              <w:t>Commercial Arbitration Act 1985</w:t>
            </w:r>
            <w:r>
              <w:t xml:space="preserve"> s. 3(1)</w:t>
            </w:r>
            <w:r>
              <w:rPr>
                <w:rFonts w:ascii="Times" w:hAnsi="Times"/>
                <w:vertAlign w:val="superscript"/>
              </w:rPr>
              <w:t> 15</w:t>
            </w:r>
          </w:p>
        </w:tc>
        <w:tc>
          <w:tcPr>
            <w:tcW w:w="1133" w:type="dxa"/>
            <w:gridSpan w:val="2"/>
          </w:tcPr>
          <w:p>
            <w:pPr>
              <w:pStyle w:val="nTable"/>
              <w:keepNext/>
              <w:keepLines/>
              <w:spacing w:after="40"/>
            </w:pPr>
            <w:r>
              <w:t>109 of 1985</w:t>
            </w:r>
          </w:p>
        </w:tc>
        <w:tc>
          <w:tcPr>
            <w:tcW w:w="1134" w:type="dxa"/>
            <w:gridSpan w:val="2"/>
          </w:tcPr>
          <w:p>
            <w:pPr>
              <w:pStyle w:val="nTable"/>
              <w:keepNext/>
              <w:keepLines/>
              <w:spacing w:after="40"/>
            </w:pPr>
            <w:r>
              <w:t>7 Jan 1986</w:t>
            </w:r>
          </w:p>
        </w:tc>
        <w:tc>
          <w:tcPr>
            <w:tcW w:w="2551" w:type="dxa"/>
            <w:gridSpan w:val="2"/>
          </w:tcPr>
          <w:p>
            <w:pPr>
              <w:pStyle w:val="nTable"/>
              <w:keepNext/>
              <w:keepLines/>
              <w:spacing w:after="40"/>
            </w:pPr>
            <w:r>
              <w:t xml:space="preserve">1 Apr 1986 (see s. 2 and </w:t>
            </w:r>
            <w:r>
              <w:rPr>
                <w:i/>
              </w:rPr>
              <w:t>Gazette</w:t>
            </w:r>
            <w:r>
              <w:t xml:space="preserve"> 28 Feb 1986 p. 605)</w:t>
            </w:r>
          </w:p>
        </w:tc>
      </w:tr>
      <w:tr>
        <w:trPr>
          <w:gridAfter w:val="1"/>
          <w:wAfter w:w="53" w:type="dxa"/>
          <w:cantSplit/>
        </w:trPr>
        <w:tc>
          <w:tcPr>
            <w:tcW w:w="2266" w:type="dxa"/>
            <w:gridSpan w:val="2"/>
          </w:tcPr>
          <w:p>
            <w:pPr>
              <w:pStyle w:val="nTable"/>
              <w:spacing w:after="40"/>
              <w:ind w:right="170"/>
            </w:pPr>
            <w:r>
              <w:rPr>
                <w:i/>
              </w:rPr>
              <w:t>Health Amendment Act 1986</w:t>
            </w:r>
          </w:p>
        </w:tc>
        <w:tc>
          <w:tcPr>
            <w:tcW w:w="1133" w:type="dxa"/>
            <w:gridSpan w:val="2"/>
          </w:tcPr>
          <w:p>
            <w:pPr>
              <w:pStyle w:val="nTable"/>
              <w:spacing w:after="40"/>
            </w:pPr>
            <w:r>
              <w:t>93 of 1986</w:t>
            </w:r>
          </w:p>
        </w:tc>
        <w:tc>
          <w:tcPr>
            <w:tcW w:w="1134" w:type="dxa"/>
            <w:gridSpan w:val="2"/>
          </w:tcPr>
          <w:p>
            <w:pPr>
              <w:pStyle w:val="nTable"/>
              <w:spacing w:after="40"/>
            </w:pPr>
            <w:r>
              <w:t>10 Dec 1986</w:t>
            </w:r>
          </w:p>
        </w:tc>
        <w:tc>
          <w:tcPr>
            <w:tcW w:w="2551" w:type="dxa"/>
            <w:gridSpan w:val="2"/>
          </w:tcPr>
          <w:p>
            <w:pPr>
              <w:pStyle w:val="nTable"/>
              <w:spacing w:after="40"/>
            </w:pPr>
            <w:r>
              <w:t>10 Dec 1986 (see s. 2)</w:t>
            </w:r>
          </w:p>
        </w:tc>
      </w:tr>
      <w:tr>
        <w:trPr>
          <w:gridAfter w:val="1"/>
          <w:wAfter w:w="53" w:type="dxa"/>
          <w:cantSplit/>
        </w:trPr>
        <w:tc>
          <w:tcPr>
            <w:tcW w:w="2266" w:type="dxa"/>
            <w:gridSpan w:val="2"/>
          </w:tcPr>
          <w:p>
            <w:pPr>
              <w:pStyle w:val="nTable"/>
              <w:spacing w:after="40"/>
              <w:ind w:right="170"/>
            </w:pPr>
            <w:r>
              <w:rPr>
                <w:i/>
              </w:rPr>
              <w:t>Health Amendment Act 1987</w:t>
            </w:r>
            <w:r>
              <w:rPr>
                <w:rFonts w:ascii="Times" w:hAnsi="Times"/>
                <w:vertAlign w:val="superscript"/>
              </w:rPr>
              <w:t> 16</w:t>
            </w:r>
          </w:p>
        </w:tc>
        <w:tc>
          <w:tcPr>
            <w:tcW w:w="1133" w:type="dxa"/>
            <w:gridSpan w:val="2"/>
          </w:tcPr>
          <w:p>
            <w:pPr>
              <w:pStyle w:val="nTable"/>
              <w:spacing w:after="40"/>
            </w:pPr>
            <w:r>
              <w:t>80 of 1987 (as amended by No. 8 of 2009 s. 72)</w:t>
            </w:r>
          </w:p>
        </w:tc>
        <w:tc>
          <w:tcPr>
            <w:tcW w:w="1134" w:type="dxa"/>
            <w:gridSpan w:val="2"/>
          </w:tcPr>
          <w:p>
            <w:pPr>
              <w:pStyle w:val="nTable"/>
              <w:spacing w:after="40"/>
            </w:pPr>
            <w:r>
              <w:t>28 Nov 1987</w:t>
            </w:r>
          </w:p>
        </w:tc>
        <w:tc>
          <w:tcPr>
            <w:tcW w:w="2551" w:type="dxa"/>
            <w:gridSpan w:val="2"/>
          </w:tcPr>
          <w:p>
            <w:pPr>
              <w:pStyle w:val="nTable"/>
              <w:spacing w:after="40"/>
            </w:pPr>
            <w:r>
              <w:t>s. 1 and 2: 28 Nov 1987;</w:t>
            </w:r>
            <w:r>
              <w:br/>
              <w:t xml:space="preserve">Act other than s. 1, 2, 4(d), 83 and 90: 1 Jan 1988 (see s. 2 and </w:t>
            </w:r>
            <w:r>
              <w:rPr>
                <w:i/>
              </w:rPr>
              <w:t>Gazette</w:t>
            </w:r>
            <w:r>
              <w:t xml:space="preserve"> 31 Dec 1987 p. 4567)</w:t>
            </w:r>
          </w:p>
        </w:tc>
      </w:tr>
      <w:tr>
        <w:trPr>
          <w:gridAfter w:val="1"/>
          <w:wAfter w:w="53" w:type="dxa"/>
          <w:cantSplit/>
        </w:trPr>
        <w:tc>
          <w:tcPr>
            <w:tcW w:w="2266" w:type="dxa"/>
            <w:gridSpan w:val="2"/>
          </w:tcPr>
          <w:p>
            <w:pPr>
              <w:pStyle w:val="nTable"/>
              <w:spacing w:after="40"/>
              <w:ind w:right="170"/>
            </w:pPr>
            <w:r>
              <w:rPr>
                <w:i/>
              </w:rPr>
              <w:t>Guardianship and Administration Act 1990</w:t>
            </w:r>
            <w:r>
              <w:t xml:space="preserve"> s. 123</w:t>
            </w:r>
          </w:p>
        </w:tc>
        <w:tc>
          <w:tcPr>
            <w:tcW w:w="1133" w:type="dxa"/>
            <w:gridSpan w:val="2"/>
          </w:tcPr>
          <w:p>
            <w:pPr>
              <w:pStyle w:val="nTable"/>
              <w:spacing w:after="40"/>
            </w:pPr>
            <w:r>
              <w:t>24 of 1990</w:t>
            </w:r>
          </w:p>
        </w:tc>
        <w:tc>
          <w:tcPr>
            <w:tcW w:w="1134" w:type="dxa"/>
            <w:gridSpan w:val="2"/>
          </w:tcPr>
          <w:p>
            <w:pPr>
              <w:pStyle w:val="nTable"/>
              <w:spacing w:after="40"/>
            </w:pPr>
            <w:r>
              <w:t>7 Sep 1990</w:t>
            </w:r>
          </w:p>
        </w:tc>
        <w:tc>
          <w:tcPr>
            <w:tcW w:w="2551" w:type="dxa"/>
            <w:gridSpan w:val="2"/>
          </w:tcPr>
          <w:p>
            <w:pPr>
              <w:pStyle w:val="nTable"/>
              <w:spacing w:after="40"/>
            </w:pPr>
            <w:r>
              <w:t xml:space="preserve">20 Oct 1992 (see s. 2 and </w:t>
            </w:r>
            <w:r>
              <w:rPr>
                <w:i/>
              </w:rPr>
              <w:t>Gazette</w:t>
            </w:r>
            <w:r>
              <w:t xml:space="preserve"> 2 Oct 1992 p. 4811)</w:t>
            </w:r>
          </w:p>
        </w:tc>
      </w:tr>
      <w:tr>
        <w:trPr>
          <w:gridAfter w:val="1"/>
          <w:wAfter w:w="50" w:type="dxa"/>
          <w:cantSplit/>
        </w:trPr>
        <w:tc>
          <w:tcPr>
            <w:tcW w:w="7087" w:type="dxa"/>
            <w:gridSpan w:val="8"/>
          </w:tcPr>
          <w:p>
            <w:pPr>
              <w:pStyle w:val="nTable"/>
              <w:spacing w:after="40"/>
            </w:pPr>
            <w:r>
              <w:rPr>
                <w:b/>
              </w:rPr>
              <w:t xml:space="preserve">Reprint of the </w:t>
            </w:r>
            <w:r>
              <w:rPr>
                <w:b/>
                <w:i/>
              </w:rPr>
              <w:t>Health Act 1911</w:t>
            </w:r>
            <w:r>
              <w:rPr>
                <w:b/>
              </w:rPr>
              <w:t xml:space="preserve"> as at 18 Dec 1990 </w:t>
            </w:r>
            <w:r>
              <w:t xml:space="preserve">(includes amendments listed above except those in the </w:t>
            </w:r>
            <w:r>
              <w:rPr>
                <w:i/>
              </w:rPr>
              <w:t>Guardianship and Administration Act 1990</w:t>
            </w:r>
            <w:r>
              <w:t>)</w:t>
            </w:r>
          </w:p>
        </w:tc>
      </w:tr>
      <w:tr>
        <w:trPr>
          <w:gridAfter w:val="1"/>
          <w:wAfter w:w="53" w:type="dxa"/>
          <w:cantSplit/>
        </w:trPr>
        <w:tc>
          <w:tcPr>
            <w:tcW w:w="2266" w:type="dxa"/>
            <w:gridSpan w:val="2"/>
          </w:tcPr>
          <w:p>
            <w:pPr>
              <w:pStyle w:val="nTable"/>
              <w:spacing w:after="40"/>
              <w:ind w:right="170"/>
            </w:pPr>
            <w:r>
              <w:rPr>
                <w:i/>
              </w:rPr>
              <w:t>Tobacco Control Act 1990</w:t>
            </w:r>
            <w:r>
              <w:t xml:space="preserve"> s. 38(1)</w:t>
            </w:r>
            <w:r>
              <w:rPr>
                <w:rFonts w:ascii="Times" w:hAnsi="Times"/>
                <w:vertAlign w:val="superscript"/>
              </w:rPr>
              <w:t> 17</w:t>
            </w:r>
          </w:p>
        </w:tc>
        <w:tc>
          <w:tcPr>
            <w:tcW w:w="1133" w:type="dxa"/>
            <w:gridSpan w:val="2"/>
          </w:tcPr>
          <w:p>
            <w:pPr>
              <w:pStyle w:val="nTable"/>
              <w:spacing w:after="40"/>
            </w:pPr>
            <w:r>
              <w:t>104 of 1990</w:t>
            </w:r>
          </w:p>
        </w:tc>
        <w:tc>
          <w:tcPr>
            <w:tcW w:w="1134" w:type="dxa"/>
            <w:gridSpan w:val="2"/>
          </w:tcPr>
          <w:p>
            <w:pPr>
              <w:pStyle w:val="nTable"/>
              <w:spacing w:after="40"/>
            </w:pPr>
            <w:r>
              <w:t>2 Jan 1991</w:t>
            </w:r>
          </w:p>
        </w:tc>
        <w:tc>
          <w:tcPr>
            <w:tcW w:w="2551" w:type="dxa"/>
            <w:gridSpan w:val="2"/>
          </w:tcPr>
          <w:p>
            <w:pPr>
              <w:pStyle w:val="nTable"/>
              <w:spacing w:after="40"/>
            </w:pPr>
            <w:r>
              <w:t xml:space="preserve">8 Feb 1991 (see s. 2(1) and </w:t>
            </w:r>
            <w:r>
              <w:rPr>
                <w:i/>
              </w:rPr>
              <w:t xml:space="preserve">Gazette </w:t>
            </w:r>
            <w:r>
              <w:t>8 Feb 1991 p. 575)</w:t>
            </w:r>
          </w:p>
        </w:tc>
      </w:tr>
      <w:tr>
        <w:trPr>
          <w:gridAfter w:val="1"/>
          <w:wAfter w:w="53" w:type="dxa"/>
          <w:trHeight w:val="1701"/>
        </w:trPr>
        <w:tc>
          <w:tcPr>
            <w:tcW w:w="2266" w:type="dxa"/>
            <w:gridSpan w:val="2"/>
            <w:tcBorders>
              <w:bottom w:val="nil"/>
            </w:tcBorders>
          </w:tcPr>
          <w:p>
            <w:pPr>
              <w:pStyle w:val="nTable"/>
              <w:spacing w:after="40"/>
              <w:ind w:right="170"/>
            </w:pPr>
            <w:r>
              <w:rPr>
                <w:i/>
              </w:rPr>
              <w:t>Health Amendment Act 1991</w:t>
            </w:r>
            <w:r>
              <w:rPr>
                <w:rFonts w:ascii="Times" w:hAnsi="Times"/>
                <w:vertAlign w:val="superscript"/>
              </w:rPr>
              <w:t> 18, 19</w:t>
            </w:r>
          </w:p>
        </w:tc>
        <w:tc>
          <w:tcPr>
            <w:tcW w:w="1133" w:type="dxa"/>
            <w:gridSpan w:val="2"/>
            <w:tcBorders>
              <w:bottom w:val="nil"/>
            </w:tcBorders>
          </w:tcPr>
          <w:p>
            <w:pPr>
              <w:pStyle w:val="nTable"/>
              <w:keepNext/>
              <w:keepLines/>
              <w:spacing w:after="40"/>
            </w:pPr>
            <w:r>
              <w:t>59 of 1991</w:t>
            </w:r>
          </w:p>
        </w:tc>
        <w:tc>
          <w:tcPr>
            <w:tcW w:w="1134" w:type="dxa"/>
            <w:gridSpan w:val="2"/>
            <w:tcBorders>
              <w:bottom w:val="nil"/>
            </w:tcBorders>
          </w:tcPr>
          <w:p>
            <w:pPr>
              <w:pStyle w:val="nTable"/>
              <w:keepNext/>
              <w:keepLines/>
              <w:spacing w:after="40"/>
            </w:pPr>
            <w:r>
              <w:t>23 Dec 1991</w:t>
            </w:r>
          </w:p>
        </w:tc>
        <w:tc>
          <w:tcPr>
            <w:tcW w:w="2551" w:type="dxa"/>
            <w:gridSpan w:val="2"/>
            <w:tcBorders>
              <w:bottom w:val="nil"/>
            </w:tcBorders>
          </w:tcPr>
          <w:p>
            <w:pPr>
              <w:pStyle w:val="nTable"/>
              <w:keepLines/>
              <w:spacing w:after="40"/>
            </w:pPr>
            <w:r>
              <w:t>s. 1 and 2: 23 Dec 1991;</w:t>
            </w:r>
            <w:r>
              <w:br/>
              <w:t xml:space="preserve">s. 3-5, 20-24, 28(a): 24 Jan 1992 (see s. 2 and </w:t>
            </w:r>
            <w:r>
              <w:rPr>
                <w:i/>
              </w:rPr>
              <w:t>Gazette</w:t>
            </w:r>
            <w:r>
              <w:t xml:space="preserve"> 24 Jan 1992 p. 349); s. 14, 15, 26, 27 and 28(b),</w:t>
            </w:r>
            <w:r>
              <w:br/>
              <w:t>(c) and (d): 1 Apr 1992</w:t>
            </w:r>
            <w:r>
              <w:br/>
              <w:t xml:space="preserve">(see s. 2 and </w:t>
            </w:r>
            <w:r>
              <w:rPr>
                <w:i/>
              </w:rPr>
              <w:t>Gazette</w:t>
            </w:r>
            <w:r>
              <w:t xml:space="preserve"> 1 Apr 1992 p. 1427);</w:t>
            </w:r>
          </w:p>
        </w:tc>
      </w:tr>
      <w:tr>
        <w:trPr>
          <w:gridAfter w:val="1"/>
          <w:wAfter w:w="53" w:type="dxa"/>
          <w:cantSplit/>
        </w:trPr>
        <w:tc>
          <w:tcPr>
            <w:tcW w:w="2266" w:type="dxa"/>
            <w:gridSpan w:val="2"/>
          </w:tcPr>
          <w:p>
            <w:pPr>
              <w:pStyle w:val="nTable"/>
              <w:spacing w:after="40"/>
              <w:ind w:right="170"/>
              <w:rPr>
                <w:i/>
              </w:rPr>
            </w:pPr>
          </w:p>
        </w:tc>
        <w:tc>
          <w:tcPr>
            <w:tcW w:w="1133" w:type="dxa"/>
            <w:gridSpan w:val="2"/>
          </w:tcPr>
          <w:p>
            <w:pPr>
              <w:pStyle w:val="nTable"/>
              <w:spacing w:after="40"/>
            </w:pPr>
          </w:p>
        </w:tc>
        <w:tc>
          <w:tcPr>
            <w:tcW w:w="1134" w:type="dxa"/>
            <w:gridSpan w:val="2"/>
          </w:tcPr>
          <w:p>
            <w:pPr>
              <w:pStyle w:val="nTable"/>
              <w:spacing w:after="40"/>
            </w:pPr>
          </w:p>
        </w:tc>
        <w:tc>
          <w:tcPr>
            <w:tcW w:w="2551" w:type="dxa"/>
            <w:gridSpan w:val="2"/>
          </w:tcPr>
          <w:p>
            <w:pPr>
              <w:pStyle w:val="nTable"/>
              <w:spacing w:after="40"/>
            </w:pPr>
            <w:r>
              <w:t xml:space="preserve">s. 25: 1 Jul 1992 (see s. 2 and </w:t>
            </w:r>
            <w:r>
              <w:rPr>
                <w:i/>
              </w:rPr>
              <w:t>Gazette</w:t>
            </w:r>
            <w:r>
              <w:t xml:space="preserve"> 26 Jun 1992 p. 2644);</w:t>
            </w:r>
            <w:r>
              <w:br/>
              <w:t xml:space="preserve">Pt. 3: 4 Sep 1992 (see s. 2 and </w:t>
            </w:r>
            <w:r>
              <w:rPr>
                <w:i/>
              </w:rPr>
              <w:t>Gazette</w:t>
            </w:r>
            <w:r>
              <w:t xml:space="preserve"> 4 Sep 1992 p. 4453);</w:t>
            </w:r>
            <w:r>
              <w:br/>
              <w:t xml:space="preserve">Pt. 5: 23 Dec 1992 (see s. 2 and </w:t>
            </w:r>
            <w:r>
              <w:rPr>
                <w:i/>
              </w:rPr>
              <w:t>Gazette</w:t>
            </w:r>
            <w:r>
              <w:t xml:space="preserve"> 23 Dec 1992 p. 6209)</w:t>
            </w:r>
          </w:p>
        </w:tc>
      </w:tr>
      <w:tr>
        <w:trPr>
          <w:gridAfter w:val="1"/>
          <w:wAfter w:w="53" w:type="dxa"/>
          <w:cantSplit/>
        </w:trPr>
        <w:tc>
          <w:tcPr>
            <w:tcW w:w="2266" w:type="dxa"/>
            <w:gridSpan w:val="2"/>
          </w:tcPr>
          <w:p>
            <w:pPr>
              <w:pStyle w:val="nTable"/>
              <w:spacing w:after="40"/>
              <w:ind w:right="170"/>
            </w:pPr>
            <w:r>
              <w:rPr>
                <w:i/>
              </w:rPr>
              <w:t>Nurses Act 1992</w:t>
            </w:r>
            <w:r>
              <w:t xml:space="preserve"> s. 84</w:t>
            </w:r>
          </w:p>
        </w:tc>
        <w:tc>
          <w:tcPr>
            <w:tcW w:w="1133" w:type="dxa"/>
            <w:gridSpan w:val="2"/>
          </w:tcPr>
          <w:p>
            <w:pPr>
              <w:pStyle w:val="nTable"/>
              <w:spacing w:after="40"/>
            </w:pPr>
            <w:r>
              <w:t>27 of 1992</w:t>
            </w:r>
          </w:p>
        </w:tc>
        <w:tc>
          <w:tcPr>
            <w:tcW w:w="1134" w:type="dxa"/>
            <w:gridSpan w:val="2"/>
          </w:tcPr>
          <w:p>
            <w:pPr>
              <w:pStyle w:val="nTable"/>
              <w:spacing w:after="40"/>
            </w:pPr>
            <w:r>
              <w:t>23 Jun 1992</w:t>
            </w:r>
          </w:p>
        </w:tc>
        <w:tc>
          <w:tcPr>
            <w:tcW w:w="2551" w:type="dxa"/>
            <w:gridSpan w:val="2"/>
          </w:tcPr>
          <w:p>
            <w:pPr>
              <w:pStyle w:val="nTable"/>
              <w:spacing w:after="40"/>
            </w:pPr>
            <w:r>
              <w:t xml:space="preserve">29 Oct 1993 (see s. 2 and </w:t>
            </w:r>
            <w:r>
              <w:rPr>
                <w:i/>
              </w:rPr>
              <w:t>Gazette</w:t>
            </w:r>
            <w:r>
              <w:t xml:space="preserve"> 29 Oct 1993 p. 5881)</w:t>
            </w:r>
          </w:p>
        </w:tc>
      </w:tr>
      <w:tr>
        <w:trPr>
          <w:gridAfter w:val="1"/>
          <w:wAfter w:w="53" w:type="dxa"/>
          <w:cantSplit/>
        </w:trPr>
        <w:tc>
          <w:tcPr>
            <w:tcW w:w="2266" w:type="dxa"/>
            <w:gridSpan w:val="2"/>
          </w:tcPr>
          <w:p>
            <w:pPr>
              <w:pStyle w:val="nTable"/>
              <w:spacing w:after="40"/>
              <w:ind w:right="170"/>
            </w:pPr>
            <w:r>
              <w:rPr>
                <w:i/>
              </w:rPr>
              <w:t>Financial Administration Legislation Amendment Act 1993</w:t>
            </w:r>
            <w:r>
              <w:t xml:space="preserve"> s. 11</w:t>
            </w:r>
          </w:p>
        </w:tc>
        <w:tc>
          <w:tcPr>
            <w:tcW w:w="1133"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After w:val="1"/>
          <w:wAfter w:w="51" w:type="dxa"/>
          <w:cantSplit/>
        </w:trPr>
        <w:tc>
          <w:tcPr>
            <w:tcW w:w="4535" w:type="dxa"/>
            <w:gridSpan w:val="6"/>
          </w:tcPr>
          <w:p>
            <w:pPr>
              <w:pStyle w:val="nTable"/>
              <w:spacing w:after="40"/>
            </w:pPr>
            <w:r>
              <w:t>Untitled proclamation published in</w:t>
            </w:r>
            <w:r>
              <w:rPr>
                <w:i/>
              </w:rPr>
              <w:t xml:space="preserve"> Gazette </w:t>
            </w:r>
            <w:r>
              <w:t>26 Nov 1993 p. 6321</w:t>
            </w:r>
          </w:p>
        </w:tc>
        <w:tc>
          <w:tcPr>
            <w:tcW w:w="2551" w:type="dxa"/>
            <w:gridSpan w:val="2"/>
          </w:tcPr>
          <w:p>
            <w:pPr>
              <w:pStyle w:val="nTable"/>
              <w:spacing w:after="40"/>
            </w:pPr>
            <w:r>
              <w:t xml:space="preserve"> 26 Nov 1993</w:t>
            </w:r>
          </w:p>
        </w:tc>
      </w:tr>
      <w:tr>
        <w:trPr>
          <w:gridAfter w:val="1"/>
          <w:wAfter w:w="53" w:type="dxa"/>
          <w:cantSplit/>
        </w:trPr>
        <w:tc>
          <w:tcPr>
            <w:tcW w:w="2266" w:type="dxa"/>
            <w:gridSpan w:val="2"/>
          </w:tcPr>
          <w:p>
            <w:pPr>
              <w:pStyle w:val="nTable"/>
              <w:spacing w:after="40"/>
              <w:ind w:right="170"/>
            </w:pPr>
            <w:r>
              <w:rPr>
                <w:i/>
              </w:rPr>
              <w:t>Local Government Amendment Act 1994</w:t>
            </w:r>
            <w:r>
              <w:t xml:space="preserve"> s. 42</w:t>
            </w:r>
          </w:p>
        </w:tc>
        <w:tc>
          <w:tcPr>
            <w:tcW w:w="1133" w:type="dxa"/>
            <w:gridSpan w:val="2"/>
          </w:tcPr>
          <w:p>
            <w:pPr>
              <w:pStyle w:val="nTable"/>
              <w:spacing w:after="40"/>
            </w:pPr>
            <w:r>
              <w:t>27 of 1994</w:t>
            </w:r>
          </w:p>
        </w:tc>
        <w:tc>
          <w:tcPr>
            <w:tcW w:w="1134" w:type="dxa"/>
            <w:gridSpan w:val="2"/>
          </w:tcPr>
          <w:p>
            <w:pPr>
              <w:pStyle w:val="nTable"/>
              <w:spacing w:after="40"/>
            </w:pPr>
            <w:r>
              <w:t>23 Jun 1994</w:t>
            </w:r>
          </w:p>
        </w:tc>
        <w:tc>
          <w:tcPr>
            <w:tcW w:w="2551" w:type="dxa"/>
            <w:gridSpan w:val="2"/>
          </w:tcPr>
          <w:p>
            <w:pPr>
              <w:pStyle w:val="nTable"/>
              <w:spacing w:after="40"/>
            </w:pPr>
            <w:r>
              <w:t>1 Jul 1994 (see s. 2)</w:t>
            </w:r>
          </w:p>
        </w:tc>
      </w:tr>
      <w:tr>
        <w:trPr>
          <w:gridAfter w:val="1"/>
          <w:wAfter w:w="53" w:type="dxa"/>
          <w:cantSplit/>
        </w:trPr>
        <w:tc>
          <w:tcPr>
            <w:tcW w:w="2266" w:type="dxa"/>
            <w:gridSpan w:val="2"/>
          </w:tcPr>
          <w:p>
            <w:pPr>
              <w:pStyle w:val="nTable"/>
              <w:spacing w:after="40"/>
              <w:ind w:right="170"/>
            </w:pPr>
            <w:r>
              <w:rPr>
                <w:i/>
              </w:rPr>
              <w:t>Acts Amendment (Public Sector Management) Act 1994</w:t>
            </w:r>
            <w:r>
              <w:t xml:space="preserve"> s. 3(2)</w:t>
            </w:r>
          </w:p>
        </w:tc>
        <w:tc>
          <w:tcPr>
            <w:tcW w:w="1133"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After w:val="1"/>
          <w:wAfter w:w="53" w:type="dxa"/>
          <w:cantSplit/>
        </w:trPr>
        <w:tc>
          <w:tcPr>
            <w:tcW w:w="2266" w:type="dxa"/>
            <w:gridSpan w:val="2"/>
          </w:tcPr>
          <w:p>
            <w:pPr>
              <w:pStyle w:val="nTable"/>
              <w:spacing w:after="40"/>
              <w:ind w:right="170"/>
            </w:pPr>
            <w:r>
              <w:rPr>
                <w:i/>
              </w:rPr>
              <w:t>Statutes (Repeals and Minor Amendments) Act 1994</w:t>
            </w:r>
            <w:r>
              <w:t xml:space="preserve"> s. 4</w:t>
            </w:r>
          </w:p>
        </w:tc>
        <w:tc>
          <w:tcPr>
            <w:tcW w:w="1133" w:type="dxa"/>
            <w:gridSpan w:val="2"/>
          </w:tcPr>
          <w:p>
            <w:pPr>
              <w:pStyle w:val="nTable"/>
              <w:spacing w:after="40"/>
            </w:pPr>
            <w:r>
              <w:t>73 of 1994</w:t>
            </w:r>
          </w:p>
        </w:tc>
        <w:tc>
          <w:tcPr>
            <w:tcW w:w="1134" w:type="dxa"/>
            <w:gridSpan w:val="2"/>
          </w:tcPr>
          <w:p>
            <w:pPr>
              <w:pStyle w:val="nTable"/>
              <w:spacing w:after="40"/>
            </w:pPr>
            <w:r>
              <w:t>9 Dec 1994</w:t>
            </w:r>
          </w:p>
        </w:tc>
        <w:tc>
          <w:tcPr>
            <w:tcW w:w="2551" w:type="dxa"/>
            <w:gridSpan w:val="2"/>
          </w:tcPr>
          <w:p>
            <w:pPr>
              <w:pStyle w:val="nTable"/>
              <w:spacing w:after="40"/>
            </w:pPr>
            <w:r>
              <w:t>9 Dec 1994 (see s. 2)</w:t>
            </w:r>
          </w:p>
        </w:tc>
      </w:tr>
      <w:tr>
        <w:trPr>
          <w:gridAfter w:val="1"/>
          <w:wAfter w:w="53" w:type="dxa"/>
          <w:cantSplit/>
        </w:trPr>
        <w:tc>
          <w:tcPr>
            <w:tcW w:w="2266" w:type="dxa"/>
            <w:gridSpan w:val="2"/>
          </w:tcPr>
          <w:p>
            <w:pPr>
              <w:pStyle w:val="nTable"/>
              <w:spacing w:after="40"/>
              <w:ind w:right="170"/>
            </w:pPr>
            <w:r>
              <w:rPr>
                <w:i/>
              </w:rPr>
              <w:t>Pawnbrokers and Second</w:t>
            </w:r>
            <w:r>
              <w:rPr>
                <w:i/>
              </w:rPr>
              <w:noBreakHyphen/>
              <w:t>hand Dealers Act 1994</w:t>
            </w:r>
            <w:r>
              <w:t xml:space="preserve"> s. 100</w:t>
            </w:r>
          </w:p>
        </w:tc>
        <w:tc>
          <w:tcPr>
            <w:tcW w:w="1133" w:type="dxa"/>
            <w:gridSpan w:val="2"/>
          </w:tcPr>
          <w:p>
            <w:pPr>
              <w:pStyle w:val="nTable"/>
              <w:spacing w:after="40"/>
            </w:pPr>
            <w:r>
              <w:t>88 of 1994</w:t>
            </w:r>
          </w:p>
        </w:tc>
        <w:tc>
          <w:tcPr>
            <w:tcW w:w="1134" w:type="dxa"/>
            <w:gridSpan w:val="2"/>
          </w:tcPr>
          <w:p>
            <w:pPr>
              <w:pStyle w:val="nTable"/>
              <w:spacing w:after="40"/>
            </w:pPr>
            <w:r>
              <w:t>5 Jan 1995</w:t>
            </w:r>
          </w:p>
        </w:tc>
        <w:tc>
          <w:tcPr>
            <w:tcW w:w="2551" w:type="dxa"/>
            <w:gridSpan w:val="2"/>
          </w:tcPr>
          <w:p>
            <w:pPr>
              <w:pStyle w:val="nTable"/>
              <w:spacing w:after="40"/>
            </w:pPr>
            <w:r>
              <w:t xml:space="preserve">1 Apr 1996 (see s. 2 and </w:t>
            </w:r>
            <w:r>
              <w:rPr>
                <w:i/>
              </w:rPr>
              <w:t>Gazette</w:t>
            </w:r>
            <w:r>
              <w:t xml:space="preserve"> 29 Mar 1996 p. 1495)</w:t>
            </w:r>
          </w:p>
        </w:tc>
      </w:tr>
      <w:tr>
        <w:trPr>
          <w:gridAfter w:val="1"/>
          <w:wAfter w:w="53" w:type="dxa"/>
          <w:cantSplit/>
        </w:trPr>
        <w:tc>
          <w:tcPr>
            <w:tcW w:w="2266" w:type="dxa"/>
            <w:gridSpan w:val="2"/>
          </w:tcPr>
          <w:p>
            <w:pPr>
              <w:pStyle w:val="nTable"/>
              <w:spacing w:after="40"/>
              <w:ind w:right="170"/>
            </w:pPr>
            <w:r>
              <w:rPr>
                <w:i/>
              </w:rPr>
              <w:t>Hospitals Amendment Act 1994</w:t>
            </w:r>
            <w:r>
              <w:t xml:space="preserve"> s. 18</w:t>
            </w:r>
          </w:p>
        </w:tc>
        <w:tc>
          <w:tcPr>
            <w:tcW w:w="1133" w:type="dxa"/>
            <w:gridSpan w:val="2"/>
          </w:tcPr>
          <w:p>
            <w:pPr>
              <w:pStyle w:val="nTable"/>
              <w:spacing w:after="40"/>
            </w:pPr>
            <w:r>
              <w:t>103 of 1994</w:t>
            </w:r>
          </w:p>
        </w:tc>
        <w:tc>
          <w:tcPr>
            <w:tcW w:w="1134" w:type="dxa"/>
            <w:gridSpan w:val="2"/>
          </w:tcPr>
          <w:p>
            <w:pPr>
              <w:pStyle w:val="nTable"/>
              <w:spacing w:after="40"/>
            </w:pPr>
            <w:r>
              <w:t>11 Jan 1995</w:t>
            </w:r>
          </w:p>
        </w:tc>
        <w:tc>
          <w:tcPr>
            <w:tcW w:w="2551" w:type="dxa"/>
            <w:gridSpan w:val="2"/>
          </w:tcPr>
          <w:p>
            <w:pPr>
              <w:pStyle w:val="nTable"/>
              <w:spacing w:after="40"/>
            </w:pPr>
            <w:r>
              <w:t xml:space="preserve">17 Dec 1997 (see s. 2 and </w:t>
            </w:r>
            <w:r>
              <w:rPr>
                <w:i/>
              </w:rPr>
              <w:t>Gazette</w:t>
            </w:r>
            <w:r>
              <w:t xml:space="preserve"> 16 Dec 1997 p. 7313)</w:t>
            </w:r>
          </w:p>
        </w:tc>
      </w:tr>
      <w:tr>
        <w:trPr>
          <w:gridAfter w:val="1"/>
          <w:wAfter w:w="53" w:type="dxa"/>
          <w:cantSplit/>
        </w:trPr>
        <w:tc>
          <w:tcPr>
            <w:tcW w:w="2266" w:type="dxa"/>
            <w:gridSpan w:val="2"/>
          </w:tcPr>
          <w:p>
            <w:pPr>
              <w:pStyle w:val="nTable"/>
              <w:spacing w:after="40"/>
              <w:ind w:right="170"/>
            </w:pP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 xml:space="preserve"> Pt. 11 Div. 2</w:t>
            </w:r>
          </w:p>
        </w:tc>
        <w:tc>
          <w:tcPr>
            <w:tcW w:w="1133" w:type="dxa"/>
            <w:gridSpan w:val="2"/>
          </w:tcPr>
          <w:p>
            <w:pPr>
              <w:pStyle w:val="nTable"/>
              <w:spacing w:after="40"/>
            </w:pPr>
            <w:r>
              <w:t>3 of 1995</w:t>
            </w:r>
          </w:p>
        </w:tc>
        <w:tc>
          <w:tcPr>
            <w:tcW w:w="1134" w:type="dxa"/>
            <w:gridSpan w:val="2"/>
          </w:tcPr>
          <w:p>
            <w:pPr>
              <w:pStyle w:val="nTable"/>
              <w:spacing w:after="40"/>
            </w:pPr>
            <w:r>
              <w:t>17 May 1995</w:t>
            </w:r>
          </w:p>
        </w:tc>
        <w:tc>
          <w:tcPr>
            <w:tcW w:w="2551" w:type="dxa"/>
            <w:gridSpan w:val="2"/>
          </w:tcPr>
          <w:p>
            <w:pPr>
              <w:pStyle w:val="nTable"/>
              <w:spacing w:after="40"/>
            </w:pPr>
            <w:r>
              <w:t xml:space="preserve">24 Jun 1995 (see s. 2 and </w:t>
            </w:r>
            <w:r>
              <w:rPr>
                <w:i/>
              </w:rPr>
              <w:t>Gazette</w:t>
            </w:r>
            <w:r>
              <w:t xml:space="preserve"> 23 Jun 1995 p. 2419)</w:t>
            </w:r>
          </w:p>
        </w:tc>
      </w:tr>
      <w:tr>
        <w:trPr>
          <w:gridAfter w:val="1"/>
          <w:wAfter w:w="53" w:type="dxa"/>
          <w:cantSplit/>
        </w:trPr>
        <w:tc>
          <w:tcPr>
            <w:tcW w:w="2266" w:type="dxa"/>
            <w:gridSpan w:val="2"/>
          </w:tcPr>
          <w:p>
            <w:pPr>
              <w:pStyle w:val="nTable"/>
              <w:spacing w:after="40"/>
              <w:ind w:right="170"/>
            </w:pPr>
            <w:r>
              <w:rPr>
                <w:i/>
              </w:rPr>
              <w:t>Water Agencies Restructure (Transitional and Consequential Provisions) Act 1995</w:t>
            </w:r>
            <w:r>
              <w:t xml:space="preserve"> s. 188</w:t>
            </w:r>
          </w:p>
        </w:tc>
        <w:tc>
          <w:tcPr>
            <w:tcW w:w="1133" w:type="dxa"/>
            <w:gridSpan w:val="2"/>
          </w:tcPr>
          <w:p>
            <w:pPr>
              <w:pStyle w:val="nTable"/>
              <w:spacing w:after="40"/>
            </w:pPr>
            <w:r>
              <w:t>73 of 1995</w:t>
            </w:r>
          </w:p>
        </w:tc>
        <w:tc>
          <w:tcPr>
            <w:tcW w:w="1134" w:type="dxa"/>
            <w:gridSpan w:val="2"/>
          </w:tcPr>
          <w:p>
            <w:pPr>
              <w:pStyle w:val="nTable"/>
              <w:spacing w:after="40"/>
            </w:pPr>
            <w:r>
              <w:t>27 Dec 1995</w:t>
            </w:r>
          </w:p>
        </w:tc>
        <w:tc>
          <w:tcPr>
            <w:tcW w:w="2551" w:type="dxa"/>
            <w:gridSpan w:val="2"/>
          </w:tcPr>
          <w:p>
            <w:pPr>
              <w:pStyle w:val="nTable"/>
              <w:spacing w:after="40"/>
            </w:pPr>
            <w:r>
              <w:t xml:space="preserve">1 Jan 1996 (see s. 2(2) and </w:t>
            </w:r>
            <w:r>
              <w:rPr>
                <w:i/>
              </w:rPr>
              <w:t>Gazette</w:t>
            </w:r>
            <w:r>
              <w:t xml:space="preserve"> 29 Dec 1995 p. 6291)</w:t>
            </w:r>
          </w:p>
        </w:tc>
      </w:tr>
      <w:tr>
        <w:trPr>
          <w:gridAfter w:val="1"/>
          <w:wAfter w:w="53" w:type="dxa"/>
          <w:cantSplit/>
        </w:trPr>
        <w:tc>
          <w:tcPr>
            <w:tcW w:w="2266" w:type="dxa"/>
            <w:gridSpan w:val="2"/>
          </w:tcPr>
          <w:p>
            <w:pPr>
              <w:pStyle w:val="nTable"/>
              <w:spacing w:after="40"/>
              <w:ind w:right="170"/>
            </w:pPr>
            <w:r>
              <w:rPr>
                <w:i/>
              </w:rPr>
              <w:t>Sentencing (Consequential Provisions) Act 1995</w:t>
            </w:r>
            <w:r>
              <w:t xml:space="preserve"> s. 147</w:t>
            </w:r>
          </w:p>
        </w:tc>
        <w:tc>
          <w:tcPr>
            <w:tcW w:w="1133" w:type="dxa"/>
            <w:gridSpan w:val="2"/>
          </w:tcPr>
          <w:p>
            <w:pPr>
              <w:pStyle w:val="nTable"/>
              <w:spacing w:after="40"/>
            </w:pPr>
            <w:r>
              <w:t>78 of 1995</w:t>
            </w:r>
          </w:p>
        </w:tc>
        <w:tc>
          <w:tcPr>
            <w:tcW w:w="1134" w:type="dxa"/>
            <w:gridSpan w:val="2"/>
          </w:tcPr>
          <w:p>
            <w:pPr>
              <w:pStyle w:val="nTable"/>
              <w:spacing w:after="40"/>
            </w:pPr>
            <w:r>
              <w:t>16 Jan 1996</w:t>
            </w:r>
          </w:p>
        </w:tc>
        <w:tc>
          <w:tcPr>
            <w:tcW w:w="2551" w:type="dxa"/>
            <w:gridSpan w:val="2"/>
          </w:tcPr>
          <w:p>
            <w:pPr>
              <w:pStyle w:val="nTable"/>
              <w:spacing w:after="40"/>
            </w:pPr>
            <w:r>
              <w:t xml:space="preserve">4 Nov 1996 (see s. 2 and </w:t>
            </w:r>
            <w:r>
              <w:rPr>
                <w:i/>
              </w:rPr>
              <w:t>Gazette</w:t>
            </w:r>
            <w:r>
              <w:t xml:space="preserve"> 25 Oct 1996 p. 5632)</w:t>
            </w:r>
          </w:p>
        </w:tc>
      </w:tr>
      <w:tr>
        <w:trPr>
          <w:gridAfter w:val="1"/>
          <w:wAfter w:w="53" w:type="dxa"/>
          <w:cantSplit/>
        </w:trPr>
        <w:tc>
          <w:tcPr>
            <w:tcW w:w="2266" w:type="dxa"/>
            <w:gridSpan w:val="2"/>
          </w:tcPr>
          <w:p>
            <w:pPr>
              <w:pStyle w:val="nTable"/>
              <w:spacing w:after="40"/>
              <w:ind w:right="170"/>
            </w:pPr>
            <w:r>
              <w:rPr>
                <w:i/>
              </w:rPr>
              <w:t xml:space="preserve">Coroners Act 1996 </w:t>
            </w:r>
            <w:r>
              <w:t>s. 61</w:t>
            </w:r>
          </w:p>
        </w:tc>
        <w:tc>
          <w:tcPr>
            <w:tcW w:w="1133" w:type="dxa"/>
            <w:gridSpan w:val="2"/>
          </w:tcPr>
          <w:p>
            <w:pPr>
              <w:pStyle w:val="nTable"/>
              <w:spacing w:after="40"/>
            </w:pPr>
            <w:r>
              <w:t>2 of 1996</w:t>
            </w:r>
          </w:p>
        </w:tc>
        <w:tc>
          <w:tcPr>
            <w:tcW w:w="1134" w:type="dxa"/>
            <w:gridSpan w:val="2"/>
          </w:tcPr>
          <w:p>
            <w:pPr>
              <w:pStyle w:val="nTable"/>
              <w:spacing w:after="40"/>
            </w:pPr>
            <w:r>
              <w:t>24 May 1996</w:t>
            </w:r>
          </w:p>
        </w:tc>
        <w:tc>
          <w:tcPr>
            <w:tcW w:w="2551" w:type="dxa"/>
            <w:gridSpan w:val="2"/>
          </w:tcPr>
          <w:p>
            <w:pPr>
              <w:pStyle w:val="nTable"/>
              <w:spacing w:after="40"/>
            </w:pPr>
            <w:r>
              <w:t xml:space="preserve">7 Apr 1997 (see s. 2 and </w:t>
            </w:r>
            <w:r>
              <w:rPr>
                <w:i/>
              </w:rPr>
              <w:t>Gazette</w:t>
            </w:r>
            <w:r>
              <w:t xml:space="preserve"> 18 Mar 1997 p. 1529)</w:t>
            </w:r>
          </w:p>
        </w:tc>
      </w:tr>
      <w:tr>
        <w:trPr>
          <w:gridAfter w:val="1"/>
          <w:wAfter w:w="53" w:type="dxa"/>
          <w:cantSplit/>
        </w:trPr>
        <w:tc>
          <w:tcPr>
            <w:tcW w:w="2266" w:type="dxa"/>
            <w:gridSpan w:val="2"/>
          </w:tcPr>
          <w:p>
            <w:pPr>
              <w:pStyle w:val="nTable"/>
              <w:spacing w:after="40"/>
              <w:ind w:right="170"/>
            </w:pPr>
            <w:r>
              <w:rPr>
                <w:i/>
              </w:rPr>
              <w:t>Local Government (Consequential Amendments) Act 1996</w:t>
            </w:r>
            <w:r>
              <w:t xml:space="preserve"> s. 4</w:t>
            </w:r>
            <w:r>
              <w:rPr>
                <w:rFonts w:ascii="Times" w:hAnsi="Times"/>
                <w:vertAlign w:val="superscript"/>
              </w:rPr>
              <w:t> 20</w:t>
            </w:r>
          </w:p>
        </w:tc>
        <w:tc>
          <w:tcPr>
            <w:tcW w:w="1133" w:type="dxa"/>
            <w:gridSpan w:val="2"/>
          </w:tcPr>
          <w:p>
            <w:pPr>
              <w:pStyle w:val="nTable"/>
              <w:spacing w:after="40"/>
            </w:pPr>
            <w:r>
              <w:t>14 of 1996</w:t>
            </w:r>
          </w:p>
        </w:tc>
        <w:tc>
          <w:tcPr>
            <w:tcW w:w="1134" w:type="dxa"/>
            <w:gridSpan w:val="2"/>
          </w:tcPr>
          <w:p>
            <w:pPr>
              <w:pStyle w:val="nTable"/>
              <w:spacing w:after="40"/>
            </w:pPr>
            <w:r>
              <w:t>28 Jun 1996</w:t>
            </w:r>
          </w:p>
        </w:tc>
        <w:tc>
          <w:tcPr>
            <w:tcW w:w="2551" w:type="dxa"/>
            <w:gridSpan w:val="2"/>
          </w:tcPr>
          <w:p>
            <w:pPr>
              <w:pStyle w:val="nTable"/>
              <w:spacing w:after="40"/>
            </w:pPr>
            <w:r>
              <w:t>1 Jul 1996 (see s. 2)</w:t>
            </w:r>
          </w:p>
        </w:tc>
      </w:tr>
      <w:tr>
        <w:trPr>
          <w:gridAfter w:val="1"/>
          <w:wAfter w:w="53" w:type="dxa"/>
          <w:cantSplit/>
        </w:trPr>
        <w:tc>
          <w:tcPr>
            <w:tcW w:w="2266" w:type="dxa"/>
            <w:gridSpan w:val="2"/>
          </w:tcPr>
          <w:p>
            <w:pPr>
              <w:pStyle w:val="nTable"/>
              <w:spacing w:after="40"/>
              <w:ind w:right="170"/>
            </w:pPr>
            <w:r>
              <w:rPr>
                <w:i/>
              </w:rPr>
              <w:t>Health Amendment Act 1996</w:t>
            </w:r>
          </w:p>
        </w:tc>
        <w:tc>
          <w:tcPr>
            <w:tcW w:w="1133" w:type="dxa"/>
            <w:gridSpan w:val="2"/>
          </w:tcPr>
          <w:p>
            <w:pPr>
              <w:pStyle w:val="nTable"/>
              <w:spacing w:after="40"/>
            </w:pPr>
            <w:r>
              <w:t>28 of 1996</w:t>
            </w:r>
          </w:p>
        </w:tc>
        <w:tc>
          <w:tcPr>
            <w:tcW w:w="1134" w:type="dxa"/>
            <w:gridSpan w:val="2"/>
          </w:tcPr>
          <w:p>
            <w:pPr>
              <w:pStyle w:val="nTable"/>
              <w:spacing w:after="40"/>
            </w:pPr>
            <w:r>
              <w:t>22 Jul 1996</w:t>
            </w:r>
          </w:p>
        </w:tc>
        <w:tc>
          <w:tcPr>
            <w:tcW w:w="2551" w:type="dxa"/>
            <w:gridSpan w:val="2"/>
          </w:tcPr>
          <w:p>
            <w:pPr>
              <w:pStyle w:val="nTable"/>
              <w:spacing w:after="40"/>
            </w:pPr>
            <w:r>
              <w:t>s. 1 and 2: 22 Jul 1996;</w:t>
            </w:r>
            <w:r>
              <w:br/>
              <w:t xml:space="preserve">Act other than s. 1, 2, 7 and 13: 22 Jul 1996 (see s. 2(1)); </w:t>
            </w:r>
            <w:r>
              <w:br/>
              <w:t>s. 7 and 13: 23 Jul 1997 (see s. 2(2) and (3))</w:t>
            </w:r>
          </w:p>
        </w:tc>
      </w:tr>
      <w:tr>
        <w:trPr>
          <w:gridAfter w:val="1"/>
          <w:wAfter w:w="53" w:type="dxa"/>
          <w:cantSplit/>
        </w:trPr>
        <w:tc>
          <w:tcPr>
            <w:tcW w:w="2266" w:type="dxa"/>
            <w:gridSpan w:val="2"/>
          </w:tcPr>
          <w:p>
            <w:pPr>
              <w:pStyle w:val="nTable"/>
              <w:spacing w:after="40"/>
              <w:ind w:right="170"/>
            </w:pPr>
            <w:r>
              <w:rPr>
                <w:i/>
              </w:rPr>
              <w:t>Financial Legislation Amendment Act 1996</w:t>
            </w:r>
            <w:r>
              <w:t xml:space="preserve"> s. 64</w:t>
            </w:r>
          </w:p>
        </w:tc>
        <w:tc>
          <w:tcPr>
            <w:tcW w:w="1133" w:type="dxa"/>
            <w:gridSpan w:val="2"/>
          </w:tcPr>
          <w:p>
            <w:pPr>
              <w:pStyle w:val="nTable"/>
              <w:spacing w:after="40"/>
            </w:pPr>
            <w:r>
              <w:t>49 of 1996</w:t>
            </w:r>
          </w:p>
        </w:tc>
        <w:tc>
          <w:tcPr>
            <w:tcW w:w="1134" w:type="dxa"/>
            <w:gridSpan w:val="2"/>
          </w:tcPr>
          <w:p>
            <w:pPr>
              <w:pStyle w:val="nTable"/>
              <w:spacing w:after="40"/>
            </w:pPr>
            <w:r>
              <w:t>25 Oct 1996</w:t>
            </w:r>
          </w:p>
        </w:tc>
        <w:tc>
          <w:tcPr>
            <w:tcW w:w="2551" w:type="dxa"/>
            <w:gridSpan w:val="2"/>
          </w:tcPr>
          <w:p>
            <w:pPr>
              <w:pStyle w:val="nTable"/>
              <w:spacing w:after="40"/>
            </w:pPr>
            <w:r>
              <w:t>25 Oct 1996 (see s. 2(1))</w:t>
            </w:r>
          </w:p>
        </w:tc>
      </w:tr>
      <w:tr>
        <w:trPr>
          <w:gridAfter w:val="1"/>
          <w:wAfter w:w="53" w:type="dxa"/>
          <w:cantSplit/>
        </w:trPr>
        <w:tc>
          <w:tcPr>
            <w:tcW w:w="2266" w:type="dxa"/>
            <w:gridSpan w:val="2"/>
          </w:tcPr>
          <w:p>
            <w:pPr>
              <w:pStyle w:val="nTable"/>
              <w:spacing w:after="40"/>
              <w:ind w:right="170"/>
            </w:pPr>
            <w:r>
              <w:rPr>
                <w:i/>
              </w:rPr>
              <w:t>Acts Amendment (Assemblies and Noise) Act 1996</w:t>
            </w:r>
            <w:r>
              <w:t xml:space="preserve"> Pt. 2</w:t>
            </w:r>
          </w:p>
        </w:tc>
        <w:tc>
          <w:tcPr>
            <w:tcW w:w="1133" w:type="dxa"/>
            <w:gridSpan w:val="2"/>
          </w:tcPr>
          <w:p>
            <w:pPr>
              <w:pStyle w:val="nTable"/>
              <w:spacing w:after="40"/>
            </w:pPr>
            <w:r>
              <w:t>50 of 1996</w:t>
            </w:r>
          </w:p>
        </w:tc>
        <w:tc>
          <w:tcPr>
            <w:tcW w:w="1134" w:type="dxa"/>
            <w:gridSpan w:val="2"/>
          </w:tcPr>
          <w:p>
            <w:pPr>
              <w:pStyle w:val="nTable"/>
              <w:spacing w:after="40"/>
            </w:pPr>
            <w:r>
              <w:t>31 Oct 1996</w:t>
            </w:r>
          </w:p>
        </w:tc>
        <w:tc>
          <w:tcPr>
            <w:tcW w:w="2551" w:type="dxa"/>
            <w:gridSpan w:val="2"/>
          </w:tcPr>
          <w:p>
            <w:pPr>
              <w:pStyle w:val="nTable"/>
              <w:spacing w:after="40"/>
            </w:pPr>
            <w:r>
              <w:t xml:space="preserve">4 Dec 1996 (see s. 2 and </w:t>
            </w:r>
            <w:r>
              <w:rPr>
                <w:i/>
              </w:rPr>
              <w:t>Gazette</w:t>
            </w:r>
            <w:r>
              <w:t xml:space="preserve"> 3 Dec 1996 p. 6695)</w:t>
            </w:r>
          </w:p>
        </w:tc>
      </w:tr>
      <w:tr>
        <w:trPr>
          <w:gridAfter w:val="1"/>
          <w:wAfter w:w="53" w:type="dxa"/>
          <w:cantSplit/>
        </w:trPr>
        <w:tc>
          <w:tcPr>
            <w:tcW w:w="2266" w:type="dxa"/>
            <w:gridSpan w:val="2"/>
          </w:tcPr>
          <w:p>
            <w:pPr>
              <w:pStyle w:val="nTable"/>
              <w:spacing w:after="40"/>
              <w:ind w:right="170"/>
            </w:pPr>
            <w:r>
              <w:rPr>
                <w:i/>
              </w:rPr>
              <w:t>Dental Amendment Act 1996</w:t>
            </w:r>
            <w:r>
              <w:t xml:space="preserve"> s. 18</w:t>
            </w:r>
          </w:p>
        </w:tc>
        <w:tc>
          <w:tcPr>
            <w:tcW w:w="1133" w:type="dxa"/>
            <w:gridSpan w:val="2"/>
          </w:tcPr>
          <w:p>
            <w:pPr>
              <w:pStyle w:val="nTable"/>
              <w:spacing w:after="40"/>
            </w:pPr>
            <w:r>
              <w:t>64 of 1996</w:t>
            </w:r>
          </w:p>
        </w:tc>
        <w:tc>
          <w:tcPr>
            <w:tcW w:w="1134" w:type="dxa"/>
            <w:gridSpan w:val="2"/>
          </w:tcPr>
          <w:p>
            <w:pPr>
              <w:pStyle w:val="nTable"/>
              <w:spacing w:after="40"/>
            </w:pPr>
            <w:r>
              <w:t>11 Nov 1996</w:t>
            </w:r>
          </w:p>
        </w:tc>
        <w:tc>
          <w:tcPr>
            <w:tcW w:w="2551" w:type="dxa"/>
            <w:gridSpan w:val="2"/>
          </w:tcPr>
          <w:p>
            <w:pPr>
              <w:pStyle w:val="nTable"/>
              <w:spacing w:after="40"/>
            </w:pPr>
            <w:r>
              <w:t xml:space="preserve">1 Jan 1997 (see s. 2 and </w:t>
            </w:r>
            <w:r>
              <w:rPr>
                <w:i/>
              </w:rPr>
              <w:t>Gazette</w:t>
            </w:r>
            <w:r>
              <w:t xml:space="preserve"> 31 Dec 1996 p. 7427)</w:t>
            </w:r>
          </w:p>
        </w:tc>
      </w:tr>
      <w:tr>
        <w:trPr>
          <w:gridAfter w:val="1"/>
          <w:wAfter w:w="53" w:type="dxa"/>
          <w:cantSplit/>
        </w:trPr>
        <w:tc>
          <w:tcPr>
            <w:tcW w:w="2266" w:type="dxa"/>
            <w:gridSpan w:val="2"/>
          </w:tcPr>
          <w:p>
            <w:pPr>
              <w:pStyle w:val="nTable"/>
              <w:spacing w:after="40"/>
              <w:ind w:right="170"/>
            </w:pPr>
            <w:r>
              <w:rPr>
                <w:i/>
              </w:rPr>
              <w:t>Transfer of Land Amendment Act 1996</w:t>
            </w:r>
            <w:r>
              <w:t xml:space="preserve"> s. 153(1) and (2)</w:t>
            </w:r>
          </w:p>
        </w:tc>
        <w:tc>
          <w:tcPr>
            <w:tcW w:w="1133" w:type="dxa"/>
            <w:gridSpan w:val="2"/>
          </w:tcPr>
          <w:p>
            <w:pPr>
              <w:pStyle w:val="nTable"/>
              <w:spacing w:after="40"/>
            </w:pPr>
            <w:r>
              <w:t>81 of 1996</w:t>
            </w:r>
          </w:p>
        </w:tc>
        <w:tc>
          <w:tcPr>
            <w:tcW w:w="1134" w:type="dxa"/>
            <w:gridSpan w:val="2"/>
          </w:tcPr>
          <w:p>
            <w:pPr>
              <w:pStyle w:val="nTable"/>
              <w:spacing w:after="40"/>
            </w:pPr>
            <w:r>
              <w:t>14 Nov 1996</w:t>
            </w:r>
          </w:p>
        </w:tc>
        <w:tc>
          <w:tcPr>
            <w:tcW w:w="2551" w:type="dxa"/>
            <w:gridSpan w:val="2"/>
          </w:tcPr>
          <w:p>
            <w:pPr>
              <w:pStyle w:val="nTable"/>
              <w:spacing w:after="40"/>
            </w:pPr>
            <w:r>
              <w:t>14 Nov 1996 (see s. 2(1))</w:t>
            </w:r>
          </w:p>
        </w:tc>
      </w:tr>
      <w:tr>
        <w:trPr>
          <w:gridAfter w:val="1"/>
          <w:wAfter w:w="50" w:type="dxa"/>
          <w:cantSplit/>
        </w:trPr>
        <w:tc>
          <w:tcPr>
            <w:tcW w:w="7087" w:type="dxa"/>
            <w:gridSpan w:val="8"/>
          </w:tcPr>
          <w:p>
            <w:pPr>
              <w:pStyle w:val="nTable"/>
              <w:spacing w:after="40"/>
            </w:pPr>
            <w:r>
              <w:rPr>
                <w:b/>
              </w:rPr>
              <w:t xml:space="preserve">Reprint of the </w:t>
            </w:r>
            <w:r>
              <w:rPr>
                <w:b/>
                <w:i/>
              </w:rPr>
              <w:t>Health Act 1911</w:t>
            </w:r>
            <w:r>
              <w:rPr>
                <w:b/>
              </w:rPr>
              <w:t xml:space="preserve"> as at 11 Mar 1997 </w:t>
            </w:r>
            <w:r>
              <w:t xml:space="preserve">(includes amendments listed above except those in the </w:t>
            </w:r>
            <w:r>
              <w:rPr>
                <w:i/>
              </w:rPr>
              <w:t>Hospitals Amendment Act 1994</w:t>
            </w:r>
            <w:r>
              <w:t xml:space="preserve">, </w:t>
            </w:r>
            <w:r>
              <w:rPr>
                <w:i/>
              </w:rPr>
              <w:t>Coroners Act 1996</w:t>
            </w:r>
            <w:r>
              <w:t xml:space="preserve"> and the </w:t>
            </w:r>
            <w:r>
              <w:rPr>
                <w:i/>
              </w:rPr>
              <w:t>Health Amendment Act 1996</w:t>
            </w:r>
            <w:r>
              <w:t xml:space="preserve"> s. 7 and 13) (correction in </w:t>
            </w:r>
            <w:r>
              <w:rPr>
                <w:i/>
              </w:rPr>
              <w:t>Gazette</w:t>
            </w:r>
            <w:r>
              <w:t xml:space="preserve"> 2 Dec 1997 p. 7058)</w:t>
            </w:r>
          </w:p>
        </w:tc>
      </w:tr>
      <w:tr>
        <w:trPr>
          <w:gridAfter w:val="1"/>
          <w:wAfter w:w="53" w:type="dxa"/>
          <w:cantSplit/>
        </w:trPr>
        <w:tc>
          <w:tcPr>
            <w:tcW w:w="2266" w:type="dxa"/>
            <w:gridSpan w:val="2"/>
          </w:tcPr>
          <w:p>
            <w:pPr>
              <w:pStyle w:val="nTable"/>
              <w:spacing w:after="40"/>
              <w:ind w:right="170"/>
            </w:pPr>
            <w:r>
              <w:rPr>
                <w:i/>
              </w:rPr>
              <w:t>Acts Amendment (Land Administration) Act 1997</w:t>
            </w:r>
            <w:r>
              <w:t xml:space="preserve"> Pt. 30 and s. 142</w:t>
            </w:r>
          </w:p>
        </w:tc>
        <w:tc>
          <w:tcPr>
            <w:tcW w:w="1133" w:type="dxa"/>
            <w:gridSpan w:val="2"/>
          </w:tcPr>
          <w:p>
            <w:pPr>
              <w:pStyle w:val="nTable"/>
              <w:spacing w:after="40"/>
            </w:pPr>
            <w:r>
              <w:t>31 of 1997</w:t>
            </w:r>
          </w:p>
        </w:tc>
        <w:tc>
          <w:tcPr>
            <w:tcW w:w="1134" w:type="dxa"/>
            <w:gridSpan w:val="2"/>
          </w:tcPr>
          <w:p>
            <w:pPr>
              <w:pStyle w:val="nTable"/>
              <w:spacing w:after="40"/>
            </w:pPr>
            <w:r>
              <w:t>3 Oct 1997</w:t>
            </w:r>
          </w:p>
        </w:tc>
        <w:tc>
          <w:tcPr>
            <w:tcW w:w="2551" w:type="dxa"/>
            <w:gridSpan w:val="2"/>
          </w:tcPr>
          <w:p>
            <w:pPr>
              <w:pStyle w:val="nTable"/>
              <w:spacing w:after="40"/>
            </w:pPr>
            <w:r>
              <w:t xml:space="preserve">30 Mar 1998 (see s. 2 and </w:t>
            </w:r>
            <w:r>
              <w:rPr>
                <w:i/>
              </w:rPr>
              <w:t>Gazette</w:t>
            </w:r>
            <w:r>
              <w:t xml:space="preserve"> 27 Mar 1998 p. 1765)</w:t>
            </w:r>
          </w:p>
        </w:tc>
      </w:tr>
      <w:tr>
        <w:trPr>
          <w:gridAfter w:val="1"/>
          <w:wAfter w:w="53" w:type="dxa"/>
          <w:cantSplit/>
        </w:trPr>
        <w:tc>
          <w:tcPr>
            <w:tcW w:w="2266" w:type="dxa"/>
            <w:gridSpan w:val="2"/>
          </w:tcPr>
          <w:p>
            <w:pPr>
              <w:pStyle w:val="nTable"/>
              <w:spacing w:after="40"/>
              <w:ind w:right="172"/>
            </w:pPr>
            <w:r>
              <w:rPr>
                <w:i/>
              </w:rPr>
              <w:t>Statutes (Repeals and Minor Amendments) Act 1997</w:t>
            </w:r>
            <w:r>
              <w:t xml:space="preserve"> s. 68</w:t>
            </w:r>
          </w:p>
        </w:tc>
        <w:tc>
          <w:tcPr>
            <w:tcW w:w="1133"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rPr>
          <w:gridAfter w:val="1"/>
          <w:wAfter w:w="53" w:type="dxa"/>
          <w:cantSplit/>
        </w:trPr>
        <w:tc>
          <w:tcPr>
            <w:tcW w:w="2266" w:type="dxa"/>
            <w:gridSpan w:val="2"/>
          </w:tcPr>
          <w:p>
            <w:pPr>
              <w:pStyle w:val="nTable"/>
              <w:spacing w:after="40"/>
              <w:ind w:right="52"/>
            </w:pPr>
            <w:r>
              <w:rPr>
                <w:i/>
              </w:rPr>
              <w:t>Statutes (Repeals and Minor Amendments) Act (No. 2) 1998</w:t>
            </w:r>
            <w:r>
              <w:t xml:space="preserve"> s. 39</w:t>
            </w:r>
            <w:r>
              <w:rPr>
                <w:rFonts w:ascii="Times" w:hAnsi="Times"/>
                <w:vertAlign w:val="superscript"/>
              </w:rPr>
              <w:t> 21, 22</w:t>
            </w:r>
          </w:p>
        </w:tc>
        <w:tc>
          <w:tcPr>
            <w:tcW w:w="1133" w:type="dxa"/>
            <w:gridSpan w:val="2"/>
          </w:tcPr>
          <w:p>
            <w:pPr>
              <w:pStyle w:val="nTable"/>
              <w:spacing w:after="40"/>
            </w:pPr>
            <w:r>
              <w:t>10 of 1998</w:t>
            </w:r>
          </w:p>
        </w:tc>
        <w:tc>
          <w:tcPr>
            <w:tcW w:w="1134" w:type="dxa"/>
            <w:gridSpan w:val="2"/>
          </w:tcPr>
          <w:p>
            <w:pPr>
              <w:pStyle w:val="nTable"/>
              <w:spacing w:after="40"/>
            </w:pPr>
            <w:r>
              <w:t>30 Apr 1998</w:t>
            </w:r>
          </w:p>
        </w:tc>
        <w:tc>
          <w:tcPr>
            <w:tcW w:w="2551" w:type="dxa"/>
            <w:gridSpan w:val="2"/>
          </w:tcPr>
          <w:p>
            <w:pPr>
              <w:pStyle w:val="nTable"/>
              <w:spacing w:after="40"/>
            </w:pPr>
            <w:r>
              <w:t>30 Apr 1998 (see s. 2(1))</w:t>
            </w:r>
          </w:p>
        </w:tc>
      </w:tr>
      <w:tr>
        <w:trPr>
          <w:gridAfter w:val="1"/>
          <w:wAfter w:w="53" w:type="dxa"/>
          <w:cantSplit/>
        </w:trPr>
        <w:tc>
          <w:tcPr>
            <w:tcW w:w="2266" w:type="dxa"/>
            <w:gridSpan w:val="2"/>
          </w:tcPr>
          <w:p>
            <w:pPr>
              <w:pStyle w:val="nTable"/>
              <w:spacing w:after="40"/>
              <w:ind w:right="170"/>
            </w:pPr>
            <w:r>
              <w:rPr>
                <w:i/>
              </w:rPr>
              <w:t>Acts Amendment (Abortion) Act 1998</w:t>
            </w:r>
            <w:r>
              <w:t xml:space="preserve"> s. 7</w:t>
            </w:r>
            <w:r>
              <w:rPr>
                <w:rFonts w:ascii="Times" w:hAnsi="Times"/>
                <w:vertAlign w:val="superscript"/>
              </w:rPr>
              <w:t> 23</w:t>
            </w:r>
          </w:p>
        </w:tc>
        <w:tc>
          <w:tcPr>
            <w:tcW w:w="1133" w:type="dxa"/>
            <w:gridSpan w:val="2"/>
          </w:tcPr>
          <w:p>
            <w:pPr>
              <w:pStyle w:val="nTable"/>
              <w:spacing w:after="40"/>
            </w:pPr>
            <w:r>
              <w:t>15 of 1998</w:t>
            </w:r>
          </w:p>
        </w:tc>
        <w:tc>
          <w:tcPr>
            <w:tcW w:w="1134" w:type="dxa"/>
            <w:gridSpan w:val="2"/>
          </w:tcPr>
          <w:p>
            <w:pPr>
              <w:pStyle w:val="nTable"/>
              <w:spacing w:after="40"/>
            </w:pPr>
            <w:r>
              <w:t>26 May 1998</w:t>
            </w:r>
          </w:p>
        </w:tc>
        <w:tc>
          <w:tcPr>
            <w:tcW w:w="2551" w:type="dxa"/>
            <w:gridSpan w:val="2"/>
          </w:tcPr>
          <w:p>
            <w:pPr>
              <w:pStyle w:val="nTable"/>
              <w:spacing w:after="40"/>
            </w:pPr>
            <w:r>
              <w:t>26 May 1998 (see s. 2)</w:t>
            </w:r>
          </w:p>
        </w:tc>
      </w:tr>
      <w:tr>
        <w:trPr>
          <w:gridAfter w:val="1"/>
          <w:wAfter w:w="53" w:type="dxa"/>
        </w:trPr>
        <w:tc>
          <w:tcPr>
            <w:tcW w:w="2266" w:type="dxa"/>
            <w:gridSpan w:val="2"/>
          </w:tcPr>
          <w:p>
            <w:pPr>
              <w:pStyle w:val="nTable"/>
              <w:spacing w:after="40"/>
              <w:ind w:right="170"/>
            </w:pPr>
            <w:r>
              <w:rPr>
                <w:i/>
              </w:rPr>
              <w:t xml:space="preserve">Acts Repeal and Amendment (Births, Deaths and Marriages Registration) Act 1998 </w:t>
            </w:r>
            <w:r>
              <w:t>s. 14</w:t>
            </w:r>
          </w:p>
        </w:tc>
        <w:tc>
          <w:tcPr>
            <w:tcW w:w="1133" w:type="dxa"/>
            <w:gridSpan w:val="2"/>
          </w:tcPr>
          <w:p>
            <w:pPr>
              <w:pStyle w:val="nTable"/>
              <w:spacing w:after="40"/>
            </w:pPr>
            <w:r>
              <w:t>40 of 1998</w:t>
            </w:r>
          </w:p>
        </w:tc>
        <w:tc>
          <w:tcPr>
            <w:tcW w:w="1134" w:type="dxa"/>
            <w:gridSpan w:val="2"/>
          </w:tcPr>
          <w:p>
            <w:pPr>
              <w:pStyle w:val="nTable"/>
              <w:spacing w:after="40"/>
            </w:pPr>
            <w:r>
              <w:t>30 Oct 1998</w:t>
            </w:r>
          </w:p>
        </w:tc>
        <w:tc>
          <w:tcPr>
            <w:tcW w:w="2551" w:type="dxa"/>
            <w:gridSpan w:val="2"/>
          </w:tcPr>
          <w:p>
            <w:pPr>
              <w:pStyle w:val="nTable"/>
              <w:spacing w:after="40"/>
            </w:pPr>
            <w:r>
              <w:t xml:space="preserve">14 Apr 1999 (see s. 2 and </w:t>
            </w:r>
            <w:r>
              <w:rPr>
                <w:i/>
              </w:rPr>
              <w:t>Gazette</w:t>
            </w:r>
            <w:r>
              <w:t xml:space="preserve"> 9 Apr 1999 p. 1433)</w:t>
            </w:r>
          </w:p>
        </w:tc>
      </w:tr>
      <w:tr>
        <w:trPr>
          <w:gridAfter w:val="1"/>
          <w:wAfter w:w="53" w:type="dxa"/>
          <w:cantSplit/>
        </w:trPr>
        <w:tc>
          <w:tcPr>
            <w:tcW w:w="2266" w:type="dxa"/>
            <w:gridSpan w:val="2"/>
          </w:tcPr>
          <w:p>
            <w:pPr>
              <w:pStyle w:val="nTable"/>
              <w:spacing w:after="40"/>
              <w:ind w:right="170"/>
              <w:rPr>
                <w:i/>
              </w:rPr>
            </w:pPr>
            <w:r>
              <w:rPr>
                <w:i/>
              </w:rPr>
              <w:t>Health Amendment Act 1998</w:t>
            </w:r>
          </w:p>
        </w:tc>
        <w:tc>
          <w:tcPr>
            <w:tcW w:w="1133" w:type="dxa"/>
            <w:gridSpan w:val="2"/>
          </w:tcPr>
          <w:p>
            <w:pPr>
              <w:pStyle w:val="nTable"/>
              <w:spacing w:after="40"/>
            </w:pPr>
            <w:r>
              <w:t>62 of 1998</w:t>
            </w:r>
          </w:p>
        </w:tc>
        <w:tc>
          <w:tcPr>
            <w:tcW w:w="1134" w:type="dxa"/>
            <w:gridSpan w:val="2"/>
          </w:tcPr>
          <w:p>
            <w:pPr>
              <w:pStyle w:val="nTable"/>
              <w:spacing w:after="40"/>
            </w:pPr>
            <w:r>
              <w:t>12 Jan 1999</w:t>
            </w:r>
          </w:p>
        </w:tc>
        <w:tc>
          <w:tcPr>
            <w:tcW w:w="2551" w:type="dxa"/>
            <w:gridSpan w:val="2"/>
          </w:tcPr>
          <w:p>
            <w:pPr>
              <w:pStyle w:val="nTable"/>
              <w:spacing w:after="40"/>
            </w:pPr>
            <w:r>
              <w:t>12 Jan 1999 (see s. 2)</w:t>
            </w:r>
          </w:p>
        </w:tc>
      </w:tr>
      <w:tr>
        <w:trPr>
          <w:gridAfter w:val="1"/>
          <w:wAfter w:w="53" w:type="dxa"/>
          <w:cantSplit/>
        </w:trPr>
        <w:tc>
          <w:tcPr>
            <w:tcW w:w="2266" w:type="dxa"/>
            <w:gridSpan w:val="2"/>
          </w:tcPr>
          <w:p>
            <w:pPr>
              <w:pStyle w:val="nTable"/>
              <w:spacing w:after="40"/>
              <w:ind w:right="170"/>
              <w:rPr>
                <w:i/>
              </w:rPr>
            </w:pPr>
            <w:r>
              <w:rPr>
                <w:i/>
              </w:rPr>
              <w:t>School Education Act 1999</w:t>
            </w:r>
            <w:r>
              <w:t xml:space="preserve"> s. 247</w:t>
            </w:r>
          </w:p>
        </w:tc>
        <w:tc>
          <w:tcPr>
            <w:tcW w:w="1133" w:type="dxa"/>
            <w:gridSpan w:val="2"/>
          </w:tcPr>
          <w:p>
            <w:pPr>
              <w:pStyle w:val="nTable"/>
              <w:spacing w:after="40"/>
            </w:pPr>
            <w:r>
              <w:t>36 of 1999</w:t>
            </w:r>
          </w:p>
        </w:tc>
        <w:tc>
          <w:tcPr>
            <w:tcW w:w="1134" w:type="dxa"/>
            <w:gridSpan w:val="2"/>
          </w:tcPr>
          <w:p>
            <w:pPr>
              <w:pStyle w:val="nTable"/>
              <w:spacing w:after="40"/>
            </w:pPr>
            <w:r>
              <w:t>2 Nov 1999</w:t>
            </w:r>
          </w:p>
        </w:tc>
        <w:tc>
          <w:tcPr>
            <w:tcW w:w="2551" w:type="dxa"/>
            <w:gridSpan w:val="2"/>
          </w:tcPr>
          <w:p>
            <w:pPr>
              <w:pStyle w:val="nTable"/>
              <w:spacing w:after="40"/>
            </w:pPr>
            <w:r>
              <w:t xml:space="preserve">1 Jan 2001 (see s. 2 and </w:t>
            </w:r>
            <w:r>
              <w:rPr>
                <w:i/>
              </w:rPr>
              <w:t>Gazette</w:t>
            </w:r>
            <w:r>
              <w:t xml:space="preserve"> 29 Dec 2000 p. 7904)</w:t>
            </w:r>
          </w:p>
        </w:tc>
      </w:tr>
      <w:tr>
        <w:trPr>
          <w:gridAfter w:val="1"/>
          <w:wAfter w:w="53" w:type="dxa"/>
          <w:cantSplit/>
        </w:trPr>
        <w:tc>
          <w:tcPr>
            <w:tcW w:w="2266" w:type="dxa"/>
            <w:gridSpan w:val="2"/>
          </w:tcPr>
          <w:p>
            <w:pPr>
              <w:pStyle w:val="nTable"/>
              <w:spacing w:after="40"/>
              <w:ind w:right="170"/>
            </w:pPr>
            <w:r>
              <w:rPr>
                <w:i/>
              </w:rPr>
              <w:t>Water Services Coordination Amendment Act 1999</w:t>
            </w:r>
            <w:r>
              <w:t xml:space="preserve"> s. 11(5)</w:t>
            </w:r>
          </w:p>
        </w:tc>
        <w:tc>
          <w:tcPr>
            <w:tcW w:w="1133" w:type="dxa"/>
            <w:gridSpan w:val="2"/>
          </w:tcPr>
          <w:p>
            <w:pPr>
              <w:pStyle w:val="nTable"/>
              <w:spacing w:after="40"/>
            </w:pPr>
            <w:r>
              <w:t>39 of 1999</w:t>
            </w:r>
          </w:p>
        </w:tc>
        <w:tc>
          <w:tcPr>
            <w:tcW w:w="1134" w:type="dxa"/>
            <w:gridSpan w:val="2"/>
          </w:tcPr>
          <w:p>
            <w:pPr>
              <w:pStyle w:val="nTable"/>
              <w:spacing w:after="40"/>
            </w:pPr>
            <w:r>
              <w:t>9 Nov 1999</w:t>
            </w:r>
          </w:p>
        </w:tc>
        <w:tc>
          <w:tcPr>
            <w:tcW w:w="2551" w:type="dxa"/>
            <w:gridSpan w:val="2"/>
          </w:tcPr>
          <w:p>
            <w:pPr>
              <w:pStyle w:val="nTable"/>
              <w:spacing w:after="40"/>
            </w:pPr>
            <w:r>
              <w:t xml:space="preserve">19 Jun 2000 (see s. 2 and </w:t>
            </w:r>
            <w:r>
              <w:rPr>
                <w:i/>
              </w:rPr>
              <w:t>Gazette</w:t>
            </w:r>
            <w:r>
              <w:t xml:space="preserve"> 16 Jun 2000 p. 2939)</w:t>
            </w:r>
          </w:p>
        </w:tc>
      </w:tr>
      <w:tr>
        <w:trPr>
          <w:gridAfter w:val="1"/>
          <w:wAfter w:w="50" w:type="dxa"/>
          <w:cantSplit/>
        </w:trPr>
        <w:tc>
          <w:tcPr>
            <w:tcW w:w="7087" w:type="dxa"/>
            <w:gridSpan w:val="8"/>
          </w:tcPr>
          <w:p>
            <w:pPr>
              <w:pStyle w:val="nTable"/>
              <w:spacing w:after="40"/>
            </w:pPr>
            <w:r>
              <w:rPr>
                <w:b/>
              </w:rPr>
              <w:t xml:space="preserve">Reprint of the </w:t>
            </w:r>
            <w:r>
              <w:rPr>
                <w:b/>
                <w:i/>
              </w:rPr>
              <w:t>Health Act 1911</w:t>
            </w:r>
            <w:r>
              <w:rPr>
                <w:b/>
              </w:rPr>
              <w:t xml:space="preserve"> as at 31 Mar 2000 </w:t>
            </w:r>
            <w:r>
              <w:t xml:space="preserve">(includes amendments listed above except those in the </w:t>
            </w:r>
            <w:r>
              <w:rPr>
                <w:i/>
              </w:rPr>
              <w:t>School Education Act 1999</w:t>
            </w:r>
            <w:r>
              <w:t xml:space="preserve"> and the </w:t>
            </w:r>
            <w:r>
              <w:rPr>
                <w:i/>
              </w:rPr>
              <w:t>Water Services Coordination Amendment Act 1999</w:t>
            </w:r>
            <w:r>
              <w:t>)</w:t>
            </w:r>
          </w:p>
        </w:tc>
      </w:tr>
      <w:tr>
        <w:trPr>
          <w:gridAfter w:val="1"/>
          <w:wAfter w:w="53" w:type="dxa"/>
          <w:cantSplit/>
        </w:trPr>
        <w:tc>
          <w:tcPr>
            <w:tcW w:w="2266" w:type="dxa"/>
            <w:gridSpan w:val="2"/>
          </w:tcPr>
          <w:p>
            <w:pPr>
              <w:pStyle w:val="nTable"/>
              <w:spacing w:after="40"/>
              <w:ind w:right="170"/>
              <w:rPr>
                <w:i/>
              </w:rPr>
            </w:pPr>
            <w:r>
              <w:rPr>
                <w:i/>
              </w:rPr>
              <w:t>Statutes (Repeals and Minor Amendments) Act 2000</w:t>
            </w:r>
            <w:r>
              <w:t xml:space="preserve"> s. 16</w:t>
            </w:r>
          </w:p>
        </w:tc>
        <w:tc>
          <w:tcPr>
            <w:tcW w:w="1133" w:type="dxa"/>
            <w:gridSpan w:val="2"/>
          </w:tcPr>
          <w:p>
            <w:pPr>
              <w:pStyle w:val="nTable"/>
              <w:spacing w:after="40"/>
            </w:pPr>
            <w:r>
              <w:t>24 of 2000</w:t>
            </w:r>
          </w:p>
        </w:tc>
        <w:tc>
          <w:tcPr>
            <w:tcW w:w="1134" w:type="dxa"/>
            <w:gridSpan w:val="2"/>
          </w:tcPr>
          <w:p>
            <w:pPr>
              <w:pStyle w:val="nTable"/>
              <w:spacing w:after="40"/>
            </w:pPr>
            <w:r>
              <w:t>4 Jul 2000</w:t>
            </w:r>
          </w:p>
        </w:tc>
        <w:tc>
          <w:tcPr>
            <w:tcW w:w="2551" w:type="dxa"/>
            <w:gridSpan w:val="2"/>
          </w:tcPr>
          <w:p>
            <w:pPr>
              <w:pStyle w:val="nTable"/>
              <w:spacing w:after="40"/>
            </w:pPr>
            <w:r>
              <w:t>4 Jul 2000 (see s. 2)</w:t>
            </w:r>
          </w:p>
        </w:tc>
      </w:tr>
      <w:tr>
        <w:trPr>
          <w:gridAfter w:val="1"/>
          <w:wAfter w:w="51" w:type="dxa"/>
          <w:cantSplit/>
        </w:trPr>
        <w:tc>
          <w:tcPr>
            <w:tcW w:w="4535" w:type="dxa"/>
            <w:gridSpan w:val="6"/>
          </w:tcPr>
          <w:p>
            <w:pPr>
              <w:pStyle w:val="nTable"/>
              <w:spacing w:after="40"/>
            </w:pPr>
            <w:r>
              <w:t xml:space="preserve">Untitled proclamation published in </w:t>
            </w:r>
            <w:r>
              <w:rPr>
                <w:i/>
              </w:rPr>
              <w:t>Gazette</w:t>
            </w:r>
            <w:r>
              <w:t xml:space="preserve"> 17 Nov 2000 p. 6289</w:t>
            </w:r>
          </w:p>
        </w:tc>
        <w:tc>
          <w:tcPr>
            <w:tcW w:w="2551" w:type="dxa"/>
            <w:gridSpan w:val="2"/>
          </w:tcPr>
          <w:p>
            <w:pPr>
              <w:pStyle w:val="nTable"/>
              <w:spacing w:after="40"/>
            </w:pPr>
            <w:r>
              <w:t xml:space="preserve"> 17 Nov 2000</w:t>
            </w:r>
          </w:p>
        </w:tc>
      </w:tr>
      <w:tr>
        <w:trPr>
          <w:gridAfter w:val="1"/>
          <w:wAfter w:w="53" w:type="dxa"/>
          <w:cantSplit/>
        </w:trPr>
        <w:tc>
          <w:tcPr>
            <w:tcW w:w="2266" w:type="dxa"/>
            <w:gridSpan w:val="2"/>
          </w:tcPr>
          <w:p>
            <w:pPr>
              <w:pStyle w:val="nTable"/>
              <w:spacing w:after="40"/>
              <w:ind w:right="170"/>
              <w:rPr>
                <w:i/>
              </w:rPr>
            </w:pPr>
            <w:r>
              <w:rPr>
                <w:i/>
              </w:rPr>
              <w:t>Corporations (Consequential Amendments) Act 2001</w:t>
            </w:r>
            <w:r>
              <w:t xml:space="preserve"> Pt. 30</w:t>
            </w:r>
          </w:p>
        </w:tc>
        <w:tc>
          <w:tcPr>
            <w:tcW w:w="1133" w:type="dxa"/>
            <w:gridSpan w:val="2"/>
          </w:tcPr>
          <w:p>
            <w:pPr>
              <w:pStyle w:val="nTable"/>
              <w:spacing w:after="40"/>
            </w:pPr>
            <w:r>
              <w:t>10 of 2001</w:t>
            </w:r>
          </w:p>
        </w:tc>
        <w:tc>
          <w:tcPr>
            <w:tcW w:w="1134" w:type="dxa"/>
            <w:gridSpan w:val="2"/>
          </w:tcPr>
          <w:p>
            <w:pPr>
              <w:pStyle w:val="nTable"/>
              <w:spacing w:after="40"/>
            </w:pPr>
            <w:r>
              <w:t>28 Jun 2001</w:t>
            </w:r>
          </w:p>
        </w:tc>
        <w:tc>
          <w:tcPr>
            <w:tcW w:w="2551"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1"/>
          <w:wAfter w:w="53" w:type="dxa"/>
          <w:cantSplit/>
        </w:trPr>
        <w:tc>
          <w:tcPr>
            <w:tcW w:w="2266" w:type="dxa"/>
            <w:gridSpan w:val="2"/>
          </w:tcPr>
          <w:p>
            <w:pPr>
              <w:pStyle w:val="nTable"/>
              <w:spacing w:after="40"/>
              <w:ind w:right="170"/>
            </w:pPr>
            <w:r>
              <w:rPr>
                <w:i/>
              </w:rPr>
              <w:t>Acts Amendment (Equality of Status) Act 2003</w:t>
            </w:r>
            <w:r>
              <w:t xml:space="preserve"> Pt. 26</w:t>
            </w:r>
          </w:p>
        </w:tc>
        <w:tc>
          <w:tcPr>
            <w:tcW w:w="1133" w:type="dxa"/>
            <w:gridSpan w:val="2"/>
          </w:tcPr>
          <w:p>
            <w:pPr>
              <w:pStyle w:val="nTable"/>
              <w:spacing w:after="40"/>
            </w:pPr>
            <w:r>
              <w:t>28 of 2003</w:t>
            </w:r>
          </w:p>
        </w:tc>
        <w:tc>
          <w:tcPr>
            <w:tcW w:w="1134"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rPr>
          <w:gridAfter w:val="1"/>
          <w:wAfter w:w="53" w:type="dxa"/>
          <w:cantSplit/>
        </w:trPr>
        <w:tc>
          <w:tcPr>
            <w:tcW w:w="2266" w:type="dxa"/>
            <w:gridSpan w:val="2"/>
          </w:tcPr>
          <w:p>
            <w:pPr>
              <w:pStyle w:val="nTable"/>
              <w:spacing w:after="40"/>
              <w:ind w:right="170"/>
              <w:rPr>
                <w:i/>
              </w:rPr>
            </w:pPr>
            <w:r>
              <w:rPr>
                <w:i/>
              </w:rPr>
              <w:t xml:space="preserve">Sentencing Legislation Amendment and Repeal Act 2003 </w:t>
            </w:r>
            <w:r>
              <w:t>s. 71</w:t>
            </w:r>
          </w:p>
        </w:tc>
        <w:tc>
          <w:tcPr>
            <w:tcW w:w="1133" w:type="dxa"/>
            <w:gridSpan w:val="2"/>
          </w:tcPr>
          <w:p>
            <w:pPr>
              <w:pStyle w:val="nTable"/>
              <w:spacing w:after="40"/>
            </w:pPr>
            <w:r>
              <w:t>50 of 2003</w:t>
            </w:r>
          </w:p>
        </w:tc>
        <w:tc>
          <w:tcPr>
            <w:tcW w:w="1134" w:type="dxa"/>
            <w:gridSpan w:val="2"/>
          </w:tcPr>
          <w:p>
            <w:pPr>
              <w:pStyle w:val="nTable"/>
              <w:spacing w:after="40"/>
            </w:pPr>
            <w:r>
              <w:t>9 Jul 2003</w:t>
            </w:r>
          </w:p>
        </w:tc>
        <w:tc>
          <w:tcPr>
            <w:tcW w:w="2551" w:type="dxa"/>
            <w:gridSpan w:val="2"/>
          </w:tcPr>
          <w:p>
            <w:pPr>
              <w:pStyle w:val="nTable"/>
              <w:spacing w:after="40"/>
            </w:pPr>
            <w:r>
              <w:t>15 May 2004 (see s. 2 and</w:t>
            </w:r>
            <w:r>
              <w:rPr>
                <w:i/>
              </w:rPr>
              <w:t xml:space="preserve"> Gazette </w:t>
            </w:r>
            <w:r>
              <w:t>14 May 2004 p. 1445)</w:t>
            </w:r>
          </w:p>
        </w:tc>
      </w:tr>
      <w:tr>
        <w:trPr>
          <w:gridAfter w:val="1"/>
          <w:wAfter w:w="53" w:type="dxa"/>
          <w:cantSplit/>
        </w:trPr>
        <w:tc>
          <w:tcPr>
            <w:tcW w:w="2266" w:type="dxa"/>
            <w:gridSpan w:val="2"/>
          </w:tcPr>
          <w:p>
            <w:pPr>
              <w:pStyle w:val="nTable"/>
              <w:spacing w:after="40"/>
              <w:ind w:right="170"/>
            </w:pPr>
            <w:r>
              <w:rPr>
                <w:i/>
              </w:rPr>
              <w:t>Statutes (Repeals and Minor Amendments) Act 2003</w:t>
            </w:r>
            <w:r>
              <w:t xml:space="preserve"> s. 64</w:t>
            </w:r>
          </w:p>
        </w:tc>
        <w:tc>
          <w:tcPr>
            <w:tcW w:w="1133" w:type="dxa"/>
            <w:gridSpan w:val="2"/>
          </w:tcPr>
          <w:p>
            <w:pPr>
              <w:pStyle w:val="nTable"/>
              <w:spacing w:after="40"/>
            </w:pPr>
            <w:r>
              <w:t>74 of 2003</w:t>
            </w:r>
          </w:p>
        </w:tc>
        <w:tc>
          <w:tcPr>
            <w:tcW w:w="1134" w:type="dxa"/>
            <w:gridSpan w:val="2"/>
          </w:tcPr>
          <w:p>
            <w:pPr>
              <w:pStyle w:val="nTable"/>
              <w:spacing w:after="40"/>
            </w:pPr>
            <w:r>
              <w:t>15 Dec 2003</w:t>
            </w:r>
          </w:p>
        </w:tc>
        <w:tc>
          <w:tcPr>
            <w:tcW w:w="2551" w:type="dxa"/>
            <w:gridSpan w:val="2"/>
          </w:tcPr>
          <w:p>
            <w:pPr>
              <w:pStyle w:val="nTable"/>
              <w:spacing w:after="40"/>
            </w:pPr>
            <w:r>
              <w:rPr>
                <w:spacing w:val="-2"/>
              </w:rPr>
              <w:t>15 Dec 2003 (see s. 2)</w:t>
            </w:r>
          </w:p>
        </w:tc>
      </w:tr>
      <w:tr>
        <w:trPr>
          <w:gridAfter w:val="1"/>
          <w:wAfter w:w="53" w:type="dxa"/>
          <w:cantSplit/>
        </w:trPr>
        <w:tc>
          <w:tcPr>
            <w:tcW w:w="2266" w:type="dxa"/>
            <w:gridSpan w:val="2"/>
          </w:tcPr>
          <w:p>
            <w:pPr>
              <w:pStyle w:val="nTable"/>
              <w:spacing w:after="40"/>
              <w:rPr>
                <w:snapToGrid w:val="0"/>
              </w:rPr>
            </w:pPr>
            <w:r>
              <w:rPr>
                <w:i/>
                <w:snapToGrid w:val="0"/>
              </w:rPr>
              <w:t>Children and Community Services Act 2004</w:t>
            </w:r>
            <w:r>
              <w:rPr>
                <w:snapToGrid w:val="0"/>
              </w:rPr>
              <w:t xml:space="preserve"> Sch. 2 cl. 12</w:t>
            </w:r>
          </w:p>
        </w:tc>
        <w:tc>
          <w:tcPr>
            <w:tcW w:w="1133" w:type="dxa"/>
            <w:gridSpan w:val="2"/>
          </w:tcPr>
          <w:p>
            <w:pPr>
              <w:pStyle w:val="nTable"/>
              <w:spacing w:after="40"/>
              <w:rPr>
                <w:snapToGrid w:val="0"/>
              </w:rPr>
            </w:pPr>
            <w:r>
              <w:rPr>
                <w:snapToGrid w:val="0"/>
              </w:rPr>
              <w:t>34 of 2004</w:t>
            </w:r>
          </w:p>
        </w:tc>
        <w:tc>
          <w:tcPr>
            <w:tcW w:w="1134" w:type="dxa"/>
            <w:gridSpan w:val="2"/>
          </w:tcPr>
          <w:p>
            <w:pPr>
              <w:pStyle w:val="nTable"/>
              <w:spacing w:after="40"/>
              <w:rPr>
                <w:snapToGrid w:val="0"/>
              </w:rPr>
            </w:pPr>
            <w:r>
              <w:t>20 Oct 2004</w:t>
            </w:r>
          </w:p>
        </w:tc>
        <w:tc>
          <w:tcPr>
            <w:tcW w:w="2551" w:type="dxa"/>
            <w:gridSpan w:val="2"/>
          </w:tcPr>
          <w:p>
            <w:pPr>
              <w:pStyle w:val="nTable"/>
              <w:spacing w:after="40"/>
            </w:pPr>
            <w:r>
              <w:t xml:space="preserve">1 Mar 2006 (see s. 2 and </w:t>
            </w:r>
            <w:r>
              <w:rPr>
                <w:i/>
              </w:rPr>
              <w:t>Gazette</w:t>
            </w:r>
            <w:r>
              <w:t xml:space="preserve"> 14 Feb 2006 p. 695)</w:t>
            </w:r>
          </w:p>
        </w:tc>
      </w:tr>
      <w:tr>
        <w:trPr>
          <w:gridAfter w:val="1"/>
          <w:wAfter w:w="53" w:type="dxa"/>
        </w:trPr>
        <w:tc>
          <w:tcPr>
            <w:tcW w:w="2266" w:type="dxa"/>
            <w:gridSpan w:val="2"/>
          </w:tcPr>
          <w:p>
            <w:pPr>
              <w:pStyle w:val="nTable"/>
              <w:spacing w:after="40"/>
              <w:ind w:right="170"/>
              <w:rPr>
                <w:i/>
                <w:vertAlign w:val="superscript"/>
              </w:rPr>
            </w:pPr>
            <w:r>
              <w:rPr>
                <w:i/>
                <w:snapToGrid w:val="0"/>
              </w:rPr>
              <w:t xml:space="preserve">Courts Legislation Amendment and Repeal Act 2004 </w:t>
            </w:r>
            <w:r>
              <w:rPr>
                <w:snapToGrid w:val="0"/>
              </w:rPr>
              <w:t>s. 141</w:t>
            </w:r>
            <w:r>
              <w:rPr>
                <w:snapToGrid w:val="0"/>
                <w:vertAlign w:val="superscript"/>
              </w:rPr>
              <w:t> 24</w:t>
            </w:r>
          </w:p>
        </w:tc>
        <w:tc>
          <w:tcPr>
            <w:tcW w:w="1133" w:type="dxa"/>
            <w:gridSpan w:val="2"/>
          </w:tcPr>
          <w:p>
            <w:pPr>
              <w:pStyle w:val="nTable"/>
              <w:spacing w:after="40"/>
            </w:pPr>
            <w:r>
              <w:rPr>
                <w:snapToGrid w:val="0"/>
              </w:rPr>
              <w:t>59 of 2004 (as amended by No. 2 of 2008 s. 77(13))</w:t>
            </w:r>
          </w:p>
        </w:tc>
        <w:tc>
          <w:tcPr>
            <w:tcW w:w="1134" w:type="dxa"/>
            <w:gridSpan w:val="2"/>
          </w:tcPr>
          <w:p>
            <w:pPr>
              <w:pStyle w:val="nTable"/>
              <w:spacing w:after="40"/>
            </w:pPr>
            <w:r>
              <w:rPr>
                <w:snapToGrid w:val="0"/>
              </w:rPr>
              <w:t>23 Nov 2004</w:t>
            </w:r>
          </w:p>
        </w:tc>
        <w:tc>
          <w:tcPr>
            <w:tcW w:w="2551" w:type="dxa"/>
            <w:gridSpan w:val="2"/>
          </w:tcPr>
          <w:p>
            <w:pPr>
              <w:pStyle w:val="nTable"/>
              <w:spacing w:after="40"/>
              <w:rPr>
                <w:spacing w:val="-2"/>
              </w:rPr>
            </w:pPr>
            <w:r>
              <w:rPr>
                <w:snapToGrid w:val="0"/>
              </w:rPr>
              <w:t xml:space="preserve">1 May 2005 (see s. 2 and </w:t>
            </w:r>
            <w:r>
              <w:rPr>
                <w:i/>
                <w:snapToGrid w:val="0"/>
              </w:rPr>
              <w:t>Gazette</w:t>
            </w:r>
            <w:r>
              <w:rPr>
                <w:snapToGrid w:val="0"/>
              </w:rPr>
              <w:t xml:space="preserve"> 31 Dec 2004 p. 7128) </w:t>
            </w:r>
          </w:p>
        </w:tc>
      </w:tr>
      <w:tr>
        <w:trPr>
          <w:gridAfter w:val="1"/>
          <w:wAfter w:w="53" w:type="dxa"/>
          <w:cantSplit/>
        </w:trPr>
        <w:tc>
          <w:tcPr>
            <w:tcW w:w="2266" w:type="dxa"/>
            <w:gridSpan w:val="2"/>
          </w:tcPr>
          <w:p>
            <w:pPr>
              <w:pStyle w:val="nTable"/>
              <w:spacing w:after="40"/>
              <w:ind w:right="170"/>
              <w:rPr>
                <w:i/>
              </w:rPr>
            </w:pPr>
            <w:r>
              <w:rPr>
                <w:i/>
              </w:rPr>
              <w:t>State Administrative Tribunal (Conferral of Jurisdiction) Amendment and Repeal Act 2004</w:t>
            </w:r>
            <w:r>
              <w:t xml:space="preserve"> Pt. 2 Div. 58</w:t>
            </w:r>
            <w:r>
              <w:rPr>
                <w:vertAlign w:val="superscript"/>
              </w:rPr>
              <w:t> 25</w:t>
            </w:r>
          </w:p>
        </w:tc>
        <w:tc>
          <w:tcPr>
            <w:tcW w:w="1133" w:type="dxa"/>
            <w:gridSpan w:val="2"/>
          </w:tcPr>
          <w:p>
            <w:pPr>
              <w:pStyle w:val="nTable"/>
              <w:spacing w:after="40"/>
            </w:pPr>
            <w:r>
              <w:t>55 of 2004</w:t>
            </w:r>
          </w:p>
        </w:tc>
        <w:tc>
          <w:tcPr>
            <w:tcW w:w="1134" w:type="dxa"/>
            <w:gridSpan w:val="2"/>
          </w:tcPr>
          <w:p>
            <w:pPr>
              <w:pStyle w:val="nTable"/>
              <w:spacing w:after="40"/>
            </w:pPr>
            <w:r>
              <w:t>24 Nov 2004</w:t>
            </w:r>
          </w:p>
        </w:tc>
        <w:tc>
          <w:tcPr>
            <w:tcW w:w="2551" w:type="dxa"/>
            <w:gridSpan w:val="2"/>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gridAfter w:val="1"/>
          <w:wAfter w:w="53" w:type="dxa"/>
          <w:cantSplit/>
        </w:trPr>
        <w:tc>
          <w:tcPr>
            <w:tcW w:w="2266" w:type="dxa"/>
            <w:gridSpan w:val="2"/>
          </w:tcPr>
          <w:p>
            <w:pPr>
              <w:pStyle w:val="nTable"/>
              <w:spacing w:after="40"/>
              <w:ind w:right="170"/>
            </w:pPr>
            <w:r>
              <w:rPr>
                <w:i/>
              </w:rPr>
              <w:t>Health Legislation Amendment Act 2004</w:t>
            </w:r>
            <w:r>
              <w:t xml:space="preserve"> Pt. 2</w:t>
            </w:r>
          </w:p>
        </w:tc>
        <w:tc>
          <w:tcPr>
            <w:tcW w:w="1133" w:type="dxa"/>
            <w:gridSpan w:val="2"/>
          </w:tcPr>
          <w:p>
            <w:pPr>
              <w:pStyle w:val="nTable"/>
              <w:spacing w:after="40"/>
            </w:pPr>
            <w:r>
              <w:t>61 of 2004</w:t>
            </w:r>
          </w:p>
        </w:tc>
        <w:tc>
          <w:tcPr>
            <w:tcW w:w="1134" w:type="dxa"/>
            <w:gridSpan w:val="2"/>
          </w:tcPr>
          <w:p>
            <w:pPr>
              <w:pStyle w:val="nTable"/>
              <w:spacing w:after="40"/>
            </w:pPr>
            <w:r>
              <w:t>24 Nov 2004</w:t>
            </w:r>
          </w:p>
        </w:tc>
        <w:tc>
          <w:tcPr>
            <w:tcW w:w="2551" w:type="dxa"/>
            <w:gridSpan w:val="2"/>
          </w:tcPr>
          <w:p>
            <w:pPr>
              <w:pStyle w:val="nTable"/>
              <w:spacing w:after="40"/>
              <w:rPr>
                <w:spacing w:val="-2"/>
              </w:rPr>
            </w:pPr>
            <w:r>
              <w:rPr>
                <w:spacing w:val="-2"/>
              </w:rPr>
              <w:t>24 Nov 2004 (see s. 2)</w:t>
            </w:r>
          </w:p>
        </w:tc>
      </w:tr>
      <w:tr>
        <w:trPr>
          <w:gridAfter w:val="1"/>
          <w:wAfter w:w="53" w:type="dxa"/>
          <w:cantSplit/>
        </w:trPr>
        <w:tc>
          <w:tcPr>
            <w:tcW w:w="2266" w:type="dxa"/>
            <w:gridSpan w:val="2"/>
          </w:tcPr>
          <w:p>
            <w:pPr>
              <w:pStyle w:val="nTable"/>
              <w:spacing w:after="40"/>
              <w:ind w:right="170"/>
              <w:rPr>
                <w:i/>
              </w:rPr>
            </w:pPr>
            <w:r>
              <w:rPr>
                <w:i/>
                <w:snapToGrid w:val="0"/>
              </w:rPr>
              <w:t>Criminal Procedure and Appeals (Consequential and Other Provisions) Act 2004</w:t>
            </w:r>
            <w:r>
              <w:rPr>
                <w:snapToGrid w:val="0"/>
              </w:rPr>
              <w:t xml:space="preserve"> s. 78, 80 and 82</w:t>
            </w:r>
          </w:p>
        </w:tc>
        <w:tc>
          <w:tcPr>
            <w:tcW w:w="1133" w:type="dxa"/>
            <w:gridSpan w:val="2"/>
          </w:tcPr>
          <w:p>
            <w:pPr>
              <w:pStyle w:val="nTable"/>
              <w:spacing w:after="40"/>
            </w:pPr>
            <w:r>
              <w:rPr>
                <w:snapToGrid w:val="0"/>
              </w:rPr>
              <w:t>84 of 2004</w:t>
            </w:r>
          </w:p>
        </w:tc>
        <w:tc>
          <w:tcPr>
            <w:tcW w:w="1134" w:type="dxa"/>
            <w:gridSpan w:val="2"/>
          </w:tcPr>
          <w:p>
            <w:pPr>
              <w:pStyle w:val="nTable"/>
              <w:spacing w:after="40"/>
            </w:pPr>
            <w:r>
              <w:t>16 Dec 2004</w:t>
            </w:r>
          </w:p>
        </w:tc>
        <w:tc>
          <w:tcPr>
            <w:tcW w:w="2551" w:type="dxa"/>
            <w:gridSpan w:val="2"/>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1"/>
          <w:wAfter w:w="50" w:type="dxa"/>
          <w:cantSplit/>
        </w:trPr>
        <w:tc>
          <w:tcPr>
            <w:tcW w:w="7087" w:type="dxa"/>
            <w:gridSpan w:val="8"/>
          </w:tcPr>
          <w:p>
            <w:pPr>
              <w:pStyle w:val="nTable"/>
              <w:spacing w:after="40"/>
              <w:rPr>
                <w:snapToGrid w:val="0"/>
              </w:rPr>
            </w:pPr>
            <w:r>
              <w:rPr>
                <w:b/>
              </w:rPr>
              <w:t xml:space="preserve">Reprint 13: The </w:t>
            </w:r>
            <w:r>
              <w:rPr>
                <w:b/>
                <w:i/>
              </w:rPr>
              <w:t>Health Act 1911</w:t>
            </w:r>
            <w:r>
              <w:rPr>
                <w:b/>
              </w:rPr>
              <w:t xml:space="preserve"> as at 15 Jul 2005 </w:t>
            </w:r>
            <w:r>
              <w:t xml:space="preserve">(includes amendments listed above except those in the </w:t>
            </w:r>
            <w:r>
              <w:rPr>
                <w:i/>
                <w:snapToGrid w:val="0"/>
              </w:rPr>
              <w:t>Children and Community Services Act 2004</w:t>
            </w:r>
            <w:r>
              <w:t>)</w:t>
            </w:r>
          </w:p>
        </w:tc>
      </w:tr>
      <w:tr>
        <w:trPr>
          <w:gridAfter w:val="1"/>
          <w:wAfter w:w="53" w:type="dxa"/>
        </w:trPr>
        <w:tc>
          <w:tcPr>
            <w:tcW w:w="2266" w:type="dxa"/>
            <w:gridSpan w:val="2"/>
          </w:tcPr>
          <w:p>
            <w:pPr>
              <w:pStyle w:val="nTable"/>
              <w:spacing w:after="40"/>
            </w:pPr>
            <w:r>
              <w:rPr>
                <w:i/>
              </w:rPr>
              <w:t>Tobacco Products Control Act 2006</w:t>
            </w:r>
            <w:r>
              <w:t xml:space="preserve"> s. 126</w:t>
            </w:r>
          </w:p>
        </w:tc>
        <w:tc>
          <w:tcPr>
            <w:tcW w:w="1133" w:type="dxa"/>
            <w:gridSpan w:val="2"/>
          </w:tcPr>
          <w:p>
            <w:pPr>
              <w:pStyle w:val="nTable"/>
              <w:spacing w:after="40"/>
            </w:pPr>
            <w:r>
              <w:t>5 of 2006</w:t>
            </w:r>
          </w:p>
        </w:tc>
        <w:tc>
          <w:tcPr>
            <w:tcW w:w="1134" w:type="dxa"/>
            <w:gridSpan w:val="2"/>
          </w:tcPr>
          <w:p>
            <w:pPr>
              <w:pStyle w:val="nTable"/>
              <w:spacing w:after="40"/>
            </w:pPr>
            <w:r>
              <w:t>12 Apr 2006</w:t>
            </w:r>
          </w:p>
        </w:tc>
        <w:tc>
          <w:tcPr>
            <w:tcW w:w="2551" w:type="dxa"/>
            <w:gridSpan w:val="2"/>
          </w:tcPr>
          <w:p>
            <w:pPr>
              <w:pStyle w:val="nTable"/>
              <w:spacing w:after="40"/>
            </w:pPr>
            <w:r>
              <w:t xml:space="preserve">31 Jul 2006 (see s. 2 and </w:t>
            </w:r>
            <w:r>
              <w:rPr>
                <w:i/>
              </w:rPr>
              <w:t>Gazette</w:t>
            </w:r>
            <w:r>
              <w:t xml:space="preserve"> 25 Jul 2006 p. 2701)</w:t>
            </w:r>
          </w:p>
        </w:tc>
      </w:tr>
      <w:tr>
        <w:trPr>
          <w:gridAfter w:val="1"/>
          <w:wAfter w:w="53" w:type="dxa"/>
        </w:trPr>
        <w:tc>
          <w:tcPr>
            <w:tcW w:w="2266" w:type="dxa"/>
            <w:gridSpan w:val="2"/>
          </w:tcPr>
          <w:p>
            <w:pPr>
              <w:pStyle w:val="nTable"/>
              <w:spacing w:after="40"/>
            </w:pPr>
            <w:r>
              <w:rPr>
                <w:i/>
              </w:rPr>
              <w:t>Health Amendment Act 2006</w:t>
            </w:r>
            <w:r>
              <w:t xml:space="preserve"> </w:t>
            </w:r>
          </w:p>
        </w:tc>
        <w:tc>
          <w:tcPr>
            <w:tcW w:w="1133" w:type="dxa"/>
            <w:gridSpan w:val="2"/>
          </w:tcPr>
          <w:p>
            <w:pPr>
              <w:pStyle w:val="nTable"/>
              <w:spacing w:after="40"/>
            </w:pPr>
            <w:r>
              <w:t>23 of 2006</w:t>
            </w:r>
          </w:p>
        </w:tc>
        <w:tc>
          <w:tcPr>
            <w:tcW w:w="1134" w:type="dxa"/>
            <w:gridSpan w:val="2"/>
          </w:tcPr>
          <w:p>
            <w:pPr>
              <w:pStyle w:val="nTable"/>
              <w:spacing w:after="40"/>
            </w:pPr>
            <w:r>
              <w:t>9 Jun 2006</w:t>
            </w:r>
          </w:p>
        </w:tc>
        <w:tc>
          <w:tcPr>
            <w:tcW w:w="2551" w:type="dxa"/>
            <w:gridSpan w:val="2"/>
          </w:tcPr>
          <w:p>
            <w:pPr>
              <w:pStyle w:val="nTable"/>
              <w:spacing w:after="40"/>
            </w:pPr>
            <w:r>
              <w:t>7 Jul 2006 (see s. 2)</w:t>
            </w:r>
          </w:p>
        </w:tc>
      </w:tr>
      <w:tr>
        <w:trPr>
          <w:gridAfter w:val="1"/>
          <w:wAfter w:w="53" w:type="dxa"/>
          <w:cantSplit/>
        </w:trPr>
        <w:tc>
          <w:tcPr>
            <w:tcW w:w="2266" w:type="dxa"/>
            <w:gridSpan w:val="2"/>
          </w:tcPr>
          <w:p>
            <w:pPr>
              <w:pStyle w:val="nTable"/>
              <w:spacing w:after="40"/>
              <w:ind w:left="-28"/>
              <w:rPr>
                <w:snapToGrid w:val="0"/>
                <w:vertAlign w:val="superscript"/>
              </w:rPr>
            </w:pPr>
            <w:r>
              <w:rPr>
                <w:i/>
                <w:snapToGrid w:val="0"/>
              </w:rPr>
              <w:t>Machinery of Government (Miscellaneous Amendments) Act 2006</w:t>
            </w:r>
            <w:r>
              <w:rPr>
                <w:snapToGrid w:val="0"/>
              </w:rPr>
              <w:t xml:space="preserve"> Pt. 9 Div. 2</w:t>
            </w:r>
            <w:r>
              <w:rPr>
                <w:snapToGrid w:val="0"/>
                <w:vertAlign w:val="superscript"/>
              </w:rPr>
              <w:t> 26</w:t>
            </w:r>
          </w:p>
        </w:tc>
        <w:tc>
          <w:tcPr>
            <w:tcW w:w="1133" w:type="dxa"/>
            <w:gridSpan w:val="2"/>
          </w:tcPr>
          <w:p>
            <w:pPr>
              <w:pStyle w:val="nTable"/>
              <w:spacing w:after="40"/>
              <w:rPr>
                <w:snapToGrid w:val="0"/>
              </w:rPr>
            </w:pPr>
            <w:r>
              <w:rPr>
                <w:snapToGrid w:val="0"/>
              </w:rPr>
              <w:t>28 of 2006</w:t>
            </w:r>
          </w:p>
        </w:tc>
        <w:tc>
          <w:tcPr>
            <w:tcW w:w="1134" w:type="dxa"/>
            <w:gridSpan w:val="2"/>
          </w:tcPr>
          <w:p>
            <w:pPr>
              <w:pStyle w:val="nTable"/>
              <w:spacing w:after="40"/>
            </w:pPr>
            <w:r>
              <w:t>26 Jun 2006</w:t>
            </w:r>
          </w:p>
        </w:tc>
        <w:tc>
          <w:tcPr>
            <w:tcW w:w="2551" w:type="dxa"/>
            <w:gridSpan w:val="2"/>
          </w:tcPr>
          <w:p>
            <w:pPr>
              <w:pStyle w:val="nTable"/>
              <w:spacing w:after="40"/>
            </w:pPr>
            <w:r>
              <w:t xml:space="preserve">1 Jul 2006 (see s. 2 and </w:t>
            </w:r>
            <w:r>
              <w:rPr>
                <w:i/>
              </w:rPr>
              <w:t>Gazette</w:t>
            </w:r>
            <w:r>
              <w:t xml:space="preserve"> 27 Jun 2006 p. 2347)</w:t>
            </w:r>
          </w:p>
        </w:tc>
      </w:tr>
      <w:tr>
        <w:trPr>
          <w:gridAfter w:val="1"/>
          <w:wAfter w:w="53" w:type="dxa"/>
        </w:trPr>
        <w:tc>
          <w:tcPr>
            <w:tcW w:w="2266" w:type="dxa"/>
            <w:gridSpan w:val="2"/>
          </w:tcPr>
          <w:p>
            <w:pPr>
              <w:pStyle w:val="nTable"/>
              <w:spacing w:after="40"/>
              <w:rPr>
                <w:i/>
                <w:snapToGrid w:val="0"/>
              </w:rPr>
            </w:pPr>
            <w:r>
              <w:rPr>
                <w:i/>
                <w:snapToGrid w:val="0"/>
              </w:rPr>
              <w:t>Nurses and Midwives Act 2006</w:t>
            </w:r>
            <w:r>
              <w:rPr>
                <w:snapToGrid w:val="0"/>
              </w:rPr>
              <w:t xml:space="preserve"> Sch. 3 cl. 9</w:t>
            </w:r>
          </w:p>
        </w:tc>
        <w:tc>
          <w:tcPr>
            <w:tcW w:w="1133" w:type="dxa"/>
            <w:gridSpan w:val="2"/>
          </w:tcPr>
          <w:p>
            <w:pPr>
              <w:pStyle w:val="nTable"/>
              <w:spacing w:after="40"/>
              <w:rPr>
                <w:snapToGrid w:val="0"/>
              </w:rPr>
            </w:pPr>
            <w:r>
              <w:rPr>
                <w:snapToGrid w:val="0"/>
              </w:rPr>
              <w:t>50 of 2006</w:t>
            </w:r>
          </w:p>
        </w:tc>
        <w:tc>
          <w:tcPr>
            <w:tcW w:w="1134" w:type="dxa"/>
            <w:gridSpan w:val="2"/>
          </w:tcPr>
          <w:p>
            <w:pPr>
              <w:pStyle w:val="nTable"/>
              <w:spacing w:after="40"/>
              <w:rPr>
                <w:snapToGrid w:val="0"/>
              </w:rPr>
            </w:pPr>
            <w:r>
              <w:rPr>
                <w:snapToGrid w:val="0"/>
              </w:rPr>
              <w:t>6 Oct 2006</w:t>
            </w:r>
          </w:p>
        </w:tc>
        <w:tc>
          <w:tcPr>
            <w:tcW w:w="2551"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1"/>
          <w:wAfter w:w="53" w:type="dxa"/>
          <w:cantSplit/>
        </w:trPr>
        <w:tc>
          <w:tcPr>
            <w:tcW w:w="2266" w:type="dxa"/>
            <w:gridSpan w:val="2"/>
          </w:tcPr>
          <w:p>
            <w:pPr>
              <w:pStyle w:val="nTable"/>
              <w:spacing w:after="40"/>
              <w:ind w:left="-28"/>
              <w:rPr>
                <w:i/>
                <w:snapToGrid w:val="0"/>
              </w:rPr>
            </w:pPr>
            <w:r>
              <w:rPr>
                <w:i/>
                <w:snapToGrid w:val="0"/>
              </w:rPr>
              <w:t>Land Information Authority Act 2006</w:t>
            </w:r>
            <w:r>
              <w:rPr>
                <w:snapToGrid w:val="0"/>
              </w:rPr>
              <w:t xml:space="preserve"> s. 135</w:t>
            </w:r>
            <w:r>
              <w:rPr>
                <w:snapToGrid w:val="0"/>
                <w:vertAlign w:val="superscript"/>
              </w:rPr>
              <w:t xml:space="preserve"> </w:t>
            </w:r>
          </w:p>
        </w:tc>
        <w:tc>
          <w:tcPr>
            <w:tcW w:w="1133" w:type="dxa"/>
            <w:gridSpan w:val="2"/>
          </w:tcPr>
          <w:p>
            <w:pPr>
              <w:pStyle w:val="nTable"/>
              <w:spacing w:after="40"/>
              <w:rPr>
                <w:snapToGrid w:val="0"/>
              </w:rPr>
            </w:pPr>
            <w:r>
              <w:rPr>
                <w:snapToGrid w:val="0"/>
              </w:rPr>
              <w:t>60 of 2006</w:t>
            </w:r>
          </w:p>
        </w:tc>
        <w:tc>
          <w:tcPr>
            <w:tcW w:w="1134" w:type="dxa"/>
            <w:gridSpan w:val="2"/>
          </w:tcPr>
          <w:p>
            <w:pPr>
              <w:pStyle w:val="nTable"/>
              <w:spacing w:after="40"/>
            </w:pPr>
            <w:r>
              <w:rPr>
                <w:snapToGrid w:val="0"/>
              </w:rPr>
              <w:t>16 Nov 2006</w:t>
            </w:r>
          </w:p>
        </w:tc>
        <w:tc>
          <w:tcPr>
            <w:tcW w:w="2551" w:type="dxa"/>
            <w:gridSpan w:val="2"/>
          </w:tcPr>
          <w:p>
            <w:pPr>
              <w:pStyle w:val="nTable"/>
              <w:spacing w:after="40"/>
            </w:pPr>
            <w:r>
              <w:t xml:space="preserve">1 Jan 2007 (see s. 2(1) and </w:t>
            </w:r>
            <w:r>
              <w:rPr>
                <w:i/>
                <w:iCs/>
              </w:rPr>
              <w:t xml:space="preserve">Gazette </w:t>
            </w:r>
            <w:r>
              <w:t>8 Dec 2006 p. 5369)</w:t>
            </w:r>
          </w:p>
        </w:tc>
      </w:tr>
      <w:tr>
        <w:trPr>
          <w:gridAfter w:val="1"/>
          <w:wAfter w:w="53" w:type="dxa"/>
        </w:trPr>
        <w:tc>
          <w:tcPr>
            <w:tcW w:w="2266" w:type="dxa"/>
            <w:gridSpan w:val="2"/>
          </w:tcPr>
          <w:p>
            <w:pPr>
              <w:pStyle w:val="nTable"/>
              <w:spacing w:after="40"/>
              <w:rPr>
                <w:i/>
                <w:snapToGrid w:val="0"/>
              </w:rPr>
            </w:pPr>
            <w:r>
              <w:rPr>
                <w:i/>
                <w:snapToGrid w:val="0"/>
              </w:rPr>
              <w:t xml:space="preserve">Financial Legislation Amendment and Repeal Act 2006 </w:t>
            </w:r>
            <w:r>
              <w:rPr>
                <w:iCs/>
                <w:snapToGrid w:val="0"/>
              </w:rPr>
              <w:t>Sch. 1 cl. 80</w:t>
            </w:r>
          </w:p>
        </w:tc>
        <w:tc>
          <w:tcPr>
            <w:tcW w:w="1133" w:type="dxa"/>
            <w:gridSpan w:val="2"/>
          </w:tcPr>
          <w:p>
            <w:pPr>
              <w:pStyle w:val="nTable"/>
              <w:spacing w:after="40"/>
              <w:rPr>
                <w:snapToGrid w:val="0"/>
              </w:rPr>
            </w:pPr>
            <w:r>
              <w:rPr>
                <w:snapToGrid w:val="0"/>
              </w:rPr>
              <w:t xml:space="preserve">77 of 2006 </w:t>
            </w:r>
          </w:p>
        </w:tc>
        <w:tc>
          <w:tcPr>
            <w:tcW w:w="1134" w:type="dxa"/>
            <w:gridSpan w:val="2"/>
          </w:tcPr>
          <w:p>
            <w:pPr>
              <w:pStyle w:val="nTable"/>
              <w:spacing w:after="40"/>
              <w:rPr>
                <w:snapToGrid w:val="0"/>
              </w:rPr>
            </w:pPr>
            <w:r>
              <w:rPr>
                <w:snapToGrid w:val="0"/>
              </w:rPr>
              <w:t>21 Dec 2006</w:t>
            </w:r>
          </w:p>
        </w:tc>
        <w:tc>
          <w:tcPr>
            <w:tcW w:w="2551" w:type="dxa"/>
            <w:gridSpan w:val="2"/>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gridAfter w:val="1"/>
          <w:wAfter w:w="53" w:type="dxa"/>
        </w:trPr>
        <w:tc>
          <w:tcPr>
            <w:tcW w:w="2266" w:type="dxa"/>
            <w:gridSpan w:val="2"/>
          </w:tcPr>
          <w:p>
            <w:pPr>
              <w:pStyle w:val="nTable"/>
              <w:spacing w:after="40"/>
              <w:rPr>
                <w:i/>
                <w:snapToGrid w:val="0"/>
              </w:rPr>
            </w:pPr>
            <w:r>
              <w:rPr>
                <w:i/>
              </w:rPr>
              <w:t>Chemistry Centre (WA) Act 2007</w:t>
            </w:r>
            <w:r>
              <w:rPr>
                <w:iCs/>
              </w:rPr>
              <w:t xml:space="preserve"> s. 43 </w:t>
            </w:r>
          </w:p>
        </w:tc>
        <w:tc>
          <w:tcPr>
            <w:tcW w:w="1133" w:type="dxa"/>
            <w:gridSpan w:val="2"/>
          </w:tcPr>
          <w:p>
            <w:pPr>
              <w:pStyle w:val="nTable"/>
              <w:spacing w:after="40"/>
              <w:rPr>
                <w:snapToGrid w:val="0"/>
              </w:rPr>
            </w:pPr>
            <w:r>
              <w:t>10 of 2007</w:t>
            </w:r>
          </w:p>
        </w:tc>
        <w:tc>
          <w:tcPr>
            <w:tcW w:w="1134" w:type="dxa"/>
            <w:gridSpan w:val="2"/>
          </w:tcPr>
          <w:p>
            <w:pPr>
              <w:pStyle w:val="nTable"/>
              <w:spacing w:after="40"/>
              <w:rPr>
                <w:snapToGrid w:val="0"/>
              </w:rPr>
            </w:pPr>
            <w:r>
              <w:t>29 Jun 2007</w:t>
            </w:r>
          </w:p>
        </w:tc>
        <w:tc>
          <w:tcPr>
            <w:tcW w:w="2551" w:type="dxa"/>
            <w:gridSpan w:val="2"/>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gridAfter w:val="1"/>
          <w:wAfter w:w="50" w:type="dxa"/>
          <w:cantSplit/>
        </w:trPr>
        <w:tc>
          <w:tcPr>
            <w:tcW w:w="7087" w:type="dxa"/>
            <w:gridSpan w:val="8"/>
          </w:tcPr>
          <w:p>
            <w:pPr>
              <w:pStyle w:val="nTable"/>
              <w:spacing w:after="40"/>
              <w:rPr>
                <w:snapToGrid w:val="0"/>
              </w:rPr>
            </w:pPr>
            <w:r>
              <w:rPr>
                <w:b/>
              </w:rPr>
              <w:t xml:space="preserve">Reprint 14: The </w:t>
            </w:r>
            <w:r>
              <w:rPr>
                <w:b/>
                <w:i/>
              </w:rPr>
              <w:t>Health Act 1911</w:t>
            </w:r>
            <w:r>
              <w:rPr>
                <w:b/>
              </w:rPr>
              <w:t xml:space="preserve"> as at 5 Oct 2007 </w:t>
            </w:r>
            <w:r>
              <w:t>(includes amendments listed above)</w:t>
            </w:r>
          </w:p>
        </w:tc>
      </w:tr>
      <w:tr>
        <w:trPr>
          <w:gridAfter w:val="1"/>
          <w:wAfter w:w="53" w:type="dxa"/>
          <w:cantSplit/>
        </w:trPr>
        <w:tc>
          <w:tcPr>
            <w:tcW w:w="2266" w:type="dxa"/>
            <w:gridSpan w:val="2"/>
          </w:tcPr>
          <w:p>
            <w:pPr>
              <w:pStyle w:val="nTable"/>
              <w:spacing w:after="40"/>
              <w:rPr>
                <w:i/>
                <w:iCs/>
                <w:snapToGrid w:val="0"/>
              </w:rPr>
            </w:pPr>
            <w:r>
              <w:rPr>
                <w:i/>
                <w:snapToGrid w:val="0"/>
              </w:rPr>
              <w:t>Biosecurity and Agriculture Management (Repeal and Consequential Provisions) Act 2007</w:t>
            </w:r>
            <w:r>
              <w:rPr>
                <w:iCs/>
                <w:snapToGrid w:val="0"/>
              </w:rPr>
              <w:t xml:space="preserve"> s. 10</w:t>
            </w:r>
          </w:p>
        </w:tc>
        <w:tc>
          <w:tcPr>
            <w:tcW w:w="1133" w:type="dxa"/>
            <w:gridSpan w:val="2"/>
          </w:tcPr>
          <w:p>
            <w:pPr>
              <w:pStyle w:val="nTable"/>
              <w:spacing w:after="40"/>
              <w:rPr>
                <w:snapToGrid w:val="0"/>
              </w:rPr>
            </w:pPr>
            <w:r>
              <w:rPr>
                <w:snapToGrid w:val="0"/>
              </w:rPr>
              <w:t>24 of 2007</w:t>
            </w:r>
          </w:p>
        </w:tc>
        <w:tc>
          <w:tcPr>
            <w:tcW w:w="1134" w:type="dxa"/>
            <w:gridSpan w:val="2"/>
          </w:tcPr>
          <w:p>
            <w:pPr>
              <w:pStyle w:val="nTable"/>
              <w:spacing w:after="40"/>
            </w:pPr>
            <w:r>
              <w:rPr>
                <w:snapToGrid w:val="0"/>
              </w:rPr>
              <w:t>12 Oct 2007</w:t>
            </w:r>
          </w:p>
        </w:tc>
        <w:tc>
          <w:tcPr>
            <w:tcW w:w="2551" w:type="dxa"/>
            <w:gridSpan w:val="2"/>
          </w:tcPr>
          <w:p>
            <w:pPr>
              <w:pStyle w:val="nTable"/>
              <w:spacing w:after="40"/>
              <w:rPr>
                <w:snapToGrid w:val="0"/>
              </w:rPr>
            </w:pPr>
            <w:r>
              <w:rPr>
                <w:iCs/>
                <w:snapToGrid w:val="0"/>
              </w:rPr>
              <w:t xml:space="preserve">24 Oct 2007 (see s. 2(1) and </w:t>
            </w:r>
            <w:r>
              <w:rPr>
                <w:i/>
                <w:snapToGrid w:val="0"/>
              </w:rPr>
              <w:t>Gazette</w:t>
            </w:r>
            <w:r>
              <w:rPr>
                <w:iCs/>
                <w:snapToGrid w:val="0"/>
              </w:rPr>
              <w:t xml:space="preserve"> 23 Oct 2007 p. 5645</w:t>
            </w:r>
            <w:r>
              <w:rPr>
                <w:snapToGrid w:val="0"/>
              </w:rPr>
              <w:t>)</w:t>
            </w:r>
          </w:p>
        </w:tc>
      </w:tr>
      <w:tr>
        <w:trPr>
          <w:gridAfter w:val="1"/>
          <w:wAfter w:w="53" w:type="dxa"/>
        </w:trPr>
        <w:tc>
          <w:tcPr>
            <w:tcW w:w="2266" w:type="dxa"/>
            <w:gridSpan w:val="2"/>
          </w:tcPr>
          <w:p>
            <w:pPr>
              <w:pStyle w:val="nTable"/>
              <w:spacing w:after="40"/>
              <w:rPr>
                <w:i/>
                <w:snapToGrid w:val="0"/>
              </w:rPr>
            </w:pPr>
            <w:r>
              <w:rPr>
                <w:i/>
                <w:snapToGrid w:val="0"/>
              </w:rPr>
              <w:t xml:space="preserve">Waste Avoidance and Resource Recovery Act 2007 </w:t>
            </w:r>
            <w:r>
              <w:rPr>
                <w:iCs/>
                <w:snapToGrid w:val="0"/>
              </w:rPr>
              <w:t>Sch. 4 cl. 4</w:t>
            </w:r>
          </w:p>
        </w:tc>
        <w:tc>
          <w:tcPr>
            <w:tcW w:w="1133" w:type="dxa"/>
            <w:gridSpan w:val="2"/>
          </w:tcPr>
          <w:p>
            <w:pPr>
              <w:pStyle w:val="nTable"/>
              <w:spacing w:after="40"/>
              <w:rPr>
                <w:snapToGrid w:val="0"/>
              </w:rPr>
            </w:pPr>
            <w:r>
              <w:rPr>
                <w:snapToGrid w:val="0"/>
              </w:rPr>
              <w:t>36 of 2007</w:t>
            </w:r>
          </w:p>
        </w:tc>
        <w:tc>
          <w:tcPr>
            <w:tcW w:w="1134" w:type="dxa"/>
            <w:gridSpan w:val="2"/>
          </w:tcPr>
          <w:p>
            <w:pPr>
              <w:pStyle w:val="nTable"/>
              <w:spacing w:after="40"/>
              <w:rPr>
                <w:snapToGrid w:val="0"/>
              </w:rPr>
            </w:pPr>
            <w:r>
              <w:rPr>
                <w:snapToGrid w:val="0"/>
              </w:rPr>
              <w:t>21 Dec 2007</w:t>
            </w:r>
          </w:p>
        </w:tc>
        <w:tc>
          <w:tcPr>
            <w:tcW w:w="2551" w:type="dxa"/>
            <w:gridSpan w:val="2"/>
          </w:tcPr>
          <w:p>
            <w:pPr>
              <w:pStyle w:val="nTable"/>
              <w:spacing w:after="40"/>
              <w:rPr>
                <w:iCs/>
                <w:snapToGrid w:val="0"/>
              </w:rPr>
            </w:pPr>
            <w:r>
              <w:rPr>
                <w:iCs/>
                <w:snapToGrid w:val="0"/>
              </w:rPr>
              <w:t xml:space="preserve">1 Jul 2008 (see s. 2(b) and </w:t>
            </w:r>
            <w:r>
              <w:rPr>
                <w:i/>
                <w:snapToGrid w:val="0"/>
              </w:rPr>
              <w:t>Gazette</w:t>
            </w:r>
            <w:r>
              <w:rPr>
                <w:iCs/>
                <w:snapToGrid w:val="0"/>
              </w:rPr>
              <w:t xml:space="preserve"> 20 Jun 2008 p. 2705)</w:t>
            </w:r>
          </w:p>
        </w:tc>
      </w:tr>
      <w:tr>
        <w:trPr>
          <w:gridAfter w:val="1"/>
          <w:wAfter w:w="53" w:type="dxa"/>
          <w:cantSplit/>
        </w:trPr>
        <w:tc>
          <w:tcPr>
            <w:tcW w:w="2266" w:type="dxa"/>
            <w:gridSpan w:val="2"/>
          </w:tcPr>
          <w:p>
            <w:pPr>
              <w:pStyle w:val="nTable"/>
              <w:spacing w:after="40"/>
              <w:rPr>
                <w:iCs/>
                <w:vertAlign w:val="superscript"/>
              </w:rPr>
            </w:pPr>
            <w:r>
              <w:rPr>
                <w:i/>
              </w:rPr>
              <w:t>Duties Legislation Amendment Act 2008</w:t>
            </w:r>
            <w:r>
              <w:rPr>
                <w:iCs/>
              </w:rPr>
              <w:t xml:space="preserve"> Sch. 1 cl. 13</w:t>
            </w:r>
          </w:p>
        </w:tc>
        <w:tc>
          <w:tcPr>
            <w:tcW w:w="1133" w:type="dxa"/>
            <w:gridSpan w:val="2"/>
          </w:tcPr>
          <w:p>
            <w:pPr>
              <w:pStyle w:val="nTable"/>
              <w:spacing w:after="40"/>
            </w:pPr>
            <w:r>
              <w:t>12 of 2008</w:t>
            </w:r>
          </w:p>
        </w:tc>
        <w:tc>
          <w:tcPr>
            <w:tcW w:w="1134" w:type="dxa"/>
            <w:gridSpan w:val="2"/>
          </w:tcPr>
          <w:p>
            <w:pPr>
              <w:pStyle w:val="nTable"/>
              <w:spacing w:after="40"/>
            </w:pPr>
            <w:r>
              <w:t>14 Apr 2008</w:t>
            </w:r>
          </w:p>
        </w:tc>
        <w:tc>
          <w:tcPr>
            <w:tcW w:w="2551" w:type="dxa"/>
            <w:gridSpan w:val="2"/>
          </w:tcPr>
          <w:p>
            <w:pPr>
              <w:pStyle w:val="nTable"/>
              <w:spacing w:after="40"/>
            </w:pPr>
            <w:r>
              <w:t>1 Jul 2008 (see s. 2(d))</w:t>
            </w:r>
          </w:p>
        </w:tc>
      </w:tr>
      <w:tr>
        <w:tblPrEx>
          <w:tblBorders>
            <w:top w:val="single" w:sz="8" w:space="0" w:color="auto"/>
            <w:bottom w:val="single" w:sz="8" w:space="0" w:color="auto"/>
            <w:insideH w:val="single" w:sz="8" w:space="0" w:color="auto"/>
          </w:tblBorders>
        </w:tblPrEx>
        <w:trPr>
          <w:gridAfter w:val="1"/>
          <w:wAfter w:w="53" w:type="dxa"/>
        </w:trPr>
        <w:tc>
          <w:tcPr>
            <w:tcW w:w="2266" w:type="dxa"/>
            <w:gridSpan w:val="2"/>
            <w:tcBorders>
              <w:top w:val="nil"/>
              <w:bottom w:val="nil"/>
            </w:tcBorders>
          </w:tcPr>
          <w:p>
            <w:pPr>
              <w:pStyle w:val="nTable"/>
              <w:spacing w:after="40"/>
            </w:pPr>
            <w:r>
              <w:rPr>
                <w:i/>
                <w:snapToGrid w:val="0"/>
              </w:rPr>
              <w:t>Medical Practitioners Act 2008</w:t>
            </w:r>
            <w:r>
              <w:t xml:space="preserve"> Sch. 3 cl. 23</w:t>
            </w:r>
          </w:p>
        </w:tc>
        <w:tc>
          <w:tcPr>
            <w:tcW w:w="1133" w:type="dxa"/>
            <w:gridSpan w:val="2"/>
            <w:tcBorders>
              <w:top w:val="nil"/>
              <w:bottom w:val="nil"/>
            </w:tcBorders>
          </w:tcPr>
          <w:p>
            <w:pPr>
              <w:pStyle w:val="nTable"/>
              <w:spacing w:after="40"/>
            </w:pPr>
            <w:r>
              <w:t>22 of 2008</w:t>
            </w:r>
          </w:p>
        </w:tc>
        <w:tc>
          <w:tcPr>
            <w:tcW w:w="1134" w:type="dxa"/>
            <w:gridSpan w:val="2"/>
            <w:tcBorders>
              <w:top w:val="nil"/>
              <w:bottom w:val="nil"/>
            </w:tcBorders>
          </w:tcPr>
          <w:p>
            <w:pPr>
              <w:pStyle w:val="nTable"/>
              <w:spacing w:after="40"/>
            </w:pPr>
            <w:r>
              <w:t>27 May 2008</w:t>
            </w:r>
          </w:p>
        </w:tc>
        <w:tc>
          <w:tcPr>
            <w:tcW w:w="2551"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gridAfter w:val="1"/>
          <w:wAfter w:w="53" w:type="dxa"/>
          <w:cantSplit/>
        </w:trPr>
        <w:tc>
          <w:tcPr>
            <w:tcW w:w="2266" w:type="dxa"/>
            <w:gridSpan w:val="2"/>
          </w:tcPr>
          <w:p>
            <w:pPr>
              <w:pStyle w:val="nTable"/>
              <w:spacing w:after="40"/>
              <w:rPr>
                <w:i/>
              </w:rPr>
            </w:pPr>
            <w:r>
              <w:rPr>
                <w:i/>
                <w:snapToGrid w:val="0"/>
              </w:rPr>
              <w:t>Criminal Law Amendment (Homicide) Act 2008</w:t>
            </w:r>
            <w:r>
              <w:rPr>
                <w:iCs/>
                <w:snapToGrid w:val="0"/>
              </w:rPr>
              <w:t xml:space="preserve"> s. 34</w:t>
            </w:r>
          </w:p>
        </w:tc>
        <w:tc>
          <w:tcPr>
            <w:tcW w:w="1133" w:type="dxa"/>
            <w:gridSpan w:val="2"/>
          </w:tcPr>
          <w:p>
            <w:pPr>
              <w:pStyle w:val="nTable"/>
              <w:spacing w:after="40"/>
            </w:pPr>
            <w:r>
              <w:t>29 of 2008</w:t>
            </w:r>
          </w:p>
        </w:tc>
        <w:tc>
          <w:tcPr>
            <w:tcW w:w="1134" w:type="dxa"/>
            <w:gridSpan w:val="2"/>
          </w:tcPr>
          <w:p>
            <w:pPr>
              <w:pStyle w:val="nTable"/>
              <w:spacing w:after="40"/>
            </w:pPr>
            <w:r>
              <w:t>27 Jun 2008</w:t>
            </w:r>
          </w:p>
        </w:tc>
        <w:tc>
          <w:tcPr>
            <w:tcW w:w="2551"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gridAfter w:val="1"/>
          <w:wAfter w:w="53" w:type="dxa"/>
          <w:cantSplit/>
        </w:trPr>
        <w:tc>
          <w:tcPr>
            <w:tcW w:w="2266" w:type="dxa"/>
            <w:gridSpan w:val="2"/>
          </w:tcPr>
          <w:p>
            <w:pPr>
              <w:pStyle w:val="nTable"/>
              <w:spacing w:after="40"/>
              <w:ind w:right="113"/>
              <w:rPr>
                <w:i/>
              </w:rPr>
            </w:pPr>
            <w:r>
              <w:rPr>
                <w:i/>
                <w:noProof/>
                <w:snapToGrid w:val="0"/>
              </w:rPr>
              <w:t>Food Act 2008</w:t>
            </w:r>
            <w:r>
              <w:rPr>
                <w:iCs/>
                <w:noProof/>
                <w:snapToGrid w:val="0"/>
              </w:rPr>
              <w:t xml:space="preserve"> s. 147</w:t>
            </w:r>
            <w:r>
              <w:rPr>
                <w:iCs/>
                <w:noProof/>
                <w:snapToGrid w:val="0"/>
                <w:vertAlign w:val="superscript"/>
              </w:rPr>
              <w:t> 27</w:t>
            </w:r>
          </w:p>
        </w:tc>
        <w:tc>
          <w:tcPr>
            <w:tcW w:w="1133" w:type="dxa"/>
            <w:gridSpan w:val="2"/>
          </w:tcPr>
          <w:p>
            <w:pPr>
              <w:pStyle w:val="nTable"/>
              <w:spacing w:after="40"/>
            </w:pPr>
            <w:r>
              <w:t>43 of 2008</w:t>
            </w:r>
          </w:p>
        </w:tc>
        <w:tc>
          <w:tcPr>
            <w:tcW w:w="1134" w:type="dxa"/>
            <w:gridSpan w:val="2"/>
          </w:tcPr>
          <w:p>
            <w:pPr>
              <w:pStyle w:val="nTable"/>
              <w:spacing w:after="40"/>
            </w:pPr>
            <w:r>
              <w:t>8 Jul 2008</w:t>
            </w:r>
          </w:p>
        </w:tc>
        <w:tc>
          <w:tcPr>
            <w:tcW w:w="2551" w:type="dxa"/>
            <w:gridSpan w:val="2"/>
          </w:tcPr>
          <w:p>
            <w:pPr>
              <w:pStyle w:val="nTable"/>
              <w:spacing w:after="40"/>
            </w:pPr>
            <w:r>
              <w:t xml:space="preserve">24 Oct 2009 (see s. 2(1)(b) and (2) and </w:t>
            </w:r>
            <w:r>
              <w:rPr>
                <w:i/>
                <w:iCs/>
              </w:rPr>
              <w:t xml:space="preserve">Gazette </w:t>
            </w:r>
            <w:r>
              <w:t>23 Oct 2009 p. 4157)</w:t>
            </w:r>
          </w:p>
        </w:tc>
      </w:tr>
      <w:tr>
        <w:trPr>
          <w:gridAfter w:val="1"/>
          <w:wAfter w:w="53" w:type="dxa"/>
          <w:cantSplit/>
        </w:trPr>
        <w:tc>
          <w:tcPr>
            <w:tcW w:w="2266" w:type="dxa"/>
            <w:gridSpan w:val="2"/>
          </w:tcPr>
          <w:p>
            <w:pPr>
              <w:pStyle w:val="nTable"/>
              <w:spacing w:after="40"/>
              <w:ind w:right="113"/>
              <w:rPr>
                <w:iCs/>
              </w:rPr>
            </w:pPr>
            <w:r>
              <w:rPr>
                <w:i/>
              </w:rPr>
              <w:t>Statutes (Repeals and Miscellaneous Amendments) Act 2009</w:t>
            </w:r>
            <w:r>
              <w:rPr>
                <w:iCs/>
              </w:rPr>
              <w:t xml:space="preserve"> s. 71</w:t>
            </w:r>
          </w:p>
        </w:tc>
        <w:tc>
          <w:tcPr>
            <w:tcW w:w="1133"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50" w:type="dxa"/>
          <w:cantSplit/>
        </w:trPr>
        <w:tc>
          <w:tcPr>
            <w:tcW w:w="7087" w:type="dxa"/>
            <w:gridSpan w:val="8"/>
          </w:tcPr>
          <w:p>
            <w:pPr>
              <w:pStyle w:val="nTable"/>
              <w:spacing w:after="40"/>
            </w:pPr>
            <w:r>
              <w:rPr>
                <w:b/>
              </w:rPr>
              <w:t xml:space="preserve">Reprint 15: The </w:t>
            </w:r>
            <w:r>
              <w:rPr>
                <w:b/>
                <w:i/>
              </w:rPr>
              <w:t>Health Act 1911</w:t>
            </w:r>
            <w:r>
              <w:rPr>
                <w:b/>
              </w:rPr>
              <w:t xml:space="preserve"> as at 20 Nov 2009 </w:t>
            </w:r>
            <w:r>
              <w:t xml:space="preserve">(includes amendments listed above) (correction in </w:t>
            </w:r>
            <w:r>
              <w:rPr>
                <w:i/>
                <w:iCs/>
              </w:rPr>
              <w:t xml:space="preserve">Gazette </w:t>
            </w:r>
            <w:r>
              <w:t>14 Dec 2010 p. 6301)</w:t>
            </w:r>
          </w:p>
        </w:tc>
      </w:tr>
      <w:tr>
        <w:trPr>
          <w:gridAfter w:val="1"/>
          <w:wAfter w:w="53" w:type="dxa"/>
          <w:cantSplit/>
        </w:trPr>
        <w:tc>
          <w:tcPr>
            <w:tcW w:w="2266" w:type="dxa"/>
            <w:gridSpan w:val="2"/>
          </w:tcPr>
          <w:p>
            <w:pPr>
              <w:pStyle w:val="nTable"/>
              <w:spacing w:after="40"/>
              <w:ind w:right="113"/>
              <w:rPr>
                <w:iCs/>
              </w:rPr>
            </w:pPr>
            <w:r>
              <w:rPr>
                <w:i/>
                <w:snapToGrid w:val="0"/>
              </w:rPr>
              <w:t xml:space="preserve">Health Practitioner Regulation National Law (WA) Act 2010 </w:t>
            </w:r>
            <w:r>
              <w:rPr>
                <w:iCs/>
                <w:snapToGrid w:val="0"/>
              </w:rPr>
              <w:t>Pt. 5 Div. 22</w:t>
            </w:r>
          </w:p>
        </w:tc>
        <w:tc>
          <w:tcPr>
            <w:tcW w:w="1133" w:type="dxa"/>
            <w:gridSpan w:val="2"/>
          </w:tcPr>
          <w:p>
            <w:pPr>
              <w:pStyle w:val="nTable"/>
              <w:spacing w:after="40"/>
            </w:pPr>
            <w:r>
              <w:rPr>
                <w:snapToGrid w:val="0"/>
              </w:rPr>
              <w:t>35 of 2010</w:t>
            </w:r>
          </w:p>
        </w:tc>
        <w:tc>
          <w:tcPr>
            <w:tcW w:w="1134" w:type="dxa"/>
            <w:gridSpan w:val="2"/>
          </w:tcPr>
          <w:p>
            <w:pPr>
              <w:pStyle w:val="nTable"/>
              <w:spacing w:after="40"/>
            </w:pPr>
            <w:r>
              <w:rPr>
                <w:snapToGrid w:val="0"/>
              </w:rPr>
              <w:t>30 Aug 2010</w:t>
            </w:r>
          </w:p>
        </w:tc>
        <w:tc>
          <w:tcPr>
            <w:tcW w:w="2551" w:type="dxa"/>
            <w:gridSpan w:val="2"/>
          </w:tcPr>
          <w:p>
            <w:pPr>
              <w:pStyle w:val="nTable"/>
              <w:spacing w:after="40"/>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After w:val="1"/>
          <w:wAfter w:w="53" w:type="dxa"/>
          <w:cantSplit/>
        </w:trPr>
        <w:tc>
          <w:tcPr>
            <w:tcW w:w="2266" w:type="dxa"/>
            <w:gridSpan w:val="2"/>
          </w:tcPr>
          <w:p>
            <w:pPr>
              <w:pStyle w:val="nTable"/>
              <w:spacing w:after="40"/>
              <w:ind w:right="113"/>
              <w:rPr>
                <w:i/>
                <w:snapToGrid w:val="0"/>
              </w:rPr>
            </w:pPr>
            <w:r>
              <w:rPr>
                <w:i/>
                <w:snapToGrid w:val="0"/>
              </w:rPr>
              <w:t>Building Act 2011</w:t>
            </w:r>
            <w:r>
              <w:rPr>
                <w:snapToGrid w:val="0"/>
              </w:rPr>
              <w:t xml:space="preserve"> s. 161</w:t>
            </w:r>
          </w:p>
        </w:tc>
        <w:tc>
          <w:tcPr>
            <w:tcW w:w="1133" w:type="dxa"/>
            <w:gridSpan w:val="2"/>
          </w:tcPr>
          <w:p>
            <w:pPr>
              <w:pStyle w:val="nTable"/>
              <w:spacing w:after="40"/>
              <w:rPr>
                <w:snapToGrid w:val="0"/>
              </w:rPr>
            </w:pPr>
            <w:r>
              <w:rPr>
                <w:snapToGrid w:val="0"/>
              </w:rPr>
              <w:t>24 of 2011</w:t>
            </w:r>
          </w:p>
        </w:tc>
        <w:tc>
          <w:tcPr>
            <w:tcW w:w="1134" w:type="dxa"/>
            <w:gridSpan w:val="2"/>
          </w:tcPr>
          <w:p>
            <w:pPr>
              <w:pStyle w:val="nTable"/>
              <w:spacing w:after="40"/>
              <w:rPr>
                <w:snapToGrid w:val="0"/>
              </w:rPr>
            </w:pPr>
            <w:r>
              <w:rPr>
                <w:snapToGrid w:val="0"/>
              </w:rPr>
              <w:t>11 Jul 2011</w:t>
            </w:r>
          </w:p>
        </w:tc>
        <w:tc>
          <w:tcPr>
            <w:tcW w:w="2551" w:type="dxa"/>
            <w:gridSpan w:val="2"/>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53" w:type="dxa"/>
          <w:cantSplit/>
        </w:trPr>
        <w:tc>
          <w:tcPr>
            <w:tcW w:w="2266" w:type="dxa"/>
            <w:gridSpan w:val="2"/>
          </w:tcPr>
          <w:p>
            <w:pPr>
              <w:pStyle w:val="nTable"/>
              <w:spacing w:after="40"/>
              <w:ind w:right="113"/>
              <w:rPr>
                <w:i/>
                <w:snapToGrid w:val="0"/>
              </w:rPr>
            </w:pPr>
            <w:r>
              <w:rPr>
                <w:i/>
                <w:snapToGrid w:val="0"/>
              </w:rPr>
              <w:t>Education and Care Services National Law (WA) Act 2012</w:t>
            </w:r>
            <w:r>
              <w:rPr>
                <w:snapToGrid w:val="0"/>
              </w:rPr>
              <w:t xml:space="preserve"> Pt. 4 Div. 6</w:t>
            </w:r>
          </w:p>
        </w:tc>
        <w:tc>
          <w:tcPr>
            <w:tcW w:w="1133" w:type="dxa"/>
            <w:gridSpan w:val="2"/>
          </w:tcPr>
          <w:p>
            <w:pPr>
              <w:pStyle w:val="nTable"/>
              <w:spacing w:after="40"/>
              <w:rPr>
                <w:snapToGrid w:val="0"/>
              </w:rPr>
            </w:pPr>
            <w:r>
              <w:rPr>
                <w:snapToGrid w:val="0"/>
              </w:rPr>
              <w:t>11 of 2012</w:t>
            </w:r>
          </w:p>
        </w:tc>
        <w:tc>
          <w:tcPr>
            <w:tcW w:w="1134" w:type="dxa"/>
            <w:gridSpan w:val="2"/>
          </w:tcPr>
          <w:p>
            <w:pPr>
              <w:pStyle w:val="nTable"/>
              <w:spacing w:after="40"/>
              <w:rPr>
                <w:snapToGrid w:val="0"/>
              </w:rPr>
            </w:pPr>
            <w:r>
              <w:t>20 Jun 2012</w:t>
            </w:r>
          </w:p>
        </w:tc>
        <w:tc>
          <w:tcPr>
            <w:tcW w:w="2551" w:type="dxa"/>
            <w:gridSpan w:val="2"/>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gridAfter w:val="1"/>
          <w:wAfter w:w="53" w:type="dxa"/>
          <w:cantSplit/>
        </w:trPr>
        <w:tc>
          <w:tcPr>
            <w:tcW w:w="2266" w:type="dxa"/>
            <w:gridSpan w:val="2"/>
          </w:tcPr>
          <w:p>
            <w:pPr>
              <w:pStyle w:val="nTable"/>
              <w:spacing w:after="40"/>
              <w:ind w:right="113"/>
              <w:rPr>
                <w:i/>
                <w:snapToGrid w:val="0"/>
              </w:rPr>
            </w:pPr>
            <w:r>
              <w:rPr>
                <w:i/>
                <w:snapToGrid w:val="0"/>
              </w:rPr>
              <w:t>Commercial Arbitration Act 2012</w:t>
            </w:r>
            <w:r>
              <w:rPr>
                <w:snapToGrid w:val="0"/>
              </w:rPr>
              <w:t xml:space="preserve"> s. 45 it. 9</w:t>
            </w:r>
          </w:p>
        </w:tc>
        <w:tc>
          <w:tcPr>
            <w:tcW w:w="1133" w:type="dxa"/>
            <w:gridSpan w:val="2"/>
          </w:tcPr>
          <w:p>
            <w:pPr>
              <w:pStyle w:val="nTable"/>
              <w:spacing w:after="40"/>
              <w:rPr>
                <w:snapToGrid w:val="0"/>
              </w:rPr>
            </w:pPr>
            <w:r>
              <w:rPr>
                <w:snapToGrid w:val="0"/>
              </w:rPr>
              <w:t>23 of 2012</w:t>
            </w:r>
          </w:p>
        </w:tc>
        <w:tc>
          <w:tcPr>
            <w:tcW w:w="1134" w:type="dxa"/>
            <w:gridSpan w:val="2"/>
          </w:tcPr>
          <w:p>
            <w:pPr>
              <w:pStyle w:val="nTable"/>
              <w:spacing w:after="40"/>
            </w:pPr>
            <w:r>
              <w:rPr>
                <w:snapToGrid w:val="0"/>
              </w:rPr>
              <w:t>29 Aug 2012</w:t>
            </w:r>
          </w:p>
        </w:tc>
        <w:tc>
          <w:tcPr>
            <w:tcW w:w="2551" w:type="dxa"/>
            <w:gridSpan w:val="2"/>
          </w:tcPr>
          <w:p>
            <w:pPr>
              <w:pStyle w:val="nTable"/>
              <w:keepLines/>
              <w:tabs>
                <w:tab w:val="left" w:pos="893"/>
              </w:tabs>
              <w:spacing w:after="40"/>
              <w:rPr>
                <w:snapToGrid w:val="0"/>
              </w:rPr>
            </w:pPr>
            <w:r>
              <w:rPr>
                <w:snapToGrid w:val="0"/>
              </w:rPr>
              <w:t xml:space="preserve">7 Aug 2013 (see s. 1B(b) and </w:t>
            </w:r>
            <w:r>
              <w:rPr>
                <w:i/>
                <w:snapToGrid w:val="0"/>
              </w:rPr>
              <w:t>Gazette</w:t>
            </w:r>
            <w:r>
              <w:rPr>
                <w:snapToGrid w:val="0"/>
              </w:rPr>
              <w:t xml:space="preserve"> 6 Aug 2013 p. 3677)</w:t>
            </w:r>
          </w:p>
        </w:tc>
      </w:tr>
      <w:tr>
        <w:trPr>
          <w:gridAfter w:val="1"/>
          <w:wAfter w:w="53" w:type="dxa"/>
          <w:cantSplit/>
        </w:trPr>
        <w:tc>
          <w:tcPr>
            <w:tcW w:w="2266" w:type="dxa"/>
            <w:gridSpan w:val="2"/>
          </w:tcPr>
          <w:p>
            <w:pPr>
              <w:pStyle w:val="nTable"/>
              <w:spacing w:after="40"/>
              <w:ind w:right="113"/>
              <w:rPr>
                <w:i/>
                <w:snapToGrid w:val="0"/>
              </w:rPr>
            </w:pPr>
            <w:r>
              <w:rPr>
                <w:i/>
                <w:snapToGrid w:val="0"/>
              </w:rPr>
              <w:t>Water Services Legislation Amendment and Repeal Act 2012</w:t>
            </w:r>
            <w:r>
              <w:rPr>
                <w:snapToGrid w:val="0"/>
              </w:rPr>
              <w:t xml:space="preserve"> s. 216</w:t>
            </w:r>
          </w:p>
        </w:tc>
        <w:tc>
          <w:tcPr>
            <w:tcW w:w="1133" w:type="dxa"/>
            <w:gridSpan w:val="2"/>
          </w:tcPr>
          <w:p>
            <w:pPr>
              <w:pStyle w:val="nTable"/>
              <w:spacing w:after="40"/>
              <w:rPr>
                <w:snapToGrid w:val="0"/>
              </w:rPr>
            </w:pPr>
            <w:r>
              <w:rPr>
                <w:snapToGrid w:val="0"/>
              </w:rPr>
              <w:t>25 of 2012</w:t>
            </w:r>
          </w:p>
        </w:tc>
        <w:tc>
          <w:tcPr>
            <w:tcW w:w="1134" w:type="dxa"/>
            <w:gridSpan w:val="2"/>
          </w:tcPr>
          <w:p>
            <w:pPr>
              <w:pStyle w:val="nTable"/>
              <w:spacing w:after="40"/>
              <w:rPr>
                <w:snapToGrid w:val="0"/>
              </w:rPr>
            </w:pPr>
            <w:r>
              <w:rPr>
                <w:snapToGrid w:val="0"/>
              </w:rPr>
              <w:t>3 Sep 2012</w:t>
            </w:r>
          </w:p>
        </w:tc>
        <w:tc>
          <w:tcPr>
            <w:tcW w:w="2551" w:type="dxa"/>
            <w:gridSpan w:val="2"/>
          </w:tcPr>
          <w:p>
            <w:pPr>
              <w:pStyle w:val="nTable"/>
              <w:keepLines/>
              <w:tabs>
                <w:tab w:val="left" w:pos="893"/>
              </w:tabs>
              <w:spacing w:after="40"/>
              <w:rPr>
                <w:snapToGrid w:val="0"/>
              </w:rPr>
            </w:pPr>
            <w:r>
              <w:rPr>
                <w:snapToGrid w:val="0"/>
              </w:rPr>
              <w:t xml:space="preserve">18 Nov 2013 (see s. 2(b) and </w:t>
            </w:r>
            <w:r>
              <w:rPr>
                <w:i/>
                <w:snapToGrid w:val="0"/>
              </w:rPr>
              <w:t>Gazette</w:t>
            </w:r>
            <w:r>
              <w:rPr>
                <w:snapToGrid w:val="0"/>
              </w:rPr>
              <w:t xml:space="preserve"> 14 Nov 2013 p. 5028)</w:t>
            </w:r>
          </w:p>
        </w:tc>
      </w:tr>
      <w:tr>
        <w:trPr>
          <w:gridAfter w:val="1"/>
          <w:wAfter w:w="50" w:type="dxa"/>
          <w:cantSplit/>
        </w:trPr>
        <w:tc>
          <w:tcPr>
            <w:tcW w:w="7087" w:type="dxa"/>
            <w:gridSpan w:val="8"/>
            <w:shd w:val="clear" w:color="auto" w:fill="auto"/>
          </w:tcPr>
          <w:p>
            <w:pPr>
              <w:pStyle w:val="nTable"/>
              <w:tabs>
                <w:tab w:val="left" w:pos="893"/>
              </w:tabs>
              <w:spacing w:after="40"/>
              <w:rPr>
                <w:snapToGrid w:val="0"/>
              </w:rPr>
            </w:pPr>
            <w:r>
              <w:rPr>
                <w:b/>
              </w:rPr>
              <w:t xml:space="preserve">Reprint 16:  The </w:t>
            </w:r>
            <w:r>
              <w:rPr>
                <w:b/>
                <w:i/>
              </w:rPr>
              <w:t>Health Act 1911</w:t>
            </w:r>
            <w:r>
              <w:rPr>
                <w:b/>
              </w:rPr>
              <w:t xml:space="preserve"> as at 6 Dec 2013 </w:t>
            </w:r>
            <w:r>
              <w:t>(includes amendments listed above)</w:t>
            </w:r>
          </w:p>
        </w:tc>
      </w:tr>
      <w:tr>
        <w:tblPrEx>
          <w:tblBorders>
            <w:top w:val="single" w:sz="8" w:space="0" w:color="auto"/>
            <w:bottom w:val="single" w:sz="8" w:space="0" w:color="auto"/>
            <w:insideH w:val="single" w:sz="8" w:space="0" w:color="auto"/>
          </w:tblBorders>
        </w:tblPrEx>
        <w:trPr>
          <w:gridAfter w:val="1"/>
          <w:wAfter w:w="52" w:type="dxa"/>
        </w:trPr>
        <w:tc>
          <w:tcPr>
            <w:tcW w:w="2266" w:type="dxa"/>
            <w:gridSpan w:val="2"/>
            <w:tcBorders>
              <w:top w:val="nil"/>
              <w:bottom w:val="nil"/>
            </w:tcBorders>
          </w:tcPr>
          <w:p>
            <w:pPr>
              <w:pStyle w:val="nTable"/>
              <w:spacing w:after="40"/>
              <w:rPr>
                <w:vertAlign w:val="superscript"/>
              </w:rPr>
            </w:pPr>
            <w:r>
              <w:rPr>
                <w:i/>
                <w:noProof/>
                <w:snapToGrid w:val="0"/>
              </w:rPr>
              <w:t>Medicines and Poisons Act 2014</w:t>
            </w:r>
            <w:r>
              <w:rPr>
                <w:noProof/>
                <w:snapToGrid w:val="0"/>
              </w:rPr>
              <w:t xml:space="preserve"> Pt. 11 Div. 1</w:t>
            </w:r>
          </w:p>
        </w:tc>
        <w:tc>
          <w:tcPr>
            <w:tcW w:w="1134" w:type="dxa"/>
            <w:gridSpan w:val="2"/>
            <w:tcBorders>
              <w:top w:val="nil"/>
              <w:bottom w:val="nil"/>
            </w:tcBorders>
          </w:tcPr>
          <w:p>
            <w:pPr>
              <w:pStyle w:val="nTable"/>
              <w:spacing w:after="40"/>
            </w:pPr>
            <w:r>
              <w:t>13 of 2014</w:t>
            </w:r>
          </w:p>
        </w:tc>
        <w:tc>
          <w:tcPr>
            <w:tcW w:w="1134" w:type="dxa"/>
            <w:gridSpan w:val="2"/>
            <w:tcBorders>
              <w:top w:val="nil"/>
              <w:bottom w:val="nil"/>
            </w:tcBorders>
          </w:tcPr>
          <w:p>
            <w:pPr>
              <w:pStyle w:val="nTable"/>
              <w:spacing w:after="40"/>
            </w:pPr>
            <w:r>
              <w:t>2 Jul 2014</w:t>
            </w:r>
          </w:p>
        </w:tc>
        <w:tc>
          <w:tcPr>
            <w:tcW w:w="2551" w:type="dxa"/>
            <w:gridSpan w:val="2"/>
            <w:tcBorders>
              <w:top w:val="nil"/>
              <w:bottom w:val="nil"/>
            </w:tcBorders>
          </w:tcPr>
          <w:p>
            <w:pPr>
              <w:pStyle w:val="nTable"/>
              <w:spacing w:after="40"/>
              <w:rPr>
                <w:snapToGrid w:val="0"/>
              </w:rPr>
            </w:pPr>
            <w:r>
              <w:t xml:space="preserve">30 Jan 2017 (see s. 2(b) and </w:t>
            </w:r>
            <w:r>
              <w:rPr>
                <w:i/>
              </w:rPr>
              <w:t>Gazette</w:t>
            </w:r>
            <w:r>
              <w:t xml:space="preserve"> 17 Jan 2017 p. 403)</w:t>
            </w:r>
          </w:p>
        </w:tc>
      </w:tr>
      <w:tr>
        <w:trPr>
          <w:gridAfter w:val="1"/>
          <w:wAfter w:w="53" w:type="dxa"/>
          <w:cantSplit/>
        </w:trPr>
        <w:tc>
          <w:tcPr>
            <w:tcW w:w="2266" w:type="dxa"/>
            <w:gridSpan w:val="2"/>
          </w:tcPr>
          <w:p>
            <w:pPr>
              <w:pStyle w:val="nTable"/>
              <w:spacing w:after="40"/>
              <w:ind w:right="113"/>
              <w:rPr>
                <w:i/>
                <w:snapToGrid w:val="0"/>
              </w:rPr>
            </w:pPr>
            <w:r>
              <w:rPr>
                <w:i/>
                <w:snapToGrid w:val="0"/>
              </w:rPr>
              <w:t>Statutes (Repeals and Minor Amendments) Act 2014</w:t>
            </w:r>
            <w:r>
              <w:rPr>
                <w:snapToGrid w:val="0"/>
              </w:rPr>
              <w:t xml:space="preserve"> s. 23</w:t>
            </w:r>
          </w:p>
        </w:tc>
        <w:tc>
          <w:tcPr>
            <w:tcW w:w="1133" w:type="dxa"/>
            <w:gridSpan w:val="2"/>
          </w:tcPr>
          <w:p>
            <w:pPr>
              <w:pStyle w:val="nTable"/>
              <w:spacing w:after="40"/>
              <w:rPr>
                <w:snapToGrid w:val="0"/>
              </w:rPr>
            </w:pPr>
            <w:r>
              <w:rPr>
                <w:snapToGrid w:val="0"/>
              </w:rPr>
              <w:t>17 of 2014</w:t>
            </w:r>
          </w:p>
        </w:tc>
        <w:tc>
          <w:tcPr>
            <w:tcW w:w="1134" w:type="dxa"/>
            <w:gridSpan w:val="2"/>
          </w:tcPr>
          <w:p>
            <w:pPr>
              <w:pStyle w:val="nTable"/>
              <w:spacing w:after="40"/>
              <w:rPr>
                <w:snapToGrid w:val="0"/>
              </w:rPr>
            </w:pPr>
            <w:r>
              <w:rPr>
                <w:snapToGrid w:val="0"/>
              </w:rPr>
              <w:t>2 Jul 2014</w:t>
            </w:r>
          </w:p>
        </w:tc>
        <w:tc>
          <w:tcPr>
            <w:tcW w:w="2551" w:type="dxa"/>
            <w:gridSpan w:val="2"/>
          </w:tcPr>
          <w:p>
            <w:pPr>
              <w:pStyle w:val="nTable"/>
              <w:keepLines/>
              <w:tabs>
                <w:tab w:val="left" w:pos="893"/>
              </w:tabs>
              <w:spacing w:after="40"/>
              <w:rPr>
                <w:snapToGrid w:val="0"/>
              </w:rPr>
            </w:pPr>
            <w:r>
              <w:rPr>
                <w:snapToGrid w:val="0"/>
              </w:rPr>
              <w:t xml:space="preserve">6 Sep 2014 (see s. 2(b) and </w:t>
            </w:r>
            <w:r>
              <w:rPr>
                <w:i/>
                <w:snapToGrid w:val="0"/>
              </w:rPr>
              <w:t>Gazette</w:t>
            </w:r>
            <w:r>
              <w:rPr>
                <w:snapToGrid w:val="0"/>
              </w:rPr>
              <w:t xml:space="preserve"> 5 Sep 2014 p. 3213)</w:t>
            </w:r>
          </w:p>
        </w:tc>
      </w:tr>
      <w:tr>
        <w:trPr>
          <w:gridAfter w:val="1"/>
          <w:wAfter w:w="53" w:type="dxa"/>
          <w:cantSplit/>
        </w:trPr>
        <w:tc>
          <w:tcPr>
            <w:tcW w:w="2266" w:type="dxa"/>
            <w:gridSpan w:val="2"/>
          </w:tcPr>
          <w:p>
            <w:pPr>
              <w:pStyle w:val="nTable"/>
              <w:spacing w:after="40"/>
              <w:ind w:right="113"/>
              <w:rPr>
                <w:i/>
                <w:snapToGrid w:val="0"/>
              </w:rPr>
            </w:pPr>
            <w:r>
              <w:rPr>
                <w:i/>
                <w:snapToGrid w:val="0"/>
              </w:rPr>
              <w:t>Health Services Act 2016</w:t>
            </w:r>
            <w:r>
              <w:rPr>
                <w:snapToGrid w:val="0"/>
              </w:rPr>
              <w:t xml:space="preserve"> s. 291</w:t>
            </w:r>
          </w:p>
        </w:tc>
        <w:tc>
          <w:tcPr>
            <w:tcW w:w="1133" w:type="dxa"/>
            <w:gridSpan w:val="2"/>
          </w:tcPr>
          <w:p>
            <w:pPr>
              <w:pStyle w:val="nTable"/>
              <w:spacing w:after="40"/>
              <w:rPr>
                <w:snapToGrid w:val="0"/>
              </w:rPr>
            </w:pPr>
            <w:r>
              <w:t>11 of 2016</w:t>
            </w:r>
          </w:p>
        </w:tc>
        <w:tc>
          <w:tcPr>
            <w:tcW w:w="1134" w:type="dxa"/>
            <w:gridSpan w:val="2"/>
          </w:tcPr>
          <w:p>
            <w:pPr>
              <w:pStyle w:val="nTable"/>
              <w:spacing w:after="40"/>
              <w:rPr>
                <w:snapToGrid w:val="0"/>
              </w:rPr>
            </w:pPr>
            <w:r>
              <w:t>26 May 2016</w:t>
            </w:r>
          </w:p>
        </w:tc>
        <w:tc>
          <w:tcPr>
            <w:tcW w:w="2551" w:type="dxa"/>
            <w:gridSpan w:val="2"/>
          </w:tcPr>
          <w:p>
            <w:pPr>
              <w:pStyle w:val="nTable"/>
              <w:keepLines/>
              <w:tabs>
                <w:tab w:val="left" w:pos="893"/>
              </w:tabs>
              <w:spacing w:after="40"/>
              <w:rPr>
                <w:snapToGrid w:val="0"/>
              </w:rPr>
            </w:pPr>
            <w:r>
              <w:rPr>
                <w:snapToGrid w:val="0"/>
              </w:rPr>
              <w:t xml:space="preserve">1 Jul 2016 (see s. 2(b) and </w:t>
            </w:r>
            <w:r>
              <w:rPr>
                <w:i/>
                <w:snapToGrid w:val="0"/>
              </w:rPr>
              <w:t>Gazette</w:t>
            </w:r>
            <w:r>
              <w:rPr>
                <w:snapToGrid w:val="0"/>
              </w:rPr>
              <w:t xml:space="preserve"> 24 Jun 2016 p. 2291)</w:t>
            </w:r>
          </w:p>
        </w:tc>
      </w:tr>
      <w:tr>
        <w:tblPrEx>
          <w:tblBorders>
            <w:top w:val="single" w:sz="8" w:space="0" w:color="auto"/>
            <w:bottom w:val="single" w:sz="8" w:space="0" w:color="auto"/>
            <w:insideH w:val="single" w:sz="8" w:space="0" w:color="auto"/>
          </w:tblBorders>
        </w:tblPrEx>
        <w:trPr>
          <w:gridBefore w:val="1"/>
          <w:wBefore w:w="50" w:type="dxa"/>
          <w:cantSplit/>
        </w:trPr>
        <w:tc>
          <w:tcPr>
            <w:tcW w:w="2267" w:type="dxa"/>
            <w:gridSpan w:val="2"/>
            <w:tcBorders>
              <w:top w:val="nil"/>
              <w:bottom w:val="nil"/>
            </w:tcBorders>
          </w:tcPr>
          <w:p>
            <w:pPr>
              <w:pStyle w:val="nTable"/>
              <w:spacing w:after="40"/>
              <w:rPr>
                <w:noProof/>
                <w:snapToGrid w:val="0"/>
              </w:rPr>
            </w:pPr>
            <w:r>
              <w:rPr>
                <w:i/>
              </w:rPr>
              <w:t>Public Health (Consequential Provisions) Act 2016</w:t>
            </w:r>
            <w:r>
              <w:t xml:space="preserve"> Pt. 2, Pt. 4 Div. 1, Div. 2 (s. 207), Div. 3 (s. 212 and 213), Div. 10 (s. 240, 242 and 243), Div. 12</w:t>
            </w:r>
            <w:r>
              <w:noBreakHyphen/>
              <w:t>14 and Div. 16 (s. 272 and 274)</w:t>
            </w:r>
          </w:p>
        </w:tc>
        <w:tc>
          <w:tcPr>
            <w:tcW w:w="1134" w:type="dxa"/>
            <w:gridSpan w:val="2"/>
            <w:tcBorders>
              <w:top w:val="nil"/>
              <w:bottom w:val="nil"/>
            </w:tcBorders>
          </w:tcPr>
          <w:p>
            <w:pPr>
              <w:pStyle w:val="nTable"/>
              <w:spacing w:after="40"/>
            </w:pPr>
            <w:r>
              <w:t>19 of 2016</w:t>
            </w:r>
          </w:p>
        </w:tc>
        <w:tc>
          <w:tcPr>
            <w:tcW w:w="1134" w:type="dxa"/>
            <w:gridSpan w:val="2"/>
            <w:tcBorders>
              <w:top w:val="nil"/>
              <w:bottom w:val="nil"/>
            </w:tcBorders>
          </w:tcPr>
          <w:p>
            <w:pPr>
              <w:pStyle w:val="nTable"/>
              <w:spacing w:after="40"/>
            </w:pPr>
            <w:r>
              <w:t>25 Jul 2016</w:t>
            </w:r>
          </w:p>
        </w:tc>
        <w:tc>
          <w:tcPr>
            <w:tcW w:w="2551" w:type="dxa"/>
            <w:gridSpan w:val="2"/>
            <w:tcBorders>
              <w:top w:val="nil"/>
              <w:bottom w:val="nil"/>
            </w:tcBorders>
          </w:tcPr>
          <w:p>
            <w:pPr>
              <w:pStyle w:val="nTable"/>
              <w:spacing w:after="40"/>
              <w:rPr>
                <w:snapToGrid w:val="0"/>
              </w:rPr>
            </w:pPr>
            <w:r>
              <w:rPr>
                <w:snapToGrid w:val="0"/>
              </w:rPr>
              <w:t xml:space="preserve">Pt. 2: 24 Jan 2017 (see s. 2(1)(b) and </w:t>
            </w:r>
            <w:r>
              <w:rPr>
                <w:i/>
                <w:snapToGrid w:val="0"/>
              </w:rPr>
              <w:t xml:space="preserve">Gazette </w:t>
            </w:r>
            <w:r>
              <w:rPr>
                <w:snapToGrid w:val="0"/>
              </w:rPr>
              <w:t>10 Jan 2017 p. 165);</w:t>
            </w:r>
            <w:r>
              <w:rPr>
                <w:snapToGrid w:val="0"/>
              </w:rPr>
              <w:br/>
            </w:r>
            <w:r>
              <w:t>Pt. 4 Div. 1, Div. 2 (s. 207), Div. 3 (s. 212 and 213), Div. 10 (s. 240, 242 and 243), Div. 12</w:t>
            </w:r>
            <w:r>
              <w:noBreakHyphen/>
              <w:t xml:space="preserve">14 and Div. 16 (s. 272 and 274): </w:t>
            </w:r>
            <w:r>
              <w:rPr>
                <w:snapToGrid w:val="0"/>
              </w:rPr>
              <w:t xml:space="preserve">20 Sep 2017 (see s. 2(1)(c) and </w:t>
            </w:r>
            <w:r>
              <w:rPr>
                <w:i/>
                <w:snapToGrid w:val="0"/>
              </w:rPr>
              <w:t>Gazette</w:t>
            </w:r>
            <w:r>
              <w:rPr>
                <w:snapToGrid w:val="0"/>
              </w:rPr>
              <w:t xml:space="preserve"> 19 Sep 2017 p. 4880)</w:t>
            </w:r>
          </w:p>
        </w:tc>
      </w:tr>
      <w:tr>
        <w:tblPrEx>
          <w:tblBorders>
            <w:top w:val="single" w:sz="8" w:space="0" w:color="auto"/>
            <w:bottom w:val="single" w:sz="8" w:space="0" w:color="auto"/>
            <w:insideH w:val="single" w:sz="8" w:space="0" w:color="auto"/>
          </w:tblBorders>
        </w:tblPrEx>
        <w:trPr>
          <w:gridBefore w:val="1"/>
          <w:wBefore w:w="50" w:type="dxa"/>
          <w:cantSplit/>
        </w:trPr>
        <w:tc>
          <w:tcPr>
            <w:tcW w:w="7087" w:type="dxa"/>
            <w:gridSpan w:val="8"/>
            <w:tcBorders>
              <w:top w:val="nil"/>
              <w:bottom w:val="single" w:sz="8" w:space="0" w:color="auto"/>
            </w:tcBorders>
            <w:shd w:val="clear" w:color="auto" w:fill="auto"/>
          </w:tcPr>
          <w:p>
            <w:pPr>
              <w:pStyle w:val="nTable"/>
              <w:spacing w:after="40"/>
              <w:rPr>
                <w:snapToGrid w:val="0"/>
              </w:rPr>
            </w:pPr>
            <w:r>
              <w:rPr>
                <w:b/>
                <w:snapToGrid w:val="0"/>
              </w:rPr>
              <w:t xml:space="preserve">Reprint 17: The </w:t>
            </w:r>
            <w:r>
              <w:rPr>
                <w:b/>
                <w:i/>
                <w:noProof/>
                <w:snapToGrid w:val="0"/>
              </w:rPr>
              <w:t>Health (Miscellaneous Provisions) Act 1911</w:t>
            </w:r>
            <w:r>
              <w:rPr>
                <w:b/>
                <w:snapToGrid w:val="0"/>
              </w:rPr>
              <w:t xml:space="preserve"> as at 15 Dec 2017</w:t>
            </w:r>
            <w:r>
              <w:rPr>
                <w:snapToGrid w:val="0"/>
              </w:rPr>
              <w:t xml:space="preserve"> (includes amendments listed above)</w:t>
            </w:r>
          </w:p>
        </w:tc>
      </w:tr>
    </w:tbl>
    <w:p>
      <w:pPr>
        <w:pStyle w:val="nSubsection"/>
        <w:tabs>
          <w:tab w:val="clear" w:pos="454"/>
          <w:tab w:val="left" w:pos="567"/>
        </w:tabs>
        <w:spacing w:before="16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82" w:name="_Toc512323939"/>
      <w:r>
        <w:t>Provisions that have not come into operation</w:t>
      </w:r>
      <w:bookmarkEnd w:id="78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gridCol w:w="36"/>
      </w:tblGrid>
      <w:tr>
        <w:tc>
          <w:tcPr>
            <w:tcW w:w="2268" w:type="dxa"/>
            <w:tcBorders>
              <w:bottom w:val="single" w:sz="8" w:space="0" w:color="auto"/>
            </w:tcBorders>
          </w:tcPr>
          <w:p>
            <w:pPr>
              <w:pStyle w:val="nTable"/>
              <w:keepNext/>
              <w:spacing w:after="40"/>
              <w:rPr>
                <w:b/>
                <w:snapToGrid w:val="0"/>
              </w:rPr>
            </w:pPr>
            <w:r>
              <w:rPr>
                <w:b/>
                <w:snapToGrid w:val="0"/>
              </w:rPr>
              <w:t>Short title</w:t>
            </w:r>
          </w:p>
        </w:tc>
        <w:tc>
          <w:tcPr>
            <w:tcW w:w="1118" w:type="dxa"/>
            <w:tcBorders>
              <w:bottom w:val="single" w:sz="8" w:space="0" w:color="auto"/>
            </w:tcBorders>
          </w:tcPr>
          <w:p>
            <w:pPr>
              <w:pStyle w:val="nTable"/>
              <w:keepNext/>
              <w:spacing w:after="40"/>
              <w:rPr>
                <w:b/>
                <w:snapToGrid w:val="0"/>
              </w:rPr>
            </w:pPr>
            <w:r>
              <w:rPr>
                <w:b/>
                <w:snapToGrid w:val="0"/>
              </w:rPr>
              <w:t>Number and year</w:t>
            </w:r>
          </w:p>
        </w:tc>
        <w:tc>
          <w:tcPr>
            <w:tcW w:w="1134" w:type="dxa"/>
            <w:tcBorders>
              <w:bottom w:val="single" w:sz="8" w:space="0" w:color="auto"/>
            </w:tcBorders>
          </w:tcPr>
          <w:p>
            <w:pPr>
              <w:pStyle w:val="nTable"/>
              <w:keepNext/>
              <w:spacing w:after="40"/>
              <w:rPr>
                <w:b/>
                <w:snapToGrid w:val="0"/>
              </w:rPr>
            </w:pPr>
            <w:r>
              <w:rPr>
                <w:b/>
                <w:snapToGrid w:val="0"/>
              </w:rPr>
              <w:t>Assent</w:t>
            </w:r>
          </w:p>
        </w:tc>
        <w:tc>
          <w:tcPr>
            <w:tcW w:w="2552" w:type="dxa"/>
            <w:gridSpan w:val="2"/>
            <w:tcBorders>
              <w:bottom w:val="single" w:sz="8" w:space="0" w:color="auto"/>
            </w:tcBorders>
          </w:tcPr>
          <w:p>
            <w:pPr>
              <w:pStyle w:val="nTable"/>
              <w:keepNext/>
              <w:spacing w:after="40"/>
              <w:rPr>
                <w:b/>
                <w:snapToGrid w:val="0"/>
              </w:rPr>
            </w:pPr>
            <w:r>
              <w:rPr>
                <w:b/>
                <w:snapToGrid w:val="0"/>
              </w:rPr>
              <w:t>Commencement</w:t>
            </w:r>
          </w:p>
        </w:tc>
      </w:tr>
      <w:tr>
        <w:tc>
          <w:tcPr>
            <w:tcW w:w="2268" w:type="dxa"/>
            <w:tcBorders>
              <w:top w:val="single" w:sz="8" w:space="0" w:color="auto"/>
              <w:bottom w:val="nil"/>
            </w:tcBorders>
          </w:tcPr>
          <w:p>
            <w:pPr>
              <w:pStyle w:val="nTable"/>
              <w:spacing w:after="40"/>
              <w:rPr>
                <w:noProof/>
                <w:snapToGrid w:val="0"/>
              </w:rPr>
            </w:pPr>
            <w:r>
              <w:rPr>
                <w:i/>
              </w:rPr>
              <w:t>Public Health (Consequential Provisions) Act 2016</w:t>
            </w:r>
            <w:r>
              <w:t xml:space="preserve"> Pt. 4 Div. 2 (s. 208 and 209), Div. 3 (s. 210, 211, 214-222), Div. 4</w:t>
            </w:r>
            <w:r>
              <w:noBreakHyphen/>
              <w:t>9, Div. 10 (s. 239 and 241), Div. 11, Div. 15 and Div. 16 (s. 249</w:t>
            </w:r>
            <w:r>
              <w:noBreakHyphen/>
              <w:t>271, 273, 275 and 276)</w:t>
            </w:r>
            <w:r>
              <w:rPr>
                <w:vertAlign w:val="superscript"/>
              </w:rPr>
              <w:t> 28</w:t>
            </w:r>
          </w:p>
        </w:tc>
        <w:tc>
          <w:tcPr>
            <w:tcW w:w="1118" w:type="dxa"/>
            <w:tcBorders>
              <w:top w:val="single" w:sz="8" w:space="0" w:color="auto"/>
              <w:bottom w:val="nil"/>
            </w:tcBorders>
          </w:tcPr>
          <w:p>
            <w:pPr>
              <w:pStyle w:val="nTable"/>
              <w:spacing w:after="40"/>
            </w:pPr>
            <w:r>
              <w:t>19 of 2016</w:t>
            </w:r>
          </w:p>
        </w:tc>
        <w:tc>
          <w:tcPr>
            <w:tcW w:w="1134" w:type="dxa"/>
            <w:tcBorders>
              <w:top w:val="single" w:sz="8" w:space="0" w:color="auto"/>
              <w:bottom w:val="nil"/>
            </w:tcBorders>
          </w:tcPr>
          <w:p>
            <w:pPr>
              <w:pStyle w:val="nTable"/>
              <w:spacing w:after="40"/>
            </w:pPr>
            <w:r>
              <w:t>25 Jul 2016</w:t>
            </w:r>
          </w:p>
        </w:tc>
        <w:tc>
          <w:tcPr>
            <w:tcW w:w="2552" w:type="dxa"/>
            <w:gridSpan w:val="2"/>
            <w:tcBorders>
              <w:top w:val="single" w:sz="8" w:space="0" w:color="auto"/>
              <w:bottom w:val="nil"/>
            </w:tcBorders>
          </w:tcPr>
          <w:p>
            <w:pPr>
              <w:pStyle w:val="nTable"/>
              <w:spacing w:after="40"/>
              <w:rPr>
                <w:snapToGrid w:val="0"/>
              </w:rPr>
            </w:pPr>
            <w:r>
              <w:rPr>
                <w:snapToGrid w:val="0"/>
              </w:rPr>
              <w:t>To be proclaimed (see s. 2(1)(c))</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6" w:type="dxa"/>
        </w:trPr>
        <w:tc>
          <w:tcPr>
            <w:tcW w:w="2268" w:type="dxa"/>
            <w:tcBorders>
              <w:bottom w:val="single" w:sz="4" w:space="0" w:color="auto"/>
            </w:tcBorders>
          </w:tcPr>
          <w:p>
            <w:pPr>
              <w:pStyle w:val="nTable"/>
              <w:spacing w:after="40"/>
            </w:pPr>
            <w:r>
              <w:rPr>
                <w:i/>
              </w:rPr>
              <w:t>Health Practitioner Regulation National Law (WA) Amendment Act 2018</w:t>
            </w:r>
            <w:r>
              <w:t xml:space="preserve"> s. 111 </w:t>
            </w:r>
            <w:r>
              <w:rPr>
                <w:vertAlign w:val="superscript"/>
              </w:rPr>
              <w:t>29</w:t>
            </w:r>
          </w:p>
        </w:tc>
        <w:tc>
          <w:tcPr>
            <w:tcW w:w="1134" w:type="dxa"/>
            <w:tcBorders>
              <w:bottom w:val="single" w:sz="4" w:space="0" w:color="auto"/>
            </w:tcBorders>
          </w:tcPr>
          <w:p>
            <w:pPr>
              <w:pStyle w:val="nTable"/>
              <w:spacing w:after="40"/>
            </w:pPr>
            <w:r>
              <w:t>4 of 2018</w:t>
            </w:r>
          </w:p>
        </w:tc>
        <w:tc>
          <w:tcPr>
            <w:tcW w:w="1134" w:type="dxa"/>
            <w:tcBorders>
              <w:bottom w:val="single" w:sz="4" w:space="0" w:color="auto"/>
            </w:tcBorders>
          </w:tcPr>
          <w:p>
            <w:pPr>
              <w:pStyle w:val="nTable"/>
              <w:spacing w:after="40"/>
            </w:pPr>
            <w:r>
              <w:t>19 Apr 2018</w:t>
            </w:r>
          </w:p>
        </w:tc>
        <w:tc>
          <w:tcPr>
            <w:tcW w:w="2551" w:type="dxa"/>
            <w:tcBorders>
              <w:bottom w:val="single" w:sz="4" w:space="0" w:color="auto"/>
            </w:tcBorders>
          </w:tcPr>
          <w:p>
            <w:pPr>
              <w:pStyle w:val="nTable"/>
              <w:spacing w:after="40"/>
            </w:pPr>
            <w:r>
              <w:t xml:space="preserve">1 Dec 2018 (see s. 2(d) and </w:t>
            </w:r>
            <w:r>
              <w:rPr>
                <w:i/>
              </w:rPr>
              <w:t>Gazette</w:t>
            </w:r>
            <w:r>
              <w:t xml:space="preserve"> 13 Nov 2018 p. 4427</w:t>
            </w:r>
            <w:r>
              <w:noBreakHyphen/>
              <w:t>8)</w:t>
            </w:r>
          </w:p>
        </w:tc>
      </w:tr>
    </w:tbl>
    <w:p>
      <w:pPr>
        <w:pStyle w:val="nSubsection"/>
        <w:spacing w:before="160"/>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Subsection"/>
        <w:rPr>
          <w:snapToGrid w:val="0"/>
        </w:rPr>
      </w:pPr>
      <w:r>
        <w:rPr>
          <w:snapToGrid w:val="0"/>
          <w:vertAlign w:val="superscript"/>
        </w:rPr>
        <w:t>4</w:t>
      </w:r>
      <w:r>
        <w:rPr>
          <w:snapToGrid w:val="0"/>
        </w:rPr>
        <w:tab/>
        <w:t xml:space="preserve">Section 53B was deleted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pageBreakBefore/>
        <w:tabs>
          <w:tab w:val="clear" w:pos="454"/>
        </w:tabs>
        <w:ind w:left="482" w:hanging="482"/>
        <w:rPr>
          <w:snapToGrid w:val="0"/>
        </w:rPr>
      </w:pPr>
      <w:r>
        <w:rPr>
          <w:snapToGrid w:val="0"/>
          <w:vertAlign w:val="superscript"/>
        </w:rPr>
        <w:t>5</w:t>
      </w:r>
      <w:r>
        <w:rPr>
          <w:snapToGrid w:val="0"/>
        </w:rPr>
        <w:tab/>
        <w:t xml:space="preserve">Proclamations relating to offensive trades were published in the </w:t>
      </w:r>
      <w:r>
        <w:rPr>
          <w:i/>
          <w:snapToGrid w:val="0"/>
        </w:rPr>
        <w:t>Gazette</w:t>
      </w:r>
      <w:r>
        <w:rPr>
          <w:iCs/>
          <w:snapToGrid w:val="0"/>
        </w:rPr>
        <w:t xml:space="preserve"> on</w:t>
      </w:r>
      <w:r>
        <w:rPr>
          <w:i/>
          <w:snapToGrid w:val="0"/>
        </w:rPr>
        <w:t> </w:t>
      </w:r>
      <w:r>
        <w:rPr>
          <w:snapToGrid w:val="0"/>
        </w:rPr>
        <w:t>—</w:t>
      </w:r>
    </w:p>
    <w:p>
      <w:pPr>
        <w:pStyle w:val="nSubsection"/>
        <w:keepNext/>
        <w:tabs>
          <w:tab w:val="clear" w:pos="454"/>
          <w:tab w:val="left" w:pos="1134"/>
        </w:tabs>
        <w:spacing w:before="4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rPr>
          <w:snapToGrid w:val="0"/>
        </w:rPr>
      </w:pPr>
      <w:r>
        <w:rPr>
          <w:snapToGrid w:val="0"/>
          <w:vertAlign w:val="superscript"/>
        </w:rPr>
        <w:t>6</w:t>
      </w:r>
      <w:r>
        <w:rPr>
          <w:snapToGrid w:val="0"/>
          <w:vertAlign w:val="superscript"/>
        </w:rPr>
        <w:tab/>
      </w:r>
      <w:r>
        <w:rPr>
          <w:snapToGrid w:val="0"/>
        </w:rPr>
        <w:t xml:space="preserve">Renumbering of sections of the Act and certain Part and Division headings was effected in earlier reprints under the </w:t>
      </w:r>
      <w:r>
        <w:rPr>
          <w:i/>
          <w:snapToGrid w:val="0"/>
        </w:rPr>
        <w:t>Health Act Amendment Act 1919</w:t>
      </w:r>
      <w:r>
        <w:rPr>
          <w:snapToGrid w:val="0"/>
        </w:rPr>
        <w:t xml:space="preserve"> s. 4 and the </w:t>
      </w:r>
      <w:r>
        <w:rPr>
          <w:i/>
          <w:snapToGrid w:val="0"/>
        </w:rPr>
        <w:t>Health Act Amendment Act 1933 (No. 2)</w:t>
      </w:r>
      <w:r>
        <w:rPr>
          <w:snapToGrid w:val="0"/>
        </w:rPr>
        <w:t xml:space="preserve"> s. 42.</w:t>
      </w:r>
    </w:p>
    <w:p>
      <w:pPr>
        <w:pStyle w:val="nSubsection"/>
      </w:pPr>
      <w:r>
        <w:rPr>
          <w:snapToGrid w:val="0"/>
          <w:vertAlign w:val="superscript"/>
        </w:rPr>
        <w:t>7</w:t>
      </w:r>
      <w:r>
        <w:rPr>
          <w:snapToGrid w:val="0"/>
        </w:rPr>
        <w:tab/>
        <w:t xml:space="preserve">The amendment in the </w:t>
      </w:r>
      <w:r>
        <w:rPr>
          <w:i/>
        </w:rPr>
        <w:t>Caravan Parks and Camping Grounds Act 1995</w:t>
      </w:r>
      <w:r>
        <w:t xml:space="preserve"> s. 33 is not included as the section it sought to amend had been deleted by the </w:t>
      </w:r>
      <w:r>
        <w:rPr>
          <w:i/>
          <w:iCs/>
        </w:rPr>
        <w:t>Local Government (Consequential Amendments) Act 1996</w:t>
      </w:r>
      <w:r>
        <w:t xml:space="preserve"> s. 4 before the amendment came into operation.</w:t>
      </w:r>
    </w:p>
    <w:p>
      <w:pPr>
        <w:pStyle w:val="nSubsection"/>
        <w:rPr>
          <w:snapToGrid w:val="0"/>
        </w:rPr>
      </w:pPr>
      <w:r>
        <w:rPr>
          <w:vertAlign w:val="superscript"/>
        </w:rPr>
        <w:t>8</w:t>
      </w:r>
      <w:r>
        <w:tab/>
        <w:t xml:space="preserve">Now known as the </w:t>
      </w:r>
      <w:r>
        <w:rPr>
          <w:i/>
        </w:rPr>
        <w:t>Health (Miscellaneous Provisions) Act 1911</w:t>
      </w:r>
      <w:r>
        <w:t>; short title changed (see note under s. 1).</w:t>
      </w:r>
    </w:p>
    <w:p>
      <w:pPr>
        <w:pStyle w:val="nSubsection"/>
        <w:rPr>
          <w:snapToGrid w:val="0"/>
        </w:rPr>
      </w:pPr>
      <w:r>
        <w:rPr>
          <w:snapToGrid w:val="0"/>
          <w:vertAlign w:val="superscript"/>
        </w:rPr>
        <w:t>9</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r>
        <w:rPr>
          <w:vertAlign w:val="superscript"/>
        </w:rPr>
        <w:t>10</w:t>
      </w:r>
      <w:r>
        <w:tab/>
        <w:t xml:space="preserve">The Third and Fourth Schedules were inserted by the </w:t>
      </w:r>
      <w:r>
        <w:rPr>
          <w:i/>
        </w:rPr>
        <w:t>Metric Conversion Act Amendment Act (No. 2) 1973</w:t>
      </w:r>
      <w:r>
        <w:t>.</w:t>
      </w:r>
    </w:p>
    <w:p>
      <w:pPr>
        <w:pStyle w:val="nSubsection"/>
      </w:pPr>
      <w:r>
        <w:rPr>
          <w:vertAlign w:val="superscript"/>
        </w:rPr>
        <w:t>11</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12</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13</w:t>
      </w:r>
      <w:r>
        <w:tab/>
        <w:t xml:space="preserve">The </w:t>
      </w:r>
      <w:r>
        <w:rPr>
          <w:i/>
        </w:rPr>
        <w:t>Health Amendment Act 1985</w:t>
      </w:r>
      <w:r>
        <w:t xml:space="preserve"> s. 13 is a transitional provision that is of no further effect.</w:t>
      </w:r>
    </w:p>
    <w:p>
      <w:pPr>
        <w:pStyle w:val="nSubsection"/>
      </w:pPr>
      <w:r>
        <w:rPr>
          <w:vertAlign w:val="superscript"/>
        </w:rPr>
        <w:t>14</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15</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16</w:t>
      </w:r>
      <w:r>
        <w:tab/>
        <w:t xml:space="preserve">The </w:t>
      </w:r>
      <w:r>
        <w:rPr>
          <w:i/>
          <w:sz w:val="19"/>
        </w:rPr>
        <w:t>Health Amendment Act 1987</w:t>
      </w:r>
      <w:r>
        <w:t xml:space="preserve"> s. 4(d), 83 and 90 did not come into operation and were deleted by the </w:t>
      </w:r>
      <w:r>
        <w:rPr>
          <w:i/>
        </w:rPr>
        <w:t>Statutes (Repeals and Miscellaneous Amendments) Act 2009</w:t>
      </w:r>
      <w:r>
        <w:rPr>
          <w:iCs/>
        </w:rPr>
        <w:t xml:space="preserve"> </w:t>
      </w:r>
      <w:r>
        <w:t>s. 72.</w:t>
      </w:r>
    </w:p>
    <w:p>
      <w:pPr>
        <w:pStyle w:val="nSubsection"/>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BlankOpen"/>
        <w:rPr>
          <w:snapToGrid w:val="0"/>
        </w:rPr>
      </w:pPr>
    </w:p>
    <w:p>
      <w:pPr>
        <w:pStyle w:val="nzHeading5"/>
        <w:keepNext w:val="0"/>
        <w:keepLines w:val="0"/>
        <w:spacing w:before="0"/>
        <w:ind w:left="851" w:hanging="851"/>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BlankClose"/>
        <w:rPr>
          <w:snapToGrid w:val="0"/>
        </w:rPr>
      </w:pPr>
    </w:p>
    <w:p>
      <w:pPr>
        <w:pStyle w:val="nSubsection"/>
        <w:keepLines/>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deleted by the </w:t>
      </w:r>
      <w:r>
        <w:rPr>
          <w:i/>
          <w:iCs/>
          <w:snapToGrid w:val="0"/>
        </w:rPr>
        <w:t>Hospitals Amendment Act 1994</w:t>
      </w:r>
      <w:r>
        <w:rPr>
          <w:snapToGrid w:val="0"/>
        </w:rPr>
        <w:t xml:space="preserve"> s. 18 before the amendment came into operation.</w:t>
      </w:r>
    </w:p>
    <w:p>
      <w:pPr>
        <w:pStyle w:val="nSubsection"/>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23 was deleted by the </w:t>
      </w:r>
      <w:r>
        <w:rPr>
          <w:i/>
          <w:iCs/>
          <w:snapToGrid w:val="0"/>
        </w:rPr>
        <w:t>Criminal Law and Evidence Amendment Act 2008</w:t>
      </w:r>
      <w:r>
        <w:rPr>
          <w:snapToGrid w:val="0"/>
        </w:rPr>
        <w:t xml:space="preserve"> s. 77(13) before it came into operation.</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26</w:t>
      </w:r>
      <w:r>
        <w:rPr>
          <w:vertAlign w:val="superscript"/>
        </w:rPr>
        <w:tab/>
      </w:r>
      <w:r>
        <w:t xml:space="preserve">The </w:t>
      </w:r>
      <w:r>
        <w:rPr>
          <w:i/>
        </w:rPr>
        <w:t>Machinery of Government (Miscellaneous Amendments) Act 2006</w:t>
      </w:r>
      <w:r>
        <w:t xml:space="preserve"> Pt. 9 Div. 13 reads as follows:</w:t>
      </w:r>
    </w:p>
    <w:p>
      <w:pPr>
        <w:pStyle w:val="BlankOpen"/>
      </w:pPr>
    </w:p>
    <w:p>
      <w:pPr>
        <w:pStyle w:val="nzHeading3"/>
        <w:spacing w:before="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keepNext/>
        <w:keepLines/>
        <w:rPr>
          <w:snapToGrid w:val="0"/>
        </w:rPr>
      </w:pPr>
      <w:r>
        <w:rPr>
          <w:snapToGrid w:val="0"/>
          <w:vertAlign w:val="superscript"/>
        </w:rPr>
        <w:t>27</w:t>
      </w:r>
      <w:r>
        <w:rPr>
          <w:snapToGrid w:val="0"/>
          <w:vertAlign w:val="superscript"/>
        </w:rPr>
        <w:tab/>
      </w:r>
      <w:r>
        <w:t>The</w:t>
      </w:r>
      <w:r>
        <w:rPr>
          <w:snapToGrid w:val="0"/>
        </w:rPr>
        <w:t xml:space="preserve"> </w:t>
      </w:r>
      <w:r>
        <w:rPr>
          <w:i/>
          <w:iCs/>
          <w:snapToGrid w:val="0"/>
        </w:rPr>
        <w:t>Food Act 2008</w:t>
      </w:r>
      <w:r>
        <w:rPr>
          <w:snapToGrid w:val="0"/>
        </w:rPr>
        <w:t xml:space="preserve"> Pt. 14 reads as follows:</w:t>
      </w:r>
    </w:p>
    <w:p>
      <w:pPr>
        <w:pStyle w:val="BlankOpen"/>
        <w:rPr>
          <w:snapToGrid w:val="0"/>
        </w:rPr>
      </w:pPr>
    </w:p>
    <w:p>
      <w:pPr>
        <w:pStyle w:val="nzHeading2"/>
        <w:keepLines/>
      </w:pPr>
      <w:r>
        <w:rPr>
          <w:rStyle w:val="CharPartNo"/>
        </w:rPr>
        <w:t>Part 14</w:t>
      </w:r>
      <w:r>
        <w:rPr>
          <w:rStyle w:val="CharDivNo"/>
        </w:rPr>
        <w:t> </w:t>
      </w:r>
      <w:r>
        <w:t>—</w:t>
      </w:r>
      <w:r>
        <w:rPr>
          <w:rStyle w:val="CharDivText"/>
        </w:rPr>
        <w:t> </w:t>
      </w:r>
      <w:r>
        <w:rPr>
          <w:rStyle w:val="CharPartText"/>
        </w:rPr>
        <w:t>Transitional provisions</w:t>
      </w:r>
    </w:p>
    <w:p>
      <w:pPr>
        <w:pStyle w:val="nzHeading5"/>
      </w:pPr>
      <w:r>
        <w:rPr>
          <w:rStyle w:val="CharSectno"/>
        </w:rPr>
        <w:t>150</w:t>
      </w:r>
      <w:r>
        <w:t>.</w:t>
      </w:r>
      <w:r>
        <w:tab/>
        <w:t>Definition</w:t>
      </w:r>
    </w:p>
    <w:p>
      <w:pPr>
        <w:pStyle w:val="nzSubsection"/>
        <w:keepNext/>
        <w:keepLines/>
      </w:pPr>
      <w:r>
        <w:tab/>
      </w:r>
      <w:r>
        <w:tab/>
        <w:t xml:space="preserve">In this Part —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151</w:t>
      </w:r>
      <w:r>
        <w:t>.</w:t>
      </w:r>
      <w:r>
        <w:tab/>
      </w:r>
      <w:r>
        <w:rPr>
          <w:i/>
          <w:iCs/>
        </w:rPr>
        <w:t>Interpretation Act 1984</w:t>
      </w:r>
      <w:r>
        <w:t xml:space="preserve"> not affected</w:t>
      </w:r>
    </w:p>
    <w:p>
      <w:pPr>
        <w:pStyle w:val="nzSubsection"/>
      </w:pPr>
      <w:r>
        <w:tab/>
      </w:r>
      <w:r>
        <w:tab/>
        <w:t xml:space="preserve">Nothing in this Part is to be construed so as to limit the operation of the </w:t>
      </w:r>
      <w:r>
        <w:rPr>
          <w:i/>
          <w:iCs/>
        </w:rPr>
        <w:t>Interpretation Act 1984</w:t>
      </w:r>
      <w:r>
        <w:t>.</w:t>
      </w:r>
    </w:p>
    <w:p>
      <w:pPr>
        <w:pStyle w:val="nzHeading5"/>
      </w:pPr>
      <w:r>
        <w:rPr>
          <w:rStyle w:val="CharSectno"/>
        </w:rPr>
        <w:t>152</w:t>
      </w:r>
      <w:r>
        <w:t>.</w:t>
      </w:r>
      <w:r>
        <w:tab/>
        <w:t xml:space="preserve">Orders under </w:t>
      </w:r>
      <w:r>
        <w:rPr>
          <w:i/>
          <w:iCs/>
        </w:rPr>
        <w:t xml:space="preserve">Health Act 1911 </w:t>
      </w:r>
      <w:r>
        <w:t>section 246W</w:t>
      </w:r>
    </w:p>
    <w:p>
      <w:pPr>
        <w:pStyle w:val="nzSubsection"/>
      </w:pPr>
      <w:r>
        <w:tab/>
      </w:r>
      <w:r>
        <w:tab/>
        <w:t xml:space="preserve">An order under the </w:t>
      </w:r>
      <w:r>
        <w:rPr>
          <w:i/>
        </w:rPr>
        <w:t>Health Act 1911</w:t>
      </w:r>
      <w:r>
        <w:t xml:space="preserve"> section 246W(1) that is in force immediately before the commencement day has effect on and after that day as if it were an emergency order made under section 32(b).</w:t>
      </w:r>
    </w:p>
    <w:p>
      <w:pPr>
        <w:pStyle w:val="nzHeading5"/>
      </w:pPr>
      <w:r>
        <w:rPr>
          <w:rStyle w:val="CharSectno"/>
        </w:rPr>
        <w:t>153</w:t>
      </w:r>
      <w:r>
        <w:t>.</w:t>
      </w:r>
      <w:r>
        <w:tab/>
        <w:t xml:space="preserve">Orders under </w:t>
      </w:r>
      <w:r>
        <w:rPr>
          <w:i/>
          <w:iCs/>
        </w:rPr>
        <w:t xml:space="preserve">Health Act 1911 </w:t>
      </w:r>
      <w:r>
        <w:t>section 246Y</w:t>
      </w:r>
    </w:p>
    <w:p>
      <w:pPr>
        <w:pStyle w:val="nzSubsection"/>
      </w:pPr>
      <w:r>
        <w:tab/>
        <w:t>(1)</w:t>
      </w:r>
      <w:r>
        <w:tab/>
        <w:t xml:space="preserve">An order under the </w:t>
      </w:r>
      <w:r>
        <w:rPr>
          <w:i/>
        </w:rPr>
        <w:t>Health Act 1911</w:t>
      </w:r>
      <w:r>
        <w:t xml:space="preserve"> section 246Y(1) that is in force immediately before the commencement day has effect on and after that day as if it were an improvement notice.</w:t>
      </w:r>
    </w:p>
    <w:p>
      <w:pPr>
        <w:pStyle w:val="nzSubsection"/>
      </w:pPr>
      <w:r>
        <w:tab/>
        <w:t>(2)</w:t>
      </w:r>
      <w:r>
        <w:tab/>
        <w:t xml:space="preserve">An order under the </w:t>
      </w:r>
      <w:r>
        <w:rPr>
          <w:i/>
        </w:rPr>
        <w:t>Health Act 1911</w:t>
      </w:r>
      <w:r>
        <w:t xml:space="preserve"> section 246Y(2) that is in force immediately before the commencement day has effect on and after that day as if it were a prohibition order.</w:t>
      </w:r>
    </w:p>
    <w:p>
      <w:pPr>
        <w:pStyle w:val="nzHeading5"/>
      </w:pPr>
      <w:r>
        <w:rPr>
          <w:rStyle w:val="CharSectno"/>
        </w:rPr>
        <w:t>154</w:t>
      </w:r>
      <w:r>
        <w:t>.</w:t>
      </w:r>
      <w:r>
        <w:tab/>
        <w:t>Transitional regulations</w:t>
      </w:r>
    </w:p>
    <w:p>
      <w:pPr>
        <w:pStyle w:val="nz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BlankClose"/>
      </w:pPr>
    </w:p>
    <w:p>
      <w:pPr>
        <w:pStyle w:val="nSubsection"/>
        <w:keepNext/>
        <w:keepLines/>
        <w:rPr>
          <w:snapToGrid w:val="0"/>
        </w:rPr>
      </w:pPr>
      <w:r>
        <w:rPr>
          <w:snapToGrid w:val="0"/>
          <w:vertAlign w:val="superscript"/>
        </w:rPr>
        <w:t>28</w:t>
      </w:r>
      <w:r>
        <w:rPr>
          <w:snapToGrid w:val="0"/>
        </w:rPr>
        <w:tab/>
      </w:r>
      <w:r>
        <w:t xml:space="preserve">On the date as at which this compilation was prepared, </w:t>
      </w:r>
      <w:r>
        <w:rPr>
          <w:snapToGrid w:val="0"/>
        </w:rPr>
        <w:t xml:space="preserve">the </w:t>
      </w:r>
      <w:r>
        <w:rPr>
          <w:i/>
        </w:rPr>
        <w:t>Public Health (Consequential Provisions) Act 2016</w:t>
      </w:r>
      <w:r>
        <w:rPr>
          <w:noProof/>
          <w:snapToGrid w:val="0"/>
        </w:rPr>
        <w:t xml:space="preserve"> </w:t>
      </w:r>
      <w:r>
        <w:t>Pt. 4 Div. 2 (s. 208 and 209), Div. 3 (s. 210, 211, 214-222), Div. 4</w:t>
      </w:r>
      <w:r>
        <w:noBreakHyphen/>
        <w:t>9, Div. 10 (s. 239 and 241), Div. 11, Div. 15 and Div. 16 (s. 249</w:t>
      </w:r>
      <w:r>
        <w:noBreakHyphen/>
        <w:t>271, 273, 275 and 276)</w:t>
      </w:r>
      <w:r>
        <w:rPr>
          <w:snapToGrid w:val="0"/>
        </w:rPr>
        <w:t xml:space="preserve"> had not come into operation.  They read as follows:</w:t>
      </w:r>
    </w:p>
    <w:p>
      <w:pPr>
        <w:pStyle w:val="BlankOpen"/>
      </w:pPr>
    </w:p>
    <w:p>
      <w:pPr>
        <w:pStyle w:val="nzHeading2"/>
      </w:pPr>
      <w:r>
        <w:rPr>
          <w:rStyle w:val="CharPartNo"/>
        </w:rPr>
        <w:t>Part 4</w:t>
      </w:r>
      <w:r>
        <w:t> — </w:t>
      </w:r>
      <w:r>
        <w:rPr>
          <w:rStyle w:val="CharPartText"/>
          <w:i/>
        </w:rPr>
        <w:t>Health (Miscellaneous Provisions) Act 1911</w:t>
      </w:r>
      <w:r>
        <w:rPr>
          <w:rStyle w:val="CharPartText"/>
        </w:rPr>
        <w:t> amended</w:t>
      </w:r>
    </w:p>
    <w:p>
      <w:pPr>
        <w:pStyle w:val="nzHeading3"/>
      </w:pPr>
      <w:r>
        <w:rPr>
          <w:rStyle w:val="CharDivNo"/>
        </w:rPr>
        <w:t>Division 2</w:t>
      </w:r>
      <w:r>
        <w:t> — </w:t>
      </w:r>
      <w:r>
        <w:rPr>
          <w:rStyle w:val="CharDivText"/>
        </w:rPr>
        <w:t>Part I amended</w:t>
      </w:r>
    </w:p>
    <w:p>
      <w:pPr>
        <w:pStyle w:val="nzHeading5"/>
      </w:pPr>
      <w:r>
        <w:rPr>
          <w:rStyle w:val="CharSectno"/>
        </w:rPr>
        <w:t>208</w:t>
      </w:r>
      <w:r>
        <w:t>.</w:t>
      </w:r>
      <w:r>
        <w:tab/>
        <w:t>Section 5 deleted</w:t>
      </w:r>
    </w:p>
    <w:p>
      <w:pPr>
        <w:pStyle w:val="nzSubsection"/>
      </w:pPr>
      <w:r>
        <w:tab/>
      </w:r>
      <w:r>
        <w:tab/>
        <w:t>Delete section 5.</w:t>
      </w:r>
    </w:p>
    <w:p>
      <w:pPr>
        <w:pStyle w:val="nzHeading5"/>
      </w:pPr>
      <w:r>
        <w:rPr>
          <w:rStyle w:val="CharSectno"/>
        </w:rPr>
        <w:t>209</w:t>
      </w:r>
      <w:r>
        <w:t>.</w:t>
      </w:r>
      <w:r>
        <w:tab/>
        <w:t>Section 6 deleted</w:t>
      </w:r>
    </w:p>
    <w:p>
      <w:pPr>
        <w:pStyle w:val="nzSubsection"/>
      </w:pPr>
      <w:r>
        <w:tab/>
      </w:r>
      <w:r>
        <w:tab/>
        <w:t>Delete section 6.</w:t>
      </w:r>
    </w:p>
    <w:p>
      <w:pPr>
        <w:pStyle w:val="nzHeading3"/>
      </w:pPr>
      <w:r>
        <w:rPr>
          <w:rStyle w:val="CharDivNo"/>
        </w:rPr>
        <w:t>Division 3</w:t>
      </w:r>
      <w:r>
        <w:t> — </w:t>
      </w:r>
      <w:r>
        <w:rPr>
          <w:rStyle w:val="CharDivText"/>
        </w:rPr>
        <w:t>Part II amended</w:t>
      </w:r>
    </w:p>
    <w:p>
      <w:pPr>
        <w:pStyle w:val="nzHeading5"/>
      </w:pPr>
      <w:r>
        <w:rPr>
          <w:rStyle w:val="CharSectno"/>
        </w:rPr>
        <w:t>210</w:t>
      </w:r>
      <w:r>
        <w:t>.</w:t>
      </w:r>
      <w:r>
        <w:tab/>
        <w:t>Section 7 deleted</w:t>
      </w:r>
    </w:p>
    <w:p>
      <w:pPr>
        <w:pStyle w:val="nzSubsection"/>
      </w:pPr>
      <w:r>
        <w:tab/>
      </w:r>
      <w:r>
        <w:tab/>
        <w:t>Delete section 7.</w:t>
      </w:r>
    </w:p>
    <w:p>
      <w:pPr>
        <w:pStyle w:val="nzHeading5"/>
      </w:pPr>
      <w:r>
        <w:rPr>
          <w:rStyle w:val="CharSectno"/>
        </w:rPr>
        <w:t>211</w:t>
      </w:r>
      <w:r>
        <w:t>.</w:t>
      </w:r>
      <w:r>
        <w:tab/>
        <w:t>Section 12 deleted</w:t>
      </w:r>
    </w:p>
    <w:p>
      <w:pPr>
        <w:pStyle w:val="nzSubsection"/>
      </w:pPr>
      <w:r>
        <w:tab/>
      </w:r>
      <w:r>
        <w:tab/>
        <w:t>Delete section 12.</w:t>
      </w:r>
    </w:p>
    <w:p>
      <w:pPr>
        <w:pStyle w:val="nzHeading5"/>
      </w:pPr>
      <w:r>
        <w:rPr>
          <w:rStyle w:val="CharSectno"/>
        </w:rPr>
        <w:t>214</w:t>
      </w:r>
      <w:r>
        <w:t>.</w:t>
      </w:r>
      <w:r>
        <w:tab/>
        <w:t>Section 16 deleted</w:t>
      </w:r>
    </w:p>
    <w:p>
      <w:pPr>
        <w:pStyle w:val="nzSubsection"/>
      </w:pPr>
      <w:r>
        <w:tab/>
      </w:r>
      <w:r>
        <w:tab/>
        <w:t>Delete section 16.</w:t>
      </w:r>
    </w:p>
    <w:p>
      <w:pPr>
        <w:pStyle w:val="nzHeading5"/>
      </w:pPr>
      <w:r>
        <w:rPr>
          <w:rStyle w:val="CharSectno"/>
        </w:rPr>
        <w:t>215</w:t>
      </w:r>
      <w:r>
        <w:t>.</w:t>
      </w:r>
      <w:r>
        <w:tab/>
        <w:t>Section 17 deleted</w:t>
      </w:r>
    </w:p>
    <w:p>
      <w:pPr>
        <w:pStyle w:val="nzSubsection"/>
      </w:pPr>
      <w:r>
        <w:tab/>
      </w:r>
      <w:r>
        <w:tab/>
        <w:t>Delete section 17.</w:t>
      </w:r>
    </w:p>
    <w:p>
      <w:pPr>
        <w:pStyle w:val="nzHeading5"/>
      </w:pPr>
      <w:r>
        <w:rPr>
          <w:rStyle w:val="CharSectno"/>
        </w:rPr>
        <w:t>216</w:t>
      </w:r>
      <w:r>
        <w:t>.</w:t>
      </w:r>
      <w:r>
        <w:tab/>
        <w:t>Part II Division 2 heading deleted</w:t>
      </w:r>
    </w:p>
    <w:p>
      <w:pPr>
        <w:pStyle w:val="nzSubsection"/>
      </w:pPr>
      <w:r>
        <w:tab/>
      </w:r>
      <w:r>
        <w:tab/>
        <w:t>Delete the heading to Part II Division 2.</w:t>
      </w:r>
    </w:p>
    <w:p>
      <w:pPr>
        <w:pStyle w:val="nzHeading5"/>
      </w:pPr>
      <w:r>
        <w:rPr>
          <w:rStyle w:val="CharSectno"/>
        </w:rPr>
        <w:t>217</w:t>
      </w:r>
      <w:r>
        <w:t>.</w:t>
      </w:r>
      <w:r>
        <w:tab/>
        <w:t>Sections 22 and 25 deleted</w:t>
      </w:r>
    </w:p>
    <w:p>
      <w:pPr>
        <w:pStyle w:val="nzSubsection"/>
      </w:pPr>
      <w:r>
        <w:tab/>
      </w:r>
      <w:r>
        <w:tab/>
        <w:t>Delete sections 22 and 25.</w:t>
      </w:r>
    </w:p>
    <w:p>
      <w:pPr>
        <w:pStyle w:val="nzHeading5"/>
      </w:pPr>
      <w:r>
        <w:rPr>
          <w:rStyle w:val="CharSectno"/>
        </w:rPr>
        <w:t>218</w:t>
      </w:r>
      <w:r>
        <w:t>.</w:t>
      </w:r>
      <w:r>
        <w:tab/>
        <w:t>Section 26 deleted</w:t>
      </w:r>
    </w:p>
    <w:p>
      <w:pPr>
        <w:pStyle w:val="nzSubsection"/>
      </w:pPr>
      <w:r>
        <w:tab/>
      </w:r>
      <w:r>
        <w:tab/>
        <w:t>Delete section 26.</w:t>
      </w:r>
    </w:p>
    <w:p>
      <w:pPr>
        <w:pStyle w:val="nzHeading5"/>
      </w:pPr>
      <w:r>
        <w:rPr>
          <w:rStyle w:val="CharSectno"/>
        </w:rPr>
        <w:t>219</w:t>
      </w:r>
      <w:r>
        <w:t>.</w:t>
      </w:r>
      <w:r>
        <w:tab/>
        <w:t>Section 35 deleted</w:t>
      </w:r>
    </w:p>
    <w:p>
      <w:pPr>
        <w:pStyle w:val="nzSubsection"/>
      </w:pPr>
      <w:r>
        <w:tab/>
      </w:r>
      <w:r>
        <w:tab/>
        <w:t>Delete section 35.</w:t>
      </w:r>
    </w:p>
    <w:p>
      <w:pPr>
        <w:pStyle w:val="nzHeading5"/>
      </w:pPr>
      <w:r>
        <w:rPr>
          <w:rStyle w:val="CharSectno"/>
        </w:rPr>
        <w:t>220</w:t>
      </w:r>
      <w:r>
        <w:t>.</w:t>
      </w:r>
      <w:r>
        <w:tab/>
        <w:t>Section 36 deleted</w:t>
      </w:r>
    </w:p>
    <w:p>
      <w:pPr>
        <w:pStyle w:val="nzSubsection"/>
      </w:pPr>
      <w:r>
        <w:tab/>
      </w:r>
      <w:r>
        <w:tab/>
        <w:t>Delete section 36.</w:t>
      </w:r>
    </w:p>
    <w:p>
      <w:pPr>
        <w:pStyle w:val="nzHeading5"/>
      </w:pPr>
      <w:r>
        <w:rPr>
          <w:rStyle w:val="CharSectno"/>
        </w:rPr>
        <w:t>221</w:t>
      </w:r>
      <w:r>
        <w:t>.</w:t>
      </w:r>
      <w:r>
        <w:tab/>
        <w:t>Section 38 deleted</w:t>
      </w:r>
    </w:p>
    <w:p>
      <w:pPr>
        <w:pStyle w:val="nzSubsection"/>
      </w:pPr>
      <w:r>
        <w:tab/>
      </w:r>
      <w:r>
        <w:tab/>
        <w:t>Delete section 38.</w:t>
      </w:r>
    </w:p>
    <w:p>
      <w:pPr>
        <w:pStyle w:val="nzHeading5"/>
      </w:pPr>
      <w:r>
        <w:rPr>
          <w:rStyle w:val="CharSectno"/>
        </w:rPr>
        <w:t>222</w:t>
      </w:r>
      <w:r>
        <w:t>.</w:t>
      </w:r>
      <w:r>
        <w:tab/>
        <w:t>Part II Division 3 deleted</w:t>
      </w:r>
    </w:p>
    <w:p>
      <w:pPr>
        <w:pStyle w:val="nzSubsection"/>
      </w:pPr>
      <w:r>
        <w:tab/>
      </w:r>
      <w:r>
        <w:tab/>
        <w:t>Delete Part II Division 3.</w:t>
      </w:r>
    </w:p>
    <w:p>
      <w:pPr>
        <w:pStyle w:val="nzHeading3"/>
      </w:pPr>
      <w:r>
        <w:rPr>
          <w:rStyle w:val="CharDivNo"/>
        </w:rPr>
        <w:t>Division 4</w:t>
      </w:r>
      <w:r>
        <w:t> — </w:t>
      </w:r>
      <w:r>
        <w:rPr>
          <w:rStyle w:val="CharDivText"/>
        </w:rPr>
        <w:t>Part III deleted</w:t>
      </w:r>
    </w:p>
    <w:p>
      <w:pPr>
        <w:pStyle w:val="nzHeading5"/>
      </w:pPr>
      <w:r>
        <w:rPr>
          <w:rStyle w:val="CharSectno"/>
        </w:rPr>
        <w:t>223</w:t>
      </w:r>
      <w:r>
        <w:t>.</w:t>
      </w:r>
      <w:r>
        <w:tab/>
        <w:t>Part III deleted</w:t>
      </w:r>
    </w:p>
    <w:p>
      <w:pPr>
        <w:pStyle w:val="nzSubsection"/>
      </w:pPr>
      <w:r>
        <w:tab/>
      </w:r>
      <w:r>
        <w:tab/>
        <w:t>Delete Part III.</w:t>
      </w:r>
    </w:p>
    <w:p>
      <w:pPr>
        <w:pStyle w:val="nzHeading3"/>
      </w:pPr>
      <w:r>
        <w:rPr>
          <w:rStyle w:val="CharDivNo"/>
        </w:rPr>
        <w:t>Division 5</w:t>
      </w:r>
      <w:r>
        <w:t> — </w:t>
      </w:r>
      <w:r>
        <w:rPr>
          <w:rStyle w:val="CharDivText"/>
        </w:rPr>
        <w:t>Part IV amended</w:t>
      </w:r>
    </w:p>
    <w:p>
      <w:pPr>
        <w:pStyle w:val="nzHeading5"/>
      </w:pPr>
      <w:r>
        <w:rPr>
          <w:rStyle w:val="CharSectno"/>
        </w:rPr>
        <w:t>224</w:t>
      </w:r>
      <w:r>
        <w:t>.</w:t>
      </w:r>
      <w:r>
        <w:tab/>
        <w:t>Sections 53 to 63A deleted</w:t>
      </w:r>
    </w:p>
    <w:p>
      <w:pPr>
        <w:pStyle w:val="nzSubsection"/>
      </w:pPr>
      <w:r>
        <w:tab/>
      </w:r>
      <w:r>
        <w:tab/>
        <w:t>Delete sections 53 to 63A.</w:t>
      </w:r>
    </w:p>
    <w:p>
      <w:pPr>
        <w:pStyle w:val="nzHeading5"/>
      </w:pPr>
      <w:r>
        <w:rPr>
          <w:rStyle w:val="CharSectno"/>
        </w:rPr>
        <w:t>225</w:t>
      </w:r>
      <w:r>
        <w:t>.</w:t>
      </w:r>
      <w:r>
        <w:tab/>
        <w:t>Section 64 amended</w:t>
      </w:r>
    </w:p>
    <w:p>
      <w:pPr>
        <w:pStyle w:val="nzSubsection"/>
      </w:pPr>
      <w:r>
        <w:tab/>
      </w:r>
      <w:r>
        <w:tab/>
        <w:t>After section 64(9) insert:</w:t>
      </w:r>
    </w:p>
    <w:p>
      <w:pPr>
        <w:pStyle w:val="BlankOpen"/>
      </w:pPr>
    </w:p>
    <w:p>
      <w:pPr>
        <w:pStyle w:val="nzSubsection"/>
      </w:pPr>
      <w:r>
        <w:tab/>
        <w:t>(10)</w:t>
      </w:r>
      <w:r>
        <w:tab/>
        <w:t xml:space="preserve">This section does not apply on or after the date on which the </w:t>
      </w:r>
      <w:r>
        <w:rPr>
          <w:i/>
        </w:rPr>
        <w:t>Public Health (Consequential Provisions) Act 2016</w:t>
      </w:r>
      <w:r>
        <w:t xml:space="preserve"> section 225 comes into operation, other than to and in relation to any agreement made under this section and having effect immediately before that section comes into operation.</w:t>
      </w:r>
    </w:p>
    <w:p>
      <w:pPr>
        <w:pStyle w:val="BlankClose"/>
      </w:pPr>
    </w:p>
    <w:p>
      <w:pPr>
        <w:pStyle w:val="nzHeading5"/>
      </w:pPr>
      <w:r>
        <w:rPr>
          <w:rStyle w:val="CharSectno"/>
        </w:rPr>
        <w:t>226</w:t>
      </w:r>
      <w:r>
        <w:t>.</w:t>
      </w:r>
      <w:r>
        <w:tab/>
        <w:t>Sections 65 to 71 deleted</w:t>
      </w:r>
    </w:p>
    <w:p>
      <w:pPr>
        <w:pStyle w:val="nzSubsection"/>
      </w:pPr>
      <w:r>
        <w:tab/>
      </w:r>
      <w:r>
        <w:tab/>
        <w:t>Delete sections 65 to 71.</w:t>
      </w:r>
    </w:p>
    <w:p>
      <w:pPr>
        <w:pStyle w:val="nzHeading5"/>
      </w:pPr>
      <w:r>
        <w:rPr>
          <w:rStyle w:val="CharSectno"/>
        </w:rPr>
        <w:t>227</w:t>
      </w:r>
      <w:r>
        <w:t>.</w:t>
      </w:r>
      <w:r>
        <w:tab/>
        <w:t>Sections 72 and 73 deleted</w:t>
      </w:r>
    </w:p>
    <w:p>
      <w:pPr>
        <w:pStyle w:val="nzSubsection"/>
      </w:pPr>
      <w:r>
        <w:tab/>
      </w:r>
      <w:r>
        <w:tab/>
        <w:t>Delete sections 72 and 73.</w:t>
      </w:r>
    </w:p>
    <w:p>
      <w:pPr>
        <w:pStyle w:val="nzHeading5"/>
      </w:pPr>
      <w:r>
        <w:rPr>
          <w:rStyle w:val="CharSectno"/>
        </w:rPr>
        <w:t>228</w:t>
      </w:r>
      <w:r>
        <w:t>.</w:t>
      </w:r>
      <w:r>
        <w:tab/>
        <w:t>Section 74 amended</w:t>
      </w:r>
    </w:p>
    <w:p>
      <w:pPr>
        <w:pStyle w:val="nzSubsection"/>
      </w:pPr>
      <w:r>
        <w:tab/>
      </w:r>
      <w:r>
        <w:tab/>
        <w:t>After section 74(3) insert:</w:t>
      </w:r>
    </w:p>
    <w:p>
      <w:pPr>
        <w:pStyle w:val="BlankOpen"/>
      </w:pPr>
    </w:p>
    <w:p>
      <w:pPr>
        <w:pStyle w:val="nzSubsection"/>
      </w:pPr>
      <w:r>
        <w:tab/>
        <w:t>(4)</w:t>
      </w:r>
      <w:r>
        <w:tab/>
        <w:t xml:space="preserve">This section does not apply on or after the date on which the </w:t>
      </w:r>
      <w:r>
        <w:rPr>
          <w:i/>
        </w:rPr>
        <w:t>Public Health (Consequential Provisions) Act 2016</w:t>
      </w:r>
      <w:r>
        <w:t xml:space="preserve"> section 228 comes into operation, other than to and in relation to any agreement made under this section and having effect immediately before that section comes into operation.</w:t>
      </w:r>
    </w:p>
    <w:p>
      <w:pPr>
        <w:pStyle w:val="BlankClose"/>
      </w:pPr>
    </w:p>
    <w:p>
      <w:pPr>
        <w:pStyle w:val="nzHeading5"/>
      </w:pPr>
      <w:r>
        <w:rPr>
          <w:rStyle w:val="CharSectno"/>
        </w:rPr>
        <w:t>229</w:t>
      </w:r>
      <w:r>
        <w:t>.</w:t>
      </w:r>
      <w:r>
        <w:tab/>
        <w:t>Sections 75 to 94 deleted</w:t>
      </w:r>
    </w:p>
    <w:p>
      <w:pPr>
        <w:pStyle w:val="nzSubsection"/>
      </w:pPr>
      <w:r>
        <w:tab/>
      </w:r>
      <w:r>
        <w:tab/>
        <w:t>Delete sections 75 to 94.</w:t>
      </w:r>
    </w:p>
    <w:p>
      <w:pPr>
        <w:pStyle w:val="nzHeading5"/>
      </w:pPr>
      <w:r>
        <w:rPr>
          <w:rStyle w:val="CharSectno"/>
        </w:rPr>
        <w:t>230</w:t>
      </w:r>
      <w:r>
        <w:t>.</w:t>
      </w:r>
      <w:r>
        <w:tab/>
        <w:t>Part IV Divisions 3 to 5 and 7 to 9 deleted</w:t>
      </w:r>
    </w:p>
    <w:p>
      <w:pPr>
        <w:pStyle w:val="nzSubsection"/>
      </w:pPr>
      <w:r>
        <w:tab/>
      </w:r>
      <w:r>
        <w:tab/>
        <w:t>Delete Part IV Divisions 3 to 5 and 7 to 9.</w:t>
      </w:r>
    </w:p>
    <w:p>
      <w:pPr>
        <w:pStyle w:val="nzHeading3"/>
      </w:pPr>
      <w:r>
        <w:rPr>
          <w:rStyle w:val="CharDivNo"/>
        </w:rPr>
        <w:t>Division 6</w:t>
      </w:r>
      <w:r>
        <w:t> — </w:t>
      </w:r>
      <w:r>
        <w:rPr>
          <w:rStyle w:val="CharDivText"/>
        </w:rPr>
        <w:t>Part V deleted</w:t>
      </w:r>
    </w:p>
    <w:p>
      <w:pPr>
        <w:pStyle w:val="nzHeading5"/>
      </w:pPr>
      <w:r>
        <w:rPr>
          <w:rStyle w:val="CharSectno"/>
        </w:rPr>
        <w:t>231</w:t>
      </w:r>
      <w:r>
        <w:t>.</w:t>
      </w:r>
      <w:r>
        <w:tab/>
        <w:t>Part V deleted</w:t>
      </w:r>
    </w:p>
    <w:p>
      <w:pPr>
        <w:pStyle w:val="nzSubsection"/>
      </w:pPr>
      <w:r>
        <w:tab/>
      </w:r>
      <w:r>
        <w:tab/>
        <w:t>Delete Part V.</w:t>
      </w:r>
    </w:p>
    <w:p>
      <w:pPr>
        <w:pStyle w:val="nzHeading3"/>
      </w:pPr>
      <w:r>
        <w:rPr>
          <w:rStyle w:val="CharDivNo"/>
        </w:rPr>
        <w:t>Division 7</w:t>
      </w:r>
      <w:r>
        <w:t> — </w:t>
      </w:r>
      <w:r>
        <w:rPr>
          <w:rStyle w:val="CharDivText"/>
        </w:rPr>
        <w:t>Part VI deleted</w:t>
      </w:r>
    </w:p>
    <w:p>
      <w:pPr>
        <w:pStyle w:val="nzHeading5"/>
      </w:pPr>
      <w:r>
        <w:rPr>
          <w:rStyle w:val="CharSectno"/>
        </w:rPr>
        <w:t>232</w:t>
      </w:r>
      <w:r>
        <w:t>.</w:t>
      </w:r>
      <w:r>
        <w:tab/>
        <w:t>Part VI deleted</w:t>
      </w:r>
    </w:p>
    <w:p>
      <w:pPr>
        <w:pStyle w:val="nzSubsection"/>
      </w:pPr>
      <w:r>
        <w:tab/>
      </w:r>
      <w:r>
        <w:tab/>
        <w:t>Delete Part VI.</w:t>
      </w:r>
    </w:p>
    <w:p>
      <w:pPr>
        <w:pStyle w:val="nzHeading3"/>
      </w:pPr>
      <w:r>
        <w:rPr>
          <w:rStyle w:val="CharDivNo"/>
        </w:rPr>
        <w:t>Division 8</w:t>
      </w:r>
      <w:r>
        <w:t> — </w:t>
      </w:r>
      <w:r>
        <w:rPr>
          <w:rStyle w:val="CharDivText"/>
        </w:rPr>
        <w:t>Part VII deleted</w:t>
      </w:r>
    </w:p>
    <w:p>
      <w:pPr>
        <w:pStyle w:val="nzHeading5"/>
      </w:pPr>
      <w:r>
        <w:rPr>
          <w:rStyle w:val="CharSectno"/>
        </w:rPr>
        <w:t>233</w:t>
      </w:r>
      <w:r>
        <w:t>.</w:t>
      </w:r>
      <w:r>
        <w:tab/>
        <w:t>Part VII deleted</w:t>
      </w:r>
    </w:p>
    <w:p>
      <w:pPr>
        <w:pStyle w:val="nzSubsection"/>
      </w:pPr>
      <w:r>
        <w:tab/>
      </w:r>
      <w:r>
        <w:tab/>
        <w:t>Delete Part VII.</w:t>
      </w:r>
    </w:p>
    <w:p>
      <w:pPr>
        <w:pStyle w:val="nzHeading3"/>
        <w:rPr>
          <w:rStyle w:val="CharDivText"/>
        </w:rPr>
      </w:pPr>
      <w:r>
        <w:rPr>
          <w:rStyle w:val="CharDivNo"/>
        </w:rPr>
        <w:t>Division 9</w:t>
      </w:r>
      <w:r>
        <w:t> — </w:t>
      </w:r>
      <w:r>
        <w:rPr>
          <w:rStyle w:val="CharDivText"/>
        </w:rPr>
        <w:t>Part VIIA amended</w:t>
      </w:r>
    </w:p>
    <w:p>
      <w:pPr>
        <w:pStyle w:val="nzHeading4"/>
      </w:pPr>
      <w:r>
        <w:t>Subdivision 1 — Amendments to Part VIIA heading</w:t>
      </w:r>
    </w:p>
    <w:p>
      <w:pPr>
        <w:pStyle w:val="nzHeading5"/>
      </w:pPr>
      <w:r>
        <w:rPr>
          <w:rStyle w:val="CharSectno"/>
        </w:rPr>
        <w:t>234</w:t>
      </w:r>
      <w:r>
        <w:t>.</w:t>
      </w:r>
      <w:r>
        <w:tab/>
        <w:t>Part VIIA heading amended</w:t>
      </w:r>
    </w:p>
    <w:p>
      <w:pPr>
        <w:pStyle w:val="nzSubsection"/>
      </w:pPr>
      <w:r>
        <w:tab/>
      </w:r>
      <w:r>
        <w:tab/>
        <w:t>In the heading to Part VIIA delete “</w:t>
      </w:r>
      <w:r>
        <w:rPr>
          <w:b/>
          <w:sz w:val="26"/>
          <w:szCs w:val="26"/>
        </w:rPr>
        <w:t>disinfectants, therapeutic substances and pesticides</w:t>
      </w:r>
      <w:r>
        <w:t>” and insert:</w:t>
      </w:r>
    </w:p>
    <w:p>
      <w:pPr>
        <w:pStyle w:val="BlankOpen"/>
      </w:pPr>
    </w:p>
    <w:p>
      <w:pPr>
        <w:pStyle w:val="nzSubsection"/>
        <w:rPr>
          <w:sz w:val="26"/>
          <w:szCs w:val="26"/>
        </w:rPr>
      </w:pPr>
      <w:r>
        <w:tab/>
      </w:r>
      <w:r>
        <w:tab/>
      </w:r>
      <w:r>
        <w:rPr>
          <w:b/>
          <w:sz w:val="26"/>
          <w:szCs w:val="26"/>
        </w:rPr>
        <w:t>disinfectants and therapeutic substances</w:t>
      </w:r>
    </w:p>
    <w:p>
      <w:pPr>
        <w:pStyle w:val="BlankClose"/>
      </w:pPr>
    </w:p>
    <w:p>
      <w:pPr>
        <w:pStyle w:val="nzHeading5"/>
      </w:pPr>
      <w:r>
        <w:rPr>
          <w:rStyle w:val="CharSectno"/>
        </w:rPr>
        <w:t>235</w:t>
      </w:r>
      <w:r>
        <w:t>.</w:t>
      </w:r>
      <w:r>
        <w:tab/>
        <w:t>Part VIIA heading replaced</w:t>
      </w:r>
    </w:p>
    <w:p>
      <w:pPr>
        <w:pStyle w:val="nzSubsection"/>
      </w:pPr>
      <w:r>
        <w:tab/>
      </w:r>
      <w:r>
        <w:tab/>
        <w:t>Delete the heading to Part VIIA and insert:</w:t>
      </w:r>
    </w:p>
    <w:p>
      <w:pPr>
        <w:pStyle w:val="BlankOpen"/>
      </w:pPr>
    </w:p>
    <w:p>
      <w:pPr>
        <w:pStyle w:val="nzHeading2"/>
      </w:pPr>
      <w:r>
        <w:t>Part VIIA</w:t>
      </w:r>
      <w:r>
        <w:rPr>
          <w:b w:val="0"/>
        </w:rPr>
        <w:t> </w:t>
      </w:r>
      <w:r>
        <w:t>—</w:t>
      </w:r>
      <w:r>
        <w:rPr>
          <w:b w:val="0"/>
        </w:rPr>
        <w:t> </w:t>
      </w:r>
      <w:r>
        <w:t>Analysts</w:t>
      </w:r>
    </w:p>
    <w:p>
      <w:pPr>
        <w:pStyle w:val="BlankClose"/>
      </w:pPr>
    </w:p>
    <w:p>
      <w:pPr>
        <w:pStyle w:val="nzHeading4"/>
      </w:pPr>
      <w:r>
        <w:t>Subdivision 2 — Part VIIA Division 1 amended</w:t>
      </w:r>
    </w:p>
    <w:p>
      <w:pPr>
        <w:pStyle w:val="nzHeading5"/>
      </w:pPr>
      <w:r>
        <w:rPr>
          <w:rStyle w:val="CharSectno"/>
        </w:rPr>
        <w:t>236</w:t>
      </w:r>
      <w:r>
        <w:t>.</w:t>
      </w:r>
      <w:r>
        <w:tab/>
        <w:t>Section 203 deleted</w:t>
      </w:r>
    </w:p>
    <w:p>
      <w:pPr>
        <w:pStyle w:val="nzSubsection"/>
      </w:pPr>
      <w:r>
        <w:tab/>
      </w:r>
      <w:r>
        <w:tab/>
        <w:t>Delete section 203.</w:t>
      </w:r>
    </w:p>
    <w:p>
      <w:pPr>
        <w:pStyle w:val="nzHeading5"/>
      </w:pPr>
      <w:r>
        <w:rPr>
          <w:rStyle w:val="CharSectno"/>
        </w:rPr>
        <w:t>237</w:t>
      </w:r>
      <w:r>
        <w:t>.</w:t>
      </w:r>
      <w:r>
        <w:tab/>
        <w:t>Part VIIA Division 1 deleted</w:t>
      </w:r>
    </w:p>
    <w:p>
      <w:pPr>
        <w:pStyle w:val="nzSubsection"/>
      </w:pPr>
      <w:r>
        <w:tab/>
      </w:r>
      <w:r>
        <w:tab/>
        <w:t>Delete Part VIIA Division 1.</w:t>
      </w:r>
    </w:p>
    <w:p>
      <w:pPr>
        <w:pStyle w:val="nzHeading4"/>
      </w:pPr>
      <w:r>
        <w:t>Subdivision 3 — Part VIIA Division 8 deleted</w:t>
      </w:r>
    </w:p>
    <w:p>
      <w:pPr>
        <w:pStyle w:val="nzHeading5"/>
      </w:pPr>
      <w:r>
        <w:rPr>
          <w:rStyle w:val="CharSectno"/>
        </w:rPr>
        <w:t>238</w:t>
      </w:r>
      <w:r>
        <w:t>.</w:t>
      </w:r>
      <w:r>
        <w:tab/>
        <w:t>Part VIIA Division 8 deleted</w:t>
      </w:r>
    </w:p>
    <w:p>
      <w:pPr>
        <w:pStyle w:val="nzSubsection"/>
      </w:pPr>
      <w:r>
        <w:tab/>
      </w:r>
      <w:r>
        <w:tab/>
        <w:t>Delete Part VIIA Division 8.</w:t>
      </w:r>
    </w:p>
    <w:p>
      <w:pPr>
        <w:pStyle w:val="nzHeading3"/>
        <w:rPr>
          <w:rStyle w:val="CharDivText"/>
        </w:rPr>
      </w:pPr>
      <w:r>
        <w:rPr>
          <w:rStyle w:val="CharDivNo"/>
        </w:rPr>
        <w:t>Division 10</w:t>
      </w:r>
      <w:r>
        <w:t> — </w:t>
      </w:r>
      <w:r>
        <w:rPr>
          <w:rStyle w:val="CharDivText"/>
        </w:rPr>
        <w:t>Part IX amended</w:t>
      </w:r>
    </w:p>
    <w:p>
      <w:pPr>
        <w:pStyle w:val="nzHeading5"/>
      </w:pPr>
      <w:r>
        <w:rPr>
          <w:rStyle w:val="CharSectno"/>
        </w:rPr>
        <w:t>239</w:t>
      </w:r>
      <w:r>
        <w:t>.</w:t>
      </w:r>
      <w:r>
        <w:tab/>
        <w:t>Part IX heading and Part IX Division 1 heading deleted</w:t>
      </w:r>
    </w:p>
    <w:p>
      <w:pPr>
        <w:pStyle w:val="nzSubsection"/>
      </w:pPr>
      <w:r>
        <w:tab/>
      </w:r>
      <w:r>
        <w:tab/>
        <w:t>Delete the headings to Part IX and Part IX Division 1.</w:t>
      </w:r>
    </w:p>
    <w:p>
      <w:pPr>
        <w:pStyle w:val="nzHeading5"/>
      </w:pPr>
      <w:r>
        <w:rPr>
          <w:rStyle w:val="CharSectno"/>
        </w:rPr>
        <w:t>241</w:t>
      </w:r>
      <w:r>
        <w:t>.</w:t>
      </w:r>
      <w:r>
        <w:tab/>
        <w:t>Section 249 deleted</w:t>
      </w:r>
    </w:p>
    <w:p>
      <w:pPr>
        <w:pStyle w:val="nzSubsection"/>
      </w:pPr>
      <w:r>
        <w:tab/>
      </w:r>
      <w:r>
        <w:tab/>
        <w:t>Delete section 249.</w:t>
      </w:r>
    </w:p>
    <w:p>
      <w:pPr>
        <w:pStyle w:val="nzHeading3"/>
      </w:pPr>
      <w:r>
        <w:rPr>
          <w:rStyle w:val="CharDivNo"/>
        </w:rPr>
        <w:t>Division 11</w:t>
      </w:r>
      <w:r>
        <w:t> — </w:t>
      </w:r>
      <w:r>
        <w:rPr>
          <w:rStyle w:val="CharDivText"/>
        </w:rPr>
        <w:t>Part IXA deleted</w:t>
      </w:r>
    </w:p>
    <w:p>
      <w:pPr>
        <w:pStyle w:val="nzHeading5"/>
      </w:pPr>
      <w:r>
        <w:rPr>
          <w:rStyle w:val="CharSectno"/>
        </w:rPr>
        <w:t>244</w:t>
      </w:r>
      <w:r>
        <w:t>.</w:t>
      </w:r>
      <w:r>
        <w:tab/>
        <w:t>Part IXA deleted</w:t>
      </w:r>
    </w:p>
    <w:p>
      <w:pPr>
        <w:pStyle w:val="nzSubsection"/>
      </w:pPr>
      <w:r>
        <w:tab/>
      </w:r>
      <w:r>
        <w:tab/>
        <w:t>Delete Part IXA.</w:t>
      </w:r>
    </w:p>
    <w:p>
      <w:pPr>
        <w:pStyle w:val="nzHeading3"/>
      </w:pPr>
      <w:r>
        <w:rPr>
          <w:rStyle w:val="CharDivNo"/>
        </w:rPr>
        <w:t>Division 15</w:t>
      </w:r>
      <w:r>
        <w:t xml:space="preserve"> — </w:t>
      </w:r>
      <w:r>
        <w:rPr>
          <w:rStyle w:val="CharDivText"/>
        </w:rPr>
        <w:t>Part XIIIB amended</w:t>
      </w:r>
    </w:p>
    <w:p>
      <w:pPr>
        <w:pStyle w:val="nzHeading5"/>
      </w:pPr>
      <w:r>
        <w:rPr>
          <w:rStyle w:val="CharSectno"/>
        </w:rPr>
        <w:t>248</w:t>
      </w:r>
      <w:r>
        <w:t>.</w:t>
      </w:r>
      <w:r>
        <w:tab/>
        <w:t>Section 340AB amended</w:t>
      </w:r>
    </w:p>
    <w:p>
      <w:pPr>
        <w:pStyle w:val="nzSubsection"/>
      </w:pPr>
      <w:r>
        <w:tab/>
      </w:r>
      <w:r>
        <w:tab/>
        <w:t>In section 340AB(3)(d) delete “Princess Margaret Hospital for Children,” and insert:</w:t>
      </w:r>
    </w:p>
    <w:p>
      <w:pPr>
        <w:pStyle w:val="BlankOpen"/>
      </w:pPr>
    </w:p>
    <w:p>
      <w:pPr>
        <w:pStyle w:val="nzSubsection"/>
      </w:pPr>
      <w:r>
        <w:tab/>
      </w:r>
      <w:r>
        <w:tab/>
        <w:t>Perth Children’s Hospital,</w:t>
      </w:r>
    </w:p>
    <w:p>
      <w:pPr>
        <w:pStyle w:val="BlankClose"/>
      </w:pPr>
    </w:p>
    <w:p>
      <w:pPr>
        <w:pStyle w:val="nzHeading3"/>
      </w:pPr>
      <w:r>
        <w:rPr>
          <w:rStyle w:val="CharDivNo"/>
        </w:rPr>
        <w:t>Division 16</w:t>
      </w:r>
      <w:r>
        <w:t> — </w:t>
      </w:r>
      <w:r>
        <w:rPr>
          <w:rStyle w:val="CharDivText"/>
        </w:rPr>
        <w:t>Parts XIV and XV and Schedules amended</w:t>
      </w:r>
    </w:p>
    <w:p>
      <w:pPr>
        <w:pStyle w:val="nzHeading5"/>
      </w:pPr>
      <w:r>
        <w:rPr>
          <w:rStyle w:val="CharSectno"/>
        </w:rPr>
        <w:t>249</w:t>
      </w:r>
      <w:r>
        <w:t>.</w:t>
      </w:r>
      <w:r>
        <w:tab/>
        <w:t>Part XIV heading amended</w:t>
      </w:r>
    </w:p>
    <w:p>
      <w:pPr>
        <w:pStyle w:val="nzSubsection"/>
      </w:pPr>
      <w:r>
        <w:tab/>
      </w:r>
      <w:r>
        <w:tab/>
        <w:t>In the heading to Part XIV delete “</w:t>
      </w:r>
      <w:r>
        <w:rPr>
          <w:b/>
          <w:sz w:val="30"/>
        </w:rPr>
        <w:t>and local laws</w:t>
      </w:r>
      <w:r>
        <w:t>”.</w:t>
      </w:r>
    </w:p>
    <w:p>
      <w:pPr>
        <w:pStyle w:val="nzHeading5"/>
      </w:pPr>
      <w:r>
        <w:rPr>
          <w:rStyle w:val="CharSectno"/>
        </w:rPr>
        <w:t>250</w:t>
      </w:r>
      <w:r>
        <w:t>.</w:t>
      </w:r>
      <w:r>
        <w:tab/>
        <w:t>Section 341 amended</w:t>
      </w:r>
    </w:p>
    <w:p>
      <w:pPr>
        <w:pStyle w:val="nzSubsection"/>
      </w:pPr>
      <w:r>
        <w:tab/>
      </w:r>
      <w:r>
        <w:tab/>
        <w:t>Delete section 341(2).</w:t>
      </w:r>
    </w:p>
    <w:p>
      <w:pPr>
        <w:pStyle w:val="nzHeading5"/>
      </w:pPr>
      <w:r>
        <w:rPr>
          <w:rStyle w:val="CharSectno"/>
        </w:rPr>
        <w:t>251</w:t>
      </w:r>
      <w:r>
        <w:t>.</w:t>
      </w:r>
      <w:r>
        <w:tab/>
        <w:t>Section 342 deleted</w:t>
      </w:r>
    </w:p>
    <w:p>
      <w:pPr>
        <w:pStyle w:val="nzSubsection"/>
      </w:pPr>
      <w:r>
        <w:tab/>
      </w:r>
      <w:r>
        <w:tab/>
        <w:t>Delete section 342.</w:t>
      </w:r>
    </w:p>
    <w:p>
      <w:pPr>
        <w:pStyle w:val="nzHeading5"/>
      </w:pPr>
      <w:r>
        <w:rPr>
          <w:rStyle w:val="CharSectno"/>
        </w:rPr>
        <w:t>252</w:t>
      </w:r>
      <w:r>
        <w:t>.</w:t>
      </w:r>
      <w:r>
        <w:tab/>
        <w:t>Section 344C amended</w:t>
      </w:r>
    </w:p>
    <w:p>
      <w:pPr>
        <w:pStyle w:val="nzSubsection"/>
      </w:pPr>
      <w:r>
        <w:tab/>
        <w:t>(1)</w:t>
      </w:r>
      <w:r>
        <w:tab/>
        <w:t>In section 344C in the Table delete “133(1), 134(6), (11), (12), (29), (44), (45) and (46),”.</w:t>
      </w:r>
    </w:p>
    <w:p>
      <w:pPr>
        <w:pStyle w:val="nzSubsection"/>
      </w:pPr>
      <w:r>
        <w:tab/>
        <w:t>(2)</w:t>
      </w:r>
      <w:r>
        <w:tab/>
        <w:t>In section 344C in the Table delete “146(3), 158(3),”.</w:t>
      </w:r>
    </w:p>
    <w:p>
      <w:pPr>
        <w:pStyle w:val="nzSubsection"/>
      </w:pPr>
      <w:r>
        <w:tab/>
        <w:t>(3)</w:t>
      </w:r>
      <w:r>
        <w:tab/>
        <w:t>In section 344C in the Table delete “199(10)”.</w:t>
      </w:r>
    </w:p>
    <w:p>
      <w:pPr>
        <w:pStyle w:val="nzHeading5"/>
      </w:pPr>
      <w:r>
        <w:rPr>
          <w:rStyle w:val="CharSectno"/>
        </w:rPr>
        <w:t>253</w:t>
      </w:r>
      <w:r>
        <w:t>.</w:t>
      </w:r>
      <w:r>
        <w:tab/>
        <w:t>Sections 343 to 348A deleted</w:t>
      </w:r>
    </w:p>
    <w:p>
      <w:pPr>
        <w:pStyle w:val="nzSubsection"/>
      </w:pPr>
      <w:r>
        <w:tab/>
      </w:r>
      <w:r>
        <w:tab/>
        <w:t>Delete sections 343 to 348A.</w:t>
      </w:r>
    </w:p>
    <w:p>
      <w:pPr>
        <w:pStyle w:val="nzHeading5"/>
      </w:pPr>
      <w:r>
        <w:rPr>
          <w:rStyle w:val="CharSectno"/>
        </w:rPr>
        <w:t>254</w:t>
      </w:r>
      <w:r>
        <w:t>.</w:t>
      </w:r>
      <w:r>
        <w:tab/>
        <w:t>Sections 349 to 352 deleted</w:t>
      </w:r>
    </w:p>
    <w:p>
      <w:pPr>
        <w:pStyle w:val="nzSubsection"/>
      </w:pPr>
      <w:r>
        <w:tab/>
      </w:r>
      <w:r>
        <w:tab/>
        <w:t>Delete sections 349 to 352.</w:t>
      </w:r>
    </w:p>
    <w:p>
      <w:pPr>
        <w:pStyle w:val="nzHeading5"/>
      </w:pPr>
      <w:r>
        <w:rPr>
          <w:rStyle w:val="CharSectno"/>
        </w:rPr>
        <w:t>255</w:t>
      </w:r>
      <w:r>
        <w:t>.</w:t>
      </w:r>
      <w:r>
        <w:tab/>
        <w:t>Section 353 deleted</w:t>
      </w:r>
    </w:p>
    <w:p>
      <w:pPr>
        <w:pStyle w:val="nzSubsection"/>
      </w:pPr>
      <w:r>
        <w:tab/>
      </w:r>
      <w:r>
        <w:tab/>
        <w:t>Delete section 353.</w:t>
      </w:r>
    </w:p>
    <w:p>
      <w:pPr>
        <w:pStyle w:val="nzHeading5"/>
      </w:pPr>
      <w:r>
        <w:rPr>
          <w:rStyle w:val="CharSectno"/>
        </w:rPr>
        <w:t>256</w:t>
      </w:r>
      <w:r>
        <w:t>.</w:t>
      </w:r>
      <w:r>
        <w:tab/>
        <w:t>Sections 354 and 355 deleted</w:t>
      </w:r>
    </w:p>
    <w:p>
      <w:pPr>
        <w:pStyle w:val="nzSubsection"/>
      </w:pPr>
      <w:r>
        <w:tab/>
      </w:r>
      <w:r>
        <w:tab/>
        <w:t>Delete sections 354 and 355.</w:t>
      </w:r>
    </w:p>
    <w:p>
      <w:pPr>
        <w:pStyle w:val="nzHeading5"/>
      </w:pPr>
      <w:r>
        <w:rPr>
          <w:rStyle w:val="CharSectno"/>
        </w:rPr>
        <w:t>257</w:t>
      </w:r>
      <w:r>
        <w:t>.</w:t>
      </w:r>
      <w:r>
        <w:tab/>
        <w:t>Section 356 deleted</w:t>
      </w:r>
    </w:p>
    <w:p>
      <w:pPr>
        <w:pStyle w:val="nzSubsection"/>
      </w:pPr>
      <w:r>
        <w:tab/>
      </w:r>
      <w:r>
        <w:tab/>
        <w:t>Delete section 356.</w:t>
      </w:r>
    </w:p>
    <w:p>
      <w:pPr>
        <w:pStyle w:val="nzHeading5"/>
      </w:pPr>
      <w:r>
        <w:rPr>
          <w:rStyle w:val="CharSectno"/>
        </w:rPr>
        <w:t>258</w:t>
      </w:r>
      <w:r>
        <w:t>.</w:t>
      </w:r>
      <w:r>
        <w:tab/>
        <w:t>Section 357 deleted</w:t>
      </w:r>
    </w:p>
    <w:p>
      <w:pPr>
        <w:pStyle w:val="nzSubsection"/>
      </w:pPr>
      <w:r>
        <w:tab/>
      </w:r>
      <w:r>
        <w:tab/>
        <w:t xml:space="preserve">Delete section 357. </w:t>
      </w:r>
    </w:p>
    <w:p>
      <w:pPr>
        <w:pStyle w:val="nzHeading5"/>
      </w:pPr>
      <w:r>
        <w:rPr>
          <w:rStyle w:val="CharSectno"/>
        </w:rPr>
        <w:t>259</w:t>
      </w:r>
      <w:r>
        <w:t>.</w:t>
      </w:r>
      <w:r>
        <w:tab/>
        <w:t>Sections 358 and 359 deleted</w:t>
      </w:r>
    </w:p>
    <w:p>
      <w:pPr>
        <w:pStyle w:val="nzSubsection"/>
      </w:pPr>
      <w:r>
        <w:tab/>
      </w:r>
      <w:r>
        <w:tab/>
        <w:t>Delete sections 358 and 359.</w:t>
      </w:r>
    </w:p>
    <w:p>
      <w:pPr>
        <w:pStyle w:val="nzHeading5"/>
      </w:pPr>
      <w:r>
        <w:rPr>
          <w:rStyle w:val="CharSectno"/>
        </w:rPr>
        <w:t>260</w:t>
      </w:r>
      <w:r>
        <w:t>.</w:t>
      </w:r>
      <w:r>
        <w:tab/>
        <w:t>Section 360 amended</w:t>
      </w:r>
    </w:p>
    <w:p>
      <w:pPr>
        <w:pStyle w:val="nzSubsection"/>
      </w:pPr>
      <w:r>
        <w:tab/>
        <w:t>(1)</w:t>
      </w:r>
      <w:r>
        <w:tab/>
        <w:t>Delete section 360(1)(a).</w:t>
      </w:r>
    </w:p>
    <w:p>
      <w:pPr>
        <w:pStyle w:val="nzSubsection"/>
      </w:pPr>
      <w:r>
        <w:tab/>
        <w:t>(2)</w:t>
      </w:r>
      <w:r>
        <w:tab/>
        <w:t>Delete section 360(1)(c).</w:t>
      </w:r>
    </w:p>
    <w:p>
      <w:pPr>
        <w:pStyle w:val="nzSubsection"/>
      </w:pPr>
      <w:r>
        <w:tab/>
        <w:t>(3)</w:t>
      </w:r>
      <w:r>
        <w:tab/>
        <w:t>Delete section 360(1)(e).</w:t>
      </w:r>
    </w:p>
    <w:p>
      <w:pPr>
        <w:pStyle w:val="nzSubsection"/>
        <w:keepNext/>
      </w:pPr>
      <w:r>
        <w:tab/>
        <w:t>(4)</w:t>
      </w:r>
      <w:r>
        <w:tab/>
        <w:t>In section 360(1):</w:t>
      </w:r>
    </w:p>
    <w:p>
      <w:pPr>
        <w:pStyle w:val="nzIndenta"/>
        <w:keepNext/>
      </w:pPr>
      <w:r>
        <w:tab/>
        <w:t>(a)</w:t>
      </w:r>
      <w:r>
        <w:tab/>
        <w:t>in paragraph (g)(ii) delete “$500;” and insert:</w:t>
      </w:r>
    </w:p>
    <w:p>
      <w:pPr>
        <w:pStyle w:val="BlankOpen"/>
      </w:pPr>
    </w:p>
    <w:p>
      <w:pPr>
        <w:pStyle w:val="nzIndenta"/>
      </w:pPr>
      <w:r>
        <w:tab/>
      </w:r>
      <w:r>
        <w:tab/>
        <w:t>$500.</w:t>
      </w:r>
    </w:p>
    <w:p>
      <w:pPr>
        <w:pStyle w:val="BlankClose"/>
      </w:pPr>
    </w:p>
    <w:p>
      <w:pPr>
        <w:pStyle w:val="nzIndenta"/>
      </w:pPr>
      <w:r>
        <w:tab/>
        <w:t>(b)</w:t>
      </w:r>
      <w:r>
        <w:tab/>
        <w:t>delete paragraph (h).</w:t>
      </w:r>
    </w:p>
    <w:p>
      <w:pPr>
        <w:pStyle w:val="nzSubsection"/>
      </w:pPr>
      <w:r>
        <w:tab/>
        <w:t>(5)</w:t>
      </w:r>
      <w:r>
        <w:tab/>
        <w:t>In section 360(2) delete “Local laws and regulations” and insert:</w:t>
      </w:r>
    </w:p>
    <w:p>
      <w:pPr>
        <w:pStyle w:val="BlankOpen"/>
      </w:pPr>
    </w:p>
    <w:p>
      <w:pPr>
        <w:pStyle w:val="nzSubsection"/>
      </w:pPr>
      <w:r>
        <w:tab/>
      </w:r>
      <w:r>
        <w:tab/>
        <w:t>Regulations</w:t>
      </w:r>
    </w:p>
    <w:p>
      <w:pPr>
        <w:pStyle w:val="BlankClose"/>
      </w:pPr>
    </w:p>
    <w:p>
      <w:pPr>
        <w:pStyle w:val="nzSubsection"/>
      </w:pPr>
      <w:r>
        <w:tab/>
        <w:t>(6)</w:t>
      </w:r>
      <w:r>
        <w:tab/>
        <w:t>In section 360(3)(a) delete “local laws and”.</w:t>
      </w:r>
    </w:p>
    <w:p>
      <w:pPr>
        <w:pStyle w:val="nzSubsection"/>
      </w:pPr>
      <w:r>
        <w:tab/>
        <w:t>(7)</w:t>
      </w:r>
      <w:r>
        <w:tab/>
        <w:t>In section 360 after each of subsection (1)(b) and (d) insert:</w:t>
      </w:r>
    </w:p>
    <w:p>
      <w:pPr>
        <w:pStyle w:val="BlankOpen"/>
      </w:pPr>
    </w:p>
    <w:p>
      <w:pPr>
        <w:pStyle w:val="nzSubsection"/>
      </w:pPr>
      <w:r>
        <w:tab/>
      </w:r>
      <w:r>
        <w:tab/>
        <w:t>or</w:t>
      </w:r>
    </w:p>
    <w:p>
      <w:pPr>
        <w:pStyle w:val="BlankClose"/>
      </w:pPr>
    </w:p>
    <w:p>
      <w:pPr>
        <w:pStyle w:val="nzHeading5"/>
      </w:pPr>
      <w:r>
        <w:rPr>
          <w:rStyle w:val="CharSectno"/>
        </w:rPr>
        <w:t>261</w:t>
      </w:r>
      <w:r>
        <w:t>.</w:t>
      </w:r>
      <w:r>
        <w:tab/>
        <w:t>Section 361 amended</w:t>
      </w:r>
    </w:p>
    <w:p>
      <w:pPr>
        <w:pStyle w:val="nzSubsection"/>
      </w:pPr>
      <w:r>
        <w:tab/>
      </w:r>
      <w:r>
        <w:tab/>
        <w:t>In section 361 delete “local law,”.</w:t>
      </w:r>
    </w:p>
    <w:p>
      <w:pPr>
        <w:pStyle w:val="nzHeading5"/>
      </w:pPr>
      <w:r>
        <w:rPr>
          <w:rStyle w:val="CharSectno"/>
        </w:rPr>
        <w:t>262</w:t>
      </w:r>
      <w:r>
        <w:t>.</w:t>
      </w:r>
      <w:r>
        <w:tab/>
        <w:t>Section 362 amended</w:t>
      </w:r>
    </w:p>
    <w:p>
      <w:pPr>
        <w:pStyle w:val="nzSubsection"/>
      </w:pPr>
      <w:r>
        <w:tab/>
      </w:r>
      <w:r>
        <w:tab/>
        <w:t>In section 362(2):</w:t>
      </w:r>
    </w:p>
    <w:p>
      <w:pPr>
        <w:pStyle w:val="nzIndenta"/>
      </w:pPr>
      <w:r>
        <w:tab/>
        <w:t>(a)</w:t>
      </w:r>
      <w:r>
        <w:tab/>
        <w:t>delete “or local law”;</w:t>
      </w:r>
    </w:p>
    <w:p>
      <w:pPr>
        <w:pStyle w:val="nzIndenta"/>
      </w:pPr>
      <w:r>
        <w:tab/>
        <w:t>(b)</w:t>
      </w:r>
      <w:r>
        <w:tab/>
        <w:t>delete “or the local government of the district in which the offence is committed, or an officer of the local government,”.</w:t>
      </w:r>
    </w:p>
    <w:p>
      <w:pPr>
        <w:pStyle w:val="nzHeading5"/>
      </w:pPr>
      <w:r>
        <w:rPr>
          <w:rStyle w:val="CharSectno"/>
        </w:rPr>
        <w:t>263</w:t>
      </w:r>
      <w:r>
        <w:t>.</w:t>
      </w:r>
      <w:r>
        <w:tab/>
        <w:t>Section 366 deleted</w:t>
      </w:r>
    </w:p>
    <w:p>
      <w:pPr>
        <w:pStyle w:val="nzSubsection"/>
      </w:pPr>
      <w:r>
        <w:tab/>
      </w:r>
      <w:r>
        <w:tab/>
        <w:t>Delete section 366.</w:t>
      </w:r>
    </w:p>
    <w:p>
      <w:pPr>
        <w:pStyle w:val="nzHeading5"/>
      </w:pPr>
      <w:r>
        <w:rPr>
          <w:rStyle w:val="CharSectno"/>
        </w:rPr>
        <w:t>264</w:t>
      </w:r>
      <w:r>
        <w:t>.</w:t>
      </w:r>
      <w:r>
        <w:tab/>
        <w:t>Section 367 deleted</w:t>
      </w:r>
    </w:p>
    <w:p>
      <w:pPr>
        <w:pStyle w:val="nzSubsection"/>
      </w:pPr>
      <w:r>
        <w:tab/>
      </w:r>
      <w:r>
        <w:tab/>
        <w:t>Delete section 367.</w:t>
      </w:r>
    </w:p>
    <w:p>
      <w:pPr>
        <w:pStyle w:val="nzHeading5"/>
      </w:pPr>
      <w:r>
        <w:rPr>
          <w:rStyle w:val="CharSectno"/>
        </w:rPr>
        <w:t>265</w:t>
      </w:r>
      <w:r>
        <w:t>.</w:t>
      </w:r>
      <w:r>
        <w:tab/>
        <w:t>Section 368 deleted</w:t>
      </w:r>
    </w:p>
    <w:p>
      <w:pPr>
        <w:pStyle w:val="nzSubsection"/>
      </w:pPr>
      <w:r>
        <w:tab/>
      </w:r>
      <w:r>
        <w:tab/>
        <w:t>Delete section 368.</w:t>
      </w:r>
    </w:p>
    <w:p>
      <w:pPr>
        <w:pStyle w:val="nzHeading5"/>
      </w:pPr>
      <w:r>
        <w:rPr>
          <w:rStyle w:val="CharSectno"/>
        </w:rPr>
        <w:t>266</w:t>
      </w:r>
      <w:r>
        <w:t>.</w:t>
      </w:r>
      <w:r>
        <w:tab/>
        <w:t>Sections 369 to 371 deleted</w:t>
      </w:r>
    </w:p>
    <w:p>
      <w:pPr>
        <w:pStyle w:val="nzSubsection"/>
      </w:pPr>
      <w:r>
        <w:tab/>
      </w:r>
      <w:r>
        <w:tab/>
        <w:t>Delete sections 369 to 371.</w:t>
      </w:r>
    </w:p>
    <w:p>
      <w:pPr>
        <w:pStyle w:val="nzHeading5"/>
      </w:pPr>
      <w:r>
        <w:rPr>
          <w:rStyle w:val="CharSectno"/>
        </w:rPr>
        <w:t>267</w:t>
      </w:r>
      <w:r>
        <w:t>.</w:t>
      </w:r>
      <w:r>
        <w:tab/>
        <w:t>Sections 373 and 374 deleted</w:t>
      </w:r>
    </w:p>
    <w:p>
      <w:pPr>
        <w:pStyle w:val="nzSubsection"/>
      </w:pPr>
      <w:r>
        <w:tab/>
      </w:r>
      <w:r>
        <w:tab/>
        <w:t>Delete sections 373 and 374.</w:t>
      </w:r>
    </w:p>
    <w:p>
      <w:pPr>
        <w:pStyle w:val="nzHeading5"/>
      </w:pPr>
      <w:r>
        <w:rPr>
          <w:rStyle w:val="CharSectno"/>
        </w:rPr>
        <w:t>268</w:t>
      </w:r>
      <w:r>
        <w:t>.</w:t>
      </w:r>
      <w:r>
        <w:tab/>
        <w:t>Section 376 deleted</w:t>
      </w:r>
    </w:p>
    <w:p>
      <w:pPr>
        <w:pStyle w:val="nzSubsection"/>
      </w:pPr>
      <w:r>
        <w:tab/>
      </w:r>
      <w:r>
        <w:tab/>
        <w:t>Delete section 376.</w:t>
      </w:r>
    </w:p>
    <w:p>
      <w:pPr>
        <w:pStyle w:val="nzHeading5"/>
      </w:pPr>
      <w:r>
        <w:rPr>
          <w:rStyle w:val="CharSectno"/>
        </w:rPr>
        <w:t>269</w:t>
      </w:r>
      <w:r>
        <w:t>.</w:t>
      </w:r>
      <w:r>
        <w:tab/>
        <w:t>Section 377 amended</w:t>
      </w:r>
    </w:p>
    <w:p>
      <w:pPr>
        <w:pStyle w:val="nzSubsection"/>
      </w:pPr>
      <w:r>
        <w:tab/>
      </w:r>
      <w:r>
        <w:tab/>
        <w:t>In section 377:</w:t>
      </w:r>
    </w:p>
    <w:p>
      <w:pPr>
        <w:pStyle w:val="nzIndenta"/>
      </w:pPr>
      <w:r>
        <w:tab/>
        <w:t>(a)</w:t>
      </w:r>
      <w:r>
        <w:tab/>
        <w:t>delete paragraphs (1) to (9);</w:t>
      </w:r>
    </w:p>
    <w:p>
      <w:pPr>
        <w:pStyle w:val="nzIndenta"/>
      </w:pPr>
      <w:r>
        <w:tab/>
        <w:t>(b)</w:t>
      </w:r>
      <w:r>
        <w:tab/>
        <w:t>in paragraph (10) delete “analysed;” and insert:</w:t>
      </w:r>
    </w:p>
    <w:p>
      <w:pPr>
        <w:pStyle w:val="BlankOpen"/>
      </w:pPr>
    </w:p>
    <w:p>
      <w:pPr>
        <w:pStyle w:val="nzIndenta"/>
      </w:pPr>
      <w:r>
        <w:tab/>
      </w:r>
      <w:r>
        <w:tab/>
        <w:t>analysed.</w:t>
      </w:r>
    </w:p>
    <w:p>
      <w:pPr>
        <w:pStyle w:val="BlankClose"/>
      </w:pPr>
    </w:p>
    <w:p>
      <w:pPr>
        <w:pStyle w:val="nzIndenta"/>
      </w:pPr>
      <w:r>
        <w:tab/>
        <w:t>(c)</w:t>
      </w:r>
      <w:r>
        <w:tab/>
        <w:t>delete paragraph (11).</w:t>
      </w:r>
    </w:p>
    <w:p>
      <w:pPr>
        <w:pStyle w:val="nzHeading5"/>
      </w:pPr>
      <w:r>
        <w:rPr>
          <w:rStyle w:val="CharSectno"/>
        </w:rPr>
        <w:t>270</w:t>
      </w:r>
      <w:r>
        <w:t>.</w:t>
      </w:r>
      <w:r>
        <w:tab/>
        <w:t>Section 377 deleted</w:t>
      </w:r>
    </w:p>
    <w:p>
      <w:pPr>
        <w:pStyle w:val="nzSubsection"/>
      </w:pPr>
      <w:r>
        <w:tab/>
      </w:r>
      <w:r>
        <w:tab/>
        <w:t>Delete section 377.</w:t>
      </w:r>
    </w:p>
    <w:p>
      <w:pPr>
        <w:pStyle w:val="nzHeading5"/>
      </w:pPr>
      <w:r>
        <w:rPr>
          <w:rStyle w:val="CharSectno"/>
        </w:rPr>
        <w:t>271</w:t>
      </w:r>
      <w:r>
        <w:t>.</w:t>
      </w:r>
      <w:r>
        <w:tab/>
        <w:t>Section 378 deleted</w:t>
      </w:r>
    </w:p>
    <w:p>
      <w:pPr>
        <w:pStyle w:val="nzSubsection"/>
      </w:pPr>
      <w:r>
        <w:tab/>
      </w:r>
      <w:r>
        <w:tab/>
        <w:t>Delete section 378.</w:t>
      </w:r>
    </w:p>
    <w:p>
      <w:pPr>
        <w:pStyle w:val="nzHeading5"/>
      </w:pPr>
      <w:r>
        <w:rPr>
          <w:rStyle w:val="CharSectno"/>
        </w:rPr>
        <w:t>273</w:t>
      </w:r>
      <w:r>
        <w:t>.</w:t>
      </w:r>
      <w:r>
        <w:tab/>
        <w:t>Schedule 2 deleted</w:t>
      </w:r>
    </w:p>
    <w:p>
      <w:pPr>
        <w:pStyle w:val="nzSubsection"/>
      </w:pPr>
      <w:r>
        <w:tab/>
      </w:r>
      <w:r>
        <w:tab/>
        <w:t>Delete Schedule 2.</w:t>
      </w:r>
    </w:p>
    <w:p>
      <w:pPr>
        <w:pStyle w:val="nzHeading5"/>
      </w:pPr>
      <w:r>
        <w:rPr>
          <w:rStyle w:val="CharSectno"/>
        </w:rPr>
        <w:t>275</w:t>
      </w:r>
      <w:r>
        <w:t>.</w:t>
      </w:r>
      <w:r>
        <w:tab/>
        <w:t>Schedule 5 amended</w:t>
      </w:r>
    </w:p>
    <w:p>
      <w:pPr>
        <w:pStyle w:val="nzSubsection"/>
        <w:keepNext/>
      </w:pPr>
      <w:r>
        <w:tab/>
        <w:t>(1)</w:t>
      </w:r>
      <w:r>
        <w:tab/>
        <w:t>Delete Schedule 5 Part I and insert:</w:t>
      </w:r>
    </w:p>
    <w:p>
      <w:pPr>
        <w:pStyle w:val="BlankOpen"/>
      </w:pPr>
    </w:p>
    <w:p>
      <w:pPr>
        <w:pStyle w:val="yTHeadingNAm"/>
      </w:pPr>
      <w:r>
        <w:t>Part I</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Sections 203(2), 225(1) and 238(3) and (5)</w:t>
            </w:r>
          </w:p>
        </w:tc>
      </w:tr>
    </w:tbl>
    <w:p>
      <w:pPr>
        <w:pStyle w:val="BlankClose"/>
      </w:pPr>
    </w:p>
    <w:p>
      <w:pPr>
        <w:pStyle w:val="nzSubsection"/>
      </w:pPr>
      <w:r>
        <w:tab/>
        <w:t>(2)</w:t>
      </w:r>
      <w:r>
        <w:tab/>
        <w:t>Delete Schedule 5 Part I.</w:t>
      </w:r>
    </w:p>
    <w:p>
      <w:pPr>
        <w:pStyle w:val="nzSubsection"/>
      </w:pPr>
      <w:r>
        <w:tab/>
        <w:t>(3)</w:t>
      </w:r>
      <w:r>
        <w:tab/>
        <w:t>Delete Schedule 5 Part II and insert:</w:t>
      </w:r>
    </w:p>
    <w:p>
      <w:pPr>
        <w:pStyle w:val="BlankOpen"/>
      </w:pPr>
    </w:p>
    <w:p>
      <w:pPr>
        <w:pStyle w:val="yTHeadingNAm"/>
      </w:pPr>
      <w:r>
        <w:t>Part II</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Sections 224(2), 227(13), 335(3) and 337(6)</w:t>
            </w:r>
          </w:p>
        </w:tc>
      </w:tr>
    </w:tbl>
    <w:p>
      <w:pPr>
        <w:pStyle w:val="BlankClose"/>
      </w:pPr>
    </w:p>
    <w:p>
      <w:pPr>
        <w:pStyle w:val="nzSubsection"/>
        <w:keepNext/>
      </w:pPr>
      <w:r>
        <w:tab/>
        <w:t>(4)</w:t>
      </w:r>
      <w:r>
        <w:tab/>
        <w:t>Delete Schedule 5 Part II and insert:</w:t>
      </w:r>
    </w:p>
    <w:p>
      <w:pPr>
        <w:pStyle w:val="BlankOpen"/>
      </w:pPr>
    </w:p>
    <w:p>
      <w:pPr>
        <w:pStyle w:val="yTHeadingNAm"/>
      </w:pPr>
      <w:r>
        <w:t>Part II</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Sections 335(3) and 337(6)</w:t>
            </w:r>
          </w:p>
        </w:tc>
      </w:tr>
    </w:tbl>
    <w:p>
      <w:pPr>
        <w:pStyle w:val="BlankClose"/>
      </w:pPr>
    </w:p>
    <w:p>
      <w:pPr>
        <w:pStyle w:val="nzSubsection"/>
      </w:pPr>
      <w:r>
        <w:tab/>
        <w:t>(5)</w:t>
      </w:r>
      <w:r>
        <w:tab/>
        <w:t>Delete Schedule 5 Part III.</w:t>
      </w:r>
    </w:p>
    <w:p>
      <w:pPr>
        <w:pStyle w:val="nzSubsection"/>
      </w:pPr>
      <w:r>
        <w:tab/>
        <w:t>(6)</w:t>
      </w:r>
      <w:r>
        <w:tab/>
        <w:t>Delete Schedule 5 Part IV and insert:</w:t>
      </w:r>
    </w:p>
    <w:p>
      <w:pPr>
        <w:pStyle w:val="BlankOpen"/>
      </w:pPr>
    </w:p>
    <w:p>
      <w:pPr>
        <w:pStyle w:val="yTHeadingNAm"/>
      </w:pPr>
      <w:r>
        <w:t>Part IV</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Sections 223(1), 225(2), 227(2), 231(2), 234(1), 240(1), 336(5a), 336A(5a), 336B(7a), 340LB(2), 340M(1) and (2), 340ALB(2), 340AM(1) and (2), 340BLB(2) and 340BM(1) and (2)</w:t>
            </w:r>
          </w:p>
        </w:tc>
      </w:tr>
    </w:tbl>
    <w:p>
      <w:pPr>
        <w:pStyle w:val="BlankClose"/>
      </w:pPr>
    </w:p>
    <w:p>
      <w:pPr>
        <w:pStyle w:val="nzSubsection"/>
        <w:keepNext/>
      </w:pPr>
      <w:r>
        <w:tab/>
        <w:t>(7)</w:t>
      </w:r>
      <w:r>
        <w:tab/>
        <w:t>Delete Schedule 5 Part IV and insert:</w:t>
      </w:r>
    </w:p>
    <w:p>
      <w:pPr>
        <w:pStyle w:val="BlankOpen"/>
      </w:pPr>
    </w:p>
    <w:p>
      <w:pPr>
        <w:pStyle w:val="yTHeadingNAm"/>
      </w:pPr>
      <w:r>
        <w:t>Part IV</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Sections 336(5a), 336A(5a), 336B(7a), 340LB(2), 340M(1) and (2), 340ALB(2), 340AM(1) and (2), 340BLB(2) and 340BM(1) and (2)</w:t>
            </w:r>
          </w:p>
        </w:tc>
      </w:tr>
    </w:tbl>
    <w:p>
      <w:pPr>
        <w:pStyle w:val="BlankClose"/>
      </w:pPr>
    </w:p>
    <w:p>
      <w:pPr>
        <w:pStyle w:val="nzSubsection"/>
      </w:pPr>
      <w:r>
        <w:tab/>
        <w:t>(8)</w:t>
      </w:r>
      <w:r>
        <w:tab/>
        <w:t>Delete Schedule 5 Part V.</w:t>
      </w:r>
    </w:p>
    <w:p>
      <w:pPr>
        <w:pStyle w:val="nzSubsection"/>
      </w:pPr>
      <w:r>
        <w:tab/>
        <w:t>(9)</w:t>
      </w:r>
      <w:r>
        <w:tab/>
        <w:t>Delete Schedule 5 Part VI and insert:</w:t>
      </w:r>
    </w:p>
    <w:p>
      <w:pPr>
        <w:pStyle w:val="BlankOpen"/>
      </w:pPr>
    </w:p>
    <w:p>
      <w:pPr>
        <w:pStyle w:val="yTHeadingNAm"/>
      </w:pPr>
      <w:r>
        <w:t>Part VI</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Sections 221(1), 222, 236(1), 241(1) and 340AL(1c)</w:t>
            </w:r>
          </w:p>
        </w:tc>
      </w:tr>
    </w:tbl>
    <w:p>
      <w:pPr>
        <w:pStyle w:val="BlankClose"/>
      </w:pPr>
    </w:p>
    <w:p>
      <w:pPr>
        <w:pStyle w:val="nzSubsection"/>
      </w:pPr>
      <w:r>
        <w:tab/>
        <w:t>(10)</w:t>
      </w:r>
      <w:r>
        <w:tab/>
        <w:t>Delete Schedule 5 Part VI and insert:</w:t>
      </w:r>
    </w:p>
    <w:p>
      <w:pPr>
        <w:pStyle w:val="BlankOpen"/>
      </w:pPr>
    </w:p>
    <w:p>
      <w:pPr>
        <w:pStyle w:val="yTHeadingNAm"/>
      </w:pPr>
      <w:r>
        <w:t>Part VI</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 340AL(1c)</w:t>
            </w:r>
          </w:p>
        </w:tc>
      </w:tr>
    </w:tbl>
    <w:p>
      <w:pPr>
        <w:pStyle w:val="BlankClose"/>
      </w:pPr>
    </w:p>
    <w:p>
      <w:pPr>
        <w:pStyle w:val="nzSubsection"/>
      </w:pPr>
      <w:r>
        <w:tab/>
        <w:t>(11)</w:t>
      </w:r>
      <w:r>
        <w:tab/>
        <w:t>Delete Schedule 5 Part VII.</w:t>
      </w:r>
    </w:p>
    <w:p>
      <w:pPr>
        <w:pStyle w:val="nzSubsection"/>
      </w:pPr>
      <w:r>
        <w:tab/>
        <w:t>(12)</w:t>
      </w:r>
      <w:r>
        <w:tab/>
        <w:t>Delete Schedule 5 Part VIII.</w:t>
      </w:r>
    </w:p>
    <w:p>
      <w:pPr>
        <w:pStyle w:val="nzHeading5"/>
      </w:pPr>
      <w:r>
        <w:rPr>
          <w:rStyle w:val="CharSectno"/>
        </w:rPr>
        <w:t>276</w:t>
      </w:r>
      <w:r>
        <w:t>.</w:t>
      </w:r>
      <w:r>
        <w:tab/>
        <w:t>Schedule 6 amended</w:t>
      </w:r>
    </w:p>
    <w:p>
      <w:pPr>
        <w:pStyle w:val="nzSubsection"/>
      </w:pPr>
      <w:r>
        <w:tab/>
      </w:r>
      <w:r>
        <w:tab/>
        <w:t>After Schedule 6 clause 5(2) insert:</w:t>
      </w:r>
    </w:p>
    <w:p>
      <w:pPr>
        <w:pStyle w:val="BlankOpen"/>
      </w:pPr>
    </w:p>
    <w:p>
      <w:pPr>
        <w:pStyle w:val="nzSubsection"/>
      </w:pPr>
      <w:r>
        <w:tab/>
        <w:t>(2A)</w:t>
      </w:r>
      <w:r>
        <w:tab/>
        <w:t xml:space="preserve">The persons who held office under section 340AB(3)(d) as members of the Perinatal and Infant Mortality Committee, or as deputies of those members, immediately before the coming into operation of the </w:t>
      </w:r>
      <w:r>
        <w:rPr>
          <w:i/>
        </w:rPr>
        <w:t>Public Health (Consequential Provisions) Act 2016</w:t>
      </w:r>
      <w:r>
        <w:t xml:space="preserve"> section 248 continue in office, under and subject to Part XIIIB, as members or, as the case requires, deputies of members of the Committee until the expiry of their respective terms as if they had been appointed by the Minister on the nomination of the chief executive of the health service provider for Perth Children’s Hospital under the </w:t>
      </w:r>
      <w:r>
        <w:rPr>
          <w:i/>
        </w:rPr>
        <w:t>Health Services Act 2016</w:t>
      </w:r>
      <w:r>
        <w:t>.</w:t>
      </w:r>
    </w:p>
    <w:p>
      <w:pPr>
        <w:pStyle w:val="BlankClose"/>
      </w:pPr>
    </w:p>
    <w:p>
      <w:pPr>
        <w:pStyle w:val="nSubsection"/>
        <w:spacing w:before="200"/>
        <w:rPr>
          <w:snapToGrid w:val="0"/>
        </w:rPr>
      </w:pPr>
      <w:r>
        <w:rPr>
          <w:snapToGrid w:val="0"/>
          <w:vertAlign w:val="superscript"/>
        </w:rPr>
        <w:t>29</w:t>
      </w:r>
      <w:r>
        <w:rPr>
          <w:snapToGrid w:val="0"/>
        </w:rPr>
        <w:tab/>
      </w:r>
      <w:r>
        <w:t xml:space="preserve">On </w:t>
      </w:r>
      <w:r>
        <w:rPr>
          <w:snapToGrid w:val="0"/>
        </w:rPr>
        <w:t>the</w:t>
      </w:r>
      <w:r>
        <w:t xml:space="preserve"> date as at which this compilation was prepared, </w:t>
      </w:r>
      <w:r>
        <w:rPr>
          <w:snapToGrid w:val="0"/>
        </w:rPr>
        <w:t xml:space="preserve">the </w:t>
      </w:r>
      <w:r>
        <w:rPr>
          <w:i/>
        </w:rPr>
        <w:t>Health Practitioner Regulation National Law (WA) Amendment Act 2018</w:t>
      </w:r>
      <w:r>
        <w:t xml:space="preserve"> s. 111 </w:t>
      </w:r>
      <w:r>
        <w:rPr>
          <w:snapToGrid w:val="0"/>
        </w:rPr>
        <w:t>had not come into operation.  It reads as follows:</w:t>
      </w:r>
    </w:p>
    <w:p>
      <w:pPr>
        <w:pStyle w:val="BlankOpen"/>
      </w:pPr>
    </w:p>
    <w:p>
      <w:pPr>
        <w:pStyle w:val="nzHeading5"/>
      </w:pPr>
      <w:bookmarkStart w:id="783" w:name="_Toc511216818"/>
      <w:bookmarkStart w:id="784" w:name="_Toc511995443"/>
      <w:r>
        <w:rPr>
          <w:rStyle w:val="CharSectno"/>
        </w:rPr>
        <w:t>111</w:t>
      </w:r>
      <w:r>
        <w:t>.</w:t>
      </w:r>
      <w:r>
        <w:tab/>
      </w:r>
      <w:r>
        <w:rPr>
          <w:i/>
        </w:rPr>
        <w:t>Health (Miscellaneous Provisions) Act 1911</w:t>
      </w:r>
      <w:r>
        <w:t xml:space="preserve"> amended</w:t>
      </w:r>
      <w:bookmarkEnd w:id="783"/>
      <w:bookmarkEnd w:id="784"/>
    </w:p>
    <w:p>
      <w:pPr>
        <w:pStyle w:val="nzSubsection"/>
      </w:pPr>
      <w:r>
        <w:tab/>
        <w:t>(1)</w:t>
      </w:r>
      <w:r>
        <w:tab/>
        <w:t xml:space="preserve">This section amends the </w:t>
      </w:r>
      <w:r>
        <w:rPr>
          <w:i/>
        </w:rPr>
        <w:t>Health (Miscellaneous Provisions) Act 1911</w:t>
      </w:r>
      <w:r>
        <w:t>.</w:t>
      </w:r>
    </w:p>
    <w:p>
      <w:pPr>
        <w:pStyle w:val="nzSubsection"/>
      </w:pPr>
      <w:r>
        <w:tab/>
        <w:t>(2)</w:t>
      </w:r>
      <w:r>
        <w:tab/>
        <w:t xml:space="preserve">In section 3(1) in the definition of </w:t>
      </w:r>
      <w:r>
        <w:rPr>
          <w:b/>
          <w:i/>
        </w:rPr>
        <w:t>midwife</w:t>
      </w:r>
      <w:r>
        <w:t xml:space="preserve"> delete “whose name is entered on the Register of Midwives kept under that Law;” and insert:</w:t>
      </w:r>
    </w:p>
    <w:p>
      <w:pPr>
        <w:pStyle w:val="BlankOpen"/>
      </w:pPr>
    </w:p>
    <w:p>
      <w:pPr>
        <w:pStyle w:val="nzSubsection"/>
      </w:pPr>
      <w:r>
        <w:tab/>
      </w:r>
      <w:r>
        <w:tab/>
        <w:t>in the midwifery profession;</w:t>
      </w:r>
    </w:p>
    <w:p>
      <w:pPr>
        <w:pStyle w:val="BlankClose"/>
      </w:pPr>
    </w:p>
    <w:p>
      <w:pPr>
        <w:pStyle w:val="nzSubsection"/>
      </w:pPr>
      <w:r>
        <w:tab/>
        <w:t>(3)</w:t>
      </w:r>
      <w:r>
        <w:tab/>
        <w:t xml:space="preserve">In section 3(1) in the definition of </w:t>
      </w:r>
      <w:r>
        <w:rPr>
          <w:b/>
          <w:i/>
        </w:rPr>
        <w:t>nurse</w:t>
      </w:r>
      <w:r>
        <w:t xml:space="preserve"> delete “and midwifery profession whose name is entered on the Register of Nurses kept under that Law;” and insert:</w:t>
      </w:r>
    </w:p>
    <w:p>
      <w:pPr>
        <w:pStyle w:val="BlankOpen"/>
      </w:pPr>
    </w:p>
    <w:p>
      <w:pPr>
        <w:pStyle w:val="nzSubsection"/>
      </w:pPr>
      <w:r>
        <w:tab/>
      </w:r>
      <w:r>
        <w:tab/>
        <w:t>profession;</w:t>
      </w:r>
    </w:p>
    <w:p>
      <w:pPr>
        <w:pStyle w:val="BlankClose"/>
      </w:pPr>
    </w:p>
    <w:p>
      <w:pPr>
        <w:pStyle w:val="nzSubsection"/>
      </w:pPr>
      <w:r>
        <w:tab/>
        <w:t>(4)</w:t>
      </w:r>
      <w:r>
        <w:tab/>
        <w:t xml:space="preserve">In section 3(1) in the definition of </w:t>
      </w:r>
      <w:r>
        <w:rPr>
          <w:b/>
          <w:i/>
        </w:rPr>
        <w:t>nurse practitioner</w:t>
      </w:r>
      <w:r>
        <w:t xml:space="preserve"> delete “whose name is entered on the Register of Nurses kept under that Law as being qualified to practice as a” and insert:</w:t>
      </w:r>
    </w:p>
    <w:p>
      <w:pPr>
        <w:pStyle w:val="BlankOpen"/>
      </w:pPr>
    </w:p>
    <w:p>
      <w:pPr>
        <w:pStyle w:val="nzSubsection"/>
      </w:pPr>
      <w:r>
        <w:tab/>
      </w:r>
      <w:r>
        <w:tab/>
        <w:t>in the nursing profession whose registration under that Law is endorsed as</w:t>
      </w:r>
    </w:p>
    <w:p>
      <w:pPr>
        <w:pStyle w:val="BlankClose"/>
      </w:pPr>
    </w:p>
    <w:p>
      <w:pPr>
        <w:pStyle w:val="BlankClose"/>
      </w:pPr>
    </w:p>
    <w:p>
      <w:pPr>
        <w:sectPr>
          <w:headerReference w:type="even" r:id="rId31"/>
          <w:headerReference w:type="default" r:id="rId32"/>
          <w:pgSz w:w="11907" w:h="16840" w:code="9"/>
          <w:pgMar w:top="2376" w:right="2410" w:bottom="3544" w:left="2410" w:header="709" w:footer="3379" w:gutter="0"/>
          <w:cols w:space="720"/>
          <w:noEndnote/>
          <w:docGrid w:linePitch="326"/>
        </w:sectPr>
      </w:pPr>
    </w:p>
    <w:p>
      <w:pPr>
        <w:pStyle w:val="nHeading2"/>
        <w:rPr>
          <w:sz w:val="28"/>
        </w:rPr>
      </w:pPr>
      <w:bookmarkStart w:id="786" w:name="_Toc498001324"/>
      <w:bookmarkStart w:id="787" w:name="_Toc498001654"/>
      <w:bookmarkStart w:id="788" w:name="_Toc498003306"/>
      <w:bookmarkStart w:id="789" w:name="_Toc498004317"/>
      <w:bookmarkStart w:id="790" w:name="_Toc499029720"/>
      <w:bookmarkStart w:id="791" w:name="_Toc501098788"/>
      <w:bookmarkStart w:id="792" w:name="_Toc501101711"/>
      <w:bookmarkStart w:id="793" w:name="_Toc501116233"/>
      <w:bookmarkStart w:id="794" w:name="_Toc501117494"/>
      <w:bookmarkStart w:id="795" w:name="_Toc501698901"/>
      <w:bookmarkStart w:id="796" w:name="_Toc512323940"/>
      <w:r>
        <w:rPr>
          <w:sz w:val="28"/>
        </w:rPr>
        <w:t>Defined terms</w:t>
      </w:r>
      <w:bookmarkEnd w:id="786"/>
      <w:bookmarkEnd w:id="787"/>
      <w:bookmarkEnd w:id="788"/>
      <w:bookmarkEnd w:id="789"/>
      <w:bookmarkEnd w:id="790"/>
      <w:bookmarkEnd w:id="791"/>
      <w:bookmarkEnd w:id="792"/>
      <w:bookmarkEnd w:id="793"/>
      <w:bookmarkEnd w:id="794"/>
      <w:bookmarkEnd w:id="795"/>
      <w:bookmarkEnd w:id="79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Agvet Code of Western Australia</w:t>
      </w:r>
      <w:r>
        <w:tab/>
        <w:t>3(1)</w:t>
      </w:r>
    </w:p>
    <w:p>
      <w:pPr>
        <w:pStyle w:val="DefinedTerms"/>
      </w:pPr>
      <w:r>
        <w:t>analyst</w:t>
      </w:r>
      <w:r>
        <w:tab/>
        <w:t>3(1)</w:t>
      </w:r>
    </w:p>
    <w:p>
      <w:pPr>
        <w:pStyle w:val="DefinedTerms"/>
      </w:pPr>
      <w:r>
        <w:t>Analytical Committee</w:t>
      </w:r>
      <w:r>
        <w:tab/>
        <w:t>3(1), 247AA</w:t>
      </w:r>
    </w:p>
    <w:p>
      <w:pPr>
        <w:pStyle w:val="DefinedTerms"/>
      </w:pPr>
      <w:r>
        <w:t>apparatus for the treatment of sewage</w:t>
      </w:r>
      <w:r>
        <w:tab/>
        <w:t>3(1), 100(4)</w:t>
      </w:r>
    </w:p>
    <w:p>
      <w:pPr>
        <w:pStyle w:val="DefinedTerms"/>
      </w:pPr>
      <w:r>
        <w:t>authorised officer</w:t>
      </w:r>
      <w:r>
        <w:tab/>
        <w:t>3(1) and (2A)</w:t>
      </w:r>
    </w:p>
    <w:p>
      <w:pPr>
        <w:pStyle w:val="DefinedTerms"/>
      </w:pPr>
      <w:r>
        <w:t>authorised person</w:t>
      </w:r>
      <w:r>
        <w:tab/>
        <w:t>173</w:t>
      </w:r>
    </w:p>
    <w:p>
      <w:pPr>
        <w:pStyle w:val="DefinedTerms"/>
      </w:pPr>
      <w:r>
        <w:t>cellar</w:t>
      </w:r>
      <w:r>
        <w:tab/>
        <w:t>3(1)</w:t>
      </w:r>
    </w:p>
    <w:p>
      <w:pPr>
        <w:pStyle w:val="DefinedTerms"/>
      </w:pPr>
      <w:r>
        <w:t>CEO</w:t>
      </w:r>
      <w:r>
        <w:tab/>
        <w:t>3(1)</w:t>
      </w:r>
    </w:p>
    <w:p>
      <w:pPr>
        <w:pStyle w:val="DefinedTerms"/>
      </w:pPr>
      <w:r>
        <w:t>certificate of approval</w:t>
      </w:r>
      <w:r>
        <w:tab/>
        <w:t>173</w:t>
      </w:r>
    </w:p>
    <w:p>
      <w:pPr>
        <w:pStyle w:val="DefinedTerms"/>
      </w:pPr>
      <w:r>
        <w:t>cesspool</w:t>
      </w:r>
      <w:r>
        <w:tab/>
        <w:t>3(1)</w:t>
      </w:r>
    </w:p>
    <w:p>
      <w:pPr>
        <w:pStyle w:val="DefinedTerms"/>
      </w:pPr>
      <w:r>
        <w:t>Chairman</w:t>
      </w:r>
      <w:r>
        <w:tab/>
        <w:t>246B(3)</w:t>
      </w:r>
    </w:p>
    <w:p>
      <w:pPr>
        <w:pStyle w:val="DefinedTerms"/>
      </w:pPr>
      <w:r>
        <w:t>Chief Health Officer</w:t>
      </w:r>
      <w:r>
        <w:tab/>
        <w:t>3(1)</w:t>
      </w:r>
    </w:p>
    <w:p>
      <w:pPr>
        <w:pStyle w:val="DefinedTerms"/>
      </w:pPr>
      <w:r>
        <w:t>child care centre</w:t>
      </w:r>
      <w:r>
        <w:tab/>
        <w:t>337(2A)</w:t>
      </w:r>
    </w:p>
    <w:p>
      <w:pPr>
        <w:pStyle w:val="DefinedTerms"/>
      </w:pPr>
      <w:r>
        <w:t>commencement day</w:t>
      </w:r>
      <w:r>
        <w:tab/>
        <w:t>Sch. 6 cl. 2 and 4</w:t>
      </w:r>
    </w:p>
    <w:p>
      <w:pPr>
        <w:pStyle w:val="DefinedTerms"/>
      </w:pPr>
      <w:r>
        <w:t>Committee</w:t>
      </w:r>
      <w:r>
        <w:tab/>
        <w:t>340A, 340AA, 340BA</w:t>
      </w:r>
    </w:p>
    <w:p>
      <w:pPr>
        <w:pStyle w:val="DefinedTerms"/>
      </w:pPr>
      <w:r>
        <w:t>co</w:t>
      </w:r>
      <w:r>
        <w:noBreakHyphen/>
        <w:t>opted member</w:t>
      </w:r>
      <w:r>
        <w:tab/>
        <w:t>246B(9)</w:t>
      </w:r>
    </w:p>
    <w:p>
      <w:pPr>
        <w:pStyle w:val="DefinedTerms"/>
      </w:pPr>
      <w:r>
        <w:t>daily penalty</w:t>
      </w:r>
      <w:r>
        <w:tab/>
        <w:t>3(1)</w:t>
      </w:r>
    </w:p>
    <w:p>
      <w:pPr>
        <w:pStyle w:val="DefinedTerms"/>
      </w:pPr>
      <w:r>
        <w:t>dairy</w:t>
      </w:r>
      <w:r>
        <w:tab/>
        <w:t>3(1)</w:t>
      </w:r>
    </w:p>
    <w:p>
      <w:pPr>
        <w:pStyle w:val="DefinedTerms"/>
      </w:pPr>
      <w:r>
        <w:t>dairy produce</w:t>
      </w:r>
      <w:r>
        <w:tab/>
        <w:t>3(1)</w:t>
      </w:r>
    </w:p>
    <w:p>
      <w:pPr>
        <w:pStyle w:val="DefinedTerms"/>
      </w:pPr>
      <w:r>
        <w:t>dentist</w:t>
      </w:r>
      <w:r>
        <w:tab/>
        <w:t>331</w:t>
      </w:r>
    </w:p>
    <w:p>
      <w:pPr>
        <w:pStyle w:val="DefinedTerms"/>
      </w:pPr>
      <w:r>
        <w:t>Department</w:t>
      </w:r>
      <w:r>
        <w:tab/>
        <w:t>3(1)</w:t>
      </w:r>
    </w:p>
    <w:p>
      <w:pPr>
        <w:pStyle w:val="DefinedTerms"/>
      </w:pPr>
      <w:r>
        <w:t>departmental officer</w:t>
      </w:r>
      <w:r>
        <w:tab/>
        <w:t>13A(1)</w:t>
      </w:r>
    </w:p>
    <w:p>
      <w:pPr>
        <w:pStyle w:val="DefinedTerms"/>
      </w:pPr>
      <w:r>
        <w:t>disposal</w:t>
      </w:r>
      <w:r>
        <w:tab/>
        <w:t>3(1)</w:t>
      </w:r>
    </w:p>
    <w:p>
      <w:pPr>
        <w:pStyle w:val="DefinedTerms"/>
      </w:pPr>
      <w:r>
        <w:t>district</w:t>
      </w:r>
      <w:r>
        <w:tab/>
        <w:t>3(1)</w:t>
      </w:r>
    </w:p>
    <w:p>
      <w:pPr>
        <w:pStyle w:val="DefinedTerms"/>
      </w:pPr>
      <w:r>
        <w:t>drain</w:t>
      </w:r>
      <w:r>
        <w:tab/>
        <w:t>3(1)</w:t>
      </w:r>
    </w:p>
    <w:p>
      <w:pPr>
        <w:pStyle w:val="DefinedTerms"/>
      </w:pPr>
      <w:r>
        <w:t>employed in the Department</w:t>
      </w:r>
      <w:r>
        <w:tab/>
        <w:t>13A(1)</w:t>
      </w:r>
    </w:p>
    <w:p>
      <w:pPr>
        <w:pStyle w:val="DefinedTerms"/>
      </w:pPr>
      <w:r>
        <w:t>food</w:t>
      </w:r>
      <w:r>
        <w:tab/>
        <w:t>3(1)</w:t>
      </w:r>
    </w:p>
    <w:p>
      <w:pPr>
        <w:pStyle w:val="DefinedTerms"/>
      </w:pPr>
      <w:r>
        <w:t>HIV infection</w:t>
      </w:r>
      <w:r>
        <w:tab/>
        <w:t>3(1)</w:t>
      </w:r>
    </w:p>
    <w:p>
      <w:pPr>
        <w:pStyle w:val="DefinedTerms"/>
      </w:pPr>
      <w:r>
        <w:t>house</w:t>
      </w:r>
      <w:r>
        <w:tab/>
        <w:t>3(1)</w:t>
      </w:r>
    </w:p>
    <w:p>
      <w:pPr>
        <w:pStyle w:val="DefinedTerms"/>
      </w:pPr>
      <w:r>
        <w:t>infectious disease</w:t>
      </w:r>
      <w:r>
        <w:tab/>
        <w:t>3(1)</w:t>
      </w:r>
    </w:p>
    <w:p>
      <w:pPr>
        <w:pStyle w:val="DefinedTerms"/>
      </w:pPr>
      <w:r>
        <w:t>informed consent</w:t>
      </w:r>
      <w:r>
        <w:tab/>
        <w:t>334(5)</w:t>
      </w:r>
    </w:p>
    <w:p>
      <w:pPr>
        <w:pStyle w:val="DefinedTerms"/>
      </w:pPr>
      <w:r>
        <w:t>investigator</w:t>
      </w:r>
      <w:r>
        <w:tab/>
        <w:t>340A, 340AA, 340BA</w:t>
      </w:r>
    </w:p>
    <w:p>
      <w:pPr>
        <w:pStyle w:val="DefinedTerms"/>
      </w:pPr>
      <w:r>
        <w:t>land</w:t>
      </w:r>
      <w:r>
        <w:tab/>
        <w:t>3(1)</w:t>
      </w:r>
    </w:p>
    <w:p>
      <w:pPr>
        <w:pStyle w:val="DefinedTerms"/>
      </w:pPr>
      <w:r>
        <w:t>lodging</w:t>
      </w:r>
      <w:r>
        <w:noBreakHyphen/>
        <w:t>house</w:t>
      </w:r>
      <w:r>
        <w:tab/>
        <w:t>3(1)</w:t>
      </w:r>
    </w:p>
    <w:p>
      <w:pPr>
        <w:pStyle w:val="DefinedTerms"/>
      </w:pPr>
      <w:r>
        <w:t>meat</w:t>
      </w:r>
      <w:r>
        <w:tab/>
        <w:t>3(1)</w:t>
      </w:r>
    </w:p>
    <w:p>
      <w:pPr>
        <w:pStyle w:val="DefinedTerms"/>
      </w:pPr>
      <w:r>
        <w:t>medical practitioner</w:t>
      </w:r>
      <w:r>
        <w:tab/>
        <w:t>3(1)</w:t>
      </w:r>
    </w:p>
    <w:p>
      <w:pPr>
        <w:pStyle w:val="DefinedTerms"/>
      </w:pPr>
      <w:r>
        <w:t>member</w:t>
      </w:r>
      <w:r>
        <w:tab/>
        <w:t>246B(9), 247AA, 340A, 340AA, 340BA</w:t>
      </w:r>
    </w:p>
    <w:p>
      <w:pPr>
        <w:pStyle w:val="DefinedTerms"/>
      </w:pPr>
      <w:r>
        <w:t>metropolitan area</w:t>
      </w:r>
      <w:r>
        <w:tab/>
        <w:t>247AA, 340A, 340AA, 340BA</w:t>
      </w:r>
    </w:p>
    <w:p>
      <w:pPr>
        <w:pStyle w:val="DefinedTerms"/>
      </w:pPr>
      <w:r>
        <w:t>midwife</w:t>
      </w:r>
      <w:r>
        <w:tab/>
        <w:t>3(1)</w:t>
      </w:r>
    </w:p>
    <w:p>
      <w:pPr>
        <w:pStyle w:val="DefinedTerms"/>
      </w:pPr>
      <w:r>
        <w:t>milk</w:t>
      </w:r>
      <w:r>
        <w:tab/>
        <w:t>3(1)</w:t>
      </w:r>
    </w:p>
    <w:p>
      <w:pPr>
        <w:pStyle w:val="DefinedTerms"/>
      </w:pPr>
      <w:r>
        <w:t>Minister</w:t>
      </w:r>
      <w:r>
        <w:tab/>
        <w:t>3(1)</w:t>
      </w:r>
    </w:p>
    <w:p>
      <w:pPr>
        <w:pStyle w:val="DefinedTerms"/>
      </w:pPr>
      <w:r>
        <w:t>municipal fund</w:t>
      </w:r>
      <w:r>
        <w:tab/>
        <w:t>3(1)</w:t>
      </w:r>
    </w:p>
    <w:p>
      <w:pPr>
        <w:pStyle w:val="DefinedTerms"/>
      </w:pPr>
      <w:r>
        <w:t>newspaper</w:t>
      </w:r>
      <w:r>
        <w:tab/>
        <w:t>3(1)</w:t>
      </w:r>
    </w:p>
    <w:p>
      <w:pPr>
        <w:pStyle w:val="DefinedTerms"/>
      </w:pPr>
      <w:r>
        <w:t>nurse</w:t>
      </w:r>
      <w:r>
        <w:tab/>
        <w:t>3(1)</w:t>
      </w:r>
    </w:p>
    <w:p>
      <w:pPr>
        <w:pStyle w:val="DefinedTerms"/>
      </w:pPr>
      <w:r>
        <w:t>nurse practitioner</w:t>
      </w:r>
      <w:r>
        <w:tab/>
        <w:t>3(1)</w:t>
      </w:r>
    </w:p>
    <w:p>
      <w:pPr>
        <w:pStyle w:val="DefinedTerms"/>
      </w:pPr>
      <w:r>
        <w:t>occupier</w:t>
      </w:r>
      <w:r>
        <w:tab/>
        <w:t>3(1), 145(3)</w:t>
      </w:r>
    </w:p>
    <w:p>
      <w:pPr>
        <w:pStyle w:val="DefinedTerms"/>
      </w:pPr>
      <w:r>
        <w:t>offensive</w:t>
      </w:r>
      <w:r>
        <w:tab/>
        <w:t>3(1)</w:t>
      </w:r>
    </w:p>
    <w:p>
      <w:pPr>
        <w:pStyle w:val="DefinedTerms"/>
      </w:pPr>
      <w:r>
        <w:t>offensive matter</w:t>
      </w:r>
      <w:r>
        <w:tab/>
        <w:t>3(1)</w:t>
      </w:r>
    </w:p>
    <w:p>
      <w:pPr>
        <w:pStyle w:val="DefinedTerms"/>
      </w:pPr>
      <w:r>
        <w:t>offensive trade</w:t>
      </w:r>
      <w:r>
        <w:tab/>
        <w:t>186(1)</w:t>
      </w:r>
    </w:p>
    <w:p>
      <w:pPr>
        <w:pStyle w:val="DefinedTerms"/>
      </w:pPr>
      <w:r>
        <w:t>owner</w:t>
      </w:r>
      <w:r>
        <w:tab/>
        <w:t>3(1), 100(4)</w:t>
      </w:r>
    </w:p>
    <w:p>
      <w:pPr>
        <w:pStyle w:val="DefinedTerms"/>
      </w:pPr>
      <w:r>
        <w:t>person in default</w:t>
      </w:r>
      <w:r>
        <w:tab/>
        <w:t>116(e)</w:t>
      </w:r>
    </w:p>
    <w:p>
      <w:pPr>
        <w:pStyle w:val="DefinedTerms"/>
      </w:pPr>
      <w:r>
        <w:t>pesticide</w:t>
      </w:r>
      <w:r>
        <w:tab/>
        <w:t>3(1)</w:t>
      </w:r>
    </w:p>
    <w:p>
      <w:pPr>
        <w:pStyle w:val="DefinedTerms"/>
      </w:pPr>
      <w:r>
        <w:t>Pesticides Advisory Committee</w:t>
      </w:r>
      <w:r>
        <w:tab/>
        <w:t>246</w:t>
      </w:r>
    </w:p>
    <w:p>
      <w:pPr>
        <w:pStyle w:val="DefinedTerms"/>
      </w:pPr>
      <w:r>
        <w:t>piggery</w:t>
      </w:r>
      <w:r>
        <w:tab/>
        <w:t>3(1)</w:t>
      </w:r>
    </w:p>
    <w:p>
      <w:pPr>
        <w:pStyle w:val="DefinedTerms"/>
      </w:pPr>
      <w:r>
        <w:t>pig</w:t>
      </w:r>
      <w:r>
        <w:noBreakHyphen/>
        <w:t>swill</w:t>
      </w:r>
      <w:r>
        <w:tab/>
        <w:t>3(1)</w:t>
      </w:r>
    </w:p>
    <w:p>
      <w:pPr>
        <w:pStyle w:val="DefinedTerms"/>
      </w:pPr>
      <w:r>
        <w:t xml:space="preserve">premises </w:t>
      </w:r>
      <w:r>
        <w:tab/>
        <w:t>3(1)</w:t>
      </w:r>
    </w:p>
    <w:p>
      <w:pPr>
        <w:pStyle w:val="DefinedTerms"/>
      </w:pPr>
      <w:r>
        <w:t>prescribed</w:t>
      </w:r>
      <w:r>
        <w:tab/>
        <w:t>3(1)</w:t>
      </w:r>
    </w:p>
    <w:p>
      <w:pPr>
        <w:pStyle w:val="DefinedTerms"/>
      </w:pPr>
      <w:r>
        <w:t>prescribed condition of health</w:t>
      </w:r>
      <w:r>
        <w:tab/>
        <w:t>289B</w:t>
      </w:r>
    </w:p>
    <w:p>
      <w:pPr>
        <w:pStyle w:val="DefinedTerms"/>
      </w:pPr>
      <w:r>
        <w:t>private place</w:t>
      </w:r>
      <w:r>
        <w:tab/>
        <w:t>3(1)</w:t>
      </w:r>
    </w:p>
    <w:p>
      <w:pPr>
        <w:pStyle w:val="DefinedTerms"/>
      </w:pPr>
      <w:r>
        <w:t>proclamation</w:t>
      </w:r>
      <w:r>
        <w:tab/>
        <w:t>3(1)</w:t>
      </w:r>
    </w:p>
    <w:p>
      <w:pPr>
        <w:pStyle w:val="DefinedTerms"/>
      </w:pPr>
      <w:r>
        <w:t>public building</w:t>
      </w:r>
      <w:r>
        <w:tab/>
        <w:t>173</w:t>
      </w:r>
    </w:p>
    <w:p>
      <w:pPr>
        <w:pStyle w:val="DefinedTerms"/>
      </w:pPr>
      <w:r>
        <w:t>public house</w:t>
      </w:r>
      <w:r>
        <w:tab/>
        <w:t>3(1)</w:t>
      </w:r>
    </w:p>
    <w:p>
      <w:pPr>
        <w:pStyle w:val="DefinedTerms"/>
      </w:pPr>
      <w:r>
        <w:t>public place</w:t>
      </w:r>
      <w:r>
        <w:tab/>
        <w:t>3(1)</w:t>
      </w:r>
    </w:p>
    <w:p>
      <w:pPr>
        <w:pStyle w:val="DefinedTerms"/>
      </w:pPr>
      <w:r>
        <w:t>public vehicle</w:t>
      </w:r>
      <w:r>
        <w:tab/>
        <w:t>3(1)</w:t>
      </w:r>
    </w:p>
    <w:p>
      <w:pPr>
        <w:pStyle w:val="DefinedTerms"/>
      </w:pPr>
      <w:r>
        <w:t>rack</w:t>
      </w:r>
      <w:r>
        <w:noBreakHyphen/>
        <w:t>rent</w:t>
      </w:r>
      <w:r>
        <w:tab/>
        <w:t>3(1)</w:t>
      </w:r>
    </w:p>
    <w:p>
      <w:pPr>
        <w:pStyle w:val="DefinedTerms"/>
      </w:pPr>
      <w:r>
        <w:t>regular member</w:t>
      </w:r>
      <w:r>
        <w:tab/>
        <w:t>246B(9)</w:t>
      </w:r>
    </w:p>
    <w:p>
      <w:pPr>
        <w:pStyle w:val="DefinedTerms"/>
      </w:pPr>
      <w:r>
        <w:t>regulation</w:t>
      </w:r>
      <w:r>
        <w:tab/>
        <w:t>3(1)</w:t>
      </w:r>
    </w:p>
    <w:p>
      <w:pPr>
        <w:pStyle w:val="DefinedTerms"/>
      </w:pPr>
      <w:r>
        <w:t>relative</w:t>
      </w:r>
      <w:r>
        <w:tab/>
        <w:t>3(1)</w:t>
      </w:r>
    </w:p>
    <w:p>
      <w:pPr>
        <w:pStyle w:val="DefinedTerms"/>
      </w:pPr>
      <w:r>
        <w:t>researcher</w:t>
      </w:r>
      <w:r>
        <w:tab/>
        <w:t>340AL(1a)</w:t>
      </w:r>
    </w:p>
    <w:p>
      <w:pPr>
        <w:pStyle w:val="DefinedTerms"/>
      </w:pPr>
      <w:r>
        <w:t>sanitary convenience</w:t>
      </w:r>
      <w:r>
        <w:tab/>
        <w:t>3(1)</w:t>
      </w:r>
    </w:p>
    <w:p>
      <w:pPr>
        <w:pStyle w:val="DefinedTerms"/>
      </w:pPr>
      <w:r>
        <w:t>scheme</w:t>
      </w:r>
      <w:r>
        <w:tab/>
        <w:t>247AA</w:t>
      </w:r>
    </w:p>
    <w:p>
      <w:pPr>
        <w:pStyle w:val="DefinedTerms"/>
      </w:pPr>
      <w:r>
        <w:t>school</w:t>
      </w:r>
      <w:r>
        <w:tab/>
        <w:t>3(1)</w:t>
      </w:r>
    </w:p>
    <w:p>
      <w:pPr>
        <w:pStyle w:val="DefinedTerms"/>
      </w:pPr>
      <w:r>
        <w:t>school dental service</w:t>
      </w:r>
      <w:r>
        <w:tab/>
        <w:t>331</w:t>
      </w:r>
    </w:p>
    <w:p>
      <w:pPr>
        <w:pStyle w:val="DefinedTerms"/>
      </w:pPr>
      <w:r>
        <w:t>school dental therapist</w:t>
      </w:r>
      <w:r>
        <w:tab/>
        <w:t>331</w:t>
      </w:r>
    </w:p>
    <w:p>
      <w:pPr>
        <w:pStyle w:val="DefinedTerms"/>
      </w:pPr>
      <w:r>
        <w:t>section 13</w:t>
      </w:r>
      <w:r>
        <w:tab/>
        <w:t>179(7)</w:t>
      </w:r>
    </w:p>
    <w:p>
      <w:pPr>
        <w:pStyle w:val="DefinedTerms"/>
      </w:pPr>
      <w:r>
        <w:t>sell</w:t>
      </w:r>
      <w:r>
        <w:tab/>
        <w:t>3(1)</w:t>
      </w:r>
    </w:p>
    <w:p>
      <w:pPr>
        <w:pStyle w:val="DefinedTerms"/>
      </w:pPr>
      <w:r>
        <w:t>sewage</w:t>
      </w:r>
      <w:r>
        <w:tab/>
        <w:t>3(1)</w:t>
      </w:r>
    </w:p>
    <w:p>
      <w:pPr>
        <w:pStyle w:val="DefinedTerms"/>
      </w:pPr>
      <w:r>
        <w:t>sewer</w:t>
      </w:r>
      <w:r>
        <w:tab/>
        <w:t>3(1)</w:t>
      </w:r>
    </w:p>
    <w:p>
      <w:pPr>
        <w:pStyle w:val="DefinedTerms"/>
      </w:pPr>
      <w:r>
        <w:t>street</w:t>
      </w:r>
      <w:r>
        <w:tab/>
        <w:t>3(1)</w:t>
      </w:r>
    </w:p>
    <w:p>
      <w:pPr>
        <w:pStyle w:val="DefinedTerms"/>
      </w:pPr>
      <w:r>
        <w:t>therapeutic use</w:t>
      </w:r>
      <w:r>
        <w:tab/>
        <w:t>3(1)</w:t>
      </w:r>
    </w:p>
    <w:p>
      <w:pPr>
        <w:pStyle w:val="DefinedTerms"/>
      </w:pPr>
      <w:r>
        <w:t>this Act</w:t>
      </w:r>
      <w:r>
        <w:tab/>
        <w:t>3(1)</w:t>
      </w:r>
    </w:p>
    <w:p>
      <w:pPr>
        <w:pStyle w:val="DefinedTerms"/>
      </w:pPr>
      <w:r>
        <w:t>trade</w:t>
      </w:r>
      <w:r>
        <w:tab/>
        <w:t>3(1)</w:t>
      </w:r>
    </w:p>
    <w:p>
      <w:pPr>
        <w:pStyle w:val="DefinedTerms"/>
      </w:pPr>
      <w:r>
        <w:t>underground room</w:t>
      </w:r>
      <w:r>
        <w:tab/>
        <w:t>3(1)</w:t>
      </w:r>
    </w:p>
    <w:p>
      <w:pPr>
        <w:pStyle w:val="DefinedTerms"/>
      </w:pPr>
      <w:r>
        <w:t>venereal disease</w:t>
      </w:r>
      <w:r>
        <w:tab/>
        <w:t>3(1)</w:t>
      </w:r>
    </w:p>
    <w:p>
      <w:pPr>
        <w:pStyle w:val="DefinedTerms"/>
      </w:pPr>
      <w:r>
        <w:t>vessel</w:t>
      </w:r>
      <w:r>
        <w:tab/>
        <w:t>3(1)</w:t>
      </w:r>
    </w:p>
    <w:p>
      <w:pPr>
        <w:pStyle w:val="DefinedTerms"/>
      </w:pPr>
      <w:r>
        <w:t>WALGA</w:t>
      </w:r>
      <w:r>
        <w:tab/>
        <w:t>247AA</w:t>
      </w:r>
    </w:p>
    <w:p>
      <w:pPr>
        <w:pStyle w:val="DefinedTerms"/>
      </w:pPr>
      <w:r>
        <w:t>water supply</w:t>
      </w:r>
      <w:r>
        <w:tab/>
        <w:t>129</w:t>
      </w:r>
    </w:p>
    <w:p>
      <w:pPr>
        <w:pStyle w:val="DefinedTerms"/>
      </w:pPr>
      <w:r>
        <w:t>writing</w:t>
      </w:r>
      <w:r>
        <w:tab/>
        <w:t>3(1)</w:t>
      </w:r>
    </w:p>
    <w:p/>
    <w:p>
      <w:pPr>
        <w:sectPr>
          <w:headerReference w:type="even" r:id="rId33"/>
          <w:headerReference w:type="default" r:id="rId34"/>
          <w:pgSz w:w="11907" w:h="16840" w:code="9"/>
          <w:pgMar w:top="2381" w:right="2410" w:bottom="3544" w:left="2410" w:header="720" w:footer="3379"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17-b0-03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17-b0-03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9" w:type="dxa"/>
      <w:tblLayout w:type="fixed"/>
      <w:tblCellMar>
        <w:left w:w="72" w:type="dxa"/>
        <w:right w:w="72" w:type="dxa"/>
      </w:tblCellMar>
      <w:tblLook w:val="0000" w:firstRow="0" w:lastRow="0" w:firstColumn="0" w:lastColumn="0" w:noHBand="0" w:noVBand="0"/>
    </w:tblPr>
    <w:tblGrid>
      <w:gridCol w:w="1548"/>
      <w:gridCol w:w="5621"/>
    </w:tblGrid>
    <w:tr>
      <w:trPr>
        <w:cantSplit/>
      </w:trPr>
      <w:tc>
        <w:tcPr>
          <w:tcW w:w="7169"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Health (Miscellaneous Provisions) Act 1911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621"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621"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62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753" w:name="Schedule"/>
    <w:bookmarkEnd w:id="75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9" w:type="dxa"/>
      <w:tblLayout w:type="fixed"/>
      <w:tblCellMar>
        <w:left w:w="72" w:type="dxa"/>
        <w:right w:w="72" w:type="dxa"/>
      </w:tblCellMar>
      <w:tblLook w:val="0000" w:firstRow="0" w:lastRow="0" w:firstColumn="0" w:lastColumn="0" w:noHBand="0" w:noVBand="0"/>
    </w:tblPr>
    <w:tblGrid>
      <w:gridCol w:w="1548"/>
      <w:gridCol w:w="5621"/>
    </w:tblGrid>
    <w:tr>
      <w:trPr>
        <w:cantSplit/>
      </w:trPr>
      <w:tc>
        <w:tcPr>
          <w:tcW w:w="7169"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Health (Miscellaneous Provisions) Act 1911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5</w:t>
          </w:r>
          <w:r>
            <w:rPr>
              <w:b/>
            </w:rPr>
            <w:fldChar w:fldCharType="end"/>
          </w:r>
        </w:p>
      </w:tc>
      <w:tc>
        <w:tcPr>
          <w:tcW w:w="5621" w:type="dxa"/>
        </w:tcPr>
        <w:p>
          <w:pPr>
            <w:pStyle w:val="Header"/>
            <w:spacing w:before="40"/>
          </w:pPr>
          <w:r>
            <w:fldChar w:fldCharType="begin"/>
          </w:r>
          <w:r>
            <w:instrText xml:space="preserve"> styleref CharSchText </w:instrText>
          </w:r>
          <w:r>
            <w:fldChar w:fldCharType="separate"/>
          </w:r>
          <w:r>
            <w:t>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621"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62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Penalties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5</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37"/>
    </w:tblGrid>
    <w:tr>
      <w:trPr>
        <w:cantSplit/>
      </w:trPr>
      <w:tc>
        <w:tcPr>
          <w:tcW w:w="7197"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760" w:type="dxa"/>
        </w:tcPr>
        <w:p>
          <w:pPr>
            <w:pStyle w:val="Header"/>
            <w:spacing w:before="40"/>
            <w:jc w:val="right"/>
          </w:pPr>
        </w:p>
      </w:tc>
      <w:tc>
        <w:tcPr>
          <w:tcW w:w="1437" w:type="dxa"/>
        </w:tcPr>
        <w:p>
          <w:pPr>
            <w:pStyle w:val="Header"/>
            <w:spacing w:before="40"/>
            <w:ind w:right="17"/>
            <w:jc w:val="right"/>
          </w:pPr>
        </w:p>
      </w:tc>
    </w:tr>
    <w:tr>
      <w:tc>
        <w:tcPr>
          <w:tcW w:w="5760" w:type="dxa"/>
        </w:tcPr>
        <w:p>
          <w:pPr>
            <w:pStyle w:val="Header"/>
            <w:spacing w:before="40"/>
            <w:jc w:val="right"/>
          </w:pPr>
        </w:p>
      </w:tc>
      <w:tc>
        <w:tcPr>
          <w:tcW w:w="1437" w:type="dxa"/>
        </w:tcPr>
        <w:p>
          <w:pPr>
            <w:pStyle w:val="Header"/>
            <w:spacing w:before="40"/>
            <w:ind w:right="17"/>
            <w:jc w:val="right"/>
          </w:pPr>
        </w:p>
      </w:tc>
    </w:tr>
    <w:tr>
      <w:trPr>
        <w:cantSplit/>
      </w:trPr>
      <w:tc>
        <w:tcPr>
          <w:tcW w:w="7197" w:type="dxa"/>
          <w:gridSpan w:val="2"/>
        </w:tcPr>
        <w:p>
          <w:pPr>
            <w:pStyle w:val="Header"/>
            <w:spacing w:before="40"/>
            <w:ind w:right="17"/>
            <w:jc w:val="right"/>
          </w:pPr>
        </w:p>
      </w:tc>
    </w:tr>
  </w:tbl>
  <w:p>
    <w:pPr>
      <w:pStyle w:val="Header"/>
      <w:pBdr>
        <w:top w:val="single" w:sz="4" w:space="1" w:color="auto"/>
      </w:pBdr>
    </w:pPr>
    <w:bookmarkStart w:id="785" w:name="Compilation"/>
    <w:bookmarkEnd w:id="78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97" w:name="DefinedTerms"/>
    <w:bookmarkEnd w:id="797"/>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98" w:name="Coversheet"/>
    <w:bookmarkEnd w:id="79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939"/>
    </w:tblGrid>
    <w:tr>
      <w:trPr>
        <w:cantSplit/>
      </w:trPr>
      <w:tc>
        <w:tcPr>
          <w:tcW w:w="7487" w:type="dxa"/>
          <w:gridSpan w:val="2"/>
        </w:tcPr>
        <w:p>
          <w:pPr>
            <w:pStyle w:val="Header"/>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939"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939" w:type="dxa"/>
        </w:tcPr>
        <w:p>
          <w:pPr>
            <w:pStyle w:val="Header"/>
            <w:spacing w:before="40"/>
          </w:pPr>
          <w:r>
            <w:fldChar w:fldCharType="begin"/>
          </w:r>
          <w:r>
            <w:instrText xml:space="preserve"> styleref CharDivText </w:instrText>
          </w:r>
          <w:r>
            <w:fldChar w:fldCharType="end"/>
          </w:r>
        </w:p>
      </w:tc>
    </w:tr>
    <w:tr>
      <w:trPr>
        <w:cantSplit/>
      </w:trPr>
      <w:tc>
        <w:tcPr>
          <w:tcW w:w="7487"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99" w:type="dxa"/>
      <w:tblLayout w:type="fixed"/>
      <w:tblCellMar>
        <w:left w:w="28" w:type="dxa"/>
        <w:right w:w="28" w:type="dxa"/>
      </w:tblCellMar>
      <w:tblLook w:val="0000" w:firstRow="0" w:lastRow="0" w:firstColumn="0" w:lastColumn="0" w:noHBand="0" w:noVBand="0"/>
    </w:tblPr>
    <w:tblGrid>
      <w:gridCol w:w="5840"/>
      <w:gridCol w:w="1559"/>
    </w:tblGrid>
    <w:tr>
      <w:trPr>
        <w:cantSplit/>
      </w:trPr>
      <w:tc>
        <w:tcPr>
          <w:tcW w:w="7399" w:type="dxa"/>
          <w:gridSpan w:val="2"/>
          <w:tcMar>
            <w:right w:w="28" w:type="dxa"/>
          </w:tcMar>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840" w:type="dxa"/>
          <w:vAlign w:val="bottom"/>
        </w:tcPr>
        <w:p>
          <w:pPr>
            <w:pStyle w:val="Header"/>
            <w:spacing w:before="40"/>
            <w:jc w:val="right"/>
          </w:pPr>
          <w:r>
            <w:fldChar w:fldCharType="begin"/>
          </w:r>
          <w:r>
            <w:instrText xml:space="preserve"> styleref CharPartText </w:instrText>
          </w:r>
          <w:r>
            <w:fldChar w:fldCharType="end"/>
          </w:r>
        </w:p>
      </w:tc>
      <w:tc>
        <w:tcPr>
          <w:tcW w:w="1559"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840" w:type="dxa"/>
        </w:tcPr>
        <w:p>
          <w:pPr>
            <w:pStyle w:val="Header"/>
            <w:tabs>
              <w:tab w:val="left" w:pos="4497"/>
              <w:tab w:val="right" w:pos="5784"/>
            </w:tabs>
            <w:spacing w:before="40"/>
            <w:jc w:val="right"/>
          </w:pPr>
          <w:r>
            <w:fldChar w:fldCharType="begin"/>
          </w:r>
          <w:r>
            <w:instrText xml:space="preserve"> styleref CharDivText </w:instrText>
          </w:r>
          <w:r>
            <w:fldChar w:fldCharType="end"/>
          </w:r>
        </w:p>
      </w:tc>
      <w:tc>
        <w:tcPr>
          <w:tcW w:w="155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99"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ind w:right="-284"/>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1097E4"/>
    <w:lvl w:ilvl="0">
      <w:start w:val="1"/>
      <w:numFmt w:val="decimal"/>
      <w:lvlText w:val="%1."/>
      <w:lvlJc w:val="left"/>
      <w:pPr>
        <w:tabs>
          <w:tab w:val="num" w:pos="1492"/>
        </w:tabs>
        <w:ind w:left="1492" w:hanging="360"/>
      </w:pPr>
    </w:lvl>
  </w:abstractNum>
  <w:abstractNum w:abstractNumId="1">
    <w:nsid w:val="FFFFFF7D"/>
    <w:multiLevelType w:val="singleLevel"/>
    <w:tmpl w:val="BC92C48C"/>
    <w:lvl w:ilvl="0">
      <w:start w:val="1"/>
      <w:numFmt w:val="decimal"/>
      <w:lvlText w:val="%1."/>
      <w:lvlJc w:val="left"/>
      <w:pPr>
        <w:tabs>
          <w:tab w:val="num" w:pos="1209"/>
        </w:tabs>
        <w:ind w:left="1209" w:hanging="360"/>
      </w:pPr>
    </w:lvl>
  </w:abstractNum>
  <w:abstractNum w:abstractNumId="2">
    <w:nsid w:val="FFFFFF7E"/>
    <w:multiLevelType w:val="singleLevel"/>
    <w:tmpl w:val="4162C106"/>
    <w:lvl w:ilvl="0">
      <w:start w:val="1"/>
      <w:numFmt w:val="decimal"/>
      <w:lvlText w:val="%1."/>
      <w:lvlJc w:val="left"/>
      <w:pPr>
        <w:tabs>
          <w:tab w:val="num" w:pos="926"/>
        </w:tabs>
        <w:ind w:left="926" w:hanging="360"/>
      </w:pPr>
    </w:lvl>
  </w:abstractNum>
  <w:abstractNum w:abstractNumId="3">
    <w:nsid w:val="FFFFFF7F"/>
    <w:multiLevelType w:val="singleLevel"/>
    <w:tmpl w:val="8A22CE76"/>
    <w:lvl w:ilvl="0">
      <w:start w:val="1"/>
      <w:numFmt w:val="decimal"/>
      <w:lvlText w:val="%1."/>
      <w:lvlJc w:val="left"/>
      <w:pPr>
        <w:tabs>
          <w:tab w:val="num" w:pos="643"/>
        </w:tabs>
        <w:ind w:left="643" w:hanging="360"/>
      </w:pPr>
    </w:lvl>
  </w:abstractNum>
  <w:abstractNum w:abstractNumId="4">
    <w:nsid w:val="FFFFFF80"/>
    <w:multiLevelType w:val="singleLevel"/>
    <w:tmpl w:val="334899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B2EF8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740A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5A5F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C52C810"/>
    <w:lvl w:ilvl="0">
      <w:start w:val="1"/>
      <w:numFmt w:val="decimal"/>
      <w:lvlText w:val="%1."/>
      <w:lvlJc w:val="left"/>
      <w:pPr>
        <w:tabs>
          <w:tab w:val="num" w:pos="360"/>
        </w:tabs>
        <w:ind w:left="360" w:hanging="360"/>
      </w:pPr>
    </w:lvl>
  </w:abstractNum>
  <w:abstractNum w:abstractNumId="9">
    <w:nsid w:val="FFFFFF89"/>
    <w:multiLevelType w:val="singleLevel"/>
    <w:tmpl w:val="E4EE322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86DAD02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5">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24"/>
  </w:num>
  <w:num w:numId="3">
    <w:abstractNumId w:val="11"/>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17"/>
  </w:num>
  <w:num w:numId="15">
    <w:abstractNumId w:val="12"/>
  </w:num>
  <w:num w:numId="16">
    <w:abstractNumId w:val="2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109142006"/>
    <w:docVar w:name="WAFER_20140113134211" w:val="RemoveTocBookmarks,RemoveUnusedBookmarks,RemoveLanguageTags,UsedStyles,ResetPageSize,UpdateArrangement"/>
    <w:docVar w:name="WAFER_20140113134211_GUID" w:val="4ab095f4-171c-42dc-98c9-627ac28eb587"/>
    <w:docVar w:name="WAFER_20140113135037" w:val="RemoveTocBookmarks,RunningHeaders"/>
    <w:docVar w:name="WAFER_20140113135037_GUID" w:val="d333f023-324f-466e-9b13-c66db14960e1"/>
    <w:docVar w:name="WAFER_20140704133731" w:val="RemoveTocBookmarks,RunningHeaders"/>
    <w:docVar w:name="WAFER_20140704133731_GUID" w:val="51fcb6fe-0637-472e-ae63-f42353f864ff"/>
    <w:docVar w:name="WAFER_20140704133747" w:val="RemoveTocBookmarks,RunningHeaders"/>
    <w:docVar w:name="WAFER_20140704133747_GUID" w:val="584b3b63-9832-4332-af4b-ceeb4a3652ad"/>
    <w:docVar w:name="WAFER_20150515104126" w:val="ResetPageSize,UpdateArrangement,UpdateNTable"/>
    <w:docVar w:name="WAFER_20150515104126_GUID" w:val="d6e66366-a365-42e1-878b-85a73f1fe2e2"/>
    <w:docVar w:name="WAFER_20151104160243" w:val="UpdateStyles"/>
    <w:docVar w:name="WAFER_20151104160243_GUID" w:val="a31bd9db-d321-4867-825c-a9e663f1f7bb"/>
    <w:docVar w:name="WAFER_20151104161023" w:val="UsedStyles"/>
    <w:docVar w:name="WAFER_20151104161023_GUID" w:val="bda79082-7365-4af7-869d-6539e4b0de72"/>
    <w:docVar w:name="WAFER_20170111122008" w:val="RemoveTocBookmarks,RemoveUnusedBookmarks,RemoveLanguageTags,UsedStyles,ResetPageSize"/>
    <w:docVar w:name="WAFER_20170111122008_GUID" w:val="d3807c02-5f13-487e-9920-f783ca7273fd"/>
    <w:docVar w:name="WAFER_20170214142959" w:val="RemoveTocBookmarks,RemoveUnusedBookmarks,RemoveLanguageTags,UsedStyles,ResetPageSize"/>
    <w:docVar w:name="WAFER_20170214142959_GUID" w:val="4a1e40da-a18d-4095-9aab-c3757ce3af9b"/>
    <w:docVar w:name="WAFER_20171006152228" w:val="RemoveTocBookmarks,RemoveUnusedBookmarks,RemoveLanguageTags,UsedStyles,ResetPageSize,RemoveCustomizations"/>
    <w:docVar w:name="WAFER_20171006152228_GUID" w:val="8a1d8de3-4af5-400b-b5fc-9de0e53c1e2d"/>
    <w:docVar w:name="WAFER_20171109141950" w:val="RemoveTocBookmarks,RemoveUnusedBookmarks,RemoveLanguageTags,UsedStyles,RemoveTrackChanges"/>
    <w:docVar w:name="WAFER_20171109141950_GUID" w:val="97b71d00-e698-4cf9-b71b-93fdd6e754c9"/>
    <w:docVar w:name="WAFER_20171109142006" w:val="RemoveTocBookmarks,RemoveLanguageTags,RemoveTrackChanges,RunningHeaders"/>
    <w:docVar w:name="WAFER_20171109142006_GUID" w:val="83397ab0-ccdb-491a-a609-998708a8a4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basedOn w:val="DefaultParagraphFont"/>
    <w:rPr>
      <w:sz w:val="20"/>
    </w:rPr>
  </w:style>
  <w:style w:type="character" w:customStyle="1" w:styleId="CharPageNo">
    <w:name w:val="CharPageNo"/>
    <w:rPr>
      <w:noProof w:val="0"/>
      <w:sz w:val="20"/>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basedOn w:val="DefaultParagraphFont"/>
    <w:rPr>
      <w:sz w:val="20"/>
    </w:rPr>
  </w:style>
  <w:style w:type="character" w:customStyle="1" w:styleId="CharPageNo">
    <w:name w:val="CharPageNo"/>
    <w:rPr>
      <w:noProof w:val="0"/>
      <w:sz w:val="20"/>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1322">
      <w:bodyDiv w:val="1"/>
      <w:marLeft w:val="0"/>
      <w:marRight w:val="0"/>
      <w:marTop w:val="0"/>
      <w:marBottom w:val="0"/>
      <w:divBdr>
        <w:top w:val="none" w:sz="0" w:space="0" w:color="auto"/>
        <w:left w:val="none" w:sz="0" w:space="0" w:color="auto"/>
        <w:bottom w:val="none" w:sz="0" w:space="0" w:color="auto"/>
        <w:right w:val="none" w:sz="0" w:space="0" w:color="auto"/>
      </w:divBdr>
    </w:div>
    <w:div w:id="17464249">
      <w:bodyDiv w:val="1"/>
      <w:marLeft w:val="0"/>
      <w:marRight w:val="0"/>
      <w:marTop w:val="0"/>
      <w:marBottom w:val="0"/>
      <w:divBdr>
        <w:top w:val="none" w:sz="0" w:space="0" w:color="auto"/>
        <w:left w:val="none" w:sz="0" w:space="0" w:color="auto"/>
        <w:bottom w:val="none" w:sz="0" w:space="0" w:color="auto"/>
        <w:right w:val="none" w:sz="0" w:space="0" w:color="auto"/>
      </w:divBdr>
    </w:div>
    <w:div w:id="56054569">
      <w:bodyDiv w:val="1"/>
      <w:marLeft w:val="0"/>
      <w:marRight w:val="0"/>
      <w:marTop w:val="0"/>
      <w:marBottom w:val="0"/>
      <w:divBdr>
        <w:top w:val="none" w:sz="0" w:space="0" w:color="auto"/>
        <w:left w:val="none" w:sz="0" w:space="0" w:color="auto"/>
        <w:bottom w:val="none" w:sz="0" w:space="0" w:color="auto"/>
        <w:right w:val="none" w:sz="0" w:space="0" w:color="auto"/>
      </w:divBdr>
    </w:div>
    <w:div w:id="69425581">
      <w:bodyDiv w:val="1"/>
      <w:marLeft w:val="0"/>
      <w:marRight w:val="0"/>
      <w:marTop w:val="0"/>
      <w:marBottom w:val="0"/>
      <w:divBdr>
        <w:top w:val="none" w:sz="0" w:space="0" w:color="auto"/>
        <w:left w:val="none" w:sz="0" w:space="0" w:color="auto"/>
        <w:bottom w:val="none" w:sz="0" w:space="0" w:color="auto"/>
        <w:right w:val="none" w:sz="0" w:space="0" w:color="auto"/>
      </w:divBdr>
    </w:div>
    <w:div w:id="86195777">
      <w:bodyDiv w:val="1"/>
      <w:marLeft w:val="0"/>
      <w:marRight w:val="0"/>
      <w:marTop w:val="0"/>
      <w:marBottom w:val="0"/>
      <w:divBdr>
        <w:top w:val="none" w:sz="0" w:space="0" w:color="auto"/>
        <w:left w:val="none" w:sz="0" w:space="0" w:color="auto"/>
        <w:bottom w:val="none" w:sz="0" w:space="0" w:color="auto"/>
        <w:right w:val="none" w:sz="0" w:space="0" w:color="auto"/>
      </w:divBdr>
    </w:div>
    <w:div w:id="89595036">
      <w:bodyDiv w:val="1"/>
      <w:marLeft w:val="0"/>
      <w:marRight w:val="0"/>
      <w:marTop w:val="0"/>
      <w:marBottom w:val="0"/>
      <w:divBdr>
        <w:top w:val="none" w:sz="0" w:space="0" w:color="auto"/>
        <w:left w:val="none" w:sz="0" w:space="0" w:color="auto"/>
        <w:bottom w:val="none" w:sz="0" w:space="0" w:color="auto"/>
        <w:right w:val="none" w:sz="0" w:space="0" w:color="auto"/>
      </w:divBdr>
    </w:div>
    <w:div w:id="95099019">
      <w:bodyDiv w:val="1"/>
      <w:marLeft w:val="0"/>
      <w:marRight w:val="0"/>
      <w:marTop w:val="0"/>
      <w:marBottom w:val="0"/>
      <w:divBdr>
        <w:top w:val="none" w:sz="0" w:space="0" w:color="auto"/>
        <w:left w:val="none" w:sz="0" w:space="0" w:color="auto"/>
        <w:bottom w:val="none" w:sz="0" w:space="0" w:color="auto"/>
        <w:right w:val="none" w:sz="0" w:space="0" w:color="auto"/>
      </w:divBdr>
    </w:div>
    <w:div w:id="104008578">
      <w:bodyDiv w:val="1"/>
      <w:marLeft w:val="0"/>
      <w:marRight w:val="0"/>
      <w:marTop w:val="0"/>
      <w:marBottom w:val="0"/>
      <w:divBdr>
        <w:top w:val="none" w:sz="0" w:space="0" w:color="auto"/>
        <w:left w:val="none" w:sz="0" w:space="0" w:color="auto"/>
        <w:bottom w:val="none" w:sz="0" w:space="0" w:color="auto"/>
        <w:right w:val="none" w:sz="0" w:space="0" w:color="auto"/>
      </w:divBdr>
    </w:div>
    <w:div w:id="227880625">
      <w:bodyDiv w:val="1"/>
      <w:marLeft w:val="0"/>
      <w:marRight w:val="0"/>
      <w:marTop w:val="0"/>
      <w:marBottom w:val="0"/>
      <w:divBdr>
        <w:top w:val="none" w:sz="0" w:space="0" w:color="auto"/>
        <w:left w:val="none" w:sz="0" w:space="0" w:color="auto"/>
        <w:bottom w:val="none" w:sz="0" w:space="0" w:color="auto"/>
        <w:right w:val="none" w:sz="0" w:space="0" w:color="auto"/>
      </w:divBdr>
    </w:div>
    <w:div w:id="290207552">
      <w:bodyDiv w:val="1"/>
      <w:marLeft w:val="0"/>
      <w:marRight w:val="0"/>
      <w:marTop w:val="0"/>
      <w:marBottom w:val="0"/>
      <w:divBdr>
        <w:top w:val="none" w:sz="0" w:space="0" w:color="auto"/>
        <w:left w:val="none" w:sz="0" w:space="0" w:color="auto"/>
        <w:bottom w:val="none" w:sz="0" w:space="0" w:color="auto"/>
        <w:right w:val="none" w:sz="0" w:space="0" w:color="auto"/>
      </w:divBdr>
    </w:div>
    <w:div w:id="389350415">
      <w:bodyDiv w:val="1"/>
      <w:marLeft w:val="0"/>
      <w:marRight w:val="0"/>
      <w:marTop w:val="0"/>
      <w:marBottom w:val="0"/>
      <w:divBdr>
        <w:top w:val="none" w:sz="0" w:space="0" w:color="auto"/>
        <w:left w:val="none" w:sz="0" w:space="0" w:color="auto"/>
        <w:bottom w:val="none" w:sz="0" w:space="0" w:color="auto"/>
        <w:right w:val="none" w:sz="0" w:space="0" w:color="auto"/>
      </w:divBdr>
    </w:div>
    <w:div w:id="393048378">
      <w:bodyDiv w:val="1"/>
      <w:marLeft w:val="0"/>
      <w:marRight w:val="0"/>
      <w:marTop w:val="0"/>
      <w:marBottom w:val="0"/>
      <w:divBdr>
        <w:top w:val="none" w:sz="0" w:space="0" w:color="auto"/>
        <w:left w:val="none" w:sz="0" w:space="0" w:color="auto"/>
        <w:bottom w:val="none" w:sz="0" w:space="0" w:color="auto"/>
        <w:right w:val="none" w:sz="0" w:space="0" w:color="auto"/>
      </w:divBdr>
    </w:div>
    <w:div w:id="440222411">
      <w:bodyDiv w:val="1"/>
      <w:marLeft w:val="0"/>
      <w:marRight w:val="0"/>
      <w:marTop w:val="0"/>
      <w:marBottom w:val="0"/>
      <w:divBdr>
        <w:top w:val="none" w:sz="0" w:space="0" w:color="auto"/>
        <w:left w:val="none" w:sz="0" w:space="0" w:color="auto"/>
        <w:bottom w:val="none" w:sz="0" w:space="0" w:color="auto"/>
        <w:right w:val="none" w:sz="0" w:space="0" w:color="auto"/>
      </w:divBdr>
    </w:div>
    <w:div w:id="442966722">
      <w:bodyDiv w:val="1"/>
      <w:marLeft w:val="0"/>
      <w:marRight w:val="0"/>
      <w:marTop w:val="0"/>
      <w:marBottom w:val="0"/>
      <w:divBdr>
        <w:top w:val="none" w:sz="0" w:space="0" w:color="auto"/>
        <w:left w:val="none" w:sz="0" w:space="0" w:color="auto"/>
        <w:bottom w:val="none" w:sz="0" w:space="0" w:color="auto"/>
        <w:right w:val="none" w:sz="0" w:space="0" w:color="auto"/>
      </w:divBdr>
    </w:div>
    <w:div w:id="470902126">
      <w:bodyDiv w:val="1"/>
      <w:marLeft w:val="0"/>
      <w:marRight w:val="0"/>
      <w:marTop w:val="0"/>
      <w:marBottom w:val="0"/>
      <w:divBdr>
        <w:top w:val="none" w:sz="0" w:space="0" w:color="auto"/>
        <w:left w:val="none" w:sz="0" w:space="0" w:color="auto"/>
        <w:bottom w:val="none" w:sz="0" w:space="0" w:color="auto"/>
        <w:right w:val="none" w:sz="0" w:space="0" w:color="auto"/>
      </w:divBdr>
    </w:div>
    <w:div w:id="505637290">
      <w:bodyDiv w:val="1"/>
      <w:marLeft w:val="0"/>
      <w:marRight w:val="0"/>
      <w:marTop w:val="0"/>
      <w:marBottom w:val="0"/>
      <w:divBdr>
        <w:top w:val="none" w:sz="0" w:space="0" w:color="auto"/>
        <w:left w:val="none" w:sz="0" w:space="0" w:color="auto"/>
        <w:bottom w:val="none" w:sz="0" w:space="0" w:color="auto"/>
        <w:right w:val="none" w:sz="0" w:space="0" w:color="auto"/>
      </w:divBdr>
    </w:div>
    <w:div w:id="523249693">
      <w:bodyDiv w:val="1"/>
      <w:marLeft w:val="0"/>
      <w:marRight w:val="0"/>
      <w:marTop w:val="0"/>
      <w:marBottom w:val="0"/>
      <w:divBdr>
        <w:top w:val="none" w:sz="0" w:space="0" w:color="auto"/>
        <w:left w:val="none" w:sz="0" w:space="0" w:color="auto"/>
        <w:bottom w:val="none" w:sz="0" w:space="0" w:color="auto"/>
        <w:right w:val="none" w:sz="0" w:space="0" w:color="auto"/>
      </w:divBdr>
    </w:div>
    <w:div w:id="567957996">
      <w:bodyDiv w:val="1"/>
      <w:marLeft w:val="0"/>
      <w:marRight w:val="0"/>
      <w:marTop w:val="0"/>
      <w:marBottom w:val="0"/>
      <w:divBdr>
        <w:top w:val="none" w:sz="0" w:space="0" w:color="auto"/>
        <w:left w:val="none" w:sz="0" w:space="0" w:color="auto"/>
        <w:bottom w:val="none" w:sz="0" w:space="0" w:color="auto"/>
        <w:right w:val="none" w:sz="0" w:space="0" w:color="auto"/>
      </w:divBdr>
    </w:div>
    <w:div w:id="638876251">
      <w:bodyDiv w:val="1"/>
      <w:marLeft w:val="0"/>
      <w:marRight w:val="0"/>
      <w:marTop w:val="0"/>
      <w:marBottom w:val="0"/>
      <w:divBdr>
        <w:top w:val="none" w:sz="0" w:space="0" w:color="auto"/>
        <w:left w:val="none" w:sz="0" w:space="0" w:color="auto"/>
        <w:bottom w:val="none" w:sz="0" w:space="0" w:color="auto"/>
        <w:right w:val="none" w:sz="0" w:space="0" w:color="auto"/>
      </w:divBdr>
    </w:div>
    <w:div w:id="668144404">
      <w:bodyDiv w:val="1"/>
      <w:marLeft w:val="0"/>
      <w:marRight w:val="0"/>
      <w:marTop w:val="0"/>
      <w:marBottom w:val="0"/>
      <w:divBdr>
        <w:top w:val="none" w:sz="0" w:space="0" w:color="auto"/>
        <w:left w:val="none" w:sz="0" w:space="0" w:color="auto"/>
        <w:bottom w:val="none" w:sz="0" w:space="0" w:color="auto"/>
        <w:right w:val="none" w:sz="0" w:space="0" w:color="auto"/>
      </w:divBdr>
    </w:div>
    <w:div w:id="713580359">
      <w:bodyDiv w:val="1"/>
      <w:marLeft w:val="0"/>
      <w:marRight w:val="0"/>
      <w:marTop w:val="0"/>
      <w:marBottom w:val="0"/>
      <w:divBdr>
        <w:top w:val="none" w:sz="0" w:space="0" w:color="auto"/>
        <w:left w:val="none" w:sz="0" w:space="0" w:color="auto"/>
        <w:bottom w:val="none" w:sz="0" w:space="0" w:color="auto"/>
        <w:right w:val="none" w:sz="0" w:space="0" w:color="auto"/>
      </w:divBdr>
    </w:div>
    <w:div w:id="764766002">
      <w:bodyDiv w:val="1"/>
      <w:marLeft w:val="0"/>
      <w:marRight w:val="0"/>
      <w:marTop w:val="0"/>
      <w:marBottom w:val="0"/>
      <w:divBdr>
        <w:top w:val="none" w:sz="0" w:space="0" w:color="auto"/>
        <w:left w:val="none" w:sz="0" w:space="0" w:color="auto"/>
        <w:bottom w:val="none" w:sz="0" w:space="0" w:color="auto"/>
        <w:right w:val="none" w:sz="0" w:space="0" w:color="auto"/>
      </w:divBdr>
    </w:div>
    <w:div w:id="779227137">
      <w:bodyDiv w:val="1"/>
      <w:marLeft w:val="0"/>
      <w:marRight w:val="0"/>
      <w:marTop w:val="0"/>
      <w:marBottom w:val="0"/>
      <w:divBdr>
        <w:top w:val="none" w:sz="0" w:space="0" w:color="auto"/>
        <w:left w:val="none" w:sz="0" w:space="0" w:color="auto"/>
        <w:bottom w:val="none" w:sz="0" w:space="0" w:color="auto"/>
        <w:right w:val="none" w:sz="0" w:space="0" w:color="auto"/>
      </w:divBdr>
    </w:div>
    <w:div w:id="875848732">
      <w:bodyDiv w:val="1"/>
      <w:marLeft w:val="0"/>
      <w:marRight w:val="0"/>
      <w:marTop w:val="0"/>
      <w:marBottom w:val="0"/>
      <w:divBdr>
        <w:top w:val="none" w:sz="0" w:space="0" w:color="auto"/>
        <w:left w:val="none" w:sz="0" w:space="0" w:color="auto"/>
        <w:bottom w:val="none" w:sz="0" w:space="0" w:color="auto"/>
        <w:right w:val="none" w:sz="0" w:space="0" w:color="auto"/>
      </w:divBdr>
    </w:div>
    <w:div w:id="994725842">
      <w:bodyDiv w:val="1"/>
      <w:marLeft w:val="0"/>
      <w:marRight w:val="0"/>
      <w:marTop w:val="0"/>
      <w:marBottom w:val="0"/>
      <w:divBdr>
        <w:top w:val="none" w:sz="0" w:space="0" w:color="auto"/>
        <w:left w:val="none" w:sz="0" w:space="0" w:color="auto"/>
        <w:bottom w:val="none" w:sz="0" w:space="0" w:color="auto"/>
        <w:right w:val="none" w:sz="0" w:space="0" w:color="auto"/>
      </w:divBdr>
    </w:div>
    <w:div w:id="1085347763">
      <w:bodyDiv w:val="1"/>
      <w:marLeft w:val="0"/>
      <w:marRight w:val="0"/>
      <w:marTop w:val="0"/>
      <w:marBottom w:val="0"/>
      <w:divBdr>
        <w:top w:val="none" w:sz="0" w:space="0" w:color="auto"/>
        <w:left w:val="none" w:sz="0" w:space="0" w:color="auto"/>
        <w:bottom w:val="none" w:sz="0" w:space="0" w:color="auto"/>
        <w:right w:val="none" w:sz="0" w:space="0" w:color="auto"/>
      </w:divBdr>
    </w:div>
    <w:div w:id="1090929491">
      <w:bodyDiv w:val="1"/>
      <w:marLeft w:val="0"/>
      <w:marRight w:val="0"/>
      <w:marTop w:val="0"/>
      <w:marBottom w:val="0"/>
      <w:divBdr>
        <w:top w:val="none" w:sz="0" w:space="0" w:color="auto"/>
        <w:left w:val="none" w:sz="0" w:space="0" w:color="auto"/>
        <w:bottom w:val="none" w:sz="0" w:space="0" w:color="auto"/>
        <w:right w:val="none" w:sz="0" w:space="0" w:color="auto"/>
      </w:divBdr>
    </w:div>
    <w:div w:id="1338078727">
      <w:bodyDiv w:val="1"/>
      <w:marLeft w:val="0"/>
      <w:marRight w:val="0"/>
      <w:marTop w:val="0"/>
      <w:marBottom w:val="0"/>
      <w:divBdr>
        <w:top w:val="none" w:sz="0" w:space="0" w:color="auto"/>
        <w:left w:val="none" w:sz="0" w:space="0" w:color="auto"/>
        <w:bottom w:val="none" w:sz="0" w:space="0" w:color="auto"/>
        <w:right w:val="none" w:sz="0" w:space="0" w:color="auto"/>
      </w:divBdr>
    </w:div>
    <w:div w:id="1373531243">
      <w:bodyDiv w:val="1"/>
      <w:marLeft w:val="0"/>
      <w:marRight w:val="0"/>
      <w:marTop w:val="0"/>
      <w:marBottom w:val="0"/>
      <w:divBdr>
        <w:top w:val="none" w:sz="0" w:space="0" w:color="auto"/>
        <w:left w:val="none" w:sz="0" w:space="0" w:color="auto"/>
        <w:bottom w:val="none" w:sz="0" w:space="0" w:color="auto"/>
        <w:right w:val="none" w:sz="0" w:space="0" w:color="auto"/>
      </w:divBdr>
    </w:div>
    <w:div w:id="1419398324">
      <w:bodyDiv w:val="1"/>
      <w:marLeft w:val="0"/>
      <w:marRight w:val="0"/>
      <w:marTop w:val="0"/>
      <w:marBottom w:val="0"/>
      <w:divBdr>
        <w:top w:val="none" w:sz="0" w:space="0" w:color="auto"/>
        <w:left w:val="none" w:sz="0" w:space="0" w:color="auto"/>
        <w:bottom w:val="none" w:sz="0" w:space="0" w:color="auto"/>
        <w:right w:val="none" w:sz="0" w:space="0" w:color="auto"/>
      </w:divBdr>
    </w:div>
    <w:div w:id="1466855468">
      <w:bodyDiv w:val="1"/>
      <w:marLeft w:val="0"/>
      <w:marRight w:val="0"/>
      <w:marTop w:val="0"/>
      <w:marBottom w:val="0"/>
      <w:divBdr>
        <w:top w:val="none" w:sz="0" w:space="0" w:color="auto"/>
        <w:left w:val="none" w:sz="0" w:space="0" w:color="auto"/>
        <w:bottom w:val="none" w:sz="0" w:space="0" w:color="auto"/>
        <w:right w:val="none" w:sz="0" w:space="0" w:color="auto"/>
      </w:divBdr>
    </w:div>
    <w:div w:id="1577083992">
      <w:bodyDiv w:val="1"/>
      <w:marLeft w:val="0"/>
      <w:marRight w:val="0"/>
      <w:marTop w:val="0"/>
      <w:marBottom w:val="0"/>
      <w:divBdr>
        <w:top w:val="none" w:sz="0" w:space="0" w:color="auto"/>
        <w:left w:val="none" w:sz="0" w:space="0" w:color="auto"/>
        <w:bottom w:val="none" w:sz="0" w:space="0" w:color="auto"/>
        <w:right w:val="none" w:sz="0" w:space="0" w:color="auto"/>
      </w:divBdr>
    </w:div>
    <w:div w:id="1598295135">
      <w:bodyDiv w:val="1"/>
      <w:marLeft w:val="0"/>
      <w:marRight w:val="0"/>
      <w:marTop w:val="0"/>
      <w:marBottom w:val="0"/>
      <w:divBdr>
        <w:top w:val="none" w:sz="0" w:space="0" w:color="auto"/>
        <w:left w:val="none" w:sz="0" w:space="0" w:color="auto"/>
        <w:bottom w:val="none" w:sz="0" w:space="0" w:color="auto"/>
        <w:right w:val="none" w:sz="0" w:space="0" w:color="auto"/>
      </w:divBdr>
    </w:div>
    <w:div w:id="1599602809">
      <w:bodyDiv w:val="1"/>
      <w:marLeft w:val="0"/>
      <w:marRight w:val="0"/>
      <w:marTop w:val="0"/>
      <w:marBottom w:val="0"/>
      <w:divBdr>
        <w:top w:val="none" w:sz="0" w:space="0" w:color="auto"/>
        <w:left w:val="none" w:sz="0" w:space="0" w:color="auto"/>
        <w:bottom w:val="none" w:sz="0" w:space="0" w:color="auto"/>
        <w:right w:val="none" w:sz="0" w:space="0" w:color="auto"/>
      </w:divBdr>
    </w:div>
    <w:div w:id="1686983031">
      <w:bodyDiv w:val="1"/>
      <w:marLeft w:val="0"/>
      <w:marRight w:val="0"/>
      <w:marTop w:val="0"/>
      <w:marBottom w:val="0"/>
      <w:divBdr>
        <w:top w:val="none" w:sz="0" w:space="0" w:color="auto"/>
        <w:left w:val="none" w:sz="0" w:space="0" w:color="auto"/>
        <w:bottom w:val="none" w:sz="0" w:space="0" w:color="auto"/>
        <w:right w:val="none" w:sz="0" w:space="0" w:color="auto"/>
      </w:divBdr>
    </w:div>
    <w:div w:id="1988319145">
      <w:bodyDiv w:val="1"/>
      <w:marLeft w:val="0"/>
      <w:marRight w:val="0"/>
      <w:marTop w:val="0"/>
      <w:marBottom w:val="0"/>
      <w:divBdr>
        <w:top w:val="none" w:sz="0" w:space="0" w:color="auto"/>
        <w:left w:val="none" w:sz="0" w:space="0" w:color="auto"/>
        <w:bottom w:val="none" w:sz="0" w:space="0" w:color="auto"/>
        <w:right w:val="none" w:sz="0" w:space="0" w:color="auto"/>
      </w:divBdr>
    </w:div>
    <w:div w:id="2083288355">
      <w:bodyDiv w:val="1"/>
      <w:marLeft w:val="0"/>
      <w:marRight w:val="0"/>
      <w:marTop w:val="0"/>
      <w:marBottom w:val="0"/>
      <w:divBdr>
        <w:top w:val="none" w:sz="0" w:space="0" w:color="auto"/>
        <w:left w:val="none" w:sz="0" w:space="0" w:color="auto"/>
        <w:bottom w:val="none" w:sz="0" w:space="0" w:color="auto"/>
        <w:right w:val="none" w:sz="0" w:space="0" w:color="auto"/>
      </w:divBdr>
    </w:div>
    <w:div w:id="2093382414">
      <w:bodyDiv w:val="1"/>
      <w:marLeft w:val="0"/>
      <w:marRight w:val="0"/>
      <w:marTop w:val="0"/>
      <w:marBottom w:val="0"/>
      <w:divBdr>
        <w:top w:val="none" w:sz="0" w:space="0" w:color="auto"/>
        <w:left w:val="none" w:sz="0" w:space="0" w:color="auto"/>
        <w:bottom w:val="none" w:sz="0" w:space="0" w:color="auto"/>
        <w:right w:val="none" w:sz="0" w:space="0" w:color="auto"/>
      </w:divBdr>
    </w:div>
    <w:div w:id="209967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8ED5D-9C33-4D79-BAE5-E7FD12B39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272</Pages>
  <Words>73701</Words>
  <Characters>340501</Characters>
  <Application>Microsoft Office Word</Application>
  <DocSecurity>0</DocSecurity>
  <Lines>9202</Lines>
  <Paragraphs>4360</Paragraphs>
  <ScaleCrop>false</ScaleCrop>
  <HeadingPairs>
    <vt:vector size="2" baseType="variant">
      <vt:variant>
        <vt:lpstr>Title</vt:lpstr>
      </vt:variant>
      <vt:variant>
        <vt:i4>1</vt:i4>
      </vt:variant>
    </vt:vector>
  </HeadingPairs>
  <TitlesOfParts>
    <vt:vector size="1" baseType="lpstr">
      <vt:lpstr>Health Act 1911</vt:lpstr>
    </vt:vector>
  </TitlesOfParts>
  <Manager/>
  <Company/>
  <LinksUpToDate>false</LinksUpToDate>
  <CharactersWithSpaces>409842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(Miscellaneous Provisions) Act 1911 - 17-b0-03</dc:title>
  <dc:subject/>
  <dc:creator/>
  <cp:keywords/>
  <dc:description/>
  <cp:lastModifiedBy>svcMRProcess</cp:lastModifiedBy>
  <cp:revision>4</cp:revision>
  <cp:lastPrinted>2017-12-20T05:59:00Z</cp:lastPrinted>
  <dcterms:created xsi:type="dcterms:W3CDTF">2020-02-16T11:52:00Z</dcterms:created>
  <dcterms:modified xsi:type="dcterms:W3CDTF">2020-02-16T11:53:00Z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DocumentType">
    <vt:lpwstr>Act</vt:lpwstr>
  </property>
  <property fmtid="{D5CDD505-2E9C-101B-9397-08002B2CF9AE}" pid="4" name="OwlsUID">
    <vt:i4>343</vt:i4>
  </property>
  <property fmtid="{D5CDD505-2E9C-101B-9397-08002B2CF9AE}" pid="5" name="ReprintedAsAt">
    <vt:filetime>2017-12-14T16:00:00Z</vt:filetime>
  </property>
  <property fmtid="{D5CDD505-2E9C-101B-9397-08002B2CF9AE}" pid="6" name="ReprintNo">
    <vt:lpwstr>17</vt:lpwstr>
  </property>
  <property fmtid="{D5CDD505-2E9C-101B-9397-08002B2CF9AE}" pid="7" name="CommencementDate">
    <vt:lpwstr>20180419</vt:lpwstr>
  </property>
  <property fmtid="{D5CDD505-2E9C-101B-9397-08002B2CF9AE}" pid="8" name="AsAtDate">
    <vt:lpwstr>19 Apr 2018</vt:lpwstr>
  </property>
  <property fmtid="{D5CDD505-2E9C-101B-9397-08002B2CF9AE}" pid="9" name="Suffix">
    <vt:lpwstr>17-b0-03</vt:lpwstr>
  </property>
</Properties>
</file>