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Act 1974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_Toc512325806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_Toc512325807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_Toc512325808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_Toc512325809 \h </w:instrText>
      </w:r>
      <w:r>
        <w:fldChar w:fldCharType="separate"/>
      </w:r>
      <w:r>
        <w:t>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1AA — Terms used in this Part</w:t>
      </w:r>
    </w:p>
    <w:p>
      <w:pPr>
        <w:pStyle w:val="TOC8"/>
        <w:rPr>
          <w:rFonts w:asciiTheme="minorHAnsi" w:eastAsiaTheme="minorEastAsia" w:hAnsiTheme="minorHAnsi" w:cstheme="minorBidi"/>
          <w:szCs w:val="22"/>
        </w:rPr>
      </w:pPr>
      <w:r>
        <w:t>49AAA.</w:t>
      </w:r>
      <w:r>
        <w:tab/>
        <w:t>Terms used</w:t>
      </w:r>
      <w:r>
        <w:tab/>
      </w:r>
      <w:r>
        <w:fldChar w:fldCharType="begin"/>
      </w:r>
      <w:r>
        <w:instrText xml:space="preserve"> PAGEREF _Toc512325812 \h </w:instrText>
      </w:r>
      <w:r>
        <w:fldChar w:fldCharType="separate"/>
      </w:r>
      <w:r>
        <w:t>4</w:t>
      </w:r>
      <w:r>
        <w:fldChar w:fldCharType="end"/>
      </w:r>
    </w:p>
    <w:p>
      <w:pPr>
        <w:pStyle w:val="TOC4"/>
        <w:tabs>
          <w:tab w:val="right" w:leader="dot" w:pos="7087"/>
        </w:tabs>
        <w:rPr>
          <w:rFonts w:asciiTheme="minorHAnsi" w:eastAsiaTheme="minorEastAsia" w:hAnsiTheme="minorHAnsi" w:cstheme="minorBidi"/>
          <w:b w:val="0"/>
          <w:szCs w:val="22"/>
        </w:rPr>
      </w:pPr>
      <w:r>
        <w:t>Division 1A — When person taken to be instructor or in charge of vehicle</w:t>
      </w:r>
    </w:p>
    <w:p>
      <w:pPr>
        <w:pStyle w:val="TOC8"/>
        <w:rPr>
          <w:rFonts w:asciiTheme="minorHAnsi" w:eastAsiaTheme="minorEastAsia" w:hAnsiTheme="minorHAnsi" w:cstheme="minorBidi"/>
          <w:szCs w:val="22"/>
        </w:rPr>
      </w:pPr>
      <w:r>
        <w:t>49AA.</w:t>
      </w:r>
      <w:r>
        <w:tab/>
        <w:t>Circumstances in which person taken to be instructor or in charge of motor vehicle</w:t>
      </w:r>
      <w:r>
        <w:tab/>
      </w:r>
      <w:r>
        <w:fldChar w:fldCharType="begin"/>
      </w:r>
      <w:r>
        <w:instrText xml:space="preserve"> PAGEREF _Toc512325814 \h </w:instrText>
      </w:r>
      <w:r>
        <w:fldChar w:fldCharType="separate"/>
      </w:r>
      <w:r>
        <w:t>5</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_Toc512325816 \h </w:instrText>
      </w:r>
      <w:r>
        <w:fldChar w:fldCharType="separate"/>
      </w:r>
      <w:r>
        <w:t>6</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_Toc512325817 \h </w:instrText>
      </w:r>
      <w:r>
        <w:fldChar w:fldCharType="separate"/>
      </w:r>
      <w:r>
        <w:t>7</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_Toc512325818 \h </w:instrText>
      </w:r>
      <w:r>
        <w:fldChar w:fldCharType="separate"/>
      </w:r>
      <w:r>
        <w:t>10</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_Toc512325819 \h </w:instrText>
      </w:r>
      <w:r>
        <w:fldChar w:fldCharType="separate"/>
      </w:r>
      <w:r>
        <w:t>11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_Toc512325820 \h </w:instrText>
      </w:r>
      <w:r>
        <w:fldChar w:fldCharType="separate"/>
      </w:r>
      <w:r>
        <w:t>12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_Toc512325821 \h </w:instrText>
      </w:r>
      <w:r>
        <w:fldChar w:fldCharType="separate"/>
      </w:r>
      <w:r>
        <w:t>14</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_Toc512325822 \h </w:instrText>
      </w:r>
      <w:r>
        <w:fldChar w:fldCharType="separate"/>
      </w:r>
      <w:r>
        <w:t>15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_Toc512325823 \h </w:instrText>
      </w:r>
      <w:r>
        <w:fldChar w:fldCharType="separate"/>
      </w:r>
      <w:r>
        <w:t>17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_Toc512325824 \h </w:instrText>
      </w:r>
      <w:r>
        <w:fldChar w:fldCharType="separate"/>
      </w:r>
      <w:r>
        <w:t>18</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_Toc512325825 \h </w:instrText>
      </w:r>
      <w:r>
        <w:fldChar w:fldCharType="separate"/>
      </w:r>
      <w:r>
        <w:t>20</w:t>
      </w:r>
      <w:r>
        <w:fldChar w:fldCharType="end"/>
      </w:r>
    </w:p>
    <w:p>
      <w:pPr>
        <w:pStyle w:val="TOC8"/>
        <w:rPr>
          <w:rFonts w:asciiTheme="minorHAnsi" w:eastAsiaTheme="minorEastAsia" w:hAnsiTheme="minorHAnsi" w:cstheme="minorBidi"/>
          <w:szCs w:val="22"/>
        </w:rPr>
      </w:pPr>
      <w:r>
        <w:t>59BA.</w:t>
      </w:r>
      <w:r>
        <w:tab/>
        <w:t>Careless driving causing death, grievous bodily harm or bodily harm</w:t>
      </w:r>
      <w:r>
        <w:tab/>
      </w:r>
      <w:r>
        <w:fldChar w:fldCharType="begin"/>
      </w:r>
      <w:r>
        <w:instrText xml:space="preserve"> PAGEREF _Toc512325826 \h </w:instrText>
      </w:r>
      <w:r>
        <w:fldChar w:fldCharType="separate"/>
      </w:r>
      <w:r>
        <w:t>22</w:t>
      </w:r>
      <w:r>
        <w:fldChar w:fldCharType="end"/>
      </w:r>
    </w:p>
    <w:p>
      <w:pPr>
        <w:pStyle w:val="TOC8"/>
        <w:rPr>
          <w:rFonts w:asciiTheme="minorHAnsi" w:eastAsiaTheme="minorEastAsia" w:hAnsiTheme="minorHAnsi" w:cstheme="minorBidi"/>
          <w:szCs w:val="22"/>
        </w:rPr>
      </w:pPr>
      <w:r>
        <w:t>59B.</w:t>
      </w:r>
      <w:r>
        <w:tab/>
        <w:t>Ancillary matters and defences for sections 59, 59A and 59BA</w:t>
      </w:r>
      <w:r>
        <w:tab/>
      </w:r>
      <w:r>
        <w:fldChar w:fldCharType="begin"/>
      </w:r>
      <w:r>
        <w:instrText xml:space="preserve"> PAGEREF _Toc512325827 \h </w:instrText>
      </w:r>
      <w:r>
        <w:fldChar w:fldCharType="separate"/>
      </w:r>
      <w:r>
        <w:t>23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Driving in reckless manner</w:t>
      </w:r>
      <w:r>
        <w:tab/>
      </w:r>
      <w:r>
        <w:fldChar w:fldCharType="begin"/>
      </w:r>
      <w:r>
        <w:instrText xml:space="preserve"> PAGEREF _Toc512325828 \h </w:instrText>
      </w:r>
      <w:r>
        <w:fldChar w:fldCharType="separate"/>
      </w:r>
      <w:r>
        <w:t>25</w:t>
      </w:r>
      <w:r>
        <w:fldChar w:fldCharType="end"/>
      </w:r>
    </w:p>
    <w:p>
      <w:pPr>
        <w:pStyle w:val="TOC8"/>
        <w:rPr>
          <w:rFonts w:asciiTheme="minorHAnsi" w:eastAsiaTheme="minorEastAsia" w:hAnsiTheme="minorHAnsi" w:cstheme="minorBidi"/>
          <w:szCs w:val="22"/>
        </w:rPr>
      </w:pPr>
      <w:r>
        <w:t>60A.</w:t>
      </w:r>
      <w:r>
        <w:tab/>
        <w:t>Driving at reckless speed</w:t>
      </w:r>
      <w:r>
        <w:tab/>
      </w:r>
      <w:r>
        <w:fldChar w:fldCharType="begin"/>
      </w:r>
      <w:r>
        <w:instrText xml:space="preserve"> PAGEREF _Toc512325829 \h </w:instrText>
      </w:r>
      <w:r>
        <w:fldChar w:fldCharType="separate"/>
      </w:r>
      <w:r>
        <w:t>26</w:t>
      </w:r>
      <w:r>
        <w:fldChar w:fldCharType="end"/>
      </w:r>
    </w:p>
    <w:p>
      <w:pPr>
        <w:pStyle w:val="TOC8"/>
        <w:rPr>
          <w:rFonts w:asciiTheme="minorHAnsi" w:eastAsiaTheme="minorEastAsia" w:hAnsiTheme="minorHAnsi" w:cstheme="minorBidi"/>
          <w:szCs w:val="22"/>
        </w:rPr>
      </w:pPr>
      <w:r>
        <w:t>60B.</w:t>
      </w:r>
      <w:r>
        <w:tab/>
        <w:t>Penalties for offences against sections 60 and 60A</w:t>
      </w:r>
      <w:r>
        <w:tab/>
      </w:r>
      <w:r>
        <w:fldChar w:fldCharType="begin"/>
      </w:r>
      <w:r>
        <w:instrText xml:space="preserve"> PAGEREF _Toc512325830 \h </w:instrText>
      </w:r>
      <w:r>
        <w:fldChar w:fldCharType="separate"/>
      </w:r>
      <w:r>
        <w:t>26</w:t>
      </w:r>
      <w:r>
        <w:fldChar w:fldCharType="end"/>
      </w:r>
    </w:p>
    <w:p>
      <w:pPr>
        <w:pStyle w:val="TOC8"/>
        <w:rPr>
          <w:rFonts w:asciiTheme="minorHAnsi" w:eastAsiaTheme="minorEastAsia" w:hAnsiTheme="minorHAnsi" w:cstheme="minorBidi"/>
          <w:szCs w:val="22"/>
        </w:rPr>
      </w:pPr>
      <w:r>
        <w:t>60C.</w:t>
      </w:r>
      <w:r>
        <w:tab/>
        <w:t>Arrest without warrant for driving in reckless manner or at reckless speed</w:t>
      </w:r>
      <w:r>
        <w:tab/>
      </w:r>
      <w:r>
        <w:fldChar w:fldCharType="begin"/>
      </w:r>
      <w:r>
        <w:instrText xml:space="preserve"> PAGEREF _Toc512325831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_Toc512325832 \h </w:instrText>
      </w:r>
      <w:r>
        <w:fldChar w:fldCharType="separate"/>
      </w:r>
      <w:r>
        <w:t>28</w:t>
      </w:r>
      <w:r>
        <w:fldChar w:fldCharType="end"/>
      </w:r>
    </w:p>
    <w:p>
      <w:pPr>
        <w:pStyle w:val="TOC8"/>
        <w:rPr>
          <w:rFonts w:asciiTheme="minorHAnsi" w:eastAsiaTheme="minorEastAsia" w:hAnsiTheme="minorHAnsi" w:cstheme="minorBidi"/>
          <w:szCs w:val="22"/>
        </w:rPr>
      </w:pPr>
      <w:r>
        <w:t>61A.</w:t>
      </w:r>
      <w:r>
        <w:tab/>
        <w:t>Defence for police officers driving in reckless manner in certain circumstances</w:t>
      </w:r>
      <w:r>
        <w:tab/>
      </w:r>
      <w:r>
        <w:fldChar w:fldCharType="begin"/>
      </w:r>
      <w:r>
        <w:instrText xml:space="preserve"> PAGEREF _Toc512325833 \h </w:instrText>
      </w:r>
      <w:r>
        <w:fldChar w:fldCharType="separate"/>
      </w:r>
      <w:r>
        <w:t>29</w:t>
      </w:r>
      <w:r>
        <w:fldChar w:fldCharType="end"/>
      </w:r>
    </w:p>
    <w:p>
      <w:pPr>
        <w:pStyle w:val="TOC8"/>
        <w:rPr>
          <w:rFonts w:asciiTheme="minorHAnsi" w:eastAsiaTheme="minorEastAsia" w:hAnsiTheme="minorHAnsi" w:cstheme="minorBidi"/>
          <w:szCs w:val="22"/>
        </w:rPr>
      </w:pPr>
      <w:r>
        <w:t>61B.</w:t>
      </w:r>
      <w:r>
        <w:tab/>
        <w:t>Defence for certain officers driving at reckless speed</w:t>
      </w:r>
      <w:r>
        <w:tab/>
      </w:r>
      <w:r>
        <w:fldChar w:fldCharType="begin"/>
      </w:r>
      <w:r>
        <w:instrText xml:space="preserve"> PAGEREF _Toc512325834 \h </w:instrText>
      </w:r>
      <w:r>
        <w:fldChar w:fldCharType="separate"/>
      </w:r>
      <w:r>
        <w:t>30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_Toc512325835 \h </w:instrText>
      </w:r>
      <w:r>
        <w:fldChar w:fldCharType="separate"/>
      </w:r>
      <w:r>
        <w:t>31</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_Toc512325836 \h </w:instrText>
      </w:r>
      <w:r>
        <w:fldChar w:fldCharType="separate"/>
      </w:r>
      <w:r>
        <w:t>31</w:t>
      </w:r>
      <w:r>
        <w:fldChar w:fldCharType="end"/>
      </w:r>
    </w:p>
    <w:p>
      <w:pPr>
        <w:pStyle w:val="TOC4"/>
        <w:tabs>
          <w:tab w:val="right" w:leader="dot" w:pos="7087"/>
        </w:tabs>
        <w:rPr>
          <w:rFonts w:asciiTheme="minorHAnsi" w:eastAsiaTheme="minorEastAsia" w:hAnsiTheme="minorHAnsi" w:cstheme="minorBidi"/>
          <w:b w:val="0"/>
          <w:szCs w:val="22"/>
        </w:rPr>
      </w:pPr>
      <w:r>
        <w:t>Division 2A — Providing driving instruction to learner drivers: alcohol and drug related offences</w:t>
      </w:r>
    </w:p>
    <w:p>
      <w:pPr>
        <w:pStyle w:val="TOC8"/>
        <w:rPr>
          <w:rFonts w:asciiTheme="minorHAnsi" w:eastAsiaTheme="minorEastAsia" w:hAnsiTheme="minorHAnsi" w:cstheme="minorBidi"/>
          <w:szCs w:val="22"/>
        </w:rPr>
      </w:pPr>
      <w:r>
        <w:t>62B.</w:t>
      </w:r>
      <w:r>
        <w:tab/>
        <w:t>Providing driving instruction: blood alcohol content</w:t>
      </w:r>
      <w:r>
        <w:tab/>
      </w:r>
      <w:r>
        <w:fldChar w:fldCharType="begin"/>
      </w:r>
      <w:r>
        <w:instrText xml:space="preserve"> PAGEREF _Toc512325838 \h </w:instrText>
      </w:r>
      <w:r>
        <w:fldChar w:fldCharType="separate"/>
      </w:r>
      <w:r>
        <w:t>31</w:t>
      </w:r>
      <w:r>
        <w:fldChar w:fldCharType="end"/>
      </w:r>
    </w:p>
    <w:p>
      <w:pPr>
        <w:pStyle w:val="TOC8"/>
        <w:rPr>
          <w:rFonts w:asciiTheme="minorHAnsi" w:eastAsiaTheme="minorEastAsia" w:hAnsiTheme="minorHAnsi" w:cstheme="minorBidi"/>
          <w:szCs w:val="22"/>
        </w:rPr>
      </w:pPr>
      <w:r>
        <w:t>62C.</w:t>
      </w:r>
      <w:r>
        <w:tab/>
        <w:t>Providing driving instruction with prescribed illicit drug in oral fluid or blood</w:t>
      </w:r>
      <w:r>
        <w:tab/>
      </w:r>
      <w:r>
        <w:fldChar w:fldCharType="begin"/>
      </w:r>
      <w:r>
        <w:instrText xml:space="preserve"> PAGEREF _Toc512325839 \h </w:instrText>
      </w:r>
      <w:r>
        <w:fldChar w:fldCharType="separate"/>
      </w:r>
      <w:r>
        <w:t>33</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_Toc512325841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_Toc512325842 \h </w:instrText>
      </w:r>
      <w:r>
        <w:fldChar w:fldCharType="separate"/>
      </w:r>
      <w:r>
        <w:t>38</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_Toc512325843 \h </w:instrText>
      </w:r>
      <w:r>
        <w:fldChar w:fldCharType="separate"/>
      </w:r>
      <w:r>
        <w:t>39</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_Toc512325844 \h </w:instrText>
      </w:r>
      <w:r>
        <w:fldChar w:fldCharType="separate"/>
      </w:r>
      <w:r>
        <w:t>41</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_Toc512325845 \h </w:instrText>
      </w:r>
      <w:r>
        <w:fldChar w:fldCharType="separate"/>
      </w:r>
      <w:r>
        <w:t>44</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_Toc512325846 \h </w:instrText>
      </w:r>
      <w:r>
        <w:fldChar w:fldCharType="separate"/>
      </w:r>
      <w:r>
        <w:t>45</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_Toc512325847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 to 73</w:t>
      </w:r>
      <w:r>
        <w:tab/>
      </w:r>
      <w:r>
        <w:fldChar w:fldCharType="begin"/>
      </w:r>
      <w:r>
        <w:instrText xml:space="preserve"> PAGEREF _Toc512325848 \h </w:instrText>
      </w:r>
      <w:r>
        <w:fldChar w:fldCharType="separate"/>
      </w:r>
      <w:r>
        <w:t>49</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_Toc512325849 \h </w:instrText>
      </w:r>
      <w:r>
        <w:fldChar w:fldCharType="separate"/>
      </w:r>
      <w:r>
        <w:t>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_Toc512325850 \h </w:instrText>
      </w:r>
      <w:r>
        <w:fldChar w:fldCharType="separate"/>
      </w:r>
      <w:r>
        <w:t>52</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_Toc512325851 \h </w:instrText>
      </w:r>
      <w:r>
        <w:fldChar w:fldCharType="separate"/>
      </w:r>
      <w:r>
        <w:t>59</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_Toc512325852 \h </w:instrText>
      </w:r>
      <w:r>
        <w:fldChar w:fldCharType="separate"/>
      </w:r>
      <w:r>
        <w:t>61</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_Toc512325853 \h </w:instrText>
      </w:r>
      <w:r>
        <w:fldChar w:fldCharType="separate"/>
      </w:r>
      <w:r>
        <w:t>62</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_Toc512325854 \h </w:instrText>
      </w:r>
      <w:r>
        <w:fldChar w:fldCharType="separate"/>
      </w:r>
      <w:r>
        <w:t>64</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_Toc512325855 \h </w:instrText>
      </w:r>
      <w:r>
        <w:fldChar w:fldCharType="separate"/>
      </w:r>
      <w:r>
        <w:t>65</w:t>
      </w:r>
      <w:r>
        <w:fldChar w:fldCharType="end"/>
      </w:r>
    </w:p>
    <w:p>
      <w:pPr>
        <w:pStyle w:val="TOC8"/>
        <w:rPr>
          <w:rFonts w:asciiTheme="minorHAnsi" w:eastAsiaTheme="minorEastAsia" w:hAnsiTheme="minorHAnsi" w:cstheme="minorBidi"/>
          <w:szCs w:val="22"/>
        </w:rPr>
      </w:pPr>
      <w:r>
        <w:t>66F.</w:t>
      </w:r>
      <w:r>
        <w:tab/>
        <w:t>Prescribed sample takers authorised to take blood samples</w:t>
      </w:r>
      <w:r>
        <w:tab/>
      </w:r>
      <w:r>
        <w:fldChar w:fldCharType="begin"/>
      </w:r>
      <w:r>
        <w:instrText xml:space="preserve"> PAGEREF _Toc512325856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sample, allow sample to be taken or to accompany police officer</w:t>
      </w:r>
      <w:r>
        <w:tab/>
      </w:r>
      <w:r>
        <w:fldChar w:fldCharType="begin"/>
      </w:r>
      <w:r>
        <w:instrText xml:space="preserve"> PAGEREF _Toc512325857 \h </w:instrText>
      </w:r>
      <w:r>
        <w:fldChar w:fldCharType="separate"/>
      </w:r>
      <w:r>
        <w:t>66</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_Toc512325858 \h </w:instrText>
      </w:r>
      <w:r>
        <w:fldChar w:fldCharType="separate"/>
      </w:r>
      <w:r>
        <w:t>69</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_Toc512325859 \h </w:instrText>
      </w:r>
      <w:r>
        <w:fldChar w:fldCharType="separate"/>
      </w:r>
      <w:r>
        <w:t>71</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requirements of police officer</w:t>
      </w:r>
      <w:r>
        <w:tab/>
      </w:r>
      <w:r>
        <w:fldChar w:fldCharType="begin"/>
      </w:r>
      <w:r>
        <w:instrText xml:space="preserve"> PAGEREF _Toc512325860 \h </w:instrText>
      </w:r>
      <w:r>
        <w:fldChar w:fldCharType="separate"/>
      </w:r>
      <w:r>
        <w:t>72</w:t>
      </w:r>
      <w:r>
        <w:fldChar w:fldCharType="end"/>
      </w:r>
    </w:p>
    <w:p>
      <w:pPr>
        <w:pStyle w:val="TOC8"/>
        <w:rPr>
          <w:rFonts w:asciiTheme="minorHAnsi" w:eastAsiaTheme="minorEastAsia" w:hAnsiTheme="minorHAnsi" w:cstheme="minorBidi"/>
          <w:szCs w:val="22"/>
        </w:rPr>
      </w:pPr>
      <w:r>
        <w:t>68A.</w:t>
      </w:r>
      <w:r>
        <w:tab/>
        <w:t>Failure to comply with s. 66, 66C, 66D or 66E requirement: instructors</w:t>
      </w:r>
      <w:r>
        <w:tab/>
      </w:r>
      <w:r>
        <w:fldChar w:fldCharType="begin"/>
      </w:r>
      <w:r>
        <w:instrText xml:space="preserve"> PAGEREF _Toc512325861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_Toc512325862 \h </w:instrText>
      </w:r>
      <w:r>
        <w:fldChar w:fldCharType="separate"/>
      </w:r>
      <w:r>
        <w:t>75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_Toc512325863 \h </w:instrText>
      </w:r>
      <w:r>
        <w:fldChar w:fldCharType="separate"/>
      </w:r>
      <w:r>
        <w:t>77</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_Toc512325864 \h </w:instrText>
      </w:r>
      <w:r>
        <w:fldChar w:fldCharType="separate"/>
      </w:r>
      <w:r>
        <w:t>78</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_Toc512325865 \h </w:instrText>
      </w:r>
      <w:r>
        <w:fldChar w:fldCharType="separate"/>
      </w:r>
      <w:r>
        <w:t>78</w:t>
      </w:r>
      <w:r>
        <w:fldChar w:fldCharType="end"/>
      </w:r>
    </w:p>
    <w:p>
      <w:pPr>
        <w:pStyle w:val="TOC8"/>
        <w:rPr>
          <w:rFonts w:asciiTheme="minorHAnsi" w:eastAsiaTheme="minorEastAsia" w:hAnsiTheme="minorHAnsi" w:cstheme="minorBidi"/>
          <w:szCs w:val="22"/>
        </w:rPr>
      </w:pPr>
      <w:r>
        <w:t>70A.</w:t>
      </w:r>
      <w:r>
        <w:tab/>
        <w:t>Blood, urine or oral fluid sample: delivery of person’s sample to Chemistry Centre (WA)</w:t>
      </w:r>
      <w:r>
        <w:tab/>
      </w:r>
      <w:r>
        <w:fldChar w:fldCharType="begin"/>
      </w:r>
      <w:r>
        <w:instrText xml:space="preserve"> PAGEREF _Toc512325866 \h </w:instrText>
      </w:r>
      <w:r>
        <w:fldChar w:fldCharType="separate"/>
      </w:r>
      <w:r>
        <w:t>79</w:t>
      </w:r>
      <w:r>
        <w:fldChar w:fldCharType="end"/>
      </w:r>
    </w:p>
    <w:p>
      <w:pPr>
        <w:pStyle w:val="TOC8"/>
        <w:rPr>
          <w:rFonts w:asciiTheme="minorHAnsi" w:eastAsiaTheme="minorEastAsia" w:hAnsiTheme="minorHAnsi" w:cstheme="minorBidi"/>
          <w:szCs w:val="22"/>
        </w:rPr>
      </w:pPr>
      <w:r>
        <w:t>70B.</w:t>
      </w:r>
      <w:r>
        <w:tab/>
        <w:t>Evidence of delivery of blood, urine or oral fluid samples</w:t>
      </w:r>
      <w:r>
        <w:tab/>
      </w:r>
      <w:r>
        <w:fldChar w:fldCharType="begin"/>
      </w:r>
      <w:r>
        <w:instrText xml:space="preserve"> PAGEREF _Toc512325867 \h </w:instrText>
      </w:r>
      <w:r>
        <w:fldChar w:fldCharType="separate"/>
      </w:r>
      <w:r>
        <w:t>79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_Toc512325868 \h </w:instrText>
      </w:r>
      <w:r>
        <w:fldChar w:fldCharType="separate"/>
      </w:r>
      <w:r>
        <w:t>80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_Toc512325869 \h </w:instrText>
      </w:r>
      <w:r>
        <w:fldChar w:fldCharType="separate"/>
      </w:r>
      <w:r>
        <w:t>90</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_Toc512325870 \h </w:instrText>
      </w:r>
      <w:r>
        <w:fldChar w:fldCharType="separate"/>
      </w:r>
      <w:r>
        <w:t>91</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_Toc512325871 \h </w:instrText>
      </w:r>
      <w:r>
        <w:fldChar w:fldCharType="separate"/>
      </w:r>
      <w:r>
        <w:t>92</w:t>
      </w:r>
      <w:r>
        <w:fldChar w:fldCharType="end"/>
      </w:r>
    </w:p>
    <w:p>
      <w:pPr>
        <w:pStyle w:val="TOC8"/>
        <w:rPr>
          <w:rFonts w:asciiTheme="minorHAnsi" w:eastAsiaTheme="minorEastAsia" w:hAnsiTheme="minorHAnsi" w:cstheme="minorBidi"/>
          <w:szCs w:val="22"/>
        </w:rPr>
      </w:pPr>
      <w:r>
        <w:t>71C.</w:t>
      </w:r>
      <w:r>
        <w:tab/>
        <w:t>Disqualification by police officer</w:t>
      </w:r>
      <w:r>
        <w:tab/>
      </w:r>
      <w:r>
        <w:fldChar w:fldCharType="begin"/>
      </w:r>
      <w:r>
        <w:instrText xml:space="preserve"> PAGEREF _Toc512325872 \h </w:instrText>
      </w:r>
      <w:r>
        <w:fldChar w:fldCharType="separate"/>
      </w:r>
      <w:r>
        <w:t>94</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_Toc512325873 \h </w:instrText>
      </w:r>
      <w:r>
        <w:fldChar w:fldCharType="separate"/>
      </w:r>
      <w:r>
        <w:t>95</w:t>
      </w:r>
      <w:r>
        <w:fldChar w:fldCharType="end"/>
      </w:r>
    </w:p>
    <w:p>
      <w:pPr>
        <w:pStyle w:val="TOC8"/>
        <w:rPr>
          <w:rFonts w:asciiTheme="minorHAnsi" w:eastAsiaTheme="minorEastAsia" w:hAnsiTheme="minorHAnsi" w:cstheme="minorBidi"/>
          <w:szCs w:val="22"/>
        </w:rPr>
      </w:pPr>
      <w:r>
        <w:t>71E.</w:t>
      </w:r>
      <w:r>
        <w:tab/>
        <w:t>Revocation of disqualification notice by police officer</w:t>
      </w:r>
      <w:r>
        <w:tab/>
      </w:r>
      <w:r>
        <w:fldChar w:fldCharType="begin"/>
      </w:r>
      <w:r>
        <w:instrText xml:space="preserve"> PAGEREF _Toc512325874 \h </w:instrText>
      </w:r>
      <w:r>
        <w:fldChar w:fldCharType="separate"/>
      </w:r>
      <w:r>
        <w:t>96</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_Toc512325875 \h </w:instrText>
      </w:r>
      <w:r>
        <w:fldChar w:fldCharType="separate"/>
      </w:r>
      <w:r>
        <w:t>96</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_Toc512325876 \h </w:instrText>
      </w:r>
      <w:r>
        <w:fldChar w:fldCharType="separate"/>
      </w:r>
      <w:r>
        <w:t>97</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_Toc512325877 \h </w:instrText>
      </w:r>
      <w:r>
        <w:fldChar w:fldCharType="separate"/>
      </w:r>
      <w:r>
        <w:t>98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Taking and testing samples: regulations for s. 59 to 73, and approval of apparatus and persons</w:t>
      </w:r>
      <w:r>
        <w:tab/>
      </w:r>
      <w:r>
        <w:fldChar w:fldCharType="begin"/>
      </w:r>
      <w:r>
        <w:instrText xml:space="preserve"> PAGEREF _Toc512325878 \h </w:instrText>
      </w:r>
      <w:r>
        <w:fldChar w:fldCharType="separate"/>
      </w:r>
      <w:r>
        <w:t>98</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_Toc512325879 \h </w:instrText>
      </w:r>
      <w:r>
        <w:fldChar w:fldCharType="separate"/>
      </w:r>
      <w:r>
        <w:t>101</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_Toc512325881 \h </w:instrText>
      </w:r>
      <w:r>
        <w:fldChar w:fldCharType="separate"/>
      </w:r>
      <w:r>
        <w:t>103</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_Toc512325884 \h </w:instrText>
      </w:r>
      <w:r>
        <w:fldChar w:fldCharType="separate"/>
      </w:r>
      <w:r>
        <w:t>103</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_Toc512325885 \h </w:instrText>
      </w:r>
      <w:r>
        <w:fldChar w:fldCharType="separate"/>
      </w:r>
      <w:r>
        <w:t>107</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_Toc512325886 \h </w:instrText>
      </w:r>
      <w:r>
        <w:fldChar w:fldCharType="separate"/>
      </w:r>
      <w:r>
        <w:t>108</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_Toc512325887 \h </w:instrText>
      </w:r>
      <w:r>
        <w:fldChar w:fldCharType="separate"/>
      </w:r>
      <w:r>
        <w:t>109</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_Toc512325888 \h </w:instrText>
      </w:r>
      <w:r>
        <w:fldChar w:fldCharType="separate"/>
      </w:r>
      <w:r>
        <w:t>110</w:t>
      </w:r>
      <w:r>
        <w:fldChar w:fldCharType="end"/>
      </w:r>
    </w:p>
    <w:p>
      <w:pPr>
        <w:pStyle w:val="TOC8"/>
        <w:rPr>
          <w:rFonts w:asciiTheme="minorHAnsi" w:eastAsiaTheme="minorEastAsia" w:hAnsiTheme="minorHAnsi" w:cstheme="minorBidi"/>
          <w:szCs w:val="22"/>
        </w:rPr>
      </w:pPr>
      <w:r>
        <w:t>78F.</w:t>
      </w:r>
      <w:r>
        <w:tab/>
        <w:t>Right of Commissioner of Police to be heard in proceedings under this Division</w:t>
      </w:r>
      <w:r>
        <w:tab/>
      </w:r>
      <w:r>
        <w:fldChar w:fldCharType="begin"/>
      </w:r>
      <w:r>
        <w:instrText xml:space="preserve"> PAGEREF _Toc512325889 \h </w:instrText>
      </w:r>
      <w:r>
        <w:fldChar w:fldCharType="separate"/>
      </w:r>
      <w:r>
        <w:t>110</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 for certain offences</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_Toc512325891 \h </w:instrText>
      </w:r>
      <w:r>
        <w:fldChar w:fldCharType="separate"/>
      </w:r>
      <w:r>
        <w:t>111</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_Toc512325892 \h </w:instrText>
      </w:r>
      <w:r>
        <w:fldChar w:fldCharType="separate"/>
      </w:r>
      <w:r>
        <w:t>112</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_Toc512325893 \h </w:instrText>
      </w:r>
      <w:r>
        <w:fldChar w:fldCharType="separate"/>
      </w:r>
      <w:r>
        <w:t>113</w:t>
      </w:r>
      <w:r>
        <w:fldChar w:fldCharType="end"/>
      </w:r>
    </w:p>
    <w:p>
      <w:pPr>
        <w:pStyle w:val="TOC8"/>
        <w:rPr>
          <w:rFonts w:asciiTheme="minorHAnsi" w:eastAsiaTheme="minorEastAsia" w:hAnsiTheme="minorHAnsi" w:cstheme="minorBidi"/>
          <w:szCs w:val="22"/>
        </w:rPr>
      </w:pPr>
      <w:r>
        <w:t>79BB.</w:t>
      </w:r>
      <w:r>
        <w:tab/>
        <w:t>Consequences of surrender notice</w:t>
      </w:r>
      <w:r>
        <w:tab/>
      </w:r>
      <w:r>
        <w:fldChar w:fldCharType="begin"/>
      </w:r>
      <w:r>
        <w:instrText xml:space="preserve"> PAGEREF _Toc512325894 \h </w:instrText>
      </w:r>
      <w:r>
        <w:fldChar w:fldCharType="separate"/>
      </w:r>
      <w:r>
        <w:t>115</w:t>
      </w:r>
      <w:r>
        <w:fldChar w:fldCharType="end"/>
      </w:r>
    </w:p>
    <w:p>
      <w:pPr>
        <w:pStyle w:val="TOC8"/>
        <w:rPr>
          <w:rFonts w:asciiTheme="minorHAnsi" w:eastAsiaTheme="minorEastAsia" w:hAnsiTheme="minorHAnsi" w:cstheme="minorBidi"/>
          <w:szCs w:val="22"/>
        </w:rPr>
      </w:pPr>
      <w:r>
        <w:t>79BCA.</w:t>
      </w:r>
      <w:r>
        <w:tab/>
        <w:t>Surrender substitute vehicle notice</w:t>
      </w:r>
      <w:r>
        <w:tab/>
      </w:r>
      <w:r>
        <w:fldChar w:fldCharType="begin"/>
      </w:r>
      <w:r>
        <w:instrText xml:space="preserve"> PAGEREF _Toc512325895 \h </w:instrText>
      </w:r>
      <w:r>
        <w:fldChar w:fldCharType="separate"/>
      </w:r>
      <w:r>
        <w:t>116</w:t>
      </w:r>
      <w:r>
        <w:fldChar w:fldCharType="end"/>
      </w:r>
    </w:p>
    <w:p>
      <w:pPr>
        <w:pStyle w:val="TOC8"/>
        <w:rPr>
          <w:rFonts w:asciiTheme="minorHAnsi" w:eastAsiaTheme="minorEastAsia" w:hAnsiTheme="minorHAnsi" w:cstheme="minorBidi"/>
          <w:szCs w:val="22"/>
        </w:rPr>
      </w:pPr>
      <w:r>
        <w:t>79BCB.</w:t>
      </w:r>
      <w:r>
        <w:tab/>
        <w:t>Consequences of surrender substitute vehicle notice</w:t>
      </w:r>
      <w:r>
        <w:tab/>
      </w:r>
      <w:r>
        <w:fldChar w:fldCharType="begin"/>
      </w:r>
      <w:r>
        <w:instrText xml:space="preserve"> PAGEREF _Toc512325896 \h </w:instrText>
      </w:r>
      <w:r>
        <w:fldChar w:fldCharType="separate"/>
      </w:r>
      <w:r>
        <w:t>118</w:t>
      </w:r>
      <w:r>
        <w:fldChar w:fldCharType="end"/>
      </w:r>
    </w:p>
    <w:p>
      <w:pPr>
        <w:pStyle w:val="TOC8"/>
        <w:rPr>
          <w:rFonts w:asciiTheme="minorHAnsi" w:eastAsiaTheme="minorEastAsia" w:hAnsiTheme="minorHAnsi" w:cstheme="minorBidi"/>
          <w:szCs w:val="22"/>
        </w:rPr>
      </w:pPr>
      <w:r>
        <w:t>79BCC.</w:t>
      </w:r>
      <w:r>
        <w:tab/>
        <w:t>Cancelling notice under s. 79BA, 79BCA or 79BCD</w:t>
      </w:r>
      <w:r>
        <w:tab/>
      </w:r>
      <w:r>
        <w:fldChar w:fldCharType="begin"/>
      </w:r>
      <w:r>
        <w:instrText xml:space="preserve"> PAGEREF _Toc512325897 \h </w:instrText>
      </w:r>
      <w:r>
        <w:fldChar w:fldCharType="separate"/>
      </w:r>
      <w:r>
        <w:t>120</w:t>
      </w:r>
      <w:r>
        <w:fldChar w:fldCharType="end"/>
      </w:r>
    </w:p>
    <w:p>
      <w:pPr>
        <w:pStyle w:val="TOC8"/>
        <w:rPr>
          <w:rFonts w:asciiTheme="minorHAnsi" w:eastAsiaTheme="minorEastAsia" w:hAnsiTheme="minorHAnsi" w:cstheme="minorBidi"/>
          <w:szCs w:val="22"/>
        </w:rPr>
      </w:pPr>
      <w:r>
        <w:t>79BCD.</w:t>
      </w:r>
      <w:r>
        <w:tab/>
        <w:t>Surrender alternative vehicle notice</w:t>
      </w:r>
      <w:r>
        <w:tab/>
      </w:r>
      <w:r>
        <w:fldChar w:fldCharType="begin"/>
      </w:r>
      <w:r>
        <w:instrText xml:space="preserve"> PAGEREF _Toc512325898 \h </w:instrText>
      </w:r>
      <w:r>
        <w:fldChar w:fldCharType="separate"/>
      </w:r>
      <w:r>
        <w:t>121</w:t>
      </w:r>
      <w:r>
        <w:fldChar w:fldCharType="end"/>
      </w:r>
    </w:p>
    <w:p>
      <w:pPr>
        <w:pStyle w:val="TOC8"/>
        <w:rPr>
          <w:rFonts w:asciiTheme="minorHAnsi" w:eastAsiaTheme="minorEastAsia" w:hAnsiTheme="minorHAnsi" w:cstheme="minorBidi"/>
          <w:szCs w:val="22"/>
        </w:rPr>
      </w:pPr>
      <w:r>
        <w:t>79BCE.</w:t>
      </w:r>
      <w:r>
        <w:tab/>
        <w:t>Consequences of surrender alternative vehicle notice</w:t>
      </w:r>
      <w:r>
        <w:tab/>
      </w:r>
      <w:r>
        <w:fldChar w:fldCharType="begin"/>
      </w:r>
      <w:r>
        <w:instrText xml:space="preserve"> PAGEREF _Toc512325899 \h </w:instrText>
      </w:r>
      <w:r>
        <w:fldChar w:fldCharType="separate"/>
      </w:r>
      <w:r>
        <w:t>123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_Toc512325900 \h </w:instrText>
      </w:r>
      <w:r>
        <w:fldChar w:fldCharType="separate"/>
      </w:r>
      <w:r>
        <w:t>124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_Toc512325901 \h </w:instrText>
      </w:r>
      <w:r>
        <w:fldChar w:fldCharType="separate"/>
      </w:r>
      <w:r>
        <w:t>125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_Toc512325902 \h </w:instrText>
      </w:r>
      <w:r>
        <w:fldChar w:fldCharType="separate"/>
      </w:r>
      <w:r>
        <w:t>126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_Toc512325903 \h </w:instrText>
      </w:r>
      <w:r>
        <w:fldChar w:fldCharType="separate"/>
      </w:r>
      <w:r>
        <w:t>130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_Toc512325904 \h </w:instrText>
      </w:r>
      <w:r>
        <w:fldChar w:fldCharType="separate"/>
      </w:r>
      <w:r>
        <w:t>132</w:t>
      </w:r>
      <w:r>
        <w:fldChar w:fldCharType="end"/>
      </w:r>
    </w:p>
    <w:p>
      <w:pPr>
        <w:pStyle w:val="TOC8"/>
        <w:rPr>
          <w:rFonts w:asciiTheme="minorHAnsi" w:eastAsiaTheme="minorEastAsia" w:hAnsiTheme="minorHAnsi" w:cstheme="minorBidi"/>
          <w:szCs w:val="22"/>
        </w:rPr>
      </w:pPr>
      <w:r>
        <w:t>79E.</w:t>
      </w:r>
      <w:r>
        <w:tab/>
        <w:t>Liability for police expenses for impounding</w:t>
      </w:r>
      <w:r>
        <w:tab/>
      </w:r>
      <w:r>
        <w:fldChar w:fldCharType="begin"/>
      </w:r>
      <w:r>
        <w:instrText xml:space="preserve"> PAGEREF _Toc512325905 \h </w:instrText>
      </w:r>
      <w:r>
        <w:fldChar w:fldCharType="separate"/>
      </w:r>
      <w:r>
        <w:t>138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tab/>
        <w:t>Confiscation of vehicles used in certain impounding offences (driving)</w:t>
      </w:r>
      <w:r>
        <w:tab/>
      </w:r>
      <w:r>
        <w:fldChar w:fldCharType="begin"/>
      </w:r>
      <w:r>
        <w:instrText xml:space="preserve"> PAGEREF _Toc512325907 \h </w:instrText>
      </w:r>
      <w:r>
        <w:fldChar w:fldCharType="separate"/>
      </w:r>
      <w:r>
        <w:t>138</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_Toc512325908 \h </w:instrText>
      </w:r>
      <w:r>
        <w:fldChar w:fldCharType="separate"/>
      </w:r>
      <w:r>
        <w:t>139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_Toc512325909 \h </w:instrText>
      </w:r>
      <w:r>
        <w:fldChar w:fldCharType="separate"/>
      </w:r>
      <w:r>
        <w:t>140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_Toc512325910 \h </w:instrText>
      </w:r>
      <w:r>
        <w:fldChar w:fldCharType="separate"/>
      </w:r>
      <w:r>
        <w:t>140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_Toc512325911 \h </w:instrText>
      </w:r>
      <w:r>
        <w:fldChar w:fldCharType="separate"/>
      </w:r>
      <w:r>
        <w:t>141</w:t>
      </w:r>
      <w:r>
        <w:fldChar w:fldCharType="end"/>
      </w:r>
    </w:p>
    <w:p>
      <w:pPr>
        <w:pStyle w:val="TOC8"/>
        <w:rPr>
          <w:rFonts w:asciiTheme="minorHAnsi" w:eastAsiaTheme="minorEastAsia" w:hAnsiTheme="minorHAnsi" w:cstheme="minorBidi"/>
          <w:szCs w:val="22"/>
        </w:rPr>
      </w:pPr>
      <w:r>
        <w:t>80D.</w:t>
      </w:r>
      <w:r>
        <w:tab/>
        <w:t>Effect of confiscation under s. 80A, 80C or 80CB</w:t>
      </w:r>
      <w:r>
        <w:tab/>
      </w:r>
      <w:r>
        <w:fldChar w:fldCharType="begin"/>
      </w:r>
      <w:r>
        <w:instrText xml:space="preserve"> PAGEREF _Toc512325912 \h </w:instrText>
      </w:r>
      <w:r>
        <w:fldChar w:fldCharType="separate"/>
      </w:r>
      <w:r>
        <w:t>141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_Toc512325913 \h </w:instrText>
      </w:r>
      <w:r>
        <w:fldChar w:fldCharType="separate"/>
      </w:r>
      <w:r>
        <w:t>141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_Toc512325914 \h </w:instrText>
      </w:r>
      <w:r>
        <w:fldChar w:fldCharType="separate"/>
      </w:r>
      <w:r>
        <w:t>142</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_Toc512325915 \h </w:instrText>
      </w:r>
      <w:r>
        <w:fldChar w:fldCharType="separate"/>
      </w:r>
      <w:r>
        <w:t>142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_Toc512325916 \h </w:instrText>
      </w:r>
      <w:r>
        <w:fldChar w:fldCharType="separate"/>
      </w:r>
      <w:r>
        <w:t>143</w:t>
      </w:r>
      <w:r>
        <w:fldChar w:fldCharType="end"/>
      </w:r>
    </w:p>
    <w:p>
      <w:pPr>
        <w:pStyle w:val="TOC8"/>
        <w:rPr>
          <w:rFonts w:asciiTheme="minorHAnsi" w:eastAsiaTheme="minorEastAsia" w:hAnsiTheme="minorHAnsi" w:cstheme="minorBidi"/>
          <w:szCs w:val="22"/>
        </w:rPr>
      </w:pPr>
      <w:r>
        <w:t>80G.</w:t>
      </w:r>
      <w:r>
        <w:tab/>
        <w:t>Procedure and grounds for making orders under s. 80A to 80CB</w:t>
      </w:r>
      <w:r>
        <w:tab/>
      </w:r>
      <w:r>
        <w:fldChar w:fldCharType="begin"/>
      </w:r>
      <w:r>
        <w:instrText xml:space="preserve"> PAGEREF _Toc512325917 \h </w:instrText>
      </w:r>
      <w:r>
        <w:fldChar w:fldCharType="separate"/>
      </w:r>
      <w:r>
        <w:t>144</w:t>
      </w:r>
      <w:r>
        <w:fldChar w:fldCharType="end"/>
      </w:r>
    </w:p>
    <w:p>
      <w:pPr>
        <w:pStyle w:val="TOC8"/>
        <w:rPr>
          <w:rFonts w:asciiTheme="minorHAnsi" w:eastAsiaTheme="minorEastAsia" w:hAnsiTheme="minorHAnsi" w:cstheme="minorBidi"/>
          <w:szCs w:val="22"/>
        </w:rPr>
      </w:pPr>
      <w:r>
        <w:t>80H.</w:t>
      </w:r>
      <w:r>
        <w:tab/>
        <w:t>Liability for police expenses for court</w:t>
      </w:r>
      <w:r>
        <w:noBreakHyphen/>
        <w:t>ordered impounding</w:t>
      </w:r>
      <w:r>
        <w:tab/>
      </w:r>
      <w:r>
        <w:fldChar w:fldCharType="begin"/>
      </w:r>
      <w:r>
        <w:instrText xml:space="preserve"> PAGEREF _Toc512325918 \h </w:instrText>
      </w:r>
      <w:r>
        <w:fldChar w:fldCharType="separate"/>
      </w:r>
      <w:r>
        <w:t>146</w:t>
      </w:r>
      <w:r>
        <w:fldChar w:fldCharType="end"/>
      </w:r>
    </w:p>
    <w:p>
      <w:pPr>
        <w:pStyle w:val="TOC6"/>
        <w:tabs>
          <w:tab w:val="right" w:leader="dot" w:pos="7087"/>
        </w:tabs>
        <w:rPr>
          <w:rFonts w:asciiTheme="minorHAnsi" w:eastAsiaTheme="minorEastAsia" w:hAnsiTheme="minorHAnsi" w:cstheme="minorBidi"/>
          <w:b w:val="0"/>
          <w:sz w:val="22"/>
          <w:szCs w:val="22"/>
        </w:rPr>
      </w:pPr>
      <w:r>
        <w:t>Subdivision 4 — Vehicles impounded or confiscated under Subdivision 2 or 3</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_Toc512325920 \h </w:instrText>
      </w:r>
      <w:r>
        <w:fldChar w:fldCharType="separate"/>
      </w:r>
      <w:r>
        <w:t>147</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_Toc512325921 \h </w:instrText>
      </w:r>
      <w:r>
        <w:fldChar w:fldCharType="separate"/>
      </w:r>
      <w:r>
        <w:t>147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ends</w:t>
      </w:r>
      <w:r>
        <w:tab/>
      </w:r>
      <w:r>
        <w:fldChar w:fldCharType="begin"/>
      </w:r>
      <w:r>
        <w:instrText xml:space="preserve"> PAGEREF _Toc512325922 \h </w:instrText>
      </w:r>
      <w:r>
        <w:fldChar w:fldCharType="separate"/>
      </w:r>
      <w:r>
        <w:t>148</w:t>
      </w:r>
      <w:r>
        <w:fldChar w:fldCharType="end"/>
      </w:r>
    </w:p>
    <w:p>
      <w:pPr>
        <w:pStyle w:val="TOC8"/>
        <w:rPr>
          <w:rFonts w:asciiTheme="minorHAnsi" w:eastAsiaTheme="minorEastAsia" w:hAnsiTheme="minorHAnsi" w:cstheme="minorBidi"/>
          <w:szCs w:val="22"/>
        </w:rPr>
      </w:pPr>
      <w:r>
        <w:t>80JA.</w:t>
      </w:r>
      <w:r>
        <w:tab/>
        <w:t>Disposal, with consent, of vehicles impounded under s. 79 or 79A</w:t>
      </w:r>
      <w:r>
        <w:tab/>
      </w:r>
      <w:r>
        <w:fldChar w:fldCharType="begin"/>
      </w:r>
      <w:r>
        <w:instrText xml:space="preserve"> PAGEREF _Toc512325923 \h </w:instrText>
      </w:r>
      <w:r>
        <w:fldChar w:fldCharType="separate"/>
      </w:r>
      <w:r>
        <w:t>149</w:t>
      </w:r>
      <w:r>
        <w:fldChar w:fldCharType="end"/>
      </w:r>
    </w:p>
    <w:p>
      <w:pPr>
        <w:pStyle w:val="TOC8"/>
        <w:rPr>
          <w:rFonts w:asciiTheme="minorHAnsi" w:eastAsiaTheme="minorEastAsia" w:hAnsiTheme="minorHAnsi" w:cstheme="minorBidi"/>
          <w:szCs w:val="22"/>
        </w:rPr>
      </w:pPr>
      <w:r>
        <w:t>80J.</w:t>
      </w:r>
      <w:r>
        <w:tab/>
        <w:t>Sale of confiscated and uncollected vehicles and items</w:t>
      </w:r>
      <w:r>
        <w:tab/>
      </w:r>
      <w:r>
        <w:fldChar w:fldCharType="begin"/>
      </w:r>
      <w:r>
        <w:instrText xml:space="preserve"> PAGEREF _Toc512325924 \h </w:instrText>
      </w:r>
      <w:r>
        <w:fldChar w:fldCharType="separate"/>
      </w:r>
      <w:r>
        <w:t>152</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_Toc512325925 \h </w:instrText>
      </w:r>
      <w:r>
        <w:fldChar w:fldCharType="separate"/>
      </w:r>
      <w:r>
        <w:t>155</w:t>
      </w:r>
      <w:r>
        <w:fldChar w:fldCharType="end"/>
      </w:r>
    </w:p>
    <w:p>
      <w:pPr>
        <w:pStyle w:val="TOC8"/>
        <w:rPr>
          <w:rFonts w:asciiTheme="minorHAnsi" w:eastAsiaTheme="minorEastAsia" w:hAnsiTheme="minorHAnsi" w:cstheme="minorBidi"/>
          <w:szCs w:val="22"/>
        </w:rPr>
      </w:pPr>
      <w:r>
        <w:t>80LA.</w:t>
      </w:r>
      <w:r>
        <w:tab/>
        <w:t>Liability for police expenses for uncollected vehicle more than sale proceeds</w:t>
      </w:r>
      <w:r>
        <w:tab/>
      </w:r>
      <w:r>
        <w:fldChar w:fldCharType="begin"/>
      </w:r>
      <w:r>
        <w:instrText xml:space="preserve"> PAGEREF _Toc512325926 \h </w:instrText>
      </w:r>
      <w:r>
        <w:fldChar w:fldCharType="separate"/>
      </w:r>
      <w:r>
        <w:t>155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_Toc512325927 \h </w:instrText>
      </w:r>
      <w:r>
        <w:fldChar w:fldCharType="separate"/>
      </w:r>
      <w:r>
        <w:t>156</w:t>
      </w:r>
      <w:r>
        <w:fldChar w:fldCharType="end"/>
      </w:r>
    </w:p>
    <w:p>
      <w:pPr>
        <w:pStyle w:val="TOC8"/>
        <w:rPr>
          <w:rFonts w:asciiTheme="minorHAnsi" w:eastAsiaTheme="minorEastAsia" w:hAnsiTheme="minorHAnsi" w:cstheme="minorBidi"/>
          <w:szCs w:val="22"/>
        </w:rPr>
      </w:pPr>
      <w:r>
        <w:t>80M.</w:t>
      </w:r>
      <w:r>
        <w:tab/>
        <w:t>Compensation for certain vehicles or items disposed of under s. 80J</w:t>
      </w:r>
      <w:r>
        <w:tab/>
      </w:r>
      <w:r>
        <w:fldChar w:fldCharType="begin"/>
      </w:r>
      <w:r>
        <w:instrText xml:space="preserve"> PAGEREF _Toc512325928 \h </w:instrText>
      </w:r>
      <w:r>
        <w:fldChar w:fldCharType="separate"/>
      </w:r>
      <w:r>
        <w:t>156</w:t>
      </w:r>
      <w:r>
        <w:fldChar w:fldCharType="end"/>
      </w:r>
    </w:p>
    <w:p>
      <w:pPr>
        <w:pStyle w:val="TOC6"/>
        <w:tabs>
          <w:tab w:val="right" w:leader="dot" w:pos="7087"/>
        </w:tabs>
        <w:rPr>
          <w:rFonts w:asciiTheme="minorHAnsi" w:eastAsiaTheme="minorEastAsia" w:hAnsiTheme="minorHAnsi" w:cstheme="minorBidi"/>
          <w:b w:val="0"/>
          <w:sz w:val="22"/>
          <w:szCs w:val="22"/>
        </w:rPr>
      </w:pPr>
      <w:r>
        <w:t>Subdivision 5 — Impounding and confiscation of unlicensed motor cycles used on roads</w:t>
      </w:r>
    </w:p>
    <w:p>
      <w:pPr>
        <w:pStyle w:val="TOC8"/>
        <w:rPr>
          <w:rFonts w:asciiTheme="minorHAnsi" w:eastAsiaTheme="minorEastAsia" w:hAnsiTheme="minorHAnsi" w:cstheme="minorBidi"/>
          <w:szCs w:val="22"/>
        </w:rPr>
      </w:pPr>
      <w:r>
        <w:t>80N.</w:t>
      </w:r>
      <w:r>
        <w:tab/>
        <w:t>Terms used</w:t>
      </w:r>
      <w:r>
        <w:tab/>
      </w:r>
      <w:r>
        <w:fldChar w:fldCharType="begin"/>
      </w:r>
      <w:r>
        <w:instrText xml:space="preserve"> PAGEREF _Toc512325930 \h </w:instrText>
      </w:r>
      <w:r>
        <w:fldChar w:fldCharType="separate"/>
      </w:r>
      <w:r>
        <w:t>158</w:t>
      </w:r>
      <w:r>
        <w:fldChar w:fldCharType="end"/>
      </w:r>
    </w:p>
    <w:p>
      <w:pPr>
        <w:pStyle w:val="TOC8"/>
        <w:rPr>
          <w:rFonts w:asciiTheme="minorHAnsi" w:eastAsiaTheme="minorEastAsia" w:hAnsiTheme="minorHAnsi" w:cstheme="minorBidi"/>
          <w:szCs w:val="22"/>
        </w:rPr>
      </w:pPr>
      <w:r>
        <w:t>80O.</w:t>
      </w:r>
      <w:r>
        <w:tab/>
        <w:t>Police power to impound unlicensed motor cycle used on road</w:t>
      </w:r>
      <w:r>
        <w:tab/>
      </w:r>
      <w:r>
        <w:fldChar w:fldCharType="begin"/>
      </w:r>
      <w:r>
        <w:instrText xml:space="preserve"> PAGEREF _Toc512325931 \h </w:instrText>
      </w:r>
      <w:r>
        <w:fldChar w:fldCharType="separate"/>
      </w:r>
      <w:r>
        <w:t>159</w:t>
      </w:r>
      <w:r>
        <w:fldChar w:fldCharType="end"/>
      </w:r>
    </w:p>
    <w:p>
      <w:pPr>
        <w:pStyle w:val="TOC8"/>
        <w:rPr>
          <w:rFonts w:asciiTheme="minorHAnsi" w:eastAsiaTheme="minorEastAsia" w:hAnsiTheme="minorHAnsi" w:cstheme="minorBidi"/>
          <w:szCs w:val="22"/>
        </w:rPr>
      </w:pPr>
      <w:r>
        <w:t>80P.</w:t>
      </w:r>
      <w:r>
        <w:tab/>
        <w:t>Surrender notice</w:t>
      </w:r>
      <w:r>
        <w:tab/>
      </w:r>
      <w:r>
        <w:fldChar w:fldCharType="begin"/>
      </w:r>
      <w:r>
        <w:instrText xml:space="preserve"> PAGEREF _Toc512325932 \h </w:instrText>
      </w:r>
      <w:r>
        <w:fldChar w:fldCharType="separate"/>
      </w:r>
      <w:r>
        <w:t>160</w:t>
      </w:r>
      <w:r>
        <w:fldChar w:fldCharType="end"/>
      </w:r>
    </w:p>
    <w:p>
      <w:pPr>
        <w:pStyle w:val="TOC8"/>
        <w:rPr>
          <w:rFonts w:asciiTheme="minorHAnsi" w:eastAsiaTheme="minorEastAsia" w:hAnsiTheme="minorHAnsi" w:cstheme="minorBidi"/>
          <w:szCs w:val="22"/>
        </w:rPr>
      </w:pPr>
      <w:r>
        <w:t>80Q.</w:t>
      </w:r>
      <w:r>
        <w:tab/>
        <w:t>Consequences of surrender notice</w:t>
      </w:r>
      <w:r>
        <w:tab/>
      </w:r>
      <w:r>
        <w:fldChar w:fldCharType="begin"/>
      </w:r>
      <w:r>
        <w:instrText xml:space="preserve"> PAGEREF _Toc512325933 \h </w:instrText>
      </w:r>
      <w:r>
        <w:fldChar w:fldCharType="separate"/>
      </w:r>
      <w:r>
        <w:t>162</w:t>
      </w:r>
      <w:r>
        <w:fldChar w:fldCharType="end"/>
      </w:r>
    </w:p>
    <w:p>
      <w:pPr>
        <w:pStyle w:val="TOC8"/>
        <w:rPr>
          <w:rFonts w:asciiTheme="minorHAnsi" w:eastAsiaTheme="minorEastAsia" w:hAnsiTheme="minorHAnsi" w:cstheme="minorBidi"/>
          <w:szCs w:val="22"/>
        </w:rPr>
      </w:pPr>
      <w:r>
        <w:t>80R.</w:t>
      </w:r>
      <w:r>
        <w:tab/>
        <w:t>Senior police officer to be informed if vehicle impounded</w:t>
      </w:r>
      <w:r>
        <w:tab/>
      </w:r>
      <w:r>
        <w:fldChar w:fldCharType="begin"/>
      </w:r>
      <w:r>
        <w:instrText xml:space="preserve"> PAGEREF _Toc512325934 \h </w:instrText>
      </w:r>
      <w:r>
        <w:fldChar w:fldCharType="separate"/>
      </w:r>
      <w:r>
        <w:t>162</w:t>
      </w:r>
      <w:r>
        <w:fldChar w:fldCharType="end"/>
      </w:r>
    </w:p>
    <w:p>
      <w:pPr>
        <w:pStyle w:val="TOC8"/>
        <w:rPr>
          <w:rFonts w:asciiTheme="minorHAnsi" w:eastAsiaTheme="minorEastAsia" w:hAnsiTheme="minorHAnsi" w:cstheme="minorBidi"/>
          <w:szCs w:val="22"/>
        </w:rPr>
      </w:pPr>
      <w:r>
        <w:t>80S.</w:t>
      </w:r>
      <w:r>
        <w:tab/>
        <w:t>Claims of right to possession</w:t>
      </w:r>
      <w:r>
        <w:tab/>
      </w:r>
      <w:r>
        <w:fldChar w:fldCharType="begin"/>
      </w:r>
      <w:r>
        <w:instrText xml:space="preserve"> PAGEREF _Toc512325935 \h </w:instrText>
      </w:r>
      <w:r>
        <w:fldChar w:fldCharType="separate"/>
      </w:r>
      <w:r>
        <w:t>163</w:t>
      </w:r>
      <w:r>
        <w:fldChar w:fldCharType="end"/>
      </w:r>
    </w:p>
    <w:p>
      <w:pPr>
        <w:pStyle w:val="TOC8"/>
        <w:rPr>
          <w:rFonts w:asciiTheme="minorHAnsi" w:eastAsiaTheme="minorEastAsia" w:hAnsiTheme="minorHAnsi" w:cstheme="minorBidi"/>
          <w:szCs w:val="22"/>
        </w:rPr>
      </w:pPr>
      <w:r>
        <w:t>80T.</w:t>
      </w:r>
      <w:r>
        <w:tab/>
        <w:t>Confiscation</w:t>
      </w:r>
      <w:r>
        <w:tab/>
      </w:r>
      <w:r>
        <w:fldChar w:fldCharType="begin"/>
      </w:r>
      <w:r>
        <w:instrText xml:space="preserve"> PAGEREF _Toc512325936 \h </w:instrText>
      </w:r>
      <w:r>
        <w:fldChar w:fldCharType="separate"/>
      </w:r>
      <w:r>
        <w:t>164</w:t>
      </w:r>
      <w:r>
        <w:fldChar w:fldCharType="end"/>
      </w:r>
    </w:p>
    <w:p>
      <w:pPr>
        <w:pStyle w:val="TOC8"/>
        <w:rPr>
          <w:rFonts w:asciiTheme="minorHAnsi" w:eastAsiaTheme="minorEastAsia" w:hAnsiTheme="minorHAnsi" w:cstheme="minorBidi"/>
          <w:szCs w:val="22"/>
        </w:rPr>
      </w:pPr>
      <w:r>
        <w:t>80U.</w:t>
      </w:r>
      <w:r>
        <w:tab/>
        <w:t>Liability for police expenses</w:t>
      </w:r>
      <w:r>
        <w:tab/>
      </w:r>
      <w:r>
        <w:fldChar w:fldCharType="begin"/>
      </w:r>
      <w:r>
        <w:instrText xml:space="preserve"> PAGEREF _Toc512325937 \h </w:instrText>
      </w:r>
      <w:r>
        <w:fldChar w:fldCharType="separate"/>
      </w:r>
      <w:r>
        <w:t>164</w:t>
      </w:r>
      <w:r>
        <w:fldChar w:fldCharType="end"/>
      </w:r>
    </w:p>
    <w:p>
      <w:pPr>
        <w:pStyle w:val="TOC8"/>
        <w:rPr>
          <w:rFonts w:asciiTheme="minorHAnsi" w:eastAsiaTheme="minorEastAsia" w:hAnsiTheme="minorHAnsi" w:cstheme="minorBidi"/>
          <w:szCs w:val="22"/>
        </w:rPr>
      </w:pPr>
      <w:r>
        <w:t>80V.</w:t>
      </w:r>
      <w:r>
        <w:tab/>
        <w:t>Sale or other disposal of confiscated motor cycle and items on it</w:t>
      </w:r>
      <w:r>
        <w:tab/>
      </w:r>
      <w:r>
        <w:fldChar w:fldCharType="begin"/>
      </w:r>
      <w:r>
        <w:instrText xml:space="preserve"> PAGEREF _Toc512325938 \h </w:instrText>
      </w:r>
      <w:r>
        <w:fldChar w:fldCharType="separate"/>
      </w:r>
      <w:r>
        <w:t>165</w:t>
      </w:r>
      <w:r>
        <w:fldChar w:fldCharType="end"/>
      </w:r>
    </w:p>
    <w:p>
      <w:pPr>
        <w:pStyle w:val="TOC8"/>
        <w:rPr>
          <w:rFonts w:asciiTheme="minorHAnsi" w:eastAsiaTheme="minorEastAsia" w:hAnsiTheme="minorHAnsi" w:cstheme="minorBidi"/>
          <w:szCs w:val="22"/>
        </w:rPr>
      </w:pPr>
      <w:r>
        <w:t>80W.</w:t>
      </w:r>
      <w:r>
        <w:tab/>
        <w:t>Liability for police expenses exceeding sale proceeds</w:t>
      </w:r>
      <w:r>
        <w:tab/>
      </w:r>
      <w:r>
        <w:fldChar w:fldCharType="begin"/>
      </w:r>
      <w:r>
        <w:instrText xml:space="preserve"> PAGEREF _Toc512325939 \h </w:instrText>
      </w:r>
      <w:r>
        <w:fldChar w:fldCharType="separate"/>
      </w:r>
      <w:r>
        <w:t>166</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_Toc512325941 \h </w:instrText>
      </w:r>
      <w:r>
        <w:fldChar w:fldCharType="separate"/>
      </w:r>
      <w:r>
        <w:t>167</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_Toc512325942 \h </w:instrText>
      </w:r>
      <w:r>
        <w:fldChar w:fldCharType="separate"/>
      </w:r>
      <w:r>
        <w:t>167</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_Toc512325943 \h </w:instrText>
      </w:r>
      <w:r>
        <w:fldChar w:fldCharType="separate"/>
      </w:r>
      <w:r>
        <w:t>168</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_Toc512325944 \h </w:instrText>
      </w:r>
      <w:r>
        <w:fldChar w:fldCharType="separate"/>
      </w:r>
      <w:r>
        <w:t>169</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_Toc512325945 \h </w:instrText>
      </w:r>
      <w:r>
        <w:fldChar w:fldCharType="separate"/>
      </w:r>
      <w:r>
        <w:t>169</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_Toc512325946 \h </w:instrText>
      </w:r>
      <w:r>
        <w:fldChar w:fldCharType="separate"/>
      </w:r>
      <w:r>
        <w:t>170</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_Toc512325948 \h </w:instrText>
      </w:r>
      <w:r>
        <w:fldChar w:fldCharType="separate"/>
      </w:r>
      <w:r>
        <w:t>171</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_Toc512325950 \h </w:instrText>
      </w:r>
      <w:r>
        <w:fldChar w:fldCharType="separate"/>
      </w:r>
      <w:r>
        <w:t>172</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_Toc512325951 \h </w:instrText>
      </w:r>
      <w:r>
        <w:fldChar w:fldCharType="separate"/>
      </w:r>
      <w:r>
        <w:t>174</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and savings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_Toc512325953 \h </w:instrText>
      </w:r>
      <w:r>
        <w:fldChar w:fldCharType="separate"/>
      </w:r>
      <w:r>
        <w:t>176</w:t>
      </w:r>
      <w:r>
        <w:fldChar w:fldCharType="end"/>
      </w:r>
    </w:p>
    <w:p>
      <w:pPr>
        <w:pStyle w:val="TOC8"/>
        <w:rPr>
          <w:rFonts w:asciiTheme="minorHAnsi" w:eastAsiaTheme="minorEastAsia" w:hAnsiTheme="minorHAnsi" w:cstheme="minorBidi"/>
          <w:szCs w:val="22"/>
        </w:rPr>
      </w:pPr>
      <w:r>
        <w:t>109.</w:t>
      </w:r>
      <w:r>
        <w:tab/>
        <w:t xml:space="preserve">Transitional and savings provisions for the </w:t>
      </w:r>
      <w:r>
        <w:rPr>
          <w:i/>
        </w:rPr>
        <w:t>Road Traffic Amendment (Impounding and Confiscation of Vehicles) Act 2016</w:t>
      </w:r>
      <w:r>
        <w:tab/>
      </w:r>
      <w:r>
        <w:fldChar w:fldCharType="begin"/>
      </w:r>
      <w:r>
        <w:instrText xml:space="preserve"> PAGEREF _Toc512325954 \h </w:instrText>
      </w:r>
      <w:r>
        <w:fldChar w:fldCharType="separate"/>
      </w:r>
      <w:r>
        <w:t>176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_Toc512325956 \h </w:instrText>
      </w:r>
      <w:r>
        <w:fldChar w:fldCharType="separate"/>
      </w:r>
      <w:r>
        <w:t>178</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_Toc512325957 \h </w:instrText>
      </w:r>
      <w:r>
        <w:fldChar w:fldCharType="separate"/>
      </w:r>
      <w:r>
        <w:t>180</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_Toc512325959 \h </w:instrText>
      </w:r>
      <w:r>
        <w:fldChar w:fldCharType="separate"/>
      </w:r>
      <w:r>
        <w:t>182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_Toc512325960 \h </w:instrText>
      </w:r>
      <w:r>
        <w:fldChar w:fldCharType="separate"/>
      </w:r>
      <w:r>
        <w:t>197</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3" w:name="_Toc491074994"/>
      <w:bookmarkStart w:id="4" w:name="_Toc497206296"/>
      <w:bookmarkStart w:id="5" w:name="_Toc499733054"/>
      <w:bookmarkStart w:id="6" w:name="_Toc500926155"/>
      <w:bookmarkStart w:id="7" w:name="_Toc51232580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260"/>
        <w:rPr>
          <w:snapToGrid w:val="0"/>
        </w:rPr>
      </w:pPr>
      <w:bookmarkStart w:id="8" w:name="_Toc512325806"/>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9" w:name="_Toc512325807"/>
      <w:r>
        <w:rPr>
          <w:rStyle w:val="CharSectno"/>
        </w:rPr>
        <w:t>2</w:t>
      </w:r>
      <w:r>
        <w:rPr>
          <w:snapToGrid w:val="0"/>
        </w:rPr>
        <w:t>.</w:t>
      </w:r>
      <w:r>
        <w:rPr>
          <w:snapToGrid w:val="0"/>
        </w:rPr>
        <w:tab/>
        <w:t>Commencement</w:t>
      </w:r>
      <w:bookmarkEnd w:id="9"/>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p>
    <w:p>
      <w:pPr>
        <w:pStyle w:val="Ednotesection"/>
        <w:spacing w:before="260"/>
      </w:pPr>
      <w:r>
        <w:t>[</w:t>
      </w:r>
      <w:r>
        <w:rPr>
          <w:b/>
        </w:rPr>
        <w:t>3.</w:t>
      </w:r>
      <w:r>
        <w:tab/>
        <w:t>Deleted by No. 82 of 1982 s. 4.]</w:t>
      </w:r>
    </w:p>
    <w:p>
      <w:pPr>
        <w:pStyle w:val="Heading5"/>
        <w:spacing w:before="260"/>
        <w:rPr>
          <w:snapToGrid w:val="0"/>
        </w:rPr>
      </w:pPr>
      <w:bookmarkStart w:id="10" w:name="_Toc512325808"/>
      <w:r>
        <w:rPr>
          <w:rStyle w:val="CharSectno"/>
        </w:rPr>
        <w:t>4</w:t>
      </w:r>
      <w:r>
        <w:rPr>
          <w:snapToGrid w:val="0"/>
        </w:rPr>
        <w:t>.</w:t>
      </w:r>
      <w:r>
        <w:rPr>
          <w:snapToGrid w:val="0"/>
        </w:rPr>
        <w:tab/>
        <w:t>Repeal</w:t>
      </w:r>
      <w:bookmarkEnd w:id="1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11" w:name="_Toc512325809"/>
      <w:r>
        <w:rPr>
          <w:rStyle w:val="CharSectno"/>
        </w:rPr>
        <w:t>5</w:t>
      </w:r>
      <w:r>
        <w:t>.</w:t>
      </w:r>
      <w:r>
        <w:tab/>
        <w:t>Terms used</w:t>
      </w:r>
      <w:bookmarkEnd w:id="11"/>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12" w:name="_Toc491074999"/>
      <w:bookmarkStart w:id="13" w:name="_Toc497206301"/>
      <w:bookmarkStart w:id="14" w:name="_Toc499733059"/>
      <w:bookmarkStart w:id="15" w:name="_Toc500926160"/>
      <w:bookmarkStart w:id="16" w:name="_Toc512325810"/>
      <w:r>
        <w:rPr>
          <w:rStyle w:val="CharPartNo"/>
        </w:rPr>
        <w:t>Part V</w:t>
      </w:r>
      <w:r>
        <w:t> — </w:t>
      </w:r>
      <w:r>
        <w:rPr>
          <w:rStyle w:val="CharPartText"/>
        </w:rPr>
        <w:t>Regulation of traffic</w:t>
      </w:r>
      <w:bookmarkEnd w:id="12"/>
      <w:bookmarkEnd w:id="13"/>
      <w:bookmarkEnd w:id="14"/>
      <w:bookmarkEnd w:id="15"/>
      <w:bookmarkEnd w:id="16"/>
    </w:p>
    <w:p>
      <w:pPr>
        <w:pStyle w:val="Footnoteheading"/>
        <w:spacing w:before="80"/>
      </w:pPr>
      <w:r>
        <w:tab/>
        <w:t>[Heading inserted by No. 76 of 1996 s. 11.]</w:t>
      </w:r>
    </w:p>
    <w:p>
      <w:pPr>
        <w:pStyle w:val="Heading3"/>
      </w:pPr>
      <w:bookmarkStart w:id="17" w:name="_Toc491075000"/>
      <w:bookmarkStart w:id="18" w:name="_Toc497206302"/>
      <w:bookmarkStart w:id="19" w:name="_Toc499733060"/>
      <w:bookmarkStart w:id="20" w:name="_Toc500926161"/>
      <w:bookmarkStart w:id="21" w:name="_Toc512325811"/>
      <w:r>
        <w:rPr>
          <w:rStyle w:val="CharDivNo"/>
        </w:rPr>
        <w:t>Division 1AA</w:t>
      </w:r>
      <w:r>
        <w:t> — </w:t>
      </w:r>
      <w:r>
        <w:rPr>
          <w:rStyle w:val="CharDivText"/>
        </w:rPr>
        <w:t>Terms used in this Part</w:t>
      </w:r>
      <w:bookmarkEnd w:id="17"/>
      <w:bookmarkEnd w:id="18"/>
      <w:bookmarkEnd w:id="19"/>
      <w:bookmarkEnd w:id="20"/>
      <w:bookmarkEnd w:id="21"/>
    </w:p>
    <w:p>
      <w:pPr>
        <w:pStyle w:val="Footnoteheading"/>
      </w:pPr>
      <w:r>
        <w:tab/>
        <w:t>[Heading inserted by No. 25 of 2016 s. 42.]</w:t>
      </w:r>
    </w:p>
    <w:p>
      <w:pPr>
        <w:pStyle w:val="Heading5"/>
      </w:pPr>
      <w:bookmarkStart w:id="22" w:name="_Toc512325812"/>
      <w:r>
        <w:rPr>
          <w:rStyle w:val="CharSectno"/>
        </w:rPr>
        <w:t>49AAA</w:t>
      </w:r>
      <w:r>
        <w:t>.</w:t>
      </w:r>
      <w:r>
        <w:tab/>
        <w:t>Terms used</w:t>
      </w:r>
      <w:bookmarkEnd w:id="22"/>
    </w:p>
    <w:p>
      <w:pPr>
        <w:pStyle w:val="Subsection"/>
      </w:pPr>
      <w:r>
        <w:tab/>
      </w:r>
      <w:r>
        <w:tab/>
        <w:t xml:space="preserve">In this Part — </w:t>
      </w:r>
    </w:p>
    <w:p>
      <w:pPr>
        <w:pStyle w:val="Defstart"/>
      </w:pPr>
      <w:r>
        <w:tab/>
      </w:r>
      <w:r>
        <w:rPr>
          <w:rStyle w:val="CharDefText"/>
        </w:rPr>
        <w:t>above the speed limit</w:t>
      </w:r>
      <w:r>
        <w:t>, in relation to the driving of a vehicle, means driving the vehicle at a speed that exceeds the speed limit applicable to the driver, the vehicle or the length of road where it is being driven;</w:t>
      </w:r>
    </w:p>
    <w:p>
      <w:pPr>
        <w:pStyle w:val="Defstart"/>
      </w:pPr>
      <w:r>
        <w:tab/>
      </w:r>
      <w:r>
        <w:rPr>
          <w:rStyle w:val="CharDefText"/>
        </w:rPr>
        <w:t>confiscation zone</w:t>
      </w:r>
      <w:r>
        <w:t xml:space="preserve"> means — </w:t>
      </w:r>
    </w:p>
    <w:p>
      <w:pPr>
        <w:pStyle w:val="Defpara"/>
      </w:pPr>
      <w:r>
        <w:tab/>
        <w:t>(a)</w:t>
      </w:r>
      <w:r>
        <w:tab/>
        <w:t>in relation to a vehicle, a length of road where the speed limit applicable to the vehicle, or the length of road, is 50 km/h or less; or</w:t>
      </w:r>
    </w:p>
    <w:p>
      <w:pPr>
        <w:pStyle w:val="Defpara"/>
      </w:pPr>
      <w:r>
        <w:tab/>
        <w:t>(b)</w:t>
      </w:r>
      <w:r>
        <w:tab/>
        <w:t>a school zone;</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Defstart"/>
      </w:pPr>
      <w:r>
        <w:tab/>
      </w:r>
      <w:r>
        <w:rPr>
          <w:rStyle w:val="CharDefText"/>
        </w:rPr>
        <w:t>instructor</w:t>
      </w:r>
      <w:r>
        <w:t xml:space="preserve"> means a person who may give driving instruction under the </w:t>
      </w:r>
      <w:r>
        <w:rPr>
          <w:i/>
        </w:rPr>
        <w:t>Road Traffic (Authorisation to Drive) Act 2008</w:t>
      </w:r>
      <w:r>
        <w:t xml:space="preserve"> section 10(2);</w:t>
      </w:r>
    </w:p>
    <w:p>
      <w:pPr>
        <w:pStyle w:val="Defstart"/>
      </w:pPr>
      <w:r>
        <w:tab/>
      </w:r>
      <w:r>
        <w:rPr>
          <w:rStyle w:val="CharDefText"/>
        </w:rPr>
        <w:t>learner driver</w:t>
      </w:r>
      <w:r>
        <w:t xml:space="preserve"> means — </w:t>
      </w:r>
    </w:p>
    <w:p>
      <w:pPr>
        <w:pStyle w:val="Defpara"/>
      </w:pPr>
      <w:r>
        <w:tab/>
        <w:t>(a)</w:t>
      </w:r>
      <w:r>
        <w:tab/>
        <w:t>the holder of a learner’s permit; or</w:t>
      </w:r>
    </w:p>
    <w:p>
      <w:pPr>
        <w:pStyle w:val="Defpara"/>
      </w:pPr>
      <w:r>
        <w:tab/>
        <w:t>(b)</w:t>
      </w:r>
      <w:r>
        <w:tab/>
        <w:t xml:space="preserve">a person authorised to drive under the </w:t>
      </w:r>
      <w:r>
        <w:rPr>
          <w:i/>
        </w:rPr>
        <w:t>Road Traffic (Authorisation to Drive) Act 2008</w:t>
      </w:r>
      <w:r>
        <w:t xml:space="preserve"> section 6;</w:t>
      </w:r>
    </w:p>
    <w:p>
      <w:pPr>
        <w:pStyle w:val="Defstart"/>
      </w:pPr>
      <w:r>
        <w:tab/>
      </w:r>
      <w:r>
        <w:rPr>
          <w:rStyle w:val="CharDefText"/>
        </w:rPr>
        <w:t>motor cycle</w:t>
      </w:r>
      <w:r>
        <w:t xml:space="preserve"> means a motor vehicle that has 2 wheels and includes —</w:t>
      </w:r>
    </w:p>
    <w:p>
      <w:pPr>
        <w:pStyle w:val="Defpara"/>
      </w:pPr>
      <w:r>
        <w:tab/>
        <w:t>(a)</w:t>
      </w:r>
      <w:r>
        <w:tab/>
        <w:t>a 2-wheeled motor vehicle with a sidecar attached to it that is supported by a third wheel; and</w:t>
      </w:r>
    </w:p>
    <w:p>
      <w:pPr>
        <w:pStyle w:val="Defpara"/>
      </w:pPr>
      <w:r>
        <w:tab/>
        <w:t>(b)</w:t>
      </w:r>
      <w:r>
        <w:tab/>
        <w:t>a motor vehicle with 3 wheels that is ridden in the same way as a motor vehicle with 2 wheels;</w:t>
      </w:r>
    </w:p>
    <w:p>
      <w:pPr>
        <w:pStyle w:val="Defstart"/>
      </w:pPr>
      <w:r>
        <w:tab/>
      </w:r>
      <w:r>
        <w:rPr>
          <w:rStyle w:val="CharDefText"/>
        </w:rPr>
        <w:t>provide driving instruction</w:t>
      </w:r>
      <w:r>
        <w:t xml:space="preserve"> means to provide or attempt to provide driving instruction to a learner driver who is driving a motor vehicle;</w:t>
      </w:r>
    </w:p>
    <w:p>
      <w:pPr>
        <w:pStyle w:val="Defstart"/>
      </w:pPr>
      <w:r>
        <w:tab/>
      </w:r>
      <w:r>
        <w:rPr>
          <w:rStyle w:val="CharDefText"/>
        </w:rPr>
        <w:t>school zone</w:t>
      </w:r>
      <w:r>
        <w:t xml:space="preserve"> means a length of road designated as a school zone under a road law;</w:t>
      </w:r>
    </w:p>
    <w:p>
      <w:pPr>
        <w:pStyle w:val="Defstart"/>
      </w:pPr>
      <w:r>
        <w:tab/>
      </w:r>
      <w:r>
        <w:rPr>
          <w:rStyle w:val="CharDefText"/>
        </w:rPr>
        <w:t>speed limit</w:t>
      </w:r>
      <w:r>
        <w:t xml:space="preserve"> means a speed limit set under a road law.</w:t>
      </w:r>
    </w:p>
    <w:p>
      <w:pPr>
        <w:pStyle w:val="Footnotesection"/>
      </w:pPr>
      <w:r>
        <w:tab/>
        <w:t>[Section 49AAA inserted by No. 25 of 2016 s. 42; amended by No. 51 of 2016 s. 4.]</w:t>
      </w:r>
    </w:p>
    <w:p>
      <w:pPr>
        <w:pStyle w:val="Heading3"/>
      </w:pPr>
      <w:bookmarkStart w:id="23" w:name="_Toc491075002"/>
      <w:bookmarkStart w:id="24" w:name="_Toc497206304"/>
      <w:bookmarkStart w:id="25" w:name="_Toc499733062"/>
      <w:bookmarkStart w:id="26" w:name="_Toc500926163"/>
      <w:bookmarkStart w:id="27" w:name="_Toc512325813"/>
      <w:r>
        <w:rPr>
          <w:rStyle w:val="CharDivNo"/>
        </w:rPr>
        <w:t>Division 1A</w:t>
      </w:r>
      <w:r>
        <w:t> — </w:t>
      </w:r>
      <w:r>
        <w:rPr>
          <w:rStyle w:val="CharDivText"/>
        </w:rPr>
        <w:t>When person taken to be instructor or in charge of vehicle</w:t>
      </w:r>
      <w:bookmarkEnd w:id="23"/>
      <w:bookmarkEnd w:id="24"/>
      <w:bookmarkEnd w:id="25"/>
      <w:bookmarkEnd w:id="26"/>
      <w:bookmarkEnd w:id="27"/>
    </w:p>
    <w:p>
      <w:pPr>
        <w:pStyle w:val="Footnoteheading"/>
      </w:pPr>
      <w:r>
        <w:tab/>
        <w:t>[Heading inserted by No. 25 of 2016 s. 42.]</w:t>
      </w:r>
    </w:p>
    <w:p>
      <w:pPr>
        <w:pStyle w:val="Heading5"/>
      </w:pPr>
      <w:bookmarkStart w:id="28" w:name="_Toc512325814"/>
      <w:r>
        <w:rPr>
          <w:rStyle w:val="CharSectno"/>
        </w:rPr>
        <w:t>49AA</w:t>
      </w:r>
      <w:r>
        <w:t>.</w:t>
      </w:r>
      <w:r>
        <w:tab/>
        <w:t>Circumstances in which person taken to be instructor or in charge of motor vehicle</w:t>
      </w:r>
      <w:bookmarkEnd w:id="28"/>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(other than sections 49AB and 66A),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49AA inserted by No. 25 of 2016 s. 42.]</w:t>
      </w:r>
    </w:p>
    <w:p>
      <w:pPr>
        <w:pStyle w:val="Heading3"/>
        <w:spacing w:before="200"/>
      </w:pPr>
      <w:bookmarkStart w:id="29" w:name="_Toc491075004"/>
      <w:bookmarkStart w:id="30" w:name="_Toc497206306"/>
      <w:bookmarkStart w:id="31" w:name="_Toc499733064"/>
      <w:bookmarkStart w:id="32" w:name="_Toc500926165"/>
      <w:bookmarkStart w:id="33" w:name="_Toc512325815"/>
      <w:r>
        <w:rPr>
          <w:rStyle w:val="CharDivNo"/>
        </w:rPr>
        <w:t>Division 1</w:t>
      </w:r>
      <w:r>
        <w:t> — </w:t>
      </w:r>
      <w:r>
        <w:rPr>
          <w:rStyle w:val="CharDivText"/>
        </w:rPr>
        <w:t>Driving of vehicles: general offences</w:t>
      </w:r>
      <w:bookmarkEnd w:id="29"/>
      <w:bookmarkEnd w:id="30"/>
      <w:bookmarkEnd w:id="31"/>
      <w:bookmarkEnd w:id="32"/>
      <w:bookmarkEnd w:id="33"/>
    </w:p>
    <w:p>
      <w:pPr>
        <w:pStyle w:val="Footnoteheading"/>
        <w:spacing w:before="80"/>
      </w:pPr>
      <w:r>
        <w:tab/>
        <w:t>[Heading inserted by No. 10 of 2004 s. 6.]</w:t>
      </w:r>
    </w:p>
    <w:p>
      <w:pPr>
        <w:pStyle w:val="Heading5"/>
        <w:spacing w:before="180"/>
      </w:pPr>
      <w:bookmarkStart w:id="34" w:name="_Toc512325816"/>
      <w:r>
        <w:rPr>
          <w:rStyle w:val="CharSectno"/>
        </w:rPr>
        <w:t>49AB</w:t>
      </w:r>
      <w:r>
        <w:t>.</w:t>
      </w:r>
      <w:r>
        <w:tab/>
        <w:t>Term used: circumstances of aggravation</w:t>
      </w:r>
      <w:bookmarkEnd w:id="34"/>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45 km/h or more above the speed limit;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 No. 25 of 2016 s. 43; No. 51 of 2016 s. 6.]</w:t>
      </w:r>
    </w:p>
    <w:p>
      <w:pPr>
        <w:pStyle w:val="Heading5"/>
        <w:pageBreakBefore/>
        <w:spacing w:before="0"/>
      </w:pPr>
      <w:bookmarkStart w:id="35" w:name="_Toc512325817"/>
      <w:r>
        <w:rPr>
          <w:rStyle w:val="CharSectno"/>
        </w:rPr>
        <w:t>49</w:t>
      </w:r>
      <w:r>
        <w:t>.</w:t>
      </w:r>
      <w:r>
        <w:tab/>
        <w:t>Driving while unlicensed or disqualified</w:t>
      </w:r>
      <w:bookmarkEnd w:id="35"/>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 for this subsection:</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(ca), (c) or (da)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at the time of the commission of the offence, is disqualified from holding or obtaining an Australian driver licence of a kind required, other than for the reason described in paragraph (d), whether or not the person has ever held an Australian driver licence of the kind required; or</w:t>
      </w:r>
    </w:p>
    <w:p>
      <w:pPr>
        <w:pStyle w:val="Indenta"/>
      </w:pPr>
      <w:r>
        <w:tab/>
        <w:t>(ca)</w:t>
      </w:r>
      <w:r>
        <w:tab/>
        <w:t>who has held an Australian driver licence of a kind required but ceased to hold the licence of that kind most recently held other than —</w:t>
      </w:r>
    </w:p>
    <w:p>
      <w:pPr>
        <w:pStyle w:val="Indenti"/>
      </w:pPr>
      <w:r>
        <w:tab/>
        <w:t>(i)</w:t>
      </w:r>
      <w:r>
        <w:tab/>
        <w:t>because the person had, before the time of the commission of the offence, voluntarily surrendered the licence most recently held; or</w:t>
      </w:r>
    </w:p>
    <w:p>
      <w:pPr>
        <w:pStyle w:val="Indenti"/>
      </w:pPr>
      <w:r>
        <w:tab/>
        <w:t>(ii)</w:t>
      </w:r>
      <w:r>
        <w:tab/>
        <w:t>because the licence expired; or</w:t>
      </w:r>
    </w:p>
    <w:p>
      <w:pPr>
        <w:pStyle w:val="Indenti"/>
      </w:pPr>
      <w:r>
        <w:tab/>
        <w:t>(iii)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(ca)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(ca)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(ca)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 No. 2 of 2015 s. 11; No. 25 of 2016 s. 62.]</w:t>
      </w:r>
    </w:p>
    <w:p>
      <w:pPr>
        <w:pStyle w:val="Heading5"/>
        <w:spacing w:before="240"/>
      </w:pPr>
      <w:bookmarkStart w:id="36" w:name="_Toc512325818"/>
      <w:r>
        <w:rPr>
          <w:rStyle w:val="CharSectno"/>
        </w:rPr>
        <w:t>49A</w:t>
      </w:r>
      <w:r>
        <w:t>.</w:t>
      </w:r>
      <w:r>
        <w:tab/>
        <w:t>Person breaching s. 49(1)(a) having lost licence etc. due to penalty enforcement laws, police may caution etc.</w:t>
      </w:r>
      <w:bookmarkEnd w:id="36"/>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keepNext/>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Ednotesection"/>
        <w:spacing w:before="200"/>
      </w:pPr>
      <w:r>
        <w:t>[</w:t>
      </w:r>
      <w:r>
        <w:rPr>
          <w:b/>
        </w:rPr>
        <w:t>50.</w:t>
      </w:r>
      <w:r>
        <w:tab/>
        <w:t>Deleted by No. 25 of 2016 s. 4.]</w:t>
      </w:r>
    </w:p>
    <w:p>
      <w:pPr>
        <w:pStyle w:val="Heading5"/>
      </w:pPr>
      <w:bookmarkStart w:id="37" w:name="_Toc512325819"/>
      <w:r>
        <w:rPr>
          <w:rStyle w:val="CharSectno"/>
        </w:rPr>
        <w:t>50A</w:t>
      </w:r>
      <w:r>
        <w:t>.</w:t>
      </w:r>
      <w:r>
        <w:tab/>
        <w:t>Driver using foreign country’s driver’s licence etc. to carry it etc.</w:t>
      </w:r>
      <w:bookmarkEnd w:id="3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38" w:name="_Toc512325820"/>
      <w:r>
        <w:rPr>
          <w:rStyle w:val="CharSectno"/>
        </w:rPr>
        <w:t>54</w:t>
      </w:r>
      <w:r>
        <w:rPr>
          <w:snapToGrid w:val="0"/>
        </w:rPr>
        <w:t>.</w:t>
      </w:r>
      <w:r>
        <w:rPr>
          <w:snapToGrid w:val="0"/>
        </w:rPr>
        <w:tab/>
        <w:t>Driver in incident occasioning bodily harm to stop, ensure assistance and give information</w:t>
      </w:r>
      <w:bookmarkEnd w:id="38"/>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pPr>
      <w:r>
        <w:tab/>
        <w:t xml:space="preserve">Penalty for this subsection: imprisonment for — </w:t>
      </w:r>
    </w:p>
    <w:p>
      <w:pPr>
        <w:pStyle w:val="Penpara"/>
      </w:pPr>
      <w:r>
        <w:tab/>
        <w:t>(a)</w:t>
      </w:r>
      <w:r>
        <w:tab/>
        <w:t>20 years, if the incident occasioned death and, in any event, the court convicting the person must order that the person be disqualified from holding or obtaining a driver’s licence for a period of not less than 2 years;</w:t>
      </w:r>
    </w:p>
    <w:p>
      <w:pPr>
        <w:pStyle w:val="Penpara"/>
      </w:pPr>
      <w:r>
        <w:tab/>
        <w:t>(b)</w:t>
      </w:r>
      <w:r>
        <w:tab/>
        <w:t>14 years, if the incident occasioned grievous bodily harm but not death and, in any event, the court convicting the person must order that the person be disqualified from holding or obtaining a driver’s licence for a period of not less than 2 years;</w:t>
      </w:r>
    </w:p>
    <w:p>
      <w:pPr>
        <w:pStyle w:val="Penpara"/>
      </w:pPr>
      <w:r>
        <w:tab/>
        <w:t>(c)</w:t>
      </w:r>
      <w:r>
        <w:tab/>
        <w:t>10 years, in any other case and, in any event, the court convicting the person must order that the person be disqualified from holding or obtaining a driver’s licence for a period of not less than 12 months.</w:t>
      </w:r>
    </w:p>
    <w:p>
      <w:pPr>
        <w:pStyle w:val="Penstart"/>
      </w:pPr>
      <w:r>
        <w:tab/>
        <w:t>Summary conviction penalty in a case to which paragraph (c) applies: imprisonment for 3 years and, in any event, the court convicting the person must order that the person be disqualified from holding or obtaining a driver’s licence for a period of not less than 12 months.</w:t>
      </w:r>
    </w:p>
    <w:p>
      <w:pPr>
        <w:pStyle w:val="Ednotesubsection"/>
      </w:pPr>
      <w:r>
        <w:tab/>
        <w:t>[(4)</w:t>
      </w:r>
      <w:r>
        <w:tab/>
        <w:t>deleted]</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for this subsection: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 No. 25 of 2016 s. 5.]</w:t>
      </w:r>
    </w:p>
    <w:p>
      <w:pPr>
        <w:pStyle w:val="Heading5"/>
        <w:rPr>
          <w:snapToGrid w:val="0"/>
        </w:rPr>
      </w:pPr>
      <w:bookmarkStart w:id="39" w:name="_Toc512325821"/>
      <w:r>
        <w:rPr>
          <w:rStyle w:val="CharSectno"/>
        </w:rPr>
        <w:t>55</w:t>
      </w:r>
      <w:r>
        <w:rPr>
          <w:snapToGrid w:val="0"/>
        </w:rPr>
        <w:t>.</w:t>
      </w:r>
      <w:r>
        <w:rPr>
          <w:snapToGrid w:val="0"/>
        </w:rPr>
        <w:tab/>
        <w:t>Driver in incident occasioning property damage to stop and give information</w:t>
      </w:r>
      <w:bookmarkEnd w:id="39"/>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40" w:name="_Toc512325822"/>
      <w:r>
        <w:rPr>
          <w:rStyle w:val="CharSectno"/>
        </w:rPr>
        <w:t>56</w:t>
      </w:r>
      <w:r>
        <w:t>.</w:t>
      </w:r>
      <w:r>
        <w:tab/>
        <w:t>Driver in incident occasioning bodily harm or property damage to report incident to police</w:t>
      </w:r>
      <w:bookmarkEnd w:id="4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the driver or another person,</w:t>
      </w:r>
      <w:r>
        <w:rPr>
          <w:snapToGrid w:val="0"/>
        </w:rPr>
        <w:t xml:space="preserve"> the driver must report the incident forthwith</w:t>
      </w:r>
      <w:r>
        <w:t xml:space="preserve"> to — </w:t>
      </w:r>
      <w:r>
        <w:rPr>
          <w:snapToGrid w:val="0"/>
        </w:rPr>
        <w:t xml:space="preserve"> </w:t>
      </w:r>
    </w:p>
    <w:p>
      <w:pPr>
        <w:pStyle w:val="Indenta"/>
      </w:pPr>
      <w:r>
        <w:tab/>
        <w:t>(a)</w:t>
      </w:r>
      <w:r>
        <w:tab/>
        <w:t>the officer in charge of a police station; or</w:t>
      </w:r>
    </w:p>
    <w:p>
      <w:pPr>
        <w:pStyle w:val="Indenta"/>
      </w:pPr>
      <w:r>
        <w:tab/>
        <w:t>(b)</w:t>
      </w:r>
      <w:r>
        <w:tab/>
        <w:t>the Commissioner of Police in a manner approved by the Commissioner.</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keepNext/>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w:t>
      </w:r>
      <w:r>
        <w:t xml:space="preserve"> to —</w:t>
      </w:r>
    </w:p>
    <w:p>
      <w:pPr>
        <w:pStyle w:val="Indenta"/>
      </w:pPr>
      <w:r>
        <w:tab/>
        <w:t>(a)</w:t>
      </w:r>
      <w:r>
        <w:tab/>
        <w:t>the officer in charge of a police station; or</w:t>
      </w:r>
    </w:p>
    <w:p>
      <w:pPr>
        <w:pStyle w:val="Indenta"/>
      </w:pPr>
      <w:r>
        <w:tab/>
        <w:t>(b)</w:t>
      </w:r>
      <w:r>
        <w:tab/>
        <w:t>the Commissioner of Police in a manner approved by the Commissioner.</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 No. 25 of 2016 s. 6.]</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41" w:name="_Toc512325823"/>
      <w:r>
        <w:rPr>
          <w:rStyle w:val="CharSectno"/>
        </w:rPr>
        <w:t>57</w:t>
      </w:r>
      <w:r>
        <w:rPr>
          <w:snapToGrid w:val="0"/>
        </w:rPr>
        <w:t>.</w:t>
      </w:r>
      <w:r>
        <w:rPr>
          <w:snapToGrid w:val="0"/>
        </w:rPr>
        <w:tab/>
        <w:t>Owner etc. of vehicle occasioning bodily harm etc. to help police identify driver etc.</w:t>
      </w:r>
      <w:bookmarkEnd w:id="41"/>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42" w:name="_Toc512325824"/>
      <w:r>
        <w:rPr>
          <w:rStyle w:val="CharSectno"/>
        </w:rPr>
        <w:t>59</w:t>
      </w:r>
      <w:r>
        <w:rPr>
          <w:snapToGrid w:val="0"/>
        </w:rPr>
        <w:t>.</w:t>
      </w:r>
      <w:r>
        <w:rPr>
          <w:snapToGrid w:val="0"/>
        </w:rPr>
        <w:tab/>
        <w:t>Dangerous driving causing death or grievous bodily harm</w:t>
      </w:r>
      <w:bookmarkEnd w:id="42"/>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 (ba) or (bb),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59BA(1),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 No. 2 of 2015 s. 4; No. 25 of 2016 s. 23.]</w:t>
      </w:r>
    </w:p>
    <w:p>
      <w:pPr>
        <w:pStyle w:val="Heading5"/>
        <w:rPr>
          <w:snapToGrid w:val="0"/>
        </w:rPr>
      </w:pPr>
      <w:bookmarkStart w:id="43" w:name="_Toc512325825"/>
      <w:r>
        <w:rPr>
          <w:rStyle w:val="CharSectno"/>
        </w:rPr>
        <w:t>59A</w:t>
      </w:r>
      <w:r>
        <w:rPr>
          <w:snapToGrid w:val="0"/>
        </w:rPr>
        <w:t>.</w:t>
      </w:r>
      <w:r>
        <w:rPr>
          <w:snapToGrid w:val="0"/>
        </w:rPr>
        <w:tab/>
        <w:t>Dangerous driving causing bodily harm</w:t>
      </w:r>
      <w:bookmarkEnd w:id="43"/>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pPr>
      <w:r>
        <w:tab/>
        <w:t>(a)</w:t>
      </w:r>
      <w:r>
        <w:tab/>
        <w:t>while under the influence of alcohol to such an extent as to be incapable of having proper control of the vehicle; or</w:t>
      </w:r>
    </w:p>
    <w:p>
      <w:pPr>
        <w:pStyle w:val="Indenta"/>
      </w:pPr>
      <w:r>
        <w:tab/>
        <w:t>(ba)</w:t>
      </w:r>
      <w:r>
        <w:tab/>
        <w:t>while under the influence of drugs to such an extent as to be incapable of having proper control of the vehicle; or</w:t>
      </w:r>
    </w:p>
    <w:p>
      <w:pPr>
        <w:pStyle w:val="Indenta"/>
      </w:pPr>
      <w:r>
        <w:tab/>
        <w:t>(bb)</w:t>
      </w:r>
      <w:r>
        <w:tab/>
        <w:t>while under the influence of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(ba) or (bb),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 xml:space="preserve">A person charged with an offence against this section may, instead of being convicted of that offence, be convicted of an offence against section </w:t>
      </w:r>
      <w:r>
        <w:rPr>
          <w:snapToGrid w:val="0"/>
          <w:spacing w:val="-4"/>
        </w:rPr>
        <w:t>59BA(1),</w:t>
      </w:r>
      <w:r>
        <w:rPr>
          <w:snapToGrid w:val="0"/>
        </w:rPr>
        <w:t>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 No. 2 of 2015 s. 5; No. 25 of 2016 s. 24.]</w:t>
      </w:r>
    </w:p>
    <w:p>
      <w:pPr>
        <w:pStyle w:val="Heading5"/>
      </w:pPr>
      <w:bookmarkStart w:id="44" w:name="_Toc512325826"/>
      <w:r>
        <w:rPr>
          <w:rStyle w:val="CharSectno"/>
        </w:rPr>
        <w:t>59BA</w:t>
      </w:r>
      <w:r>
        <w:t>.</w:t>
      </w:r>
      <w:r>
        <w:tab/>
        <w:t>Careless driving causing death, grievous bodily harm or bodily harm</w:t>
      </w:r>
      <w:bookmarkEnd w:id="44"/>
    </w:p>
    <w:p>
      <w:pPr>
        <w:pStyle w:val="Subsection"/>
      </w:pPr>
      <w:r>
        <w:tab/>
        <w:t>(1)</w:t>
      </w:r>
      <w:r>
        <w:tab/>
        <w:t xml:space="preserve">If a motor vehicle driven by a person (the </w:t>
      </w:r>
      <w:r>
        <w:rPr>
          <w:rStyle w:val="CharDefText"/>
        </w:rPr>
        <w:t>driver</w:t>
      </w:r>
      <w:r>
        <w:t>) is involved in an incident occasioning the death of, or grievous bodily harm or bodily harm to, another person and the driver was, at the time of the incident, driving the motor vehicle without due care and attention, the driver commits an offence.</w:t>
      </w:r>
    </w:p>
    <w:p>
      <w:pPr>
        <w:pStyle w:val="Penstart"/>
      </w:pPr>
      <w:r>
        <w:tab/>
        <w:t>Penalty for this subsection: imprisonment for 3 years or a fine of 720 PU and, in any event, the court convicting the person must order that the person be disqualified from holding or obtaining a driver’s licence for a period of not less than 3 months.</w:t>
      </w:r>
    </w:p>
    <w:p>
      <w:pPr>
        <w:pStyle w:val="Subsection"/>
      </w:pPr>
      <w:r>
        <w:tab/>
        <w:t>(2)</w:t>
      </w:r>
      <w:r>
        <w:tab/>
        <w:t>For the purposes of subsection (1) —</w:t>
      </w:r>
    </w:p>
    <w:p>
      <w:pPr>
        <w:pStyle w:val="Indenta"/>
      </w:pPr>
      <w:r>
        <w:tab/>
        <w:t>(a)</w:t>
      </w:r>
      <w:r>
        <w:tab/>
        <w:t>it is immaterial that the death, grievous bodily harm or bodily harm might have been avoided by proper precaution on the part of a person other than the person charged or might have been prevented by proper care or treatment; and</w:t>
      </w:r>
    </w:p>
    <w:p>
      <w:pPr>
        <w:pStyle w:val="Indenta"/>
      </w:pPr>
      <w:r>
        <w:tab/>
        <w:t>(b)</w:t>
      </w:r>
      <w:r>
        <w:tab/>
        <w:t>when an incident occasions grievous bodily harm to a person and that person receives surgical or medical treatment, and death results either from the harm or the treatment, the incident is deemed to have occasioned the death of that person, although the immediate cause of death was the surgical or medical treatment if the treatment was reasonably proper in the circumstances and was applied in good faith.</w:t>
      </w:r>
    </w:p>
    <w:p>
      <w:pPr>
        <w:pStyle w:val="Subsection"/>
      </w:pPr>
      <w:r>
        <w:tab/>
        <w:t>(3)</w:t>
      </w:r>
      <w:r>
        <w:tab/>
        <w:t>A person charged with an offence against subsection (1) may, instead of being convicted of that offence, be convicted of an offence against section 62.</w:t>
      </w:r>
    </w:p>
    <w:p>
      <w:pPr>
        <w:pStyle w:val="Footnotesection"/>
      </w:pPr>
      <w:r>
        <w:tab/>
        <w:t>[Section 59BA inserted by No. 25 of 2016 s. 25.]</w:t>
      </w:r>
    </w:p>
    <w:p>
      <w:pPr>
        <w:pStyle w:val="Heading5"/>
        <w:spacing w:before="240"/>
      </w:pPr>
      <w:bookmarkStart w:id="45" w:name="_Toc512325827"/>
      <w:r>
        <w:rPr>
          <w:rStyle w:val="CharSectno"/>
        </w:rPr>
        <w:t>59B</w:t>
      </w:r>
      <w:r>
        <w:t>.</w:t>
      </w:r>
      <w:r>
        <w:tab/>
        <w:t>Ancillary matters and defences for sections 59, 59A and 59BA</w:t>
      </w:r>
      <w:bookmarkEnd w:id="45"/>
      <w:r>
        <w:rPr>
          <w:b w:val="0"/>
        </w:rPr>
        <w:t xml:space="preserve"> </w:t>
      </w:r>
    </w:p>
    <w:p>
      <w:pPr>
        <w:pStyle w:val="Subsection"/>
        <w:rPr>
          <w:snapToGrid w:val="0"/>
        </w:rPr>
      </w:pPr>
      <w:r>
        <w:tab/>
        <w:t>(1)</w:t>
      </w:r>
      <w:r>
        <w:tab/>
        <w:t>For the purposes of sections 59, 59A and 59BA(1),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59A and 59BA(1),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Subsection"/>
      </w:pPr>
      <w:r>
        <w:tab/>
        <w:t>(7)</w:t>
      </w:r>
      <w:r>
        <w:tab/>
        <w:t>In any proceeding for an offence against section 59BA(1) it is a defence for the person charged to prove that the death, grievous bodily harm or bodily harm occasioned by the incident was not in any way attributable to the level of care and attention with which the motor vehicle was driven.</w:t>
      </w:r>
    </w:p>
    <w:p>
      <w:pPr>
        <w:pStyle w:val="Footnotesection"/>
      </w:pPr>
      <w:r>
        <w:tab/>
        <w:t>[Section 59B inserted by No. 44 of 2004 s. 7; amended by No. 39 of 2007 s. 4; No. 59 of 2012 s. 8; No. 25 of 2016 s. 26.]</w:t>
      </w:r>
    </w:p>
    <w:p>
      <w:pPr>
        <w:pStyle w:val="Heading5"/>
        <w:rPr>
          <w:snapToGrid w:val="0"/>
        </w:rPr>
      </w:pPr>
      <w:bookmarkStart w:id="46" w:name="_Toc512325828"/>
      <w:r>
        <w:rPr>
          <w:rStyle w:val="CharSectno"/>
        </w:rPr>
        <w:t>60</w:t>
      </w:r>
      <w:r>
        <w:rPr>
          <w:snapToGrid w:val="0"/>
        </w:rPr>
        <w:t>.</w:t>
      </w:r>
      <w:r>
        <w:rPr>
          <w:snapToGrid w:val="0"/>
        </w:rPr>
        <w:tab/>
        <w:t>Driving in reckless manner</w:t>
      </w:r>
      <w:bookmarkEnd w:id="46"/>
    </w:p>
    <w:p>
      <w:pPr>
        <w:pStyle w:val="Subsection"/>
      </w:pPr>
      <w:r>
        <w:tab/>
        <w:t>(1)</w:t>
      </w:r>
      <w:r>
        <w:tab/>
        <w:t xml:space="preserve">For the purposes of this section, a motor vehicle is driven in a </w:t>
      </w:r>
      <w:r>
        <w:rPr>
          <w:rStyle w:val="CharDefText"/>
        </w:rPr>
        <w:t>reckless manner</w:t>
      </w:r>
      <w:r>
        <w:t xml:space="preserve"> if it is driven in a manner (which expression includes speed) that is inherently dangerous or that is, having regard to all the circumstances of the case, dangerous to the public or to any person.</w:t>
      </w:r>
    </w:p>
    <w:p>
      <w:pPr>
        <w:pStyle w:val="Subsection"/>
      </w:pPr>
      <w:r>
        <w:tab/>
        <w:t>(1A)</w:t>
      </w:r>
      <w:r>
        <w:tab/>
        <w:t xml:space="preserve">A person commits an offence if the person wilfully drives a motor vehicle in a reckless manner in — </w:t>
      </w:r>
    </w:p>
    <w:p>
      <w:pPr>
        <w:pStyle w:val="Indenta"/>
      </w:pPr>
      <w:r>
        <w:tab/>
        <w:t>(a)</w:t>
      </w:r>
      <w:r>
        <w:tab/>
        <w:t>a confiscation zone; or</w:t>
      </w:r>
    </w:p>
    <w:p>
      <w:pPr>
        <w:pStyle w:val="Indenta"/>
      </w:pPr>
      <w:r>
        <w:tab/>
        <w:t>(b)</w:t>
      </w:r>
      <w:r>
        <w:tab/>
        <w:t>any other place.</w:t>
      </w:r>
    </w:p>
    <w:p>
      <w:pPr>
        <w:pStyle w:val="Ednotesubsection"/>
      </w:pPr>
      <w:r>
        <w:tab/>
        <w:t>[(1b), (1c), (1D) deleted]</w:t>
      </w:r>
    </w:p>
    <w:p>
      <w:pPr>
        <w:pStyle w:val="Subsection"/>
      </w:pPr>
      <w:r>
        <w:rPr>
          <w:snapToGrid w:val="0"/>
        </w:rPr>
        <w:tab/>
        <w:t>(2)</w:t>
      </w:r>
      <w:r>
        <w:rPr>
          <w:snapToGrid w:val="0"/>
        </w:rPr>
        <w:tab/>
        <w:t xml:space="preserve">A person charged with an offence against this section may, instead of being convicted of that offence, be convicted of an offence against </w:t>
      </w:r>
      <w:r>
        <w:t>section 60A, 61, 62 or 62A.</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 No. 51 of 2016 s. 7.]</w:t>
      </w:r>
    </w:p>
    <w:p>
      <w:pPr>
        <w:pStyle w:val="Heading5"/>
      </w:pPr>
      <w:bookmarkStart w:id="47" w:name="_Toc512325829"/>
      <w:r>
        <w:rPr>
          <w:rStyle w:val="CharSectno"/>
        </w:rPr>
        <w:t>60A</w:t>
      </w:r>
      <w:r>
        <w:t>.</w:t>
      </w:r>
      <w:r>
        <w:tab/>
        <w:t>Driving at reckless speed</w:t>
      </w:r>
      <w:bookmarkEnd w:id="47"/>
    </w:p>
    <w:p>
      <w:pPr>
        <w:pStyle w:val="Subsection"/>
      </w:pPr>
      <w:r>
        <w:tab/>
        <w:t>(1)</w:t>
      </w:r>
      <w:r>
        <w:tab/>
        <w:t>A person commits an offence if the person drives a motor vehicle at a speed of 155 km/h or more on any other length of road.</w:t>
      </w:r>
    </w:p>
    <w:p>
      <w:pPr>
        <w:pStyle w:val="Subsection"/>
      </w:pPr>
      <w:r>
        <w:tab/>
        <w:t>(2)</w:t>
      </w:r>
      <w:r>
        <w:tab/>
        <w:t xml:space="preserve">A person commits an offence if the person drives a motor vehicle at 45 km/h or more above the speed limit — </w:t>
      </w:r>
    </w:p>
    <w:p>
      <w:pPr>
        <w:pStyle w:val="Indenta"/>
      </w:pPr>
      <w:r>
        <w:tab/>
        <w:t>(a)</w:t>
      </w:r>
      <w:r>
        <w:tab/>
        <w:t>in a confiscation zone; or</w:t>
      </w:r>
    </w:p>
    <w:p>
      <w:pPr>
        <w:pStyle w:val="Indenta"/>
      </w:pPr>
      <w:r>
        <w:tab/>
        <w:t>(b)</w:t>
      </w:r>
      <w:r>
        <w:tab/>
        <w:t>on any other length of road.</w:t>
      </w:r>
    </w:p>
    <w:p>
      <w:pPr>
        <w:pStyle w:val="Subsection"/>
      </w:pPr>
      <w:r>
        <w:tab/>
        <w:t>(3)</w:t>
      </w:r>
      <w:r>
        <w:tab/>
        <w:t>A person charged with an offence against this section may, instead of being convicted of that offence, be convicted of an offence against section 60(1A), 61 or 62.</w:t>
      </w:r>
    </w:p>
    <w:p>
      <w:pPr>
        <w:pStyle w:val="Footnotesection"/>
      </w:pPr>
      <w:r>
        <w:tab/>
        <w:t>[Section 60A inserted by No. 51 of 2016 s. 8.]</w:t>
      </w:r>
    </w:p>
    <w:p>
      <w:pPr>
        <w:pStyle w:val="Heading5"/>
      </w:pPr>
      <w:bookmarkStart w:id="48" w:name="_Toc512325830"/>
      <w:r>
        <w:rPr>
          <w:rStyle w:val="CharSectno"/>
        </w:rPr>
        <w:t>60B</w:t>
      </w:r>
      <w:r>
        <w:t>.</w:t>
      </w:r>
      <w:r>
        <w:tab/>
        <w:t>Penalties for offences against sections 60 and 60A</w:t>
      </w:r>
      <w:bookmarkEnd w:id="48"/>
    </w:p>
    <w:p>
      <w:pPr>
        <w:pStyle w:val="Subsection"/>
      </w:pPr>
      <w:r>
        <w:tab/>
        <w:t>(1)</w:t>
      </w:r>
      <w:r>
        <w:tab/>
        <w:t xml:space="preserve">In this section — </w:t>
      </w:r>
    </w:p>
    <w:p>
      <w:pPr>
        <w:pStyle w:val="Defstart"/>
      </w:pPr>
      <w:r>
        <w:tab/>
      </w:r>
      <w:r>
        <w:rPr>
          <w:rStyle w:val="CharDefText"/>
        </w:rPr>
        <w:t>offence</w:t>
      </w:r>
      <w:r>
        <w:t xml:space="preserve"> means an offence against section 60 or 60A.</w:t>
      </w:r>
    </w:p>
    <w:p>
      <w:pPr>
        <w:pStyle w:val="Subsection"/>
      </w:pPr>
      <w:r>
        <w:tab/>
        <w:t>(2)</w:t>
      </w:r>
      <w:r>
        <w:tab/>
        <w:t>A person convicted of an offence is liable —</w:t>
      </w:r>
    </w:p>
    <w:p>
      <w:pPr>
        <w:pStyle w:val="Indenta"/>
      </w:pPr>
      <w:r>
        <w:tab/>
        <w:t>(a)</w:t>
      </w:r>
      <w:r>
        <w:tab/>
        <w:t>for a first offence, to a fine of 120 PU or to imprisonment for 9 months; and</w:t>
      </w:r>
    </w:p>
    <w:p>
      <w:pPr>
        <w:pStyle w:val="Indenta"/>
      </w:pPr>
      <w:r>
        <w:tab/>
        <w:t>(b)</w:t>
      </w:r>
      <w:r>
        <w:tab/>
        <w:t>for a second offence, to a fine of 180 PU or to imprisonment for 9 months; and</w:t>
      </w:r>
    </w:p>
    <w:p>
      <w:pPr>
        <w:pStyle w:val="Indenta"/>
      </w:pPr>
      <w:r>
        <w:tab/>
        <w:t>(c)</w:t>
      </w:r>
      <w:r>
        <w:tab/>
        <w:t>for a third or subsequent offence, to a fine of 240 PU or to imprisonment for 12 months.</w:t>
      </w:r>
    </w:p>
    <w:p>
      <w:pPr>
        <w:pStyle w:val="Subsection"/>
      </w:pPr>
      <w:r>
        <w:tab/>
        <w:t>(3)</w:t>
      </w:r>
      <w:r>
        <w:tab/>
        <w:t>In any event, a court convicting a person —</w:t>
      </w:r>
    </w:p>
    <w:p>
      <w:pPr>
        <w:pStyle w:val="Indenta"/>
      </w:pPr>
      <w:r>
        <w:tab/>
        <w:t>(a)</w:t>
      </w:r>
      <w:r>
        <w:tab/>
        <w:t>of a first offence, must order that the person be disqualified from holding or obtaining a driver’s licence for a period of not less than 6 months; and</w:t>
      </w:r>
    </w:p>
    <w:p>
      <w:pPr>
        <w:pStyle w:val="Indenta"/>
      </w:pPr>
      <w:r>
        <w:tab/>
        <w:t>(b)</w:t>
      </w:r>
      <w:r>
        <w:tab/>
        <w:t>of a second offence, must order that the person be disqualified from holding or obtaining a driver’s licence for a period of not less than 12 months; and</w:t>
      </w:r>
    </w:p>
    <w:p>
      <w:pPr>
        <w:pStyle w:val="Indenta"/>
      </w:pPr>
      <w:r>
        <w:tab/>
        <w:t>(c)</w:t>
      </w:r>
      <w:r>
        <w:tab/>
        <w:t>of a third or subsequent offence, must order that the person be permanently disqualified from holding or obtaining a driver’s licence.</w:t>
      </w:r>
    </w:p>
    <w:p>
      <w:pPr>
        <w:pStyle w:val="Subsection"/>
      </w:pPr>
      <w:r>
        <w:tab/>
        <w:t>(4)</w:t>
      </w:r>
      <w:r>
        <w:tab/>
        <w:t>If an offence is committed in the circumstance of aggravation referred to in section 49AB(1)(c), the offence is a crime.</w:t>
      </w:r>
    </w:p>
    <w:p>
      <w:pPr>
        <w:pStyle w:val="Penstart"/>
      </w:pPr>
      <w:r>
        <w:tab/>
        <w:t>Penalty for this subsection: imprisonment for 5 years.</w:t>
      </w:r>
    </w:p>
    <w:p>
      <w:pPr>
        <w:pStyle w:val="Penstart"/>
      </w:pPr>
      <w:r>
        <w:tab/>
        <w:t>Summary conviction penalty for this subsection: imprisonment for 2 years.</w:t>
      </w:r>
    </w:p>
    <w:p>
      <w:pPr>
        <w:pStyle w:val="Subsection"/>
      </w:pPr>
      <w:r>
        <w:tab/>
        <w:t>(5)</w:t>
      </w:r>
      <w:r>
        <w:tab/>
        <w:t xml:space="preserve">A court sentencing a person for an offence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the offence whether or not committed in the circumstance of aggravation referred to in section 49AB(1)(c).</w:t>
      </w:r>
    </w:p>
    <w:p>
      <w:pPr>
        <w:pStyle w:val="Footnotesection"/>
      </w:pPr>
      <w:r>
        <w:tab/>
        <w:t>[Section 60B inserted by No. 51 of 2016 s. 8.]</w:t>
      </w:r>
    </w:p>
    <w:p>
      <w:pPr>
        <w:pStyle w:val="Heading5"/>
        <w:pageBreakBefore/>
        <w:spacing w:before="0"/>
      </w:pPr>
      <w:bookmarkStart w:id="49" w:name="_Toc512325831"/>
      <w:r>
        <w:rPr>
          <w:rStyle w:val="CharSectno"/>
        </w:rPr>
        <w:t>60C</w:t>
      </w:r>
      <w:r>
        <w:t>.</w:t>
      </w:r>
      <w:r>
        <w:tab/>
        <w:t>Arrest without warrant for driving in reckless manner or at reckless speed</w:t>
      </w:r>
      <w:bookmarkEnd w:id="49"/>
    </w:p>
    <w:p>
      <w:pPr>
        <w:pStyle w:val="Subsection"/>
      </w:pPr>
      <w:r>
        <w:tab/>
      </w:r>
      <w:r>
        <w:tab/>
        <w:t>A police officer who reasonably suspects that a person has committed an offence against section 60 or 60A may, without a warrant, arrest the person.</w:t>
      </w:r>
    </w:p>
    <w:p>
      <w:pPr>
        <w:pStyle w:val="Footnotesection"/>
      </w:pPr>
      <w:r>
        <w:tab/>
        <w:t>[Section 60C inserted by No. 51 of 2016 s. 8.]</w:t>
      </w:r>
    </w:p>
    <w:p>
      <w:pPr>
        <w:pStyle w:val="Heading5"/>
        <w:rPr>
          <w:snapToGrid w:val="0"/>
        </w:rPr>
      </w:pPr>
      <w:bookmarkStart w:id="50" w:name="_Toc512325832"/>
      <w:r>
        <w:rPr>
          <w:rStyle w:val="CharSectno"/>
        </w:rPr>
        <w:t>61</w:t>
      </w:r>
      <w:r>
        <w:rPr>
          <w:snapToGrid w:val="0"/>
        </w:rPr>
        <w:t>.</w:t>
      </w:r>
      <w:r>
        <w:rPr>
          <w:snapToGrid w:val="0"/>
        </w:rPr>
        <w:tab/>
        <w:t>Dangerous driving</w:t>
      </w:r>
      <w:bookmarkEnd w:id="5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60, as in force from time to time, or 60A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 No. 51 of 2016 s. 9.]</w:t>
      </w:r>
    </w:p>
    <w:p>
      <w:pPr>
        <w:pStyle w:val="Heading5"/>
        <w:keepNext w:val="0"/>
        <w:keepLines w:val="0"/>
      </w:pPr>
      <w:bookmarkStart w:id="51" w:name="_Toc512325833"/>
      <w:r>
        <w:rPr>
          <w:rStyle w:val="CharSectno"/>
        </w:rPr>
        <w:t>61A</w:t>
      </w:r>
      <w:r>
        <w:t>.</w:t>
      </w:r>
      <w:r>
        <w:tab/>
        <w:t>Defence for police officers driving in reckless manner in certain circumstances</w:t>
      </w:r>
      <w:bookmarkEnd w:id="51"/>
    </w:p>
    <w:p>
      <w:pPr>
        <w:pStyle w:val="Subsection"/>
      </w:pPr>
      <w:r>
        <w:tab/>
        <w:t>(1)</w:t>
      </w:r>
      <w:r>
        <w:tab/>
        <w:t xml:space="preserve">It is a defence to a prosecution for an offence against section 59(1)(b), 59A(1)(b), 60(1A)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 No. 51 of 2016 s. 10.]</w:t>
      </w:r>
    </w:p>
    <w:p>
      <w:pPr>
        <w:pStyle w:val="Heading5"/>
      </w:pPr>
      <w:bookmarkStart w:id="52" w:name="_Toc512325834"/>
      <w:r>
        <w:rPr>
          <w:rStyle w:val="CharSectno"/>
        </w:rPr>
        <w:t>61B</w:t>
      </w:r>
      <w:r>
        <w:t>.</w:t>
      </w:r>
      <w:r>
        <w:tab/>
        <w:t>Defence for certain officers driving at reckless speed</w:t>
      </w:r>
      <w:bookmarkEnd w:id="52"/>
    </w:p>
    <w:p>
      <w:pPr>
        <w:pStyle w:val="Subsection"/>
        <w:keepNext/>
      </w:pPr>
      <w:r>
        <w:tab/>
      </w:r>
      <w:r>
        <w:tab/>
        <w:t>The driver of a motor vehicle is not guilty of an offence under section 60A if —</w:t>
      </w:r>
    </w:p>
    <w:p>
      <w:pPr>
        <w:pStyle w:val="Indenta"/>
      </w:pPr>
      <w:r>
        <w:tab/>
        <w:t>(a)</w:t>
      </w:r>
      <w: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pPr>
      <w:r>
        <w:tab/>
        <w:t>(c)</w:t>
      </w:r>
      <w:r>
        <w:tab/>
        <w:t>the vehicle is displaying a blue or red flashing light or sounding an alarm unless, in the circumstances, it is reasonable for a light not to be displayed or an alarm not to be sounded.</w:t>
      </w:r>
    </w:p>
    <w:p>
      <w:pPr>
        <w:pStyle w:val="Footnotesection"/>
      </w:pPr>
      <w:r>
        <w:tab/>
        <w:t>[Section 61B inserted by No. 51 of 2016 s. 11.]</w:t>
      </w:r>
    </w:p>
    <w:p>
      <w:pPr>
        <w:pStyle w:val="Heading5"/>
        <w:pageBreakBefore/>
        <w:spacing w:before="0"/>
        <w:rPr>
          <w:snapToGrid w:val="0"/>
        </w:rPr>
      </w:pPr>
      <w:bookmarkStart w:id="53" w:name="_Toc512325835"/>
      <w:r>
        <w:rPr>
          <w:rStyle w:val="CharSectno"/>
        </w:rPr>
        <w:t>62</w:t>
      </w:r>
      <w:r>
        <w:rPr>
          <w:snapToGrid w:val="0"/>
        </w:rPr>
        <w:t>.</w:t>
      </w:r>
      <w:r>
        <w:rPr>
          <w:snapToGrid w:val="0"/>
        </w:rPr>
        <w:tab/>
        <w:t>Careless driving</w:t>
      </w:r>
      <w:bookmarkEnd w:id="5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r>
      <w:r>
        <w:t>Penalty: a fine of 30 PU.</w:t>
      </w:r>
    </w:p>
    <w:p>
      <w:pPr>
        <w:pStyle w:val="Footnotesection"/>
        <w:ind w:left="890" w:hanging="890"/>
      </w:pPr>
      <w:r>
        <w:tab/>
        <w:t>[Section 62 amended by No. 11 of 1988 s. 24; No. 50 of 1997 s. 13; No. 25 of 2016 s. 27.]</w:t>
      </w:r>
    </w:p>
    <w:p>
      <w:pPr>
        <w:pStyle w:val="Heading5"/>
      </w:pPr>
      <w:bookmarkStart w:id="54" w:name="_Toc512325836"/>
      <w:r>
        <w:rPr>
          <w:rStyle w:val="CharSectno"/>
        </w:rPr>
        <w:t>62A</w:t>
      </w:r>
      <w:r>
        <w:t>.</w:t>
      </w:r>
      <w:r>
        <w:tab/>
        <w:t>Causing excessive noise or smoke from vehicle’s tyres</w:t>
      </w:r>
      <w:bookmarkEnd w:id="54"/>
    </w:p>
    <w:p>
      <w:pPr>
        <w:pStyle w:val="Subsection"/>
      </w:pPr>
      <w:r>
        <w:tab/>
      </w:r>
      <w:r>
        <w:tab/>
        <w:t>A person commits an offence if the person wilfully drives a motor vehicle so as to cause one or more of its tyres to create smoke or excessive noise in or on, or leave a substance on the driving surface of —</w:t>
      </w:r>
    </w:p>
    <w:p>
      <w:pPr>
        <w:pStyle w:val="Indenta"/>
      </w:pPr>
      <w:r>
        <w:tab/>
        <w:t>(a)</w:t>
      </w:r>
      <w:r>
        <w:tab/>
        <w:t>a confiscation zone; or</w:t>
      </w:r>
    </w:p>
    <w:p>
      <w:pPr>
        <w:pStyle w:val="Indenta"/>
      </w:pPr>
      <w:r>
        <w:tab/>
        <w:t>(b)</w:t>
      </w:r>
      <w:r>
        <w:tab/>
        <w:t>any other length of road; or</w:t>
      </w:r>
    </w:p>
    <w:p>
      <w:pPr>
        <w:pStyle w:val="Indenta"/>
      </w:pPr>
      <w:r>
        <w:tab/>
        <w:t>(c)</w:t>
      </w:r>
      <w:r>
        <w:tab/>
        <w:t>a carpark.</w:t>
      </w:r>
    </w:p>
    <w:p>
      <w:pPr>
        <w:pStyle w:val="Penstart"/>
      </w:pPr>
      <w:r>
        <w:tab/>
        <w:t>Penalty: a fine of 30 PU.</w:t>
      </w:r>
    </w:p>
    <w:p>
      <w:pPr>
        <w:pStyle w:val="Footnotesection"/>
      </w:pPr>
      <w:r>
        <w:tab/>
        <w:t>[Section 62A inserted by No. 51 of 2016 s. 12.]</w:t>
      </w:r>
    </w:p>
    <w:p>
      <w:pPr>
        <w:pStyle w:val="Penstart"/>
      </w:pPr>
    </w:p>
    <w:p>
      <w:pPr>
        <w:pStyle w:val="Heading3"/>
      </w:pPr>
      <w:bookmarkStart w:id="55" w:name="_Toc491075026"/>
      <w:bookmarkStart w:id="56" w:name="_Toc497206328"/>
      <w:bookmarkStart w:id="57" w:name="_Toc499733086"/>
      <w:bookmarkStart w:id="58" w:name="_Toc500926187"/>
      <w:bookmarkStart w:id="59" w:name="_Toc512325837"/>
      <w:r>
        <w:rPr>
          <w:rStyle w:val="CharDivNo"/>
        </w:rPr>
        <w:t>Division 2A</w:t>
      </w:r>
      <w:r>
        <w:t> — </w:t>
      </w:r>
      <w:r>
        <w:rPr>
          <w:rStyle w:val="CharDivText"/>
        </w:rPr>
        <w:t>Providing driving instruction to learner drivers: alcohol and drug related offences</w:t>
      </w:r>
      <w:bookmarkEnd w:id="55"/>
      <w:bookmarkEnd w:id="56"/>
      <w:bookmarkEnd w:id="57"/>
      <w:bookmarkEnd w:id="58"/>
      <w:bookmarkEnd w:id="59"/>
    </w:p>
    <w:p>
      <w:pPr>
        <w:pStyle w:val="Footnoteheading"/>
      </w:pPr>
      <w:r>
        <w:tab/>
        <w:t>[Heading inserted by No. 25 of 2016 s. 44.]</w:t>
      </w:r>
    </w:p>
    <w:p>
      <w:pPr>
        <w:pStyle w:val="Heading5"/>
      </w:pPr>
      <w:bookmarkStart w:id="60" w:name="_Toc512325838"/>
      <w:r>
        <w:rPr>
          <w:rStyle w:val="CharSectno"/>
        </w:rPr>
        <w:t>62B</w:t>
      </w:r>
      <w:r>
        <w:t>.</w:t>
      </w:r>
      <w:r>
        <w:tab/>
        <w:t>Providing driving instruction: blood alcohol content</w:t>
      </w:r>
      <w:bookmarkEnd w:id="60"/>
    </w:p>
    <w:p>
      <w:pPr>
        <w:pStyle w:val="Subsection"/>
      </w:pPr>
      <w:r>
        <w:tab/>
        <w:t>(1)</w:t>
      </w:r>
      <w:r>
        <w:tab/>
        <w:t>An instructor who provides driving instruction to a learner driver while having a blood alcohol content of or above 0.05 g of alcohol per 100 ml of blood commits an offence.</w:t>
      </w:r>
    </w:p>
    <w:p>
      <w:pPr>
        <w:pStyle w:val="Penstart"/>
      </w:pPr>
      <w:r>
        <w:tab/>
        <w:t>Penalty for this subsection: a fine of not less than 6 PU or more than 10 PU.</w:t>
      </w:r>
    </w:p>
    <w:p>
      <w:pPr>
        <w:pStyle w:val="Subsection"/>
        <w:keepNext/>
      </w:pPr>
      <w:r>
        <w:tab/>
        <w:t>(2)</w:t>
      </w:r>
      <w:r>
        <w:tab/>
        <w:t xml:space="preserve">Subsection (4) applies to an instructor who — </w:t>
      </w:r>
    </w:p>
    <w:p>
      <w:pPr>
        <w:pStyle w:val="Indenta"/>
      </w:pPr>
      <w:r>
        <w:tab/>
        <w:t>(a)</w:t>
      </w:r>
      <w:r>
        <w:tab/>
        <w:t xml:space="preserve">holds an extraordinary licence as defined in the </w:t>
      </w:r>
      <w:r>
        <w:rPr>
          <w:i/>
        </w:rPr>
        <w:t>Road Traffic (Authorisation to Drive) Act 2008</w:t>
      </w:r>
      <w:r>
        <w:t xml:space="preserve"> section 3(1); or</w:t>
      </w:r>
    </w:p>
    <w:p>
      <w:pPr>
        <w:pStyle w:val="Indenta"/>
      </w:pPr>
      <w:r>
        <w:tab/>
        <w:t>(b)</w:t>
      </w:r>
      <w:r>
        <w:tab/>
        <w:t xml:space="preserve">has, within the last 3 years, ceased to be subject to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(c)</w:t>
      </w:r>
      <w:r>
        <w:tab/>
        <w:t xml:space="preserve">has, within the last 3 years, been granted a driver’s licence in a case where the instructor did not hold a driver’s licence because it had been cancelled under a cancellation provision as a result of an order disqualifying the instructor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is a member of a class of persons prescribed for the purposes of section 64A(2)(g) by regulations made for the purposes of the </w:t>
      </w:r>
      <w:r>
        <w:rPr>
          <w:i/>
        </w:rPr>
        <w:t>Road Traffic (Authorisation to Drive) Act 2008</w:t>
      </w:r>
      <w:r>
        <w:t xml:space="preserve"> section 5A.</w:t>
      </w:r>
    </w:p>
    <w:p>
      <w:pPr>
        <w:pStyle w:val="Subsection"/>
      </w:pPr>
      <w:r>
        <w:tab/>
        <w:t>(3)</w:t>
      </w:r>
      <w:r>
        <w:tab/>
        <w:t xml:space="preserve">In subsection (2)(c)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pPr>
      <w:r>
        <w:tab/>
        <w:t>(4)</w:t>
      </w:r>
      <w:r>
        <w:tab/>
        <w:t>An instructor to whom this subsection applies who provides driving instruction to a learner driver while having any blood alcohol content commits an offence.</w:t>
      </w:r>
    </w:p>
    <w:p>
      <w:pPr>
        <w:pStyle w:val="Penstart"/>
      </w:pPr>
      <w:r>
        <w:tab/>
        <w:t>Penalty for this subsection: a fine of not less than 6 PU or more than 10 PU.</w:t>
      </w:r>
    </w:p>
    <w:p>
      <w:pPr>
        <w:pStyle w:val="Subsection"/>
        <w:spacing w:before="120"/>
      </w:pPr>
      <w:r>
        <w:tab/>
        <w:t>(5)</w:t>
      </w:r>
      <w:r>
        <w:tab/>
        <w:t xml:space="preserve">An instructor who provides driving instruction to a learner driver in respect of a motor vehicle that has a GCM that is 22.5 tonnes or more while having any blood alcohol content commits an offence. </w:t>
      </w:r>
    </w:p>
    <w:p>
      <w:pPr>
        <w:pStyle w:val="Penstart"/>
      </w:pPr>
      <w:r>
        <w:tab/>
        <w:t>Penalty for this subsection: a fine of not less than 6 PU or more than 10 PU.</w:t>
      </w:r>
    </w:p>
    <w:p>
      <w:pPr>
        <w:pStyle w:val="Subsection"/>
        <w:spacing w:before="120"/>
      </w:pPr>
      <w:r>
        <w:tab/>
        <w:t>(6)</w:t>
      </w:r>
      <w:r>
        <w:tab/>
        <w:t xml:space="preserve">It is a defence to a charge of an offence against subsection (4) or (5)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Subsection"/>
        <w:spacing w:before="120"/>
      </w:pPr>
      <w:r>
        <w:tab/>
        <w:t>(7)</w:t>
      </w:r>
      <w:r>
        <w:tab/>
        <w:t>A person charged with an offence against subsection (1) may, instead of being convicted of that offence, be convicted of an offence against subsection (4) or (5) if, at the time of the alleged offence, the person was a person to whom subsection (4) or (5) applied.</w:t>
      </w:r>
    </w:p>
    <w:p>
      <w:pPr>
        <w:pStyle w:val="Footnotesection"/>
      </w:pPr>
      <w:r>
        <w:tab/>
        <w:t>[Section 62B inserted by No. 25 of 2016 s. 44; amended by No. 25 of 2016 s. 45.]</w:t>
      </w:r>
    </w:p>
    <w:p>
      <w:pPr>
        <w:pStyle w:val="Heading5"/>
      </w:pPr>
      <w:bookmarkStart w:id="61" w:name="_Toc512325839"/>
      <w:r>
        <w:rPr>
          <w:rStyle w:val="CharSectno"/>
        </w:rPr>
        <w:t>62C</w:t>
      </w:r>
      <w:r>
        <w:t>.</w:t>
      </w:r>
      <w:r>
        <w:tab/>
        <w:t>Providing driving instruction with prescribed illicit drug in oral fluid or blood</w:t>
      </w:r>
      <w:bookmarkEnd w:id="61"/>
    </w:p>
    <w:p>
      <w:pPr>
        <w:pStyle w:val="Subsection"/>
        <w:spacing w:before="120"/>
      </w:pPr>
      <w:r>
        <w:tab/>
        <w:t>(1)</w:t>
      </w:r>
      <w:r>
        <w:tab/>
        <w:t xml:space="preserve">An instructor who provides driving instruction to a learner driver while a prescribed illicit drug is present in the instructor’s oral fluid or blood commits an offence. </w:t>
      </w:r>
    </w:p>
    <w:p>
      <w:pPr>
        <w:pStyle w:val="Penstart"/>
      </w:pPr>
      <w:r>
        <w:tab/>
        <w:t>Penalty for this subsection: a fine of not less than 6 PU or more than 10 PU.</w:t>
      </w:r>
    </w:p>
    <w:p>
      <w:pPr>
        <w:pStyle w:val="Subsection"/>
      </w:pPr>
      <w:r>
        <w:tab/>
        <w:t>(2)</w:t>
      </w:r>
      <w:r>
        <w:tab/>
        <w:t>If in any proceeding for an offence against this section it is proved that a certain drug was present in the accused’s body at any time within 4 hours, or 12 hours if the sample was taken under section 66(8B), after the time that the accused was providing the driving instruction, the presence of that drug in the accused’s body at the time the accused was providing the driving instruction is to be taken to be proved in the absence of proof to the contrary.</w:t>
      </w:r>
    </w:p>
    <w:p>
      <w:pPr>
        <w:pStyle w:val="Subsection"/>
      </w:pPr>
      <w:r>
        <w:tab/>
        <w:t>(3)</w:t>
      </w:r>
      <w:r>
        <w:tab/>
        <w:t xml:space="preserve">If a person takes a prescribed illicit drug mistakenly believing it to be another drug, that mistake is not a defence in any proceeding for an offence against this section if that other drug is also a drug within the meaning of paragraph (a) or (b) of the definition of </w:t>
      </w:r>
      <w:r>
        <w:rPr>
          <w:b/>
          <w:i/>
        </w:rPr>
        <w:t>drug</w:t>
      </w:r>
      <w:r>
        <w:t xml:space="preserve"> in section 65.</w:t>
      </w:r>
    </w:p>
    <w:p>
      <w:pPr>
        <w:pStyle w:val="Footnotesection"/>
      </w:pPr>
      <w:r>
        <w:tab/>
        <w:t>[Section 62C inserted by No. 25 of 2016 s. 44; amended by No. 25 of 2016 s. 46.]</w:t>
      </w:r>
    </w:p>
    <w:p>
      <w:pPr>
        <w:pStyle w:val="Heading3"/>
        <w:spacing w:before="220"/>
      </w:pPr>
      <w:bookmarkStart w:id="62" w:name="_Toc491075029"/>
      <w:bookmarkStart w:id="63" w:name="_Toc497206331"/>
      <w:bookmarkStart w:id="64" w:name="_Toc499733089"/>
      <w:bookmarkStart w:id="65" w:name="_Toc500926190"/>
      <w:bookmarkStart w:id="66" w:name="_Toc512325840"/>
      <w:r>
        <w:rPr>
          <w:rStyle w:val="CharDivNo"/>
        </w:rPr>
        <w:t>Division 2</w:t>
      </w:r>
      <w:r>
        <w:t> — </w:t>
      </w:r>
      <w:r>
        <w:rPr>
          <w:rStyle w:val="CharDivText"/>
        </w:rPr>
        <w:t>Driving of vehicles: alcohol and drug related offences</w:t>
      </w:r>
      <w:bookmarkEnd w:id="62"/>
      <w:bookmarkEnd w:id="63"/>
      <w:bookmarkEnd w:id="64"/>
      <w:bookmarkEnd w:id="65"/>
      <w:bookmarkEnd w:id="66"/>
    </w:p>
    <w:p>
      <w:pPr>
        <w:pStyle w:val="Footnoteheading"/>
        <w:spacing w:before="80"/>
      </w:pPr>
      <w:r>
        <w:tab/>
        <w:t>[Heading inserted by No. 10 of 2004 s. 9.]</w:t>
      </w:r>
    </w:p>
    <w:p>
      <w:pPr>
        <w:pStyle w:val="Heading5"/>
        <w:rPr>
          <w:snapToGrid w:val="0"/>
        </w:rPr>
      </w:pPr>
      <w:bookmarkStart w:id="67" w:name="_Toc512325841"/>
      <w:r>
        <w:rPr>
          <w:rStyle w:val="CharSectno"/>
        </w:rPr>
        <w:t>63</w:t>
      </w:r>
      <w:r>
        <w:rPr>
          <w:snapToGrid w:val="0"/>
        </w:rPr>
        <w:t>.</w:t>
      </w:r>
      <w:r>
        <w:rPr>
          <w:snapToGrid w:val="0"/>
        </w:rPr>
        <w:tab/>
        <w:t>Driving under the influence of alcohol etc.</w:t>
      </w:r>
      <w:bookmarkEnd w:id="67"/>
    </w:p>
    <w:p>
      <w:pPr>
        <w:pStyle w:val="Subsection"/>
      </w:pPr>
      <w:r>
        <w:tab/>
        <w:t>(1)</w:t>
      </w:r>
      <w:r>
        <w:tab/>
        <w:t xml:space="preserve">A person who drives or attempts to drive a motor vehicle — </w:t>
      </w:r>
    </w:p>
    <w:p>
      <w:pPr>
        <w:pStyle w:val="Indenta"/>
      </w:pPr>
      <w:r>
        <w:tab/>
        <w:t>(a)</w:t>
      </w:r>
      <w:r>
        <w:tab/>
        <w:t>while under the influence of alcohol to such an extent as to be incapable of having proper control of the vehicle; or</w:t>
      </w:r>
    </w:p>
    <w:p>
      <w:pPr>
        <w:pStyle w:val="Indenta"/>
      </w:pPr>
      <w:r>
        <w:tab/>
        <w:t>(b)</w:t>
      </w:r>
      <w:r>
        <w:tab/>
        <w:t>while under the influence of drugs to such an extent as to be incapable of having proper control of the vehicle; or</w:t>
      </w:r>
    </w:p>
    <w:p>
      <w:pPr>
        <w:pStyle w:val="Indenta"/>
        <w:keepNext/>
      </w:pPr>
      <w:r>
        <w:tab/>
        <w:t>(c)</w:t>
      </w:r>
      <w:r>
        <w:tab/>
        <w:t>while under the influence of alcohol and drugs to such an extent as to be incapable of having proper control of the vehicle,</w:t>
      </w:r>
    </w:p>
    <w:p>
      <w:pPr>
        <w:pStyle w:val="Subsection"/>
      </w:pPr>
      <w:r>
        <w:tab/>
      </w:r>
      <w:r>
        <w:tab/>
        <w:t>commits an offence, and the offender may be arrested without warrant.</w:t>
      </w:r>
    </w:p>
    <w:p>
      <w:pPr>
        <w:pStyle w:val="Subsection"/>
        <w:keepNext/>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subsection (1)(b), </w:t>
      </w:r>
      <w:r>
        <w:rPr>
          <w:snapToGrid w:val="0"/>
        </w:rPr>
        <w:t>it is a defence for the accused to prove —</w:t>
      </w:r>
    </w:p>
    <w:p>
      <w:pPr>
        <w:pStyle w:val="Indenta"/>
      </w:pPr>
      <w:r>
        <w:tab/>
        <w:t>(a)</w:t>
      </w:r>
      <w:r>
        <w:tab/>
        <w:t xml:space="preserve">that the drugs, under the influence of which the accused is alleged or appears on the evidence to be,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 No. 2 of 2015 s. 6.]</w:t>
      </w:r>
    </w:p>
    <w:p>
      <w:pPr>
        <w:pStyle w:val="Heading5"/>
        <w:keepNext w:val="0"/>
        <w:keepLines w:val="0"/>
        <w:pageBreakBefore/>
        <w:spacing w:before="0"/>
        <w:rPr>
          <w:snapToGrid w:val="0"/>
        </w:rPr>
      </w:pPr>
      <w:bookmarkStart w:id="68" w:name="_Toc512325842"/>
      <w:r>
        <w:rPr>
          <w:rStyle w:val="CharSectno"/>
        </w:rPr>
        <w:t>64</w:t>
      </w:r>
      <w:r>
        <w:rPr>
          <w:snapToGrid w:val="0"/>
        </w:rPr>
        <w:t>.</w:t>
      </w:r>
      <w:r>
        <w:rPr>
          <w:snapToGrid w:val="0"/>
        </w:rPr>
        <w:tab/>
        <w:t>Driving with blood alcohol content of or above 0.08</w:t>
      </w:r>
      <w:bookmarkEnd w:id="68"/>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69" w:name="_Toc512325843"/>
      <w:r>
        <w:rPr>
          <w:rStyle w:val="CharSectno"/>
        </w:rPr>
        <w:t>64AA</w:t>
      </w:r>
      <w:r>
        <w:rPr>
          <w:snapToGrid w:val="0"/>
        </w:rPr>
        <w:t>.</w:t>
      </w:r>
      <w:r>
        <w:rPr>
          <w:snapToGrid w:val="0"/>
        </w:rPr>
        <w:tab/>
        <w:t>Driving with blood alcohol content of or above 0.05</w:t>
      </w:r>
      <w:bookmarkEnd w:id="6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64A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 No. 2 of 2015 s. 7.]</w:t>
      </w:r>
    </w:p>
    <w:p>
      <w:pPr>
        <w:pStyle w:val="Heading5"/>
        <w:spacing w:before="240"/>
        <w:rPr>
          <w:snapToGrid w:val="0"/>
        </w:rPr>
      </w:pPr>
      <w:bookmarkStart w:id="70" w:name="_Toc512325844"/>
      <w:r>
        <w:rPr>
          <w:rStyle w:val="CharSectno"/>
        </w:rPr>
        <w:t>64A</w:t>
      </w:r>
      <w:r>
        <w:rPr>
          <w:snapToGrid w:val="0"/>
        </w:rPr>
        <w:t>.</w:t>
      </w:r>
      <w:r>
        <w:rPr>
          <w:snapToGrid w:val="0"/>
        </w:rPr>
        <w:tab/>
        <w:t>Certain persons driving with blood alcohol content of or above 0.02</w:t>
      </w:r>
      <w:bookmarkEnd w:id="70"/>
    </w:p>
    <w:p>
      <w:pPr>
        <w:pStyle w:val="Subsection"/>
      </w:pPr>
      <w:r>
        <w:tab/>
        <w:t>(1A)</w:t>
      </w:r>
      <w:r>
        <w:tab/>
        <w:t xml:space="preserve">In this section — </w:t>
      </w:r>
    </w:p>
    <w:p>
      <w:pPr>
        <w:pStyle w:val="Defstart"/>
      </w:pPr>
      <w:r>
        <w:tab/>
      </w:r>
      <w:r>
        <w:rPr>
          <w:rStyle w:val="CharDefText"/>
        </w:rPr>
        <w:t>cancellation provision</w:t>
      </w:r>
      <w:r>
        <w:t xml:space="preserve"> means — </w:t>
      </w:r>
    </w:p>
    <w:p>
      <w:pPr>
        <w:pStyle w:val="Defpara"/>
      </w:pPr>
      <w:r>
        <w:tab/>
        <w:t>(a)</w:t>
      </w:r>
      <w:r>
        <w:tab/>
        <w:t xml:space="preserve">a provision of the </w:t>
      </w:r>
      <w:r>
        <w:rPr>
          <w:i/>
        </w:rPr>
        <w:t>Road Traffic (Authorisation to Drive) Act 2008</w:t>
      </w:r>
      <w:r>
        <w:t xml:space="preserve"> Part 3 Division 2 under which a driver’s licence may be cancelled; or</w:t>
      </w:r>
    </w:p>
    <w:p>
      <w:pPr>
        <w:pStyle w:val="Defpara"/>
      </w:pPr>
      <w:r>
        <w:tab/>
        <w:t>(b)</w:t>
      </w:r>
      <w:r>
        <w:tab/>
        <w:t xml:space="preserve">section 75(2a) or (2b) of this Act as in force at any time before those provisions were deleted by the </w:t>
      </w:r>
      <w:r>
        <w:rPr>
          <w:i/>
        </w:rPr>
        <w:t>Road Traffic Legislation Amendment Act 2012</w:t>
      </w:r>
      <w:r>
        <w:t xml:space="preserve"> section 20.</w:t>
      </w:r>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keepNext/>
        <w:keepLines/>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or</w:t>
      </w:r>
    </w:p>
    <w:p>
      <w:pPr>
        <w:pStyle w:val="Indenta"/>
      </w:pPr>
      <w:r>
        <w:tab/>
        <w:t>(d)</w:t>
      </w:r>
      <w:r>
        <w:tab/>
        <w:t xml:space="preserve">does not hold a driver’s licence because it has been cancelled under a cancellation provision as a result of an order disqualifying the person from holding or obtaining a driver’s licence imposed on the person upon being convicted of an offence committed after the commencement of the </w:t>
      </w:r>
      <w:r>
        <w:rPr>
          <w:i/>
        </w:rPr>
        <w:t>Road Traffic Amendment Act 1997</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 or</w:t>
      </w:r>
    </w:p>
    <w:p>
      <w:pPr>
        <w:pStyle w:val="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a cancellation provision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that is 22.5 tonnes or more;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keepLines w:val="0"/>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 No. 2 of 2015 s. 12; No. 25 of 2016 s. 7.]</w:t>
      </w:r>
    </w:p>
    <w:p>
      <w:pPr>
        <w:pStyle w:val="Heading5"/>
      </w:pPr>
      <w:bookmarkStart w:id="71" w:name="_Toc512325845"/>
      <w:r>
        <w:rPr>
          <w:rStyle w:val="CharSectno"/>
        </w:rPr>
        <w:t>64AAA</w:t>
      </w:r>
      <w:r>
        <w:t>.</w:t>
      </w:r>
      <w:r>
        <w:tab/>
        <w:t>Certain persons driving with any blood alcohol content</w:t>
      </w:r>
      <w:bookmarkEnd w:id="71"/>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72" w:name="_Toc512325846"/>
      <w:r>
        <w:rPr>
          <w:rStyle w:val="CharSectno"/>
        </w:rPr>
        <w:t>64AB</w:t>
      </w:r>
      <w:r>
        <w:t>.</w:t>
      </w:r>
      <w:r>
        <w:tab/>
      </w:r>
      <w:r>
        <w:rPr>
          <w:snapToGrid w:val="0"/>
        </w:rPr>
        <w:t>Driving while impaired by drugs</w:t>
      </w:r>
      <w:bookmarkEnd w:id="7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 No. 25 of 2016 s. 31.]</w:t>
      </w:r>
    </w:p>
    <w:p>
      <w:pPr>
        <w:pStyle w:val="Heading5"/>
        <w:spacing w:before="180"/>
        <w:rPr>
          <w:snapToGrid w:val="0"/>
        </w:rPr>
      </w:pPr>
      <w:bookmarkStart w:id="73" w:name="_Toc512325847"/>
      <w:r>
        <w:rPr>
          <w:rStyle w:val="CharSectno"/>
        </w:rPr>
        <w:t>64AC</w:t>
      </w:r>
      <w:r>
        <w:t>.</w:t>
      </w:r>
      <w:r>
        <w:tab/>
      </w:r>
      <w:r>
        <w:rPr>
          <w:snapToGrid w:val="0"/>
        </w:rPr>
        <w:t>Driving with prescribed illicit drug in oral fluid or blood</w:t>
      </w:r>
      <w:bookmarkEnd w:id="73"/>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or 12 hours if the sample was taken under section 66(8B),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 No. 25 of 2016 s. 32.]</w:t>
      </w:r>
    </w:p>
    <w:p>
      <w:pPr>
        <w:pStyle w:val="Heading5"/>
        <w:pageBreakBefore/>
        <w:spacing w:before="0"/>
        <w:rPr>
          <w:snapToGrid w:val="0"/>
        </w:rPr>
      </w:pPr>
      <w:bookmarkStart w:id="74" w:name="_Toc512325848"/>
      <w:r>
        <w:rPr>
          <w:rStyle w:val="CharSectno"/>
        </w:rPr>
        <w:t>65</w:t>
      </w:r>
      <w:r>
        <w:rPr>
          <w:snapToGrid w:val="0"/>
        </w:rPr>
        <w:t>.</w:t>
      </w:r>
      <w:r>
        <w:rPr>
          <w:snapToGrid w:val="0"/>
        </w:rPr>
        <w:tab/>
        <w:t>Terms used in s. 59 to 73</w:t>
      </w:r>
      <w:bookmarkEnd w:id="74"/>
    </w:p>
    <w:p>
      <w:pPr>
        <w:pStyle w:val="Subsection"/>
        <w:keepNext/>
        <w:spacing w:before="120"/>
        <w:rPr>
          <w:snapToGrid w:val="0"/>
        </w:rPr>
      </w:pPr>
      <w:r>
        <w:rPr>
          <w:snapToGrid w:val="0"/>
        </w:rPr>
        <w:tab/>
      </w:r>
      <w:r>
        <w:rPr>
          <w:snapToGrid w:val="0"/>
        </w:rPr>
        <w:tab/>
        <w:t xml:space="preserve">For the purposes of </w:t>
      </w:r>
      <w:r>
        <w:t xml:space="preserve">sections 59 </w:t>
      </w:r>
      <w:r>
        <w:rPr>
          <w:snapToGrid w:val="0"/>
        </w:rPr>
        <w:t>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Commissioner of Police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under section 72(2)(a)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Schedule 4 poison as defined in the </w:t>
      </w:r>
      <w:r>
        <w:rPr>
          <w:i/>
        </w:rPr>
        <w:t>Medicines and Poisons Act 2014</w:t>
      </w:r>
      <w:r>
        <w:t xml:space="preserve"> section 3</w:t>
      </w:r>
      <w:r>
        <w:rPr>
          <w:iCs/>
        </w:rPr>
        <w:t>;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under section 72(2)(b)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prescribed sample taker</w:t>
      </w:r>
      <w:r>
        <w:t xml:space="preserve"> means — </w:t>
      </w:r>
    </w:p>
    <w:p>
      <w:pPr>
        <w:pStyle w:val="Defpara"/>
      </w:pPr>
      <w:r>
        <w:tab/>
        <w:t>(a)</w:t>
      </w:r>
      <w:r>
        <w:tab/>
        <w:t>a medical practitioner or registered nurse; or</w:t>
      </w:r>
    </w:p>
    <w:p>
      <w:pPr>
        <w:pStyle w:val="Defpara"/>
      </w:pPr>
      <w:r>
        <w:tab/>
        <w:t>(b)</w:t>
      </w:r>
      <w:r>
        <w:tab/>
        <w:t>an appropriately qualified person prescribed for the purposes of the provision in which the term is used;</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 No. 13 of 2014 s. 188; No. 25 of 2016 s. 8 and 33.]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75" w:name="_Toc512325849"/>
      <w:r>
        <w:rPr>
          <w:rStyle w:val="CharSectno"/>
        </w:rPr>
        <w:t>65A</w:t>
      </w:r>
      <w:r>
        <w:t>.</w:t>
      </w:r>
      <w:r>
        <w:tab/>
        <w:t>Using breath sample to find blood alcohol content</w:t>
      </w:r>
      <w:bookmarkEnd w:id="75"/>
    </w:p>
    <w:p>
      <w:pPr>
        <w:pStyle w:val="Subsection"/>
        <w:spacing w:before="180"/>
      </w:pPr>
      <w:r>
        <w:tab/>
        <w:t>(1)</w:t>
      </w:r>
      <w:r>
        <w:tab/>
        <w:t>For the purposes of sections 59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 amended by No. 25 of 2016 s. 9.]</w:t>
      </w:r>
    </w:p>
    <w:p>
      <w:pPr>
        <w:pStyle w:val="Heading5"/>
        <w:keepNext w:val="0"/>
        <w:keepLines w:val="0"/>
        <w:rPr>
          <w:snapToGrid w:val="0"/>
        </w:rPr>
      </w:pPr>
      <w:bookmarkStart w:id="76" w:name="_Toc512325850"/>
      <w:r>
        <w:rPr>
          <w:rStyle w:val="CharSectno"/>
        </w:rPr>
        <w:t>66</w:t>
      </w:r>
      <w:r>
        <w:rPr>
          <w:snapToGrid w:val="0"/>
        </w:rPr>
        <w:t>.</w:t>
      </w:r>
      <w:r>
        <w:rPr>
          <w:snapToGrid w:val="0"/>
        </w:rPr>
        <w:tab/>
        <w:t>Breath, blood or urine sample, police powers to require etc.</w:t>
      </w:r>
      <w:bookmarkEnd w:id="76"/>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w:t>
      </w:r>
      <w:r>
        <w:t>section 62B(4) or (5) or 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 xml:space="preserve">section 59(1)(a), (ba) or (bb) or 59A(1)(a), (ba) or (bb)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pPr>
      <w:r>
        <w:tab/>
        <w:t>(cb)</w:t>
      </w:r>
      <w:r>
        <w:tab/>
        <w:t>a police officer has reasonable grounds to believe that —</w:t>
      </w:r>
    </w:p>
    <w:p>
      <w:pPr>
        <w:pStyle w:val="Indenti"/>
      </w:pPr>
      <w:r>
        <w:tab/>
        <w:t>(i)</w:t>
      </w:r>
      <w:r>
        <w:tab/>
        <w:t>an offence against section 59(1)(a), (ba) or (bb) or 59A(1)(a), (ba) or (bb) has been committed by a learner driver; and</w:t>
      </w:r>
    </w:p>
    <w:p>
      <w:pPr>
        <w:pStyle w:val="Indenti"/>
      </w:pPr>
      <w:r>
        <w:tab/>
        <w:t>(ii)</w:t>
      </w:r>
      <w:r>
        <w:tab/>
        <w:t>a person may have been an instructor providing driving instruction to that learner driver at the time of that offence;</w:t>
      </w:r>
    </w:p>
    <w:p>
      <w:pPr>
        <w:pStyle w:val="Indenta"/>
      </w:pPr>
      <w:r>
        <w:tab/>
      </w:r>
      <w:r>
        <w:tab/>
        <w:t>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w:t>
      </w:r>
      <w:r>
        <w:t>63; or</w:t>
      </w:r>
    </w:p>
    <w:p>
      <w:pPr>
        <w:pStyle w:val="Indenta"/>
      </w:pPr>
      <w:r>
        <w:tab/>
        <w:t>(e)</w:t>
      </w:r>
      <w:r>
        <w:tab/>
        <w:t>a police officer has reasonable grounds to believe that —</w:t>
      </w:r>
    </w:p>
    <w:p>
      <w:pPr>
        <w:pStyle w:val="Indenti"/>
      </w:pPr>
      <w:r>
        <w:tab/>
        <w:t>(i)</w:t>
      </w:r>
      <w:r>
        <w:tab/>
        <w:t>the presence of a motor vehicle has occasioned, or its use has been an immediate or proximate cause of, personal injury or damage to property; and</w:t>
      </w:r>
    </w:p>
    <w:p>
      <w:pPr>
        <w:pStyle w:val="Indenti"/>
      </w:pPr>
      <w:r>
        <w:tab/>
        <w:t>(ii)</w:t>
      </w:r>
      <w:r>
        <w:tab/>
        <w:t>a learner driver was driving or attempting to drive the motor vehicle at the time of that presence or use; and</w:t>
      </w:r>
    </w:p>
    <w:p>
      <w:pPr>
        <w:pStyle w:val="Indenti"/>
      </w:pPr>
      <w:r>
        <w:tab/>
        <w:t>(iii)</w:t>
      </w:r>
      <w:r>
        <w:tab/>
        <w:t>a person may have been an instructor providing driving instruction to the learner driver at that time; and</w:t>
      </w:r>
    </w:p>
    <w:p>
      <w:pPr>
        <w:pStyle w:val="Indenti"/>
      </w:pPr>
      <w:r>
        <w:tab/>
        <w:t>(iv)</w:t>
      </w:r>
      <w:r>
        <w:tab/>
        <w:t>at that time, the person would have committed an offence against section 63 if the person had been driving a motor vehicle,</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w:t>
      </w:r>
      <w:r>
        <w:t>prescribed sample taker</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w:t>
      </w:r>
      <w:r>
        <w:t>prescribed sample taker</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w:t>
      </w:r>
      <w:r>
        <w:t>prescribed sample taker</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w:t>
      </w:r>
      <w:r>
        <w:t>prescribed sample taker</w:t>
      </w:r>
      <w:r>
        <w:rPr>
          <w:snapToGrid w:val="0"/>
        </w:rPr>
        <w:t xml:space="preserve"> to take a sample of his blood, and a </w:t>
      </w:r>
      <w:r>
        <w:t>prescribed sample taker</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xml:space="preserve">, (ca), (cb), (d) or (e), </w:t>
      </w:r>
      <w:r>
        <w:rPr>
          <w:snapToGrid w:val="0"/>
        </w:rPr>
        <w:t>require a person to provide a sample of his breath for analysis but is precluded from so doing by subsection (4); and</w:t>
      </w:r>
    </w:p>
    <w:p>
      <w:pPr>
        <w:pStyle w:val="Indenta"/>
        <w:keepNext/>
        <w:rPr>
          <w:snapToGrid w:val="0"/>
        </w:rPr>
      </w:pPr>
      <w:r>
        <w:rPr>
          <w:snapToGrid w:val="0"/>
        </w:rPr>
        <w:tab/>
        <w:t>(b)</w:t>
      </w:r>
      <w:r>
        <w:rPr>
          <w:snapToGrid w:val="0"/>
        </w:rPr>
        <w:tab/>
        <w:t xml:space="preserve">under subsection (5), the </w:t>
      </w:r>
      <w:r>
        <w:t>police officer</w:t>
      </w:r>
      <w:r>
        <w:rPr>
          <w:snapToGrid w:val="0"/>
        </w:rPr>
        <w:t xml:space="preserve"> requires the person to allow a </w:t>
      </w:r>
      <w:r>
        <w:t>prescribed sample taker</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w:t>
      </w:r>
      <w:r>
        <w:t>prescribed sample taker</w:t>
      </w:r>
      <w:r>
        <w:rPr>
          <w:snapToGrid w:val="0"/>
        </w:rPr>
        <w:t xml:space="preserve"> with a sample of his urine for analysis.</w:t>
      </w:r>
    </w:p>
    <w:p>
      <w:pPr>
        <w:pStyle w:val="Subsection"/>
      </w:pPr>
      <w:r>
        <w:tab/>
        <w:t>(7)</w:t>
      </w:r>
      <w:r>
        <w:tab/>
        <w:t xml:space="preserve">Subsection (8B) applies if a police officer has reasonable grounds to believe that — </w:t>
      </w:r>
    </w:p>
    <w:p>
      <w:pPr>
        <w:pStyle w:val="Indenta"/>
      </w:pPr>
      <w:r>
        <w:tab/>
        <w:t>(a)</w:t>
      </w:r>
      <w:r>
        <w:tab/>
        <w:t>the presence of a motor vehicle has occasioned, or its use has been an immediate or proximate cause of serious bodily harm to, or the death of, a person; and</w:t>
      </w:r>
    </w:p>
    <w:p>
      <w:pPr>
        <w:pStyle w:val="Indenta"/>
      </w:pPr>
      <w:r>
        <w:tab/>
        <w:t>(b)</w:t>
      </w:r>
      <w:r>
        <w:tab/>
        <w:t>a person (</w:t>
      </w:r>
      <w:r>
        <w:rPr>
          <w:rStyle w:val="CharDefText"/>
          <w:b w:val="0"/>
          <w:i w:val="0"/>
        </w:rPr>
        <w:t>the</w:t>
      </w:r>
      <w:r>
        <w:rPr>
          <w:rStyle w:val="CharDefText"/>
        </w:rPr>
        <w:t xml:space="preserve"> person</w:t>
      </w:r>
      <w:r>
        <w:t>) may have been the driver or person in charge of the motor vehicle at the time of that presence or use.</w:t>
      </w:r>
    </w:p>
    <w:p>
      <w:pPr>
        <w:pStyle w:val="Subsection"/>
      </w:pPr>
      <w:r>
        <w:tab/>
        <w:t>(8A)</w:t>
      </w:r>
      <w:r>
        <w:tab/>
        <w:t xml:space="preserve">In subsection (7) — </w:t>
      </w:r>
    </w:p>
    <w:p>
      <w:pPr>
        <w:pStyle w:val="Defstart"/>
      </w:pPr>
      <w:r>
        <w:tab/>
      </w:r>
      <w:r>
        <w:rPr>
          <w:rStyle w:val="CharDefText"/>
        </w:rPr>
        <w:t>serious bodily harm</w:t>
      </w:r>
      <w:r>
        <w:t>, in relation to a person, means bodily harm that the police officer has reasonable grounds to believe is likely to require the attendance of the person at a hospital (whether or not that is practicable).</w:t>
      </w:r>
    </w:p>
    <w:p>
      <w:pPr>
        <w:pStyle w:val="Subsection"/>
      </w:pPr>
      <w:r>
        <w:tab/>
        <w:t>(8B)</w:t>
      </w:r>
      <w:r>
        <w:tab/>
        <w:t xml:space="preserve">If this subsection applies, a police officer may — </w:t>
      </w:r>
    </w:p>
    <w:p>
      <w:pPr>
        <w:pStyle w:val="Indenta"/>
      </w:pPr>
      <w:r>
        <w:tab/>
        <w:t>(a)</w:t>
      </w:r>
      <w:r>
        <w:tab/>
        <w:t xml:space="preserve">require the person to do one or both of the following — </w:t>
      </w:r>
    </w:p>
    <w:p>
      <w:pPr>
        <w:pStyle w:val="Indenti"/>
      </w:pPr>
      <w:r>
        <w:tab/>
        <w:t>(i)</w:t>
      </w:r>
      <w:r>
        <w:tab/>
        <w:t>allow a prescribed sample taker to take a sample of the person’s blood for analysis;</w:t>
      </w:r>
    </w:p>
    <w:p>
      <w:pPr>
        <w:pStyle w:val="Indenti"/>
      </w:pPr>
      <w:r>
        <w:tab/>
        <w:t>(ii)</w:t>
      </w:r>
      <w:r>
        <w:tab/>
        <w:t>provide a sample of the person’s urine for analysis;</w:t>
      </w:r>
    </w:p>
    <w:p>
      <w:pPr>
        <w:pStyle w:val="Indenta"/>
      </w:pPr>
      <w:r>
        <w:tab/>
      </w:r>
      <w:r>
        <w:tab/>
        <w:t>or</w:t>
      </w:r>
    </w:p>
    <w:p>
      <w:pPr>
        <w:pStyle w:val="Indenta"/>
      </w:pPr>
      <w:r>
        <w:tab/>
        <w:t>(b)</w:t>
      </w:r>
      <w:r>
        <w:tab/>
        <w:t>where the person is incapable of complying with that requirement — cause a prescribed sample taker to take a sample of the person’s blood for analysis.</w:t>
      </w:r>
    </w:p>
    <w:p>
      <w:pPr>
        <w:pStyle w:val="Subsection"/>
      </w:pPr>
      <w:r>
        <w:tab/>
        <w:t>(8C)</w:t>
      </w:r>
      <w:r>
        <w:tab/>
        <w:t>For the purposes of subsection (8B), a police officer may require the person to accompany a police officer to a police station or some other place, and may require the person to wait at the police station or place.</w:t>
      </w:r>
    </w:p>
    <w:p>
      <w:pPr>
        <w:pStyle w:val="Subsection"/>
      </w:pPr>
      <w:r>
        <w:tab/>
        <w:t>(8)</w:t>
      </w:r>
      <w:r>
        <w:tab/>
        <w:t>A police officer must not make a requirement under subsection (8B)(a), or cause a prescribed sample taker to take a sample under subsection (8B)(b), if it appears to the police officer that the sample cannot be taken or provided within 12 hours after the time of the presence or use of the motor vehicle referred to in subsection (7)(a).</w:t>
      </w:r>
    </w:p>
    <w:p>
      <w:pPr>
        <w:pStyle w:val="Ednotesubsection"/>
        <w:ind w:left="0" w:firstLine="0"/>
      </w:pPr>
      <w:r>
        <w:tab/>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xml:space="preserve">, (ca), (cb), (d) or (e) </w:t>
      </w:r>
      <w:r>
        <w:rPr>
          <w:snapToGrid w:val="0"/>
        </w:rPr>
        <w:t>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 xml:space="preserve">to allow a </w:t>
      </w:r>
      <w:r>
        <w:t>prescribed sample taker</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 xml:space="preserve">to provide a </w:t>
      </w:r>
      <w:r>
        <w:t>prescribed sample taker</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keepNext/>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 xml:space="preserve">to allow a </w:t>
      </w:r>
      <w:r>
        <w:t>prescribed sample taker</w:t>
      </w:r>
      <w:r>
        <w:rPr>
          <w:snapToGrid w:val="0"/>
        </w:rPr>
        <w:t xml:space="preserve"> to take a sample of his blood; or</w:t>
      </w:r>
    </w:p>
    <w:p>
      <w:pPr>
        <w:pStyle w:val="Indenta"/>
        <w:spacing w:before="100"/>
        <w:rPr>
          <w:snapToGrid w:val="0"/>
        </w:rPr>
      </w:pPr>
      <w:r>
        <w:rPr>
          <w:snapToGrid w:val="0"/>
        </w:rPr>
        <w:tab/>
        <w:t>(b)</w:t>
      </w:r>
      <w:r>
        <w:rPr>
          <w:snapToGrid w:val="0"/>
        </w:rPr>
        <w:tab/>
        <w:t xml:space="preserve">to provide a </w:t>
      </w:r>
      <w:r>
        <w:t>prescribed sample taker</w:t>
      </w:r>
      <w:r>
        <w:rPr>
          <w:snapToGrid w:val="0"/>
        </w:rPr>
        <w:t xml:space="preserve"> with a sample of his urine,</w:t>
      </w:r>
    </w:p>
    <w:p>
      <w:pPr>
        <w:pStyle w:val="Subsection"/>
        <w:spacing w:before="120"/>
        <w:rPr>
          <w:snapToGrid w:val="0"/>
        </w:rPr>
      </w:pPr>
      <w:r>
        <w:rPr>
          <w:snapToGrid w:val="0"/>
        </w:rPr>
        <w:tab/>
      </w:r>
      <w:r>
        <w:rPr>
          <w:snapToGrid w:val="0"/>
        </w:rPr>
        <w:tab/>
        <w:t xml:space="preserve">under subsection (11), and a </w:t>
      </w:r>
      <w:r>
        <w:t>prescribed sample taker</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rPr>
          <w:i/>
          <w:snapToGrid w:val="0"/>
        </w:rPr>
      </w:pPr>
      <w:r>
        <w:rPr>
          <w:i/>
          <w:snapToGrid w:val="0"/>
        </w:rPr>
        <w:tab/>
      </w:r>
      <w:r>
        <w:rPr>
          <w:i/>
          <w:snapToGrid w:val="0"/>
        </w:rP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37; No. 2 of 2015 s. 8; No. 25 of 2016 s. 34, 40 and 47.]</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77" w:name="_Toc512325851"/>
      <w:r>
        <w:rPr>
          <w:rStyle w:val="CharSectno"/>
        </w:rPr>
        <w:t>66A</w:t>
      </w:r>
      <w:r>
        <w:t>.</w:t>
      </w:r>
      <w:r>
        <w:tab/>
        <w:t>Drug impairment, police powers to require driver assessment for etc.</w:t>
      </w:r>
      <w:bookmarkEnd w:id="77"/>
    </w:p>
    <w:p>
      <w:pPr>
        <w:pStyle w:val="Subsection"/>
      </w:pPr>
      <w:r>
        <w:tab/>
        <w:t>(1A)</w:t>
      </w:r>
      <w:r>
        <w:tab/>
        <w:t>In this section an instructor providing driving instruction to a learner driver is not to be taken, under section 49AA, to be in charge of the motor vehicle driven by the learner driver.</w:t>
      </w:r>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keepNext/>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 No. 25 of 2016 s. 48.]</w:t>
      </w:r>
    </w:p>
    <w:p>
      <w:pPr>
        <w:pStyle w:val="Heading5"/>
        <w:spacing w:before="180"/>
      </w:pPr>
      <w:bookmarkStart w:id="78" w:name="_Toc512325852"/>
      <w:r>
        <w:rPr>
          <w:rStyle w:val="CharSectno"/>
        </w:rPr>
        <w:t>66B</w:t>
      </w:r>
      <w:r>
        <w:t>.</w:t>
      </w:r>
      <w:r>
        <w:tab/>
        <w:t>Blood or urine sample for drug analysis, police powers to require etc.</w:t>
      </w:r>
      <w:bookmarkEnd w:id="78"/>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w:t>
      </w:r>
      <w:r>
        <w:t>prescribed sample taker</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 xml:space="preserve">to provide a </w:t>
      </w:r>
      <w:r>
        <w:t>prescribed sample taker</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w:t>
      </w:r>
      <w:r>
        <w:t>prescribed sample taker</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prescribed sample taker to take a sample of </w:t>
      </w:r>
      <w:r>
        <w:rPr>
          <w:snapToGrid w:val="0"/>
        </w:rPr>
        <w:t>the person’s blood</w:t>
      </w:r>
      <w:r>
        <w:t>; or</w:t>
      </w:r>
    </w:p>
    <w:p>
      <w:pPr>
        <w:pStyle w:val="Indenta"/>
        <w:spacing w:before="60"/>
      </w:pPr>
      <w:r>
        <w:tab/>
        <w:t>(b)</w:t>
      </w:r>
      <w:r>
        <w:tab/>
        <w:t xml:space="preserve">to provide a prescribed sample taker with a sample of </w:t>
      </w:r>
      <w:r>
        <w:rPr>
          <w:snapToGrid w:val="0"/>
        </w:rPr>
        <w:t>the person’s urine</w:t>
      </w:r>
      <w:r>
        <w:t>,</w:t>
      </w:r>
    </w:p>
    <w:p>
      <w:pPr>
        <w:pStyle w:val="Subsection"/>
        <w:spacing w:before="120"/>
        <w:rPr>
          <w:snapToGrid w:val="0"/>
        </w:rPr>
      </w:pPr>
      <w:r>
        <w:rPr>
          <w:snapToGrid w:val="0"/>
        </w:rPr>
        <w:tab/>
      </w:r>
      <w:r>
        <w:rPr>
          <w:snapToGrid w:val="0"/>
        </w:rPr>
        <w:tab/>
        <w:t xml:space="preserve">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 No. 25 of 2016 s. 40.]</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79" w:name="_Toc512325853"/>
      <w:r>
        <w:rPr>
          <w:rStyle w:val="CharSectno"/>
        </w:rPr>
        <w:t>66C</w:t>
      </w:r>
      <w:r>
        <w:t>.</w:t>
      </w:r>
      <w:r>
        <w:tab/>
        <w:t>P</w:t>
      </w:r>
      <w:r>
        <w:rPr>
          <w:snapToGrid w:val="0"/>
        </w:rPr>
        <w:t>reliminary oral fluid test, police powers to require etc.</w:t>
      </w:r>
      <w:bookmarkEnd w:id="79"/>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Pr>
      <w:bookmarkStart w:id="80" w:name="_Toc512325854"/>
      <w:r>
        <w:rPr>
          <w:rStyle w:val="CharSectno"/>
        </w:rPr>
        <w:t>66D</w:t>
      </w:r>
      <w:r>
        <w:t>.</w:t>
      </w:r>
      <w:r>
        <w:tab/>
        <w:t>Oral fluid sample, police powers to require etc.</w:t>
      </w:r>
      <w:bookmarkEnd w:id="80"/>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81" w:name="_Toc512325855"/>
      <w:r>
        <w:rPr>
          <w:rStyle w:val="CharSectno"/>
        </w:rPr>
        <w:t>66E</w:t>
      </w:r>
      <w:r>
        <w:t>.</w:t>
      </w:r>
      <w:r>
        <w:tab/>
        <w:t>Blood sample instead of oral fluid sample, police powers to require etc.</w:t>
      </w:r>
      <w:bookmarkEnd w:id="81"/>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w:t>
      </w:r>
      <w:r>
        <w:t>prescribed sample taker</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w:t>
      </w:r>
      <w:r>
        <w:t>prescribed sample taker</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prescribed sample taker to take a sample of </w:t>
      </w:r>
      <w:r>
        <w:rPr>
          <w:snapToGrid w:val="0"/>
        </w:rPr>
        <w:t xml:space="preserve">the person’s blood under subsection (1), and a </w:t>
      </w:r>
      <w:r>
        <w:t>prescribed sample taker</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 No. 25 of 2016 s. 40.]</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82" w:name="_Toc512325856"/>
      <w:r>
        <w:rPr>
          <w:rStyle w:val="CharSectno"/>
        </w:rPr>
        <w:t>66F</w:t>
      </w:r>
      <w:r>
        <w:t>.</w:t>
      </w:r>
      <w:r>
        <w:tab/>
        <w:t>Prescribed sample takers authorised to take blood samples</w:t>
      </w:r>
      <w:bookmarkEnd w:id="8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 xml:space="preserve">requires a person to allow a </w:t>
      </w:r>
      <w:r>
        <w:t>prescribed sample taker</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 xml:space="preserve">prescribed sample taker </w:t>
      </w:r>
      <w:r>
        <w:rPr>
          <w:snapToGrid w:val="0"/>
        </w:rPr>
        <w:t>to take a sample of a person’s blood for analysis,</w:t>
      </w:r>
    </w:p>
    <w:p>
      <w:pPr>
        <w:pStyle w:val="Subsection"/>
        <w:rPr>
          <w:snapToGrid w:val="0"/>
        </w:rPr>
      </w:pPr>
      <w:r>
        <w:rPr>
          <w:snapToGrid w:val="0"/>
        </w:rPr>
        <w:tab/>
      </w:r>
      <w:r>
        <w:rPr>
          <w:snapToGrid w:val="0"/>
        </w:rPr>
        <w:tab/>
        <w:t xml:space="preserve">this section authorises the </w:t>
      </w:r>
      <w:r>
        <w:t>prescribed sample taker</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w:t>
      </w:r>
      <w:r>
        <w:t>prescribed sample taker</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 No. 25 of 2016 s. 40.]</w:t>
      </w:r>
    </w:p>
    <w:p>
      <w:pPr>
        <w:pStyle w:val="Heading5"/>
        <w:spacing w:before="180"/>
        <w:rPr>
          <w:snapToGrid w:val="0"/>
        </w:rPr>
      </w:pPr>
      <w:bookmarkStart w:id="83" w:name="_Toc512325857"/>
      <w:r>
        <w:rPr>
          <w:rStyle w:val="CharSectno"/>
        </w:rPr>
        <w:t>67</w:t>
      </w:r>
      <w:r>
        <w:rPr>
          <w:snapToGrid w:val="0"/>
        </w:rPr>
        <w:t>.</w:t>
      </w:r>
      <w:r>
        <w:rPr>
          <w:snapToGrid w:val="0"/>
        </w:rPr>
        <w:tab/>
        <w:t>Failure to comply with s. 66 requirement to provide sample, allow sample to be taken or to accompany police officer</w:t>
      </w:r>
      <w:bookmarkEnd w:id="83"/>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his blood for analysis; or</w:t>
      </w:r>
    </w:p>
    <w:p>
      <w:pPr>
        <w:pStyle w:val="Indenta"/>
        <w:rPr>
          <w:snapToGrid w:val="0"/>
        </w:rPr>
      </w:pPr>
      <w:r>
        <w:rPr>
          <w:snapToGrid w:val="0"/>
        </w:rPr>
        <w:tab/>
        <w:t>(c)</w:t>
      </w:r>
      <w:r>
        <w:rPr>
          <w:snapToGrid w:val="0"/>
        </w:rPr>
        <w:tab/>
        <w:t xml:space="preserve">to provide a </w:t>
      </w:r>
      <w:r>
        <w:t>prescribed sample taker</w:t>
      </w:r>
      <w:r>
        <w:rPr>
          <w:snapToGrid w:val="0"/>
        </w:rPr>
        <w:t xml:space="preserve"> with a sample of his urine for</w:t>
      </w:r>
      <w:r>
        <w:t xml:space="preserve"> analysis; or</w:t>
      </w:r>
    </w:p>
    <w:p>
      <w:pPr>
        <w:pStyle w:val="Indenta"/>
      </w:pPr>
      <w:r>
        <w:tab/>
        <w:t>(d)</w:t>
      </w:r>
      <w:r>
        <w:tab/>
        <w:t>to accompany a police officer to a police station or some other place, and to wait at that place,</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 No. 25 of 2016 s. 10, 40 and 49.]</w:t>
      </w:r>
    </w:p>
    <w:p>
      <w:pPr>
        <w:pStyle w:val="Heading5"/>
        <w:spacing w:before="180"/>
        <w:rPr>
          <w:snapToGrid w:val="0"/>
        </w:rPr>
      </w:pPr>
      <w:bookmarkStart w:id="84" w:name="_Toc512325858"/>
      <w:r>
        <w:rPr>
          <w:rStyle w:val="CharSectno"/>
        </w:rPr>
        <w:t>67AA</w:t>
      </w:r>
      <w:r>
        <w:rPr>
          <w:snapToGrid w:val="0"/>
        </w:rPr>
        <w:t>.</w:t>
      </w:r>
      <w:r>
        <w:rPr>
          <w:snapToGrid w:val="0"/>
        </w:rPr>
        <w:tab/>
        <w:t>Failure to comply with s. 66A or 66B requirement to do driver assessment or provide blood or urine sample</w:t>
      </w:r>
      <w:bookmarkEnd w:id="84"/>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 or</w:t>
      </w:r>
    </w:p>
    <w:p>
      <w:pPr>
        <w:pStyle w:val="Indenta"/>
        <w:keepNext/>
        <w:keepLines/>
        <w:rPr>
          <w:snapToGrid w:val="0"/>
        </w:rPr>
      </w:pPr>
      <w:r>
        <w:rPr>
          <w:snapToGrid w:val="0"/>
        </w:rPr>
        <w:tab/>
        <w:t>(c)</w:t>
      </w:r>
      <w:r>
        <w:rPr>
          <w:snapToGrid w:val="0"/>
        </w:rPr>
        <w:tab/>
        <w:t xml:space="preserve">to provide a </w:t>
      </w:r>
      <w:r>
        <w:t>prescribed sample taker</w:t>
      </w:r>
      <w:r>
        <w:rPr>
          <w:snapToGrid w:val="0"/>
        </w:rPr>
        <w:t xml:space="preserv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 No. 25 of 2016 s. 40.]</w:t>
      </w:r>
    </w:p>
    <w:p>
      <w:pPr>
        <w:pStyle w:val="Heading5"/>
        <w:rPr>
          <w:snapToGrid w:val="0"/>
        </w:rPr>
      </w:pPr>
      <w:bookmarkStart w:id="85" w:name="_Toc512325859"/>
      <w:r>
        <w:rPr>
          <w:rStyle w:val="CharSectno"/>
        </w:rPr>
        <w:t>67AB</w:t>
      </w:r>
      <w:r>
        <w:rPr>
          <w:snapToGrid w:val="0"/>
        </w:rPr>
        <w:t>.</w:t>
      </w:r>
      <w:r>
        <w:rPr>
          <w:snapToGrid w:val="0"/>
        </w:rPr>
        <w:tab/>
        <w:t>Failure to comply with s. 66D or 66E requirement to provide oral fluid or blood sample</w:t>
      </w:r>
      <w:bookmarkEnd w:id="8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w:t>
      </w:r>
      <w:r>
        <w:t xml:space="preserve">person, other than a person to whom section 68A(3) applies, </w:t>
      </w:r>
      <w:r>
        <w:rPr>
          <w:snapToGrid w:val="0"/>
        </w:rPr>
        <w:t xml:space="preserve">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 xml:space="preserve">to allow a </w:t>
      </w:r>
      <w:r>
        <w:t>prescribed sample taker</w:t>
      </w:r>
      <w:r>
        <w:rPr>
          <w:snapToGrid w:val="0"/>
        </w:rPr>
        <w:t xml:space="preserv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 No. 25 of 2016 s. 40 and 50.]</w:t>
      </w:r>
    </w:p>
    <w:p>
      <w:pPr>
        <w:pStyle w:val="Heading5"/>
        <w:rPr>
          <w:snapToGrid w:val="0"/>
        </w:rPr>
      </w:pPr>
      <w:bookmarkStart w:id="86" w:name="_Toc512325860"/>
      <w:r>
        <w:rPr>
          <w:rStyle w:val="CharSectno"/>
        </w:rPr>
        <w:t>67A</w:t>
      </w:r>
      <w:r>
        <w:rPr>
          <w:snapToGrid w:val="0"/>
        </w:rPr>
        <w:t>.</w:t>
      </w:r>
      <w:r>
        <w:rPr>
          <w:snapToGrid w:val="0"/>
        </w:rPr>
        <w:tab/>
        <w:t>Failure to comply with other requirements of police officer</w:t>
      </w:r>
      <w:bookmarkEnd w:id="86"/>
    </w:p>
    <w:p>
      <w:pPr>
        <w:pStyle w:val="Subsection"/>
        <w:rPr>
          <w:snapToGrid w:val="0"/>
        </w:rPr>
      </w:pPr>
      <w:r>
        <w:rPr>
          <w:snapToGrid w:val="0"/>
        </w:rPr>
        <w:tab/>
        <w:t>(1)</w:t>
      </w:r>
      <w:r>
        <w:rPr>
          <w:snapToGrid w:val="0"/>
        </w:rPr>
        <w:tab/>
        <w:t xml:space="preserve">Subject to subsection (2), a </w:t>
      </w:r>
      <w:r>
        <w:t xml:space="preserve">person, other than a person to whom section 68A(3) applies, </w:t>
      </w:r>
      <w:r>
        <w:rPr>
          <w:snapToGrid w:val="0"/>
        </w:rPr>
        <w:t xml:space="preserve">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 xml:space="preserve">This section does not apply to a </w:t>
      </w:r>
      <w:r>
        <w:t>prescribed sample taker</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 No. 25 of 2016 s. 40 and 51.]</w:t>
      </w:r>
    </w:p>
    <w:p>
      <w:pPr>
        <w:pStyle w:val="Heading5"/>
        <w:pageBreakBefore/>
        <w:spacing w:before="0"/>
      </w:pPr>
      <w:bookmarkStart w:id="87" w:name="_Toc512325861"/>
      <w:r>
        <w:rPr>
          <w:rStyle w:val="CharSectno"/>
        </w:rPr>
        <w:t>68A</w:t>
      </w:r>
      <w:r>
        <w:t>.</w:t>
      </w:r>
      <w:r>
        <w:tab/>
        <w:t>Failure to comply with s. 66, 66C, 66D or 66E requirement: instructors</w:t>
      </w:r>
      <w:bookmarkEnd w:id="87"/>
    </w:p>
    <w:p>
      <w:pPr>
        <w:pStyle w:val="Subsection"/>
      </w:pPr>
      <w:r>
        <w:tab/>
        <w:t>(1)</w:t>
      </w:r>
      <w:r>
        <w:tab/>
        <w:t xml:space="preserve">In this section — </w:t>
      </w:r>
    </w:p>
    <w:p>
      <w:pPr>
        <w:pStyle w:val="Defstart"/>
      </w:pPr>
      <w:r>
        <w:tab/>
      </w:r>
      <w:r>
        <w:rPr>
          <w:rStyle w:val="CharDefText"/>
        </w:rPr>
        <w:t>requirement</w:t>
      </w:r>
      <w:r>
        <w:t xml:space="preserve"> means a requirement of a police officer made under section 66, 66C, 66D or 66E.</w:t>
      </w:r>
    </w:p>
    <w:p>
      <w:pPr>
        <w:pStyle w:val="Subsection"/>
      </w:pPr>
      <w:r>
        <w:tab/>
        <w:t>(2)</w:t>
      </w:r>
      <w:r>
        <w:tab/>
        <w:t xml:space="preserve">Subsection (3) applies to a person of whom a requirement was made on the basis that the person was, or that there were reasonable grounds to believe that the person was, an instructor providing driving instruction to a learner driver. </w:t>
      </w:r>
    </w:p>
    <w:p>
      <w:pPr>
        <w:pStyle w:val="Subsection"/>
      </w:pPr>
      <w:r>
        <w:tab/>
        <w:t>(3)</w:t>
      </w:r>
      <w:r>
        <w:tab/>
        <w:t>A person to whom this subsection applies who fails to comply with a requirement commits an offence.</w:t>
      </w:r>
    </w:p>
    <w:p>
      <w:pPr>
        <w:pStyle w:val="Subsection"/>
      </w:pPr>
      <w:r>
        <w:tab/>
        <w:t>(4)</w:t>
      </w:r>
      <w:r>
        <w:tab/>
        <w:t>A person convicted of an offence against this section is liable to a fine of 20 PU.</w:t>
      </w:r>
    </w:p>
    <w:p>
      <w:pPr>
        <w:pStyle w:val="Subsection"/>
      </w:pPr>
      <w:r>
        <w:tab/>
        <w:t>(5)</w:t>
      </w:r>
      <w:r>
        <w:tab/>
        <w:t>It is a defence to a prosecution for an offence against this section if the accused satisfies the court that there was some substantial reason for the accused’s failure to comply other than a desire to avoid providing information that might be used as evidence.</w:t>
      </w:r>
    </w:p>
    <w:p>
      <w:pPr>
        <w:pStyle w:val="Subsection"/>
      </w:pPr>
      <w:r>
        <w:tab/>
        <w:t>(6)</w:t>
      </w:r>
      <w:r>
        <w:tab/>
        <w:t>Without limiting the generality of subsection (5), it is a defence to a prosecution for failing to comply with a requirement under section 66, to provide a urine sample, if the accused satisfies the court that the accused attempted to comply with the requirement.</w:t>
      </w:r>
    </w:p>
    <w:p>
      <w:pPr>
        <w:pStyle w:val="Subsection"/>
      </w:pPr>
      <w:r>
        <w:tab/>
        <w:t>(7)</w:t>
      </w:r>
      <w:r>
        <w:tab/>
        <w:t xml:space="preserve">Without limiting the generality of subsection (5), it is a defence to a prosecution for failing to comply with a requirement to provide a sample of breath for a preliminary test if the accused satisfies the court that the accused complied with a requirement under section 66, to provide a sample of breath for analysis or to allow a sample of blood to be taken for analysis, that arose out of — </w:t>
      </w:r>
    </w:p>
    <w:p>
      <w:pPr>
        <w:pStyle w:val="Indenta"/>
      </w:pPr>
      <w:r>
        <w:tab/>
        <w:t>(a)</w:t>
      </w:r>
      <w:r>
        <w:tab/>
        <w:t>the accused’s failure to comply with the requirement to provide a sample of breath for a preliminary test; or</w:t>
      </w:r>
    </w:p>
    <w:p>
      <w:pPr>
        <w:pStyle w:val="Indenta"/>
      </w:pPr>
      <w:r>
        <w:tab/>
        <w:t>(b)</w:t>
      </w:r>
      <w:r>
        <w:tab/>
        <w:t>the circumstances that gave rise to the requirement to provide a sample of breath for a preliminary test.</w:t>
      </w:r>
    </w:p>
    <w:p>
      <w:pPr>
        <w:pStyle w:val="Footnotesection"/>
      </w:pPr>
      <w:r>
        <w:tab/>
        <w:t>[Section 68A inserted by No. 25 of 2016 s. 52.]</w:t>
      </w:r>
    </w:p>
    <w:p>
      <w:pPr>
        <w:pStyle w:val="Heading5"/>
        <w:rPr>
          <w:snapToGrid w:val="0"/>
        </w:rPr>
      </w:pPr>
      <w:bookmarkStart w:id="88" w:name="_Toc512325862"/>
      <w:r>
        <w:rPr>
          <w:rStyle w:val="CharSectno"/>
        </w:rPr>
        <w:t>68</w:t>
      </w:r>
      <w:r>
        <w:rPr>
          <w:snapToGrid w:val="0"/>
        </w:rPr>
        <w:t>.</w:t>
      </w:r>
      <w:r>
        <w:rPr>
          <w:snapToGrid w:val="0"/>
        </w:rPr>
        <w:tab/>
        <w:t>Breath sample, analysis of etc.</w:t>
      </w:r>
      <w:bookmarkEnd w:id="8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w:t>
      </w:r>
      <w:r>
        <w:t>prescribed sample taker</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 No. 25 of 2016 s. 40.]</w:t>
      </w:r>
    </w:p>
    <w:p>
      <w:pPr>
        <w:pStyle w:val="Heading5"/>
        <w:rPr>
          <w:snapToGrid w:val="0"/>
        </w:rPr>
      </w:pPr>
      <w:bookmarkStart w:id="89" w:name="_Toc512325863"/>
      <w:r>
        <w:rPr>
          <w:rStyle w:val="CharSectno"/>
        </w:rPr>
        <w:t>69</w:t>
      </w:r>
      <w:r>
        <w:rPr>
          <w:snapToGrid w:val="0"/>
        </w:rPr>
        <w:t>.</w:t>
      </w:r>
      <w:r>
        <w:rPr>
          <w:snapToGrid w:val="0"/>
        </w:rPr>
        <w:tab/>
        <w:t>Blood sample, taking and analysis of</w:t>
      </w:r>
      <w:bookmarkEnd w:id="89"/>
    </w:p>
    <w:p>
      <w:pPr>
        <w:pStyle w:val="Subsection"/>
        <w:rPr>
          <w:snapToGrid w:val="0"/>
        </w:rPr>
      </w:pPr>
      <w:r>
        <w:rPr>
          <w:snapToGrid w:val="0"/>
        </w:rPr>
        <w:tab/>
        <w:t>(1)</w:t>
      </w:r>
      <w:r>
        <w:rPr>
          <w:snapToGrid w:val="0"/>
        </w:rPr>
        <w:tab/>
        <w:t xml:space="preserve">Where, pursuant to the provisions of section 66, 66B or 66E, a </w:t>
      </w:r>
      <w:r>
        <w:t>prescribed sample taker</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w:t>
      </w:r>
      <w:r>
        <w:t>Act.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pPr>
      <w:r>
        <w:tab/>
        <w:t>(2A)</w:t>
      </w:r>
      <w:r>
        <w:tab/>
        <w:t>The prescribed sample taker must ensure that both samples are delivered to a police officer.</w:t>
      </w:r>
    </w:p>
    <w:p>
      <w:pPr>
        <w:pStyle w:val="Subsection"/>
      </w:pPr>
      <w:r>
        <w:tab/>
        <w:t>(2B)</w:t>
      </w:r>
      <w:r>
        <w:tab/>
        <w:t>One of the samples must be delivered, on behalf of the person from whom the samples were taken, to the Chemistry Centre (WA) by a police officer or a person appointed or engaged for that purpose.</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 No. 25 of 2016 s. 35 and 40.]</w:t>
      </w:r>
    </w:p>
    <w:p>
      <w:pPr>
        <w:pStyle w:val="Heading5"/>
        <w:keepNext w:val="0"/>
        <w:keepLines w:val="0"/>
        <w:rPr>
          <w:snapToGrid w:val="0"/>
        </w:rPr>
      </w:pPr>
      <w:bookmarkStart w:id="90" w:name="_Toc512325864"/>
      <w:r>
        <w:rPr>
          <w:rStyle w:val="CharSectno"/>
        </w:rPr>
        <w:t>69A</w:t>
      </w:r>
      <w:r>
        <w:rPr>
          <w:snapToGrid w:val="0"/>
        </w:rPr>
        <w:t>.</w:t>
      </w:r>
      <w:r>
        <w:rPr>
          <w:snapToGrid w:val="0"/>
        </w:rPr>
        <w:tab/>
        <w:t>Urine sample, taking of</w:t>
      </w:r>
      <w:bookmarkEnd w:id="90"/>
    </w:p>
    <w:p>
      <w:pPr>
        <w:pStyle w:val="Subsection"/>
        <w:spacing w:before="200"/>
        <w:rPr>
          <w:snapToGrid w:val="0"/>
        </w:rPr>
      </w:pPr>
      <w:r>
        <w:rPr>
          <w:snapToGrid w:val="0"/>
        </w:rPr>
        <w:tab/>
      </w:r>
      <w:r>
        <w:t>(1)</w:t>
      </w:r>
      <w:r>
        <w:tab/>
        <w:t>Where pursuant</w:t>
      </w:r>
      <w:r>
        <w:rPr>
          <w:snapToGrid w:val="0"/>
        </w:rPr>
        <w:t xml:space="preserve"> to section 66 or 66B a person provides a </w:t>
      </w:r>
      <w:r>
        <w:t>prescribed sample taker</w:t>
      </w:r>
      <w:r>
        <w:rPr>
          <w:snapToGrid w:val="0"/>
        </w:rPr>
        <w:t xml:space="preserve"> with a sample of his urine for analysis the sample shall be collected in prescribed equipment and shall be divided into 2 parts, each of which shall be deemed to be a sample of the person’s urine for the purposes of this Act.</w:t>
      </w:r>
    </w:p>
    <w:p>
      <w:pPr>
        <w:pStyle w:val="Subsection"/>
      </w:pPr>
      <w:r>
        <w:tab/>
        <w:t>(2)</w:t>
      </w:r>
      <w:r>
        <w:tab/>
        <w:t>The prescribed sample taker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69A inserted by No. 82 of 1982 s. 17; amended by No. 39 of 2000 s. 36; No. 6 of 2007 s. 13; No. 8 of 2012 s. 37; No. 25 of 2016 s. 36 and 40.]</w:t>
      </w:r>
    </w:p>
    <w:p>
      <w:pPr>
        <w:pStyle w:val="Heading5"/>
        <w:spacing w:before="240"/>
      </w:pPr>
      <w:bookmarkStart w:id="91" w:name="_Toc512325865"/>
      <w:r>
        <w:rPr>
          <w:rStyle w:val="CharSectno"/>
        </w:rPr>
        <w:t>69B</w:t>
      </w:r>
      <w:r>
        <w:t>.</w:t>
      </w:r>
      <w:r>
        <w:tab/>
        <w:t>Oral fluid sample, taking of</w:t>
      </w:r>
      <w:bookmarkEnd w:id="91"/>
    </w:p>
    <w:p>
      <w:pPr>
        <w:pStyle w:val="Subsection"/>
        <w:spacing w:before="200"/>
        <w:rPr>
          <w:snapToGrid w:val="0"/>
        </w:rPr>
      </w:pPr>
      <w:r>
        <w:tab/>
        <w:t>(1)</w:t>
      </w:r>
      <w:r>
        <w:tab/>
        <w:t xml:space="preserve">If the drug </w:t>
      </w:r>
      <w:r>
        <w:rPr>
          <w:snapToGrid w:val="0"/>
        </w:rPr>
        <w:t xml:space="preserve">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w:t>
      </w:r>
      <w:r>
        <w:t>Act.</w:t>
      </w:r>
    </w:p>
    <w:p>
      <w:pPr>
        <w:pStyle w:val="Subsection"/>
      </w:pPr>
      <w:r>
        <w:tab/>
        <w:t>(2)</w:t>
      </w:r>
      <w:r>
        <w:tab/>
        <w:t>The authorised drug tester must ensure that both samples are delivered to a police officer.</w:t>
      </w:r>
    </w:p>
    <w:p>
      <w:pPr>
        <w:pStyle w:val="Subsection"/>
      </w:pPr>
      <w:r>
        <w:tab/>
        <w:t>(3)</w:t>
      </w:r>
      <w:r>
        <w:tab/>
        <w:t>One of the samples must be delivered, on behalf of the person who provided the samples, to the Chemistry Centre (WA) by a police officer or a person appointed or engaged for that purpose.</w:t>
      </w:r>
    </w:p>
    <w:p>
      <w:pPr>
        <w:pStyle w:val="Footnotesection"/>
        <w:ind w:left="890" w:hanging="890"/>
      </w:pPr>
      <w:r>
        <w:tab/>
        <w:t>[Section 69B inserted by No. 6 of 2007 s. 14; amended by No. 8 of 2012 s. 37; No. 25 of 2016 s. 37.]</w:t>
      </w:r>
    </w:p>
    <w:p>
      <w:pPr>
        <w:pStyle w:val="Heading5"/>
      </w:pPr>
      <w:bookmarkStart w:id="92" w:name="_Toc512325866"/>
      <w:r>
        <w:rPr>
          <w:rStyle w:val="CharSectno"/>
        </w:rPr>
        <w:t>70A</w:t>
      </w:r>
      <w:r>
        <w:t>.</w:t>
      </w:r>
      <w:r>
        <w:tab/>
        <w:t>Blood, urine or oral fluid sample: delivery of person’s sample to Chemistry Centre (WA)</w:t>
      </w:r>
      <w:bookmarkEnd w:id="92"/>
    </w:p>
    <w:p>
      <w:pPr>
        <w:pStyle w:val="Subsection"/>
      </w:pPr>
      <w:r>
        <w:tab/>
        <w:t>(1)</w:t>
      </w:r>
      <w:r>
        <w:tab/>
        <w:t>A sample of blood, urine or oral fluid delivered to the Chemistry Centre (WA) on behalf of a person under section 69(2B), 69A(3) or 69B(3) must be retained, and appropriately stored, by the Chemistry Centre (WA) until the person requests the sample.</w:t>
      </w:r>
    </w:p>
    <w:p>
      <w:pPr>
        <w:pStyle w:val="Subsection"/>
      </w:pPr>
      <w:r>
        <w:tab/>
        <w:t>(2)</w:t>
      </w:r>
      <w:r>
        <w:tab/>
        <w:t xml:space="preserve">The person may, within 3 months after the day on which the sample was delivered to the Chemistry Centre (WA), request that the sample be delivered to an analyst (as defined in the </w:t>
      </w:r>
      <w:r>
        <w:rPr>
          <w:i/>
        </w:rPr>
        <w:t>Misuse of Drugs Act 1981</w:t>
      </w:r>
      <w:r>
        <w:t xml:space="preserve"> section 3(1)) nominated by the person, for analysis.</w:t>
      </w:r>
    </w:p>
    <w:p>
      <w:pPr>
        <w:pStyle w:val="Subsection"/>
      </w:pPr>
      <w:r>
        <w:tab/>
        <w:t>(3)</w:t>
      </w:r>
      <w:r>
        <w:tab/>
        <w:t>The cost of delivering the sample is to be paid for by the person.</w:t>
      </w:r>
    </w:p>
    <w:p>
      <w:pPr>
        <w:pStyle w:val="Subsection"/>
      </w:pPr>
      <w:r>
        <w:tab/>
        <w:t>(4)</w:t>
      </w:r>
      <w:r>
        <w:tab/>
        <w:t>Despite subsection (1), the Chemistry Centre (WA) need not store the sample for more than 3 months.</w:t>
      </w:r>
    </w:p>
    <w:p>
      <w:pPr>
        <w:pStyle w:val="Footnotesection"/>
        <w:keepLines w:val="0"/>
        <w:spacing w:before="160"/>
        <w:ind w:left="890" w:hanging="890"/>
      </w:pPr>
      <w:r>
        <w:tab/>
        <w:t>[Section 70A inserted by No. 25 of 2016 s. 38.]</w:t>
      </w:r>
    </w:p>
    <w:p>
      <w:pPr>
        <w:pStyle w:val="Heading5"/>
      </w:pPr>
      <w:bookmarkStart w:id="93" w:name="_Toc512325867"/>
      <w:r>
        <w:rPr>
          <w:rStyle w:val="CharSectno"/>
        </w:rPr>
        <w:t>70B</w:t>
      </w:r>
      <w:r>
        <w:t>.</w:t>
      </w:r>
      <w:r>
        <w:tab/>
        <w:t>Evidence of delivery of blood, urine or oral fluid samples</w:t>
      </w:r>
      <w:bookmarkEnd w:id="93"/>
    </w:p>
    <w:p>
      <w:pPr>
        <w:pStyle w:val="Subsection"/>
      </w:pPr>
      <w:r>
        <w:tab/>
        <w:t>(1)</w:t>
      </w:r>
      <w:r>
        <w:tab/>
        <w:t>In proceedings for an offence against section 62B, 62C, 63, 64, 64AA, 64A, 64AAA, 64AB or 64AC, evidence of the delivery of a sample to an analyst or drug analyst may be given in the form of a certificate in which a person who took delivery of the sample sets out the prescribed particulars of the delivery of the sample to the person together with their signature.</w:t>
      </w:r>
    </w:p>
    <w:p>
      <w:pPr>
        <w:pStyle w:val="Subsection"/>
        <w:keepNext/>
      </w:pPr>
      <w:r>
        <w:tab/>
        <w:t>(2)</w:t>
      </w:r>
      <w:r>
        <w:tab/>
        <w:t xml:space="preserve">In the absence of evidence to the contrary — </w:t>
      </w:r>
    </w:p>
    <w:p>
      <w:pPr>
        <w:pStyle w:val="Indenta"/>
      </w:pPr>
      <w:r>
        <w:tab/>
        <w:t>(a)</w:t>
      </w:r>
      <w:r>
        <w:tab/>
        <w:t>it is to be presumed that each signature on the certificate is the signature of the person of whom it purports to be the signature; and</w:t>
      </w:r>
    </w:p>
    <w:p>
      <w:pPr>
        <w:pStyle w:val="Indenta"/>
      </w:pPr>
      <w:r>
        <w:tab/>
        <w:t>(b)</w:t>
      </w:r>
      <w:r>
        <w:tab/>
        <w:t>the certificate is evidence of its contents.</w:t>
      </w:r>
    </w:p>
    <w:p>
      <w:pPr>
        <w:pStyle w:val="Subsection"/>
      </w:pPr>
      <w:r>
        <w:tab/>
        <w:t>(3)</w:t>
      </w:r>
      <w:r>
        <w:tab/>
        <w:t>Except with the consent of the accused, evidence of the delivery of a sample to a person in the form of a certificate cannot be given in the proceedings and, if it is given, is not admissible, unless a copy of the certificate is given to the accused at least 28 days before the proceedings.</w:t>
      </w:r>
    </w:p>
    <w:p>
      <w:pPr>
        <w:pStyle w:val="Subsection"/>
      </w:pPr>
      <w:r>
        <w:tab/>
        <w:t>(4)</w:t>
      </w:r>
      <w:r>
        <w:tab/>
        <w:t xml:space="preserve">If a copy of the certificate has been given as required by subsection (3), the accused cannot challenge or call into question a matter set out in the certificate unless — </w:t>
      </w:r>
    </w:p>
    <w:p>
      <w:pPr>
        <w:pStyle w:val="Indenta"/>
      </w:pPr>
      <w:r>
        <w:tab/>
        <w:t>(a)</w:t>
      </w:r>
      <w:r>
        <w:tab/>
        <w:t>notice in writing of the accused’s intention is given to the prosecutor at least 14 days before the proceedings; or</w:t>
      </w:r>
    </w:p>
    <w:p>
      <w:pPr>
        <w:pStyle w:val="Indenta"/>
      </w:pPr>
      <w:r>
        <w:tab/>
        <w:t>(b)</w:t>
      </w:r>
      <w:r>
        <w:tab/>
        <w:t>the court, in the interests of justice, gives the accused leave to so do.</w:t>
      </w:r>
    </w:p>
    <w:p>
      <w:pPr>
        <w:pStyle w:val="Subsection"/>
      </w:pPr>
      <w:r>
        <w:tab/>
        <w:t>(5)</w:t>
      </w:r>
      <w:r>
        <w:tab/>
        <w:t>A notice under subsection (4)(a) must specify the matter that is to be challenged or called into question.</w:t>
      </w:r>
    </w:p>
    <w:p>
      <w:pPr>
        <w:pStyle w:val="Footnotesection"/>
        <w:keepLines w:val="0"/>
        <w:spacing w:before="160"/>
        <w:ind w:left="890" w:hanging="890"/>
      </w:pPr>
      <w:r>
        <w:tab/>
        <w:t>[Section 70B inserted by No. 25 of 2016 s. 38; amended by No. 25 of 2016 s. 53.]</w:t>
      </w:r>
    </w:p>
    <w:p>
      <w:pPr>
        <w:pStyle w:val="Heading5"/>
        <w:spacing w:before="120"/>
        <w:rPr>
          <w:snapToGrid w:val="0"/>
        </w:rPr>
      </w:pPr>
      <w:bookmarkStart w:id="94" w:name="_Toc512325868"/>
      <w:r>
        <w:rPr>
          <w:rStyle w:val="CharSectno"/>
        </w:rPr>
        <w:t>70</w:t>
      </w:r>
      <w:r>
        <w:rPr>
          <w:snapToGrid w:val="0"/>
        </w:rPr>
        <w:t>.</w:t>
      </w:r>
      <w:r>
        <w:rPr>
          <w:snapToGrid w:val="0"/>
        </w:rPr>
        <w:tab/>
        <w:t>Evidentiary provisions</w:t>
      </w:r>
      <w:bookmarkEnd w:id="94"/>
    </w:p>
    <w:p>
      <w:pPr>
        <w:pStyle w:val="Subsection"/>
        <w:spacing w:before="120"/>
        <w:rPr>
          <w:snapToGrid w:val="0"/>
        </w:rPr>
      </w:pPr>
      <w:r>
        <w:rPr>
          <w:snapToGrid w:val="0"/>
        </w:rPr>
        <w:tab/>
        <w:t>(1)</w:t>
      </w:r>
      <w:r>
        <w:rPr>
          <w:snapToGrid w:val="0"/>
        </w:rPr>
        <w:tab/>
        <w:t>Without affecting the admissibility of any other evidence that may then be given, in any proceeding for an offence against section </w:t>
      </w:r>
      <w:r>
        <w:t>62B,</w:t>
      </w:r>
      <w:r>
        <w:rPr>
          <w:snapToGrid w:val="0"/>
        </w:rPr>
        <w:t>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 xml:space="preserve">the taking of a sample of blood from the person by a </w:t>
      </w:r>
      <w:r>
        <w:t>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 xml:space="preserve">Commissioner of Police, </w:t>
      </w:r>
      <w:r>
        <w:rPr>
          <w:snapToGrid w:val="0"/>
        </w:rPr>
        <w:t>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w:t>
      </w:r>
      <w:r>
        <w:t xml:space="preserve"> prescribed sample taker</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 xml:space="preserve">is prima facie evidence of the matters therein certified or set out, without proof of the signature of the person purporting to have signed it or proof that the purported signatory was </w:t>
      </w:r>
      <w:r>
        <w:t>the Commissioner of Police, the chief executive officer of the Chemistry Centre (WA), an authorised person, a technologist, a prescribed sample taker or an analyst (as is relevant).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t>62C or</w:t>
      </w:r>
      <w:r>
        <w:rPr>
          <w:rFonts w:eastAsia="Arial Unicode MS"/>
        </w:rPr>
        <w:t>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w:t>
      </w:r>
      <w:r>
        <w:t xml:space="preserve"> prescribed sample taker</w:t>
      </w:r>
      <w:r>
        <w:rPr>
          <w:snapToGrid w:val="0"/>
        </w:rPr>
        <w:t xml:space="preserve">, if taken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(b)</w:t>
      </w:r>
      <w:r>
        <w:rPr>
          <w:snapToGrid w:val="0"/>
        </w:rPr>
        <w:tab/>
        <w:t xml:space="preserve">the provision of a sample of urine by the person for analysis, if provided within </w:t>
      </w:r>
      <w:r>
        <w:t xml:space="preserve">4 hours, or 12 hours if the sample was taken under section 66(8B), </w:t>
      </w:r>
      <w:r>
        <w:rPr>
          <w:snapToGrid w:val="0"/>
        </w:rPr>
        <w:t>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w:t>
      </w:r>
      <w:r>
        <w:t xml:space="preserve"> prescribed sample taker</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w:t>
      </w:r>
      <w:r>
        <w:t xml:space="preserve"> prescribed sample taker</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xml:space="preserve">, or was such a technologist, or was a </w:t>
      </w:r>
      <w:r>
        <w:t xml:space="preserve">prescribed sample taker,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w:t>
      </w:r>
      <w:r>
        <w:t>or 68A</w:t>
      </w:r>
      <w:r>
        <w:rPr>
          <w:snapToGrid w:val="0"/>
        </w:rPr>
        <w:t xml:space="preserve"> a certificate in the prescribed form purporting to be signed by the </w:t>
      </w:r>
      <w:r>
        <w:t xml:space="preserve">Commissioner of Police, </w:t>
      </w:r>
      <w:r>
        <w:rPr>
          <w:snapToGrid w:val="0"/>
        </w:rPr>
        <w:t>certifying that a person therein named is, or was at the material time, an authorised person is prima facie evidence of the matters therein certified, without proof of the signature of the person purporting to have signed it or proof that the purported signatory was</w:t>
      </w:r>
      <w:r>
        <w:t xml:space="preserve"> the Commissioner of Police.</w:t>
      </w:r>
    </w:p>
    <w:p>
      <w:pPr>
        <w:pStyle w:val="Subsection"/>
      </w:pPr>
      <w:r>
        <w:tab/>
        <w:t>(3d)</w:t>
      </w:r>
      <w:r>
        <w:tab/>
        <w:t xml:space="preserve">In any proceeding for an offence against section 67A(1) or 68A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67A or 68A.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67A or 68A.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67A or 68A.</w:t>
      </w:r>
    </w:p>
    <w:p>
      <w:pPr>
        <w:pStyle w:val="Subsection"/>
        <w:keepLines/>
        <w:rPr>
          <w:snapToGrid w:val="0"/>
        </w:rPr>
      </w:pPr>
      <w:r>
        <w:rPr>
          <w:snapToGrid w:val="0"/>
        </w:rPr>
        <w:tab/>
        <w:t>(6)</w:t>
      </w:r>
      <w:r>
        <w:rPr>
          <w:snapToGrid w:val="0"/>
        </w:rPr>
        <w:tab/>
        <w:t xml:space="preserve">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w:t>
      </w:r>
      <w:r>
        <w:t>67AA, 67A or 68A.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(Miscellaneous Provisions)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 No. 19 of 2016 s. 101; No. 25 of 2016 s. 11, 39, 40 and 54.]</w:t>
      </w:r>
    </w:p>
    <w:p>
      <w:pPr>
        <w:pStyle w:val="Heading5"/>
        <w:rPr>
          <w:snapToGrid w:val="0"/>
        </w:rPr>
      </w:pPr>
      <w:bookmarkStart w:id="95" w:name="_Toc512325869"/>
      <w:r>
        <w:rPr>
          <w:rStyle w:val="CharSectno"/>
        </w:rPr>
        <w:t>71</w:t>
      </w:r>
      <w:r>
        <w:rPr>
          <w:snapToGrid w:val="0"/>
        </w:rPr>
        <w:t>.</w:t>
      </w:r>
      <w:r>
        <w:rPr>
          <w:snapToGrid w:val="0"/>
        </w:rPr>
        <w:tab/>
        <w:t>Blood alcohol content at material time, how calculated</w:t>
      </w:r>
      <w:bookmarkEnd w:id="95"/>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Pr>
      <w:bookmarkStart w:id="96" w:name="_Toc512325870"/>
      <w:r>
        <w:rPr>
          <w:rStyle w:val="CharSectno"/>
        </w:rPr>
        <w:t>71A</w:t>
      </w:r>
      <w:r>
        <w:t>.</w:t>
      </w:r>
      <w:r>
        <w:tab/>
        <w:t>Samples not to be used to obtain DNA</w:t>
      </w:r>
      <w:bookmarkEnd w:id="9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97" w:name="_Toc512325871"/>
      <w:r>
        <w:rPr>
          <w:rStyle w:val="CharSectno"/>
        </w:rPr>
        <w:t>71B</w:t>
      </w:r>
      <w:r>
        <w:t>.</w:t>
      </w:r>
      <w:r>
        <w:tab/>
        <w:t>Preventing use of vehicle by alleged offender, police powers for</w:t>
      </w:r>
      <w:bookmarkEnd w:id="97"/>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pageBreakBefore/>
        <w:spacing w:before="0"/>
      </w:pPr>
      <w:bookmarkStart w:id="98" w:name="_Toc512325872"/>
      <w:r>
        <w:rPr>
          <w:rStyle w:val="CharSectno"/>
        </w:rPr>
        <w:t>71C</w:t>
      </w:r>
      <w:r>
        <w:t>.</w:t>
      </w:r>
      <w:r>
        <w:tab/>
        <w:t>Disqualification by police officer</w:t>
      </w:r>
      <w:bookmarkEnd w:id="98"/>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99" w:name="_Toc512325873"/>
      <w:r>
        <w:rPr>
          <w:rStyle w:val="CharSectno"/>
        </w:rPr>
        <w:t>71D</w:t>
      </w:r>
      <w:r>
        <w:t>.</w:t>
      </w:r>
      <w:r>
        <w:tab/>
        <w:t>Disqualification notice (s. 71C), consequences of</w:t>
      </w:r>
      <w:bookmarkEnd w:id="99"/>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100" w:name="_Toc512325874"/>
      <w:r>
        <w:rPr>
          <w:rStyle w:val="CharSectno"/>
        </w:rPr>
        <w:t>71E</w:t>
      </w:r>
      <w:r>
        <w:t>.</w:t>
      </w:r>
      <w:r>
        <w:tab/>
        <w:t>Revocation of disqualification notice by police officer</w:t>
      </w:r>
      <w:bookmarkEnd w:id="100"/>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101" w:name="_Toc512325875"/>
      <w:r>
        <w:rPr>
          <w:rStyle w:val="CharSectno"/>
        </w:rPr>
        <w:t>71F</w:t>
      </w:r>
      <w:r>
        <w:t>.</w:t>
      </w:r>
      <w:r>
        <w:tab/>
        <w:t>Disqualification notice (s. 71C), court may order police to revoke</w:t>
      </w:r>
      <w:bookmarkEnd w:id="101"/>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102" w:name="_Toc512325876"/>
      <w:r>
        <w:rPr>
          <w:rStyle w:val="CharSectno"/>
        </w:rPr>
        <w:t>71G</w:t>
      </w:r>
      <w:r>
        <w:t>.</w:t>
      </w:r>
      <w:r>
        <w:tab/>
        <w:t>Disqualification notice (s. 71C) automatically revoked on acquittal etc.</w:t>
      </w:r>
      <w:bookmarkEnd w:id="102"/>
    </w:p>
    <w:p>
      <w:pPr>
        <w:pStyle w:val="Subsection"/>
        <w:keepNext/>
        <w:keepLines/>
      </w:pPr>
      <w:r>
        <w:tab/>
        <w:t>(1)</w:t>
      </w:r>
      <w:r>
        <w:tab/>
        <w:t xml:space="preserve">If a court — </w:t>
      </w:r>
    </w:p>
    <w:p>
      <w:pPr>
        <w:pStyle w:val="Indenta"/>
        <w:spacing w:before="120"/>
      </w:pPr>
      <w:r>
        <w:tab/>
        <w:t>(a)</w:t>
      </w:r>
      <w:r>
        <w:tab/>
        <w:t>acquits a person of an offence to which a disqualification notice relates; or</w:t>
      </w:r>
    </w:p>
    <w:p>
      <w:pPr>
        <w:pStyle w:val="Indenta"/>
        <w:spacing w:before="120"/>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103" w:name="_Toc512325877"/>
      <w:r>
        <w:rPr>
          <w:rStyle w:val="CharSectno"/>
        </w:rPr>
        <w:t>71H</w:t>
      </w:r>
      <w:r>
        <w:t>.</w:t>
      </w:r>
      <w:r>
        <w:tab/>
        <w:t>Period of disqualification under s. 71C notice to be taken into account in sentencing</w:t>
      </w:r>
      <w:bookmarkEnd w:id="103"/>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rPr>
          <w:snapToGrid w:val="0"/>
        </w:rPr>
      </w:pPr>
      <w:bookmarkStart w:id="104" w:name="_Toc512325878"/>
      <w:r>
        <w:rPr>
          <w:rStyle w:val="CharSectno"/>
        </w:rPr>
        <w:t>72</w:t>
      </w:r>
      <w:r>
        <w:rPr>
          <w:snapToGrid w:val="0"/>
        </w:rPr>
        <w:t>.</w:t>
      </w:r>
      <w:r>
        <w:rPr>
          <w:snapToGrid w:val="0"/>
        </w:rPr>
        <w:tab/>
        <w:t>Taking and testing samples: regulations for s. 59 to 73, and approval of apparatus and persons</w:t>
      </w:r>
      <w:bookmarkEnd w:id="104"/>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 xml:space="preserve">sections 59 </w:t>
      </w:r>
      <w:r>
        <w:rPr>
          <w:snapToGrid w:val="0"/>
        </w:rPr>
        <w:t>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 xml:space="preserve">prescribing the fees payable to a </w:t>
      </w:r>
      <w:r>
        <w:t>prescribed sample taker</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keepNext/>
      </w:pPr>
      <w:r>
        <w:tab/>
        <w:t>(3A)</w:t>
      </w:r>
      <w:r>
        <w:tab/>
        <w:t xml:space="preserve">In subsections (2) and (2a) — </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w:t>
      </w:r>
      <w:r>
        <w:t xml:space="preserve"> substances,</w:t>
      </w:r>
    </w:p>
    <w:p>
      <w:pPr>
        <w:pStyle w:val="Ednotepara"/>
        <w:rPr>
          <w:snapToGrid w:val="0"/>
        </w:rPr>
      </w:pPr>
      <w:r>
        <w:rPr>
          <w:snapToGrid w:val="0"/>
        </w:rPr>
        <w:tab/>
        <w:t>[(b)</w:t>
      </w:r>
      <w:r>
        <w:rPr>
          <w:snapToGrid w:val="0"/>
        </w:rPr>
        <w:tab/>
        <w:t>deleted]</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 xml:space="preserve">The Commissioner of Police may, from time to time — </w:t>
      </w:r>
    </w:p>
    <w:p>
      <w:pPr>
        <w:pStyle w:val="Indenta"/>
      </w:pPr>
      <w:r>
        <w:tab/>
        <w:t>(a)</w:t>
      </w:r>
      <w:r>
        <w:tab/>
        <w:t>certify a person as being competent to operate all types of breath analysing equipment; and</w:t>
      </w:r>
    </w:p>
    <w:p>
      <w:pPr>
        <w:pStyle w:val="Indenta"/>
      </w:pPr>
      <w:r>
        <w:tab/>
        <w:t>(b)</w:t>
      </w:r>
      <w:r>
        <w:tab/>
        <w:t>authorise a person to collect, and conduct drug testing of, samples of oral fluid for the purposes of section 66D; and</w:t>
      </w:r>
    </w:p>
    <w:p>
      <w:pPr>
        <w:pStyle w:val="Indenta"/>
      </w:pPr>
      <w:r>
        <w:tab/>
        <w:t>(c)</w:t>
      </w:r>
      <w:r>
        <w:tab/>
        <w:t>rescind or revoke a certificate or an authorisation.</w:t>
      </w:r>
    </w:p>
    <w:p>
      <w:pPr>
        <w:pStyle w:val="Subsection"/>
      </w:pPr>
      <w:r>
        <w:tab/>
        <w:t>(5)</w:t>
      </w:r>
      <w:r>
        <w:tab/>
        <w:t>The Commissioner of Police must not certify a person under subsection (4)(a) unless, in the Commissioner’s opinion, the person has the appropriate training to operate all types of breath analysing equipment.</w:t>
      </w:r>
    </w:p>
    <w:p>
      <w:pPr>
        <w:pStyle w:val="Subsection"/>
      </w:pPr>
      <w:r>
        <w:tab/>
        <w:t>(6)</w:t>
      </w:r>
      <w:r>
        <w:tab/>
        <w:t>The Commissioner of Police must not authorise a person under subsection (4)(b) unless, in the Commissioner’s opinion, the person has the appropriate training to collect, and conduct drug testing of, samples of oral fluid in accordance with the regulations.</w:t>
      </w:r>
    </w:p>
    <w:p>
      <w:pPr>
        <w:pStyle w:val="Subsection"/>
      </w:pPr>
      <w:r>
        <w:tab/>
        <w:t>(7)</w:t>
      </w:r>
      <w:r>
        <w:tab/>
        <w:t xml:space="preserve">If the certification of a person by the chief executive officer of the Chemistry Centre (WA) under subsection (3)(b) </w:t>
      </w:r>
      <w:r>
        <w:rPr>
          <w:snapToGrid w:val="0"/>
        </w:rPr>
        <w:t xml:space="preserve">was in effect immediately before </w:t>
      </w:r>
      <w:r>
        <w:t>commencement</w:t>
      </w:r>
      <w:r>
        <w:rPr>
          <w:snapToGrid w:val="0"/>
        </w:rPr>
        <w:t xml:space="preserve"> day, the </w:t>
      </w:r>
      <w:r>
        <w:t xml:space="preserve">certification </w:t>
      </w:r>
      <w:r>
        <w:rPr>
          <w:snapToGrid w:val="0"/>
        </w:rPr>
        <w:t xml:space="preserve">has effect, on and after </w:t>
      </w:r>
      <w:r>
        <w:t>commencement day,</w:t>
      </w:r>
      <w:r>
        <w:rPr>
          <w:snapToGrid w:val="0"/>
        </w:rPr>
        <w:t xml:space="preserve"> as if it were the certification of the person by the </w:t>
      </w:r>
      <w:r>
        <w:t>Commissioner of Police under subsection (4)(a) (including for the purposes of section 70(2)(a)).</w:t>
      </w:r>
    </w:p>
    <w:p>
      <w:pPr>
        <w:pStyle w:val="Subsection"/>
        <w:keepNext/>
      </w:pPr>
      <w:r>
        <w:tab/>
        <w:t>(8)</w:t>
      </w:r>
      <w:r>
        <w:tab/>
        <w:t xml:space="preserve">In subsection (7) — </w:t>
      </w:r>
    </w:p>
    <w:p>
      <w:pPr>
        <w:pStyle w:val="Defstart"/>
        <w:keepNext/>
      </w:pPr>
      <w:r>
        <w:tab/>
      </w:r>
      <w:r>
        <w:rPr>
          <w:rStyle w:val="CharDefText"/>
        </w:rPr>
        <w:t>commencement day</w:t>
      </w:r>
      <w:r>
        <w:t xml:space="preserve"> means the day on which the </w:t>
      </w:r>
      <w:r>
        <w:rPr>
          <w:i/>
        </w:rPr>
        <w:t>Road Traffic Legislation Amendment Act 2016</w:t>
      </w:r>
      <w:r>
        <w:t xml:space="preserve"> section 12 comes into operation.</w:t>
      </w:r>
    </w:p>
    <w:p>
      <w:pPr>
        <w:pStyle w:val="Footnotesection"/>
      </w:pPr>
      <w:r>
        <w:tab/>
        <w:t>[Section 72 amended by No. 82 of 1982 s. 19; No. 121 of 1987 s. 10; No. 19 of 1990 s. 8; No. 39 of 2000 s. 36; No. 44 of 2004 s. 11; No. 6 of 2007 s. 17; No. 10 of 2007 s. 43; No. 39 of 2007 s. 15; No. 25 of 2016 s. 12 and 40.]</w:t>
      </w:r>
    </w:p>
    <w:p>
      <w:pPr>
        <w:pStyle w:val="Heading5"/>
        <w:keepNext w:val="0"/>
        <w:keepLines w:val="0"/>
        <w:spacing w:before="180"/>
      </w:pPr>
      <w:bookmarkStart w:id="105" w:name="_Toc512325879"/>
      <w:r>
        <w:rPr>
          <w:rStyle w:val="CharSectno"/>
        </w:rPr>
        <w:t>72A</w:t>
      </w:r>
      <w:r>
        <w:t>.</w:t>
      </w:r>
      <w:r>
        <w:tab/>
        <w:t>Review of 2007 amendments to Act about drugs</w:t>
      </w:r>
      <w:bookmarkEnd w:id="105"/>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06" w:name="_Toc491075069"/>
      <w:bookmarkStart w:id="107" w:name="_Toc497206371"/>
      <w:bookmarkStart w:id="108" w:name="_Toc499733129"/>
      <w:bookmarkStart w:id="109" w:name="_Toc500926230"/>
      <w:bookmarkStart w:id="110" w:name="_Toc512325880"/>
      <w:r>
        <w:rPr>
          <w:rStyle w:val="CharDivNo"/>
        </w:rPr>
        <w:t>Division 3</w:t>
      </w:r>
      <w:r>
        <w:t> — </w:t>
      </w:r>
      <w:r>
        <w:rPr>
          <w:rStyle w:val="CharDivText"/>
        </w:rPr>
        <w:t>General matters as to driving offences</w:t>
      </w:r>
      <w:bookmarkEnd w:id="106"/>
      <w:bookmarkEnd w:id="107"/>
      <w:bookmarkEnd w:id="108"/>
      <w:bookmarkEnd w:id="109"/>
      <w:bookmarkEnd w:id="110"/>
    </w:p>
    <w:p>
      <w:pPr>
        <w:pStyle w:val="Footnoteheading"/>
        <w:keepNext/>
        <w:keepLines/>
      </w:pPr>
      <w:r>
        <w:tab/>
        <w:t>[Heading inserted by No. 10 of 2004 s. 10.]</w:t>
      </w:r>
    </w:p>
    <w:p>
      <w:pPr>
        <w:pStyle w:val="Heading5"/>
        <w:rPr>
          <w:snapToGrid w:val="0"/>
        </w:rPr>
      </w:pPr>
      <w:bookmarkStart w:id="111" w:name="_Toc512325881"/>
      <w:r>
        <w:rPr>
          <w:rStyle w:val="CharSectno"/>
        </w:rPr>
        <w:t>73</w:t>
      </w:r>
      <w:r>
        <w:rPr>
          <w:snapToGrid w:val="0"/>
        </w:rPr>
        <w:t>.</w:t>
      </w:r>
      <w:r>
        <w:rPr>
          <w:snapToGrid w:val="0"/>
        </w:rPr>
        <w:tab/>
        <w:t>Certain offences extend to driving or attempting to drive in public places</w:t>
      </w:r>
      <w:bookmarkEnd w:id="111"/>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Ednotesection"/>
      </w:pPr>
      <w:r>
        <w:t>[</w:t>
      </w:r>
      <w:r>
        <w:rPr>
          <w:b/>
        </w:rPr>
        <w:t>74.</w:t>
      </w:r>
      <w:r>
        <w:tab/>
        <w:t>Deleted by No. 51 of 2016 s. 13.]</w:t>
      </w:r>
    </w:p>
    <w:p>
      <w:pPr>
        <w:pStyle w:val="Ednotesection"/>
        <w:spacing w:before="160"/>
        <w:ind w:left="890" w:hanging="890"/>
      </w:pPr>
      <w:r>
        <w:t>[</w:t>
      </w:r>
      <w:r>
        <w:rPr>
          <w:b/>
        </w:rPr>
        <w:t>75-78.</w:t>
      </w:r>
      <w:r>
        <w:tab/>
        <w:t>Deleted by No. 8 of 2012 s. 20.]</w:t>
      </w:r>
    </w:p>
    <w:p>
      <w:pPr>
        <w:pStyle w:val="Heading3"/>
        <w:keepLines/>
        <w:spacing w:before="200"/>
      </w:pPr>
      <w:bookmarkStart w:id="112" w:name="_Toc491075071"/>
      <w:bookmarkStart w:id="113" w:name="_Toc497206373"/>
      <w:bookmarkStart w:id="114" w:name="_Toc499733131"/>
      <w:bookmarkStart w:id="115" w:name="_Toc500926232"/>
      <w:bookmarkStart w:id="116" w:name="_Toc512325882"/>
      <w:r>
        <w:rPr>
          <w:rStyle w:val="CharDivNo"/>
        </w:rPr>
        <w:t>Division 4</w:t>
      </w:r>
      <w:r>
        <w:t> — </w:t>
      </w:r>
      <w:r>
        <w:rPr>
          <w:rStyle w:val="CharDivText"/>
        </w:rPr>
        <w:t>Impounding and confiscation of vehicles for certain offences</w:t>
      </w:r>
      <w:bookmarkEnd w:id="112"/>
      <w:bookmarkEnd w:id="113"/>
      <w:bookmarkEnd w:id="114"/>
      <w:bookmarkEnd w:id="115"/>
      <w:bookmarkEnd w:id="116"/>
    </w:p>
    <w:p>
      <w:pPr>
        <w:pStyle w:val="Footnoteheading"/>
        <w:keepNext/>
        <w:keepLines/>
      </w:pPr>
      <w:r>
        <w:tab/>
        <w:t>[Heading inserted by No. 10 of 2004 s. 13; amended by No. 4 of 2007 s. 12.]</w:t>
      </w:r>
    </w:p>
    <w:p>
      <w:pPr>
        <w:pStyle w:val="Heading4"/>
        <w:spacing w:before="200"/>
      </w:pPr>
      <w:bookmarkStart w:id="117" w:name="_Toc491075072"/>
      <w:bookmarkStart w:id="118" w:name="_Toc497206374"/>
      <w:bookmarkStart w:id="119" w:name="_Toc499733132"/>
      <w:bookmarkStart w:id="120" w:name="_Toc500926233"/>
      <w:bookmarkStart w:id="121" w:name="_Toc512325883"/>
      <w:r>
        <w:t>Subdivision 1 — Preliminary</w:t>
      </w:r>
      <w:bookmarkEnd w:id="117"/>
      <w:bookmarkEnd w:id="118"/>
      <w:bookmarkEnd w:id="119"/>
      <w:bookmarkEnd w:id="120"/>
      <w:bookmarkEnd w:id="121"/>
    </w:p>
    <w:p>
      <w:pPr>
        <w:pStyle w:val="Footnoteheading"/>
      </w:pPr>
      <w:r>
        <w:tab/>
        <w:t>[Heading inserted by No. 10 of 2004 s. 13.]</w:t>
      </w:r>
    </w:p>
    <w:p>
      <w:pPr>
        <w:pStyle w:val="Heading5"/>
        <w:spacing w:before="180"/>
      </w:pPr>
      <w:bookmarkStart w:id="122" w:name="_Toc512325884"/>
      <w:r>
        <w:rPr>
          <w:rStyle w:val="CharSectno"/>
        </w:rPr>
        <w:t>78A</w:t>
      </w:r>
      <w:r>
        <w:t>.</w:t>
      </w:r>
      <w:r>
        <w:tab/>
        <w:t>Terms used</w:t>
      </w:r>
      <w:bookmarkEnd w:id="122"/>
    </w:p>
    <w:p>
      <w:pPr>
        <w:pStyle w:val="Subsection"/>
      </w:pPr>
      <w:r>
        <w:tab/>
        <w:t>(1)</w:t>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w:t>
      </w:r>
      <w:r>
        <w:t>, in relation to a vehicle, means to store the vehicle following its seizure or surrender;</w:t>
      </w:r>
    </w:p>
    <w:p>
      <w:pPr>
        <w:pStyle w:val="Defstart"/>
        <w:keepNex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(ca), (c) or (da);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keepNext/>
      </w:pPr>
      <w:r>
        <w:tab/>
      </w:r>
      <w:r>
        <w:rPr>
          <w:rStyle w:val="CharDefText"/>
        </w:rPr>
        <w:t>impounding offence (driving)</w:t>
      </w:r>
      <w:r>
        <w:t xml:space="preserve"> means — </w:t>
      </w:r>
    </w:p>
    <w:p>
      <w:pPr>
        <w:pStyle w:val="Defpara"/>
      </w:pPr>
      <w:r>
        <w:tab/>
        <w:t>(a)</w:t>
      </w:r>
      <w:r>
        <w:tab/>
        <w:t>an offence against section 60, 60A or 62A; or</w:t>
      </w:r>
    </w:p>
    <w:p>
      <w:pPr>
        <w:pStyle w:val="Defpara"/>
      </w:pPr>
      <w:r>
        <w:tab/>
        <w:t>(b)</w:t>
      </w:r>
      <w:r>
        <w:tab/>
        <w:t xml:space="preserve">an offence committed before the coming into operation of the </w:t>
      </w:r>
      <w:r>
        <w:rPr>
          <w:i/>
        </w:rPr>
        <w:t>Road Traffic Amendment (Impounding and Confiscation of Vehicles) Act 2016</w:t>
      </w:r>
      <w:r>
        <w:t xml:space="preserve"> section 14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 </w:t>
      </w:r>
    </w:p>
    <w:p>
      <w:pPr>
        <w:pStyle w:val="Defpara"/>
      </w:pPr>
      <w:r>
        <w:tab/>
        <w:t>(a)</w:t>
      </w:r>
      <w:r>
        <w:tab/>
        <w:t>a court order made under section 80A, 80B(1), 80C(1), 80CA(1), 80CB(1) or 80FA; or</w:t>
      </w:r>
    </w:p>
    <w:p>
      <w:pPr>
        <w:pStyle w:val="Defpara"/>
      </w:pPr>
      <w:r>
        <w:tab/>
        <w:t>(b)</w:t>
      </w:r>
      <w:r>
        <w:tab/>
        <w:t xml:space="preserve">a court order made before the coming into operation of the </w:t>
      </w:r>
      <w:r>
        <w:rPr>
          <w:i/>
        </w:rPr>
        <w:t>Road Traffic Amendment (Impounding and Confiscation of Vehicles) Act 2016</w:t>
      </w:r>
      <w:r>
        <w:t xml:space="preserve"> section 14 that was an impounding or confiscation order as defined in this section as in force when the order was made;</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tab/>
      </w:r>
      <w:r>
        <w:rPr>
          <w:rStyle w:val="CharDefText"/>
        </w:rPr>
        <w:t>reasonable expenses</w:t>
      </w:r>
      <w:r>
        <w:t>, of the Commissioner, means expenses reasonably incurred by, and currently owing to, the Commissioner;</w:t>
      </w:r>
    </w:p>
    <w:p>
      <w:pPr>
        <w:pStyle w:val="Defstart"/>
        <w:keepNext/>
      </w:pPr>
      <w:r>
        <w:rPr>
          <w:b/>
        </w:rPr>
        <w:tab/>
      </w:r>
      <w:r>
        <w:rPr>
          <w:rStyle w:val="CharDefText"/>
        </w:rPr>
        <w:t>road rage circumstances</w:t>
      </w:r>
      <w:r>
        <w:t xml:space="preserve"> accompany the commission of an offence if — </w:t>
      </w:r>
    </w:p>
    <w:p>
      <w:pPr>
        <w:pStyle w:val="Ednotedefpara"/>
        <w:keepNext/>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keepNext/>
      </w:pPr>
      <w:r>
        <w:rPr>
          <w:b/>
        </w:rPr>
        <w:tab/>
      </w:r>
      <w:r>
        <w:rPr>
          <w:rStyle w:val="CharDefText"/>
        </w:rPr>
        <w:t>road rage offence</w:t>
      </w:r>
      <w:r>
        <w:t xml:space="preserve"> means an offence the commission of which is accompanied by road rage circumstances, but only if it is — </w:t>
      </w:r>
    </w:p>
    <w:p>
      <w:pPr>
        <w:pStyle w:val="Defpara"/>
        <w:keepNext/>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as in force from time to time, or 60A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Subsection"/>
        <w:keepNext/>
      </w:pPr>
      <w:r>
        <w:tab/>
        <w:t>(2)</w:t>
      </w:r>
      <w:r>
        <w:tab/>
        <w:t xml:space="preserve">In this Division, section 60(1A) is the offence for which a vehicle was impounded if — </w:t>
      </w:r>
    </w:p>
    <w:p>
      <w:pPr>
        <w:pStyle w:val="Indenta"/>
      </w:pPr>
      <w:r>
        <w:tab/>
        <w:t>(a)</w:t>
      </w:r>
      <w:r>
        <w:tab/>
        <w:t>in relation to the driving of the vehicle, a person is charged with an offence against section 60A(1) or (2); and</w:t>
      </w:r>
    </w:p>
    <w:p>
      <w:pPr>
        <w:pStyle w:val="Indenta"/>
      </w:pPr>
      <w:r>
        <w:tab/>
        <w:t>(b)</w:t>
      </w:r>
      <w:r>
        <w:tab/>
        <w:t>under section 60A(3), the person is instead convicted of an offence against section 60(1A).</w:t>
      </w:r>
    </w:p>
    <w:p>
      <w:pPr>
        <w:pStyle w:val="Subsection"/>
      </w:pPr>
      <w:r>
        <w:tab/>
        <w:t>(3)</w:t>
      </w:r>
      <w:r>
        <w:tab/>
        <w:t xml:space="preserve">In this Division, section 60A(1)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60A(1).</w:t>
      </w:r>
    </w:p>
    <w:p>
      <w:pPr>
        <w:pStyle w:val="Subsection"/>
      </w:pPr>
      <w:r>
        <w:tab/>
        <w:t>(4)</w:t>
      </w:r>
      <w:r>
        <w:tab/>
        <w:t xml:space="preserve">In this Division, section 60A(2) is the offence for which a vehicle was impounded if — </w:t>
      </w:r>
    </w:p>
    <w:p>
      <w:pPr>
        <w:pStyle w:val="Indenta"/>
      </w:pPr>
      <w:r>
        <w:tab/>
        <w:t>(a)</w:t>
      </w:r>
      <w:r>
        <w:tab/>
        <w:t>in relation to the driving of the vehicle, a person is charged with an offence against section 60(1A); and</w:t>
      </w:r>
    </w:p>
    <w:p>
      <w:pPr>
        <w:pStyle w:val="Indenta"/>
      </w:pPr>
      <w:r>
        <w:tab/>
        <w:t>(b)</w:t>
      </w:r>
      <w:r>
        <w:tab/>
        <w:t>under section 60(2), the person is instead convicted of an offence against section 60A(2).</w:t>
      </w:r>
    </w:p>
    <w:p>
      <w:pPr>
        <w:pStyle w:val="Subsection"/>
      </w:pPr>
      <w:r>
        <w:tab/>
        <w:t>(5)</w:t>
      </w:r>
      <w:r>
        <w:tab/>
        <w:t>In this Division, section 62A, as in force from time to time, is the offence for which a vehicle was impounded if —</w:t>
      </w:r>
    </w:p>
    <w:p>
      <w:pPr>
        <w:pStyle w:val="Indenta"/>
      </w:pPr>
      <w:r>
        <w:tab/>
        <w:t>(a)</w:t>
      </w:r>
      <w:r>
        <w:tab/>
        <w:t xml:space="preserve">in relation to the driving of the vehicle, a person is charged with an offence against — </w:t>
      </w:r>
    </w:p>
    <w:p>
      <w:pPr>
        <w:pStyle w:val="Indenti"/>
      </w:pPr>
      <w:r>
        <w:tab/>
        <w:t>(i)</w:t>
      </w:r>
      <w:r>
        <w:tab/>
        <w:t xml:space="preserve">section 60(1A); or </w:t>
      </w:r>
    </w:p>
    <w:p>
      <w:pPr>
        <w:pStyle w:val="Indenti"/>
      </w:pPr>
      <w:r>
        <w:tab/>
        <w:t>(ii)</w:t>
      </w:r>
      <w:r>
        <w:tab/>
        <w:t xml:space="preserve">section 60(1) as in force before the coming into operation of the </w:t>
      </w:r>
      <w:r>
        <w:rPr>
          <w:i/>
        </w:rPr>
        <w:t>Road Traffic Amendment (Impounding and Confiscation of Vehicles) Act 2016</w:t>
      </w:r>
      <w:r>
        <w:t xml:space="preserve"> section 14; </w:t>
      </w:r>
    </w:p>
    <w:p>
      <w:pPr>
        <w:pStyle w:val="Indenta"/>
      </w:pPr>
      <w:r>
        <w:tab/>
      </w:r>
      <w:r>
        <w:tab/>
        <w:t>and</w:t>
      </w:r>
    </w:p>
    <w:p>
      <w:pPr>
        <w:pStyle w:val="Indenta"/>
        <w:keepNext/>
      </w:pPr>
      <w:r>
        <w:tab/>
        <w:t>(b)</w:t>
      </w:r>
      <w:r>
        <w:tab/>
        <w:t>under section 60(2), the person is instead convicted of an offence against section 62A.</w:t>
      </w:r>
    </w:p>
    <w:p>
      <w:pPr>
        <w:pStyle w:val="Footnotesection"/>
      </w:pPr>
      <w:r>
        <w:tab/>
        <w:t>[Section 78A inserted by No. 10 of 2004 s. 13; amended by No. 54 of 2006 s. 25; No. 4 of 2007 s. 4, 11, 13 and 30; No. 24 of 2008 s. 5; No. 23 of 2009 s. 7; No. 14 of 2010 s. 12; No. 8 of 2012 s. 21 (as amended by No. 10 of 2015 s. 17); No. 2 of 2015 s. 13; No. 25 of 2016 s. 63; No. 51 of 2016 s. 14.]</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123" w:name="_Toc512325885"/>
      <w:r>
        <w:rPr>
          <w:rStyle w:val="CharSectno"/>
        </w:rPr>
        <w:t>78B</w:t>
      </w:r>
      <w:r>
        <w:t>.</w:t>
      </w:r>
      <w:r>
        <w:tab/>
        <w:t>Penalties etc. not affected by impounding etc.</w:t>
      </w:r>
      <w:bookmarkEnd w:id="123"/>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24" w:name="_Toc512325886"/>
      <w:r>
        <w:rPr>
          <w:rStyle w:val="CharSectno"/>
        </w:rPr>
        <w:t>78C</w:t>
      </w:r>
      <w:r>
        <w:rPr>
          <w:snapToGrid w:val="0"/>
        </w:rPr>
        <w:t>.</w:t>
      </w:r>
      <w:r>
        <w:rPr>
          <w:snapToGrid w:val="0"/>
        </w:rPr>
        <w:tab/>
        <w:t>Police powers for this Division</w:t>
      </w:r>
      <w:bookmarkEnd w:id="124"/>
    </w:p>
    <w:p>
      <w:pPr>
        <w:pStyle w:val="Subsection"/>
      </w:pPr>
      <w:r>
        <w:tab/>
        <w:t>(1)</w:t>
      </w:r>
      <w:r>
        <w:tab/>
        <w:t>A police officer and any person assisting a police officer in the exercise of a power under section 79(1), 79A(1) or 80O(2)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under section 79BB(2), 79BCB(2), 79BCE(2) or 80Q(2).</w:t>
      </w:r>
    </w:p>
    <w:p>
      <w:pPr>
        <w:pStyle w:val="Subsection"/>
      </w:pPr>
      <w:r>
        <w:tab/>
        <w:t>(2)</w:t>
      </w:r>
      <w:r>
        <w:tab/>
        <w:t>A police officer and any person assisting a police officer giving effect to the impounding of a vehicle under section 79BB(2), 79BCB(2), 79BCE(2) or 80Q(2)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79A(1) or 80O(2); or</w:t>
      </w:r>
    </w:p>
    <w:p>
      <w:pPr>
        <w:pStyle w:val="Indenta"/>
      </w:pPr>
      <w:r>
        <w:tab/>
        <w:t>(aa)</w:t>
      </w:r>
      <w:r>
        <w:tab/>
        <w:t>impounded, or to be impounded, under section 79BB(1) or (2), 79BCB(1) or (2), 79BCE(1) or (2) or 80Q(2); or</w:t>
      </w:r>
    </w:p>
    <w:p>
      <w:pPr>
        <w:pStyle w:val="Ednotepara"/>
      </w:pPr>
      <w:r>
        <w:tab/>
        <w:t>[(ba)</w:t>
      </w:r>
      <w:r>
        <w:tab/>
        <w:t>deleted]</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(3)(aa)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 No. 51 of 2016 s. 15.]</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125" w:name="_Toc512325887"/>
      <w:r>
        <w:rPr>
          <w:rStyle w:val="CharSectno"/>
        </w:rPr>
        <w:t>78D</w:t>
      </w:r>
      <w:r>
        <w:t>.</w:t>
      </w:r>
      <w:r>
        <w:tab/>
        <w:t>Contracts for conveying, storing etc. impounded etc. vehicles</w:t>
      </w:r>
      <w:bookmarkEnd w:id="125"/>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79BCE, 80O(2) or 80Q(1) or (2)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80JA, 80J or 80V;</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 No. 51 of 2016 s. 16.]</w:t>
      </w:r>
    </w:p>
    <w:p>
      <w:pPr>
        <w:pStyle w:val="Heading5"/>
        <w:spacing w:before="180"/>
      </w:pPr>
      <w:bookmarkStart w:id="126" w:name="_Toc512325888"/>
      <w:r>
        <w:rPr>
          <w:rStyle w:val="CharSectno"/>
        </w:rPr>
        <w:t>78E</w:t>
      </w:r>
      <w:r>
        <w:t>.</w:t>
      </w:r>
      <w:r>
        <w:tab/>
        <w:t>Expenses owed to Commissioner, recovery of</w:t>
      </w:r>
      <w:bookmarkEnd w:id="126"/>
    </w:p>
    <w:p>
      <w:pPr>
        <w:pStyle w:val="Subsection"/>
        <w:spacing w:before="120"/>
      </w:pPr>
      <w:r>
        <w:tab/>
      </w:r>
      <w:r>
        <w:tab/>
        <w:t>The Commissioner may recover expenses for which a person is liable under section 79E, 80H, 80I, 80K, 80LA or 80W from that person in a court of competent jurisdiction as a debt due to the Commissioner.</w:t>
      </w:r>
    </w:p>
    <w:p>
      <w:pPr>
        <w:pStyle w:val="Footnotesection"/>
        <w:spacing w:before="100"/>
        <w:ind w:left="890" w:hanging="890"/>
      </w:pPr>
      <w:r>
        <w:tab/>
        <w:t>[Section 78E inserted by No. 10 of 2004 s. 13; amended by No. 23 of 2009 s. 10; No. 51 of 2016 s. 17.]</w:t>
      </w:r>
    </w:p>
    <w:p>
      <w:pPr>
        <w:pStyle w:val="Heading5"/>
      </w:pPr>
      <w:bookmarkStart w:id="127" w:name="_Toc512325889"/>
      <w:r>
        <w:rPr>
          <w:rStyle w:val="CharSectno"/>
        </w:rPr>
        <w:t>78F</w:t>
      </w:r>
      <w:r>
        <w:t>.</w:t>
      </w:r>
      <w:r>
        <w:tab/>
        <w:t>Right of Commissioner of Police to be heard in proceedings under this Division</w:t>
      </w:r>
      <w:bookmarkEnd w:id="127"/>
    </w:p>
    <w:p>
      <w:pPr>
        <w:pStyle w:val="Subsection"/>
      </w:pPr>
      <w:r>
        <w:tab/>
        <w:t>(1)</w:t>
      </w:r>
      <w:r>
        <w:tab/>
        <w:t>The Commissioner of Police has a right to be heard in proceedings under this Division.</w:t>
      </w:r>
    </w:p>
    <w:p>
      <w:pPr>
        <w:pStyle w:val="Subsection"/>
      </w:pPr>
      <w:r>
        <w:tab/>
        <w:t>(2)</w:t>
      </w:r>
      <w:r>
        <w:tab/>
        <w:t>The Commissioner of Police may be represented in those proceedings by any person the Commissioner authorises for that purpose.</w:t>
      </w:r>
    </w:p>
    <w:p>
      <w:pPr>
        <w:pStyle w:val="Footnotesection"/>
      </w:pPr>
      <w:r>
        <w:tab/>
        <w:t>[Section 78F inserted by No. 51 of 2016 s. 18.]</w:t>
      </w:r>
    </w:p>
    <w:p>
      <w:pPr>
        <w:pStyle w:val="Heading4"/>
        <w:keepLines/>
        <w:pageBreakBefore/>
        <w:spacing w:before="0"/>
      </w:pPr>
      <w:bookmarkStart w:id="128" w:name="_Toc491075079"/>
      <w:bookmarkStart w:id="129" w:name="_Toc497206381"/>
      <w:bookmarkStart w:id="130" w:name="_Toc499733139"/>
      <w:bookmarkStart w:id="131" w:name="_Toc500926240"/>
      <w:bookmarkStart w:id="132" w:name="_Toc512325890"/>
      <w:r>
        <w:t>Subdivision 2 — Impounding of vehicles by police for certain offences</w:t>
      </w:r>
      <w:bookmarkEnd w:id="128"/>
      <w:bookmarkEnd w:id="129"/>
      <w:bookmarkEnd w:id="130"/>
      <w:bookmarkEnd w:id="131"/>
      <w:bookmarkEnd w:id="132"/>
    </w:p>
    <w:p>
      <w:pPr>
        <w:pStyle w:val="Footnoteheading"/>
        <w:keepNext/>
        <w:keepLines/>
      </w:pPr>
      <w:r>
        <w:tab/>
        <w:t>[Heading inserted by No. 10 of 2004 s. 13; amended by No. 51 of 2016 s. 19.]</w:t>
      </w:r>
    </w:p>
    <w:p>
      <w:pPr>
        <w:pStyle w:val="Heading5"/>
        <w:spacing w:before="180"/>
      </w:pPr>
      <w:bookmarkStart w:id="133" w:name="_Toc512325891"/>
      <w:r>
        <w:rPr>
          <w:rStyle w:val="CharSectno"/>
        </w:rPr>
        <w:t>79</w:t>
      </w:r>
      <w:r>
        <w:t>.</w:t>
      </w:r>
      <w:r>
        <w:tab/>
        <w:t>Impounding offence (driving), police powers to impound vehicle used in</w:t>
      </w:r>
      <w:bookmarkEnd w:id="133"/>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seize and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 No. 51 of 2016 s. 20.]</w:t>
      </w:r>
    </w:p>
    <w:p>
      <w:pPr>
        <w:pStyle w:val="Heading5"/>
        <w:spacing w:before="180"/>
      </w:pPr>
      <w:bookmarkStart w:id="134" w:name="_Toc512325892"/>
      <w:r>
        <w:rPr>
          <w:rStyle w:val="CharSectno"/>
        </w:rPr>
        <w:t>79A</w:t>
      </w:r>
      <w:r>
        <w:t>.</w:t>
      </w:r>
      <w:r>
        <w:tab/>
        <w:t>Impounding offence (driver’s licence), police powers to impound vehicle used in</w:t>
      </w:r>
      <w:bookmarkEnd w:id="134"/>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seize and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 No. 51 of 2016 s. 21.]</w:t>
      </w:r>
    </w:p>
    <w:p>
      <w:pPr>
        <w:pStyle w:val="Heading5"/>
        <w:spacing w:before="240"/>
      </w:pPr>
      <w:bookmarkStart w:id="135" w:name="_Toc512325893"/>
      <w:r>
        <w:rPr>
          <w:rStyle w:val="CharSectno"/>
        </w:rPr>
        <w:t>79BA</w:t>
      </w:r>
      <w:r>
        <w:t>.</w:t>
      </w:r>
      <w:r>
        <w:tab/>
        <w:t>Notice to surrender vehicle for impoundment, issue of etc.</w:t>
      </w:r>
      <w:bookmarkEnd w:id="135"/>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keepNext/>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 (6); and</w:t>
      </w:r>
    </w:p>
    <w:p>
      <w:pPr>
        <w:pStyle w:val="Indenta"/>
      </w:pPr>
      <w:r>
        <w:tab/>
        <w:t>(c)</w:t>
      </w:r>
      <w:r>
        <w:tab/>
        <w:t>a statement to the effect that failure to comply with the notice will result in the vehicle being impounded under section 79BB(2).</w:t>
      </w:r>
    </w:p>
    <w:p>
      <w:pPr>
        <w:pStyle w:val="Footnotesection"/>
      </w:pPr>
      <w:r>
        <w:tab/>
        <w:t>[Section 79BA inserted by No. 23 of 2009 s. 12; amended by No. 8 of 2012 s. 24 and 38; No. 51 of 2016 s. 22.]</w:t>
      </w:r>
    </w:p>
    <w:p>
      <w:pPr>
        <w:pStyle w:val="Heading5"/>
      </w:pPr>
      <w:bookmarkStart w:id="136" w:name="_Toc512325894"/>
      <w:r>
        <w:rPr>
          <w:rStyle w:val="CharSectno"/>
        </w:rPr>
        <w:t>79BB</w:t>
      </w:r>
      <w:r>
        <w:t>.</w:t>
      </w:r>
      <w:r>
        <w:tab/>
        <w:t>Consequences of surrender notice</w:t>
      </w:r>
      <w:bookmarkEnd w:id="136"/>
    </w:p>
    <w:p>
      <w:pPr>
        <w:pStyle w:val="Subsection"/>
        <w:spacing w:before="180"/>
      </w:pPr>
      <w:r>
        <w:tab/>
        <w:t>(1)</w:t>
      </w:r>
      <w:r>
        <w:tab/>
        <w:t>If a responsible person for a vehicle who is given a surrender notice surrenders the vehicle according to the notice, the vehicle must be impounded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must be impounded for a period that commences at the time when a police officer takes possession of the vehicle for the purpose of impounding it.</w:t>
      </w:r>
    </w:p>
    <w:p>
      <w:pPr>
        <w:pStyle w:val="Subsection"/>
        <w:spacing w:before="180"/>
      </w:pPr>
      <w:r>
        <w:tab/>
        <w:t>(3)</w:t>
      </w:r>
      <w:r>
        <w:tab/>
        <w:t>The time when the period for which a vehicle is impounded under subsection (1) or (2) commences is not required to be within a period of 28 days after the day of the offence.</w:t>
      </w:r>
    </w:p>
    <w:p>
      <w:pPr>
        <w:pStyle w:val="Subsection"/>
        <w:spacing w:before="180"/>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notice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notice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79BB inserted by No. 23 of 2009 s. 12; amended by No. 8 of 2012 s. 37; No. 51 of 2016 s. 23.]</w:t>
      </w:r>
    </w:p>
    <w:p>
      <w:pPr>
        <w:pStyle w:val="Heading5"/>
        <w:spacing w:before="240"/>
      </w:pPr>
      <w:bookmarkStart w:id="137" w:name="_Toc512325895"/>
      <w:r>
        <w:rPr>
          <w:rStyle w:val="CharSectno"/>
        </w:rPr>
        <w:t>79BCA</w:t>
      </w:r>
      <w:r>
        <w:t>.</w:t>
      </w:r>
      <w:r>
        <w:tab/>
        <w:t>Surrender substitute vehicle notice</w:t>
      </w:r>
      <w:bookmarkEnd w:id="137"/>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 (6); and</w:t>
      </w:r>
    </w:p>
    <w:p>
      <w:pPr>
        <w:pStyle w:val="Indenta"/>
      </w:pPr>
      <w:r>
        <w:tab/>
        <w:t>(c)</w:t>
      </w:r>
      <w:r>
        <w:tab/>
        <w:t>a statement to the effect that failure to comply with the notice will result in the vehicle being impounded under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 No. 51 of 2016 s. 24.]</w:t>
      </w:r>
    </w:p>
    <w:p>
      <w:pPr>
        <w:pStyle w:val="Heading5"/>
        <w:keepNext w:val="0"/>
        <w:keepLines w:val="0"/>
        <w:spacing w:before="180"/>
      </w:pPr>
      <w:bookmarkStart w:id="138" w:name="_Toc512325896"/>
      <w:r>
        <w:rPr>
          <w:rStyle w:val="CharSectno"/>
        </w:rPr>
        <w:t>79BCB</w:t>
      </w:r>
      <w:r>
        <w:t>.</w:t>
      </w:r>
      <w:r>
        <w:tab/>
        <w:t>Consequences of surrender substitute vehicle notice</w:t>
      </w:r>
      <w:bookmarkEnd w:id="138"/>
    </w:p>
    <w:p>
      <w:pPr>
        <w:pStyle w:val="Subsection"/>
      </w:pPr>
      <w:r>
        <w:tab/>
        <w:t>(1)</w:t>
      </w:r>
      <w:r>
        <w:tab/>
        <w:t>If a responsible person who is given a surrender substitute vehicle notice under section 79BCA surrenders the substitute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substitute vehicle notice under section 79BCA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substitute vehicle notice under section 79BCA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pPr>
      <w:r>
        <w:tab/>
        <w:t>[Section 79BCB inserted by No. 20 of 2010 s. 6; amended by No. 8 of 2012 s. 37; No. 51 of 2016 s. 25.]</w:t>
      </w:r>
    </w:p>
    <w:p>
      <w:pPr>
        <w:pStyle w:val="Heading5"/>
        <w:pageBreakBefore/>
        <w:spacing w:before="0"/>
      </w:pPr>
      <w:bookmarkStart w:id="139" w:name="_Toc512325897"/>
      <w:r>
        <w:rPr>
          <w:rStyle w:val="CharSectno"/>
        </w:rPr>
        <w:t>79BCC</w:t>
      </w:r>
      <w:r>
        <w:t>.</w:t>
      </w:r>
      <w:r>
        <w:tab/>
        <w:t>Cancelling notice under s. 79BA, 79BCA or 79BCD</w:t>
      </w:r>
      <w:bookmarkEnd w:id="139"/>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 xml:space="preserve">the vehicle’s condition is such that it no longer functions as a vehicle and a licence could not be granted for it under the </w:t>
      </w:r>
      <w:r>
        <w:rPr>
          <w:i/>
        </w:rPr>
        <w:t>Road Traffic (Vehicles) Act 2012</w:t>
      </w:r>
      <w:r>
        <w:t xml:space="preserve"> Part 2,</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 amended by No. 51 of 2016 s. 26.]</w:t>
      </w:r>
    </w:p>
    <w:p>
      <w:pPr>
        <w:pStyle w:val="Heading5"/>
        <w:pageBreakBefore/>
        <w:spacing w:before="0"/>
      </w:pPr>
      <w:bookmarkStart w:id="140" w:name="_Toc512325898"/>
      <w:r>
        <w:rPr>
          <w:rStyle w:val="CharSectno"/>
        </w:rPr>
        <w:t>79BCD</w:t>
      </w:r>
      <w:r>
        <w:t>.</w:t>
      </w:r>
      <w:r>
        <w:tab/>
        <w:t>Surrender alternative vehicle notice</w:t>
      </w:r>
      <w:bookmarkEnd w:id="140"/>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 (6); and</w:t>
      </w:r>
    </w:p>
    <w:p>
      <w:pPr>
        <w:pStyle w:val="Indenta"/>
      </w:pPr>
      <w:r>
        <w:tab/>
        <w:t>(c)</w:t>
      </w:r>
      <w:r>
        <w:tab/>
        <w:t>a statement to the effect that failure to comply with the notice will result in the vehicle being impounded under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 No. 51 of 2016 s. 27.]</w:t>
      </w:r>
    </w:p>
    <w:p>
      <w:pPr>
        <w:pStyle w:val="Heading5"/>
      </w:pPr>
      <w:bookmarkStart w:id="141" w:name="_Toc512325899"/>
      <w:r>
        <w:rPr>
          <w:rStyle w:val="CharSectno"/>
        </w:rPr>
        <w:t>79BCE</w:t>
      </w:r>
      <w:r>
        <w:t>.</w:t>
      </w:r>
      <w:r>
        <w:tab/>
        <w:t>Consequences of surrender alternative vehicle notice</w:t>
      </w:r>
      <w:bookmarkEnd w:id="141"/>
    </w:p>
    <w:p>
      <w:pPr>
        <w:pStyle w:val="Subsection"/>
      </w:pPr>
      <w:r>
        <w:tab/>
        <w:t>(1)</w:t>
      </w:r>
      <w:r>
        <w:tab/>
        <w:t>If a responsible person who is given a surrender alternative vehicle notice under section 79BCD surrenders the alternative vehicle specified in the notice according to the notice, the vehicle must be impounded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must be impounded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under subsection (1) or (2) ends when the impounding period has passed since the end of the day on which the vehicle was impounded.</w:t>
      </w:r>
    </w:p>
    <w:p>
      <w:pPr>
        <w:pStyle w:val="Subsection"/>
      </w:pPr>
      <w:r>
        <w:tab/>
        <w:t>(5)</w:t>
      </w:r>
      <w:r>
        <w:tab/>
        <w:t>A person who is given a surrender alternative vehicle notice under section 79BCD in relation to a vehicle commits an offence if the person fails to comply with the notice.</w:t>
      </w:r>
    </w:p>
    <w:p>
      <w:pPr>
        <w:pStyle w:val="Penstart"/>
      </w:pPr>
      <w:r>
        <w:tab/>
        <w:t>Penalty for this subsection: a fine of 50 PU.</w:t>
      </w:r>
    </w:p>
    <w:p>
      <w:pPr>
        <w:pStyle w:val="Subsection"/>
      </w:pPr>
      <w:r>
        <w:tab/>
        <w:t>(6)</w:t>
      </w:r>
      <w:r>
        <w:tab/>
        <w:t xml:space="preserve">A person who is given a surrender alternative vehicle notice under section 79BCD in relation to a vehicle commits an offence if, without the authority of a court order, the person — </w:t>
      </w:r>
    </w:p>
    <w:p>
      <w:pPr>
        <w:pStyle w:val="Indenta"/>
      </w:pPr>
      <w:r>
        <w:tab/>
        <w:t>(a)</w:t>
      </w:r>
      <w:r>
        <w:tab/>
        <w:t>disposes of an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Penstart"/>
      </w:pPr>
      <w:r>
        <w:tab/>
        <w:t>Penalty for this subsection: a fine of 50 PU.</w:t>
      </w:r>
    </w:p>
    <w:p>
      <w:pPr>
        <w:pStyle w:val="Footnotesection"/>
        <w:ind w:left="890" w:hanging="890"/>
      </w:pPr>
      <w:r>
        <w:tab/>
        <w:t>[Section 79BCE inserted by No. 20 of 2010 s. 6; amended by No. 8 of 2012 s. 37; No. 51 of 2016 s. 28.]</w:t>
      </w:r>
    </w:p>
    <w:p>
      <w:pPr>
        <w:pStyle w:val="Heading5"/>
        <w:spacing w:before="180"/>
      </w:pPr>
      <w:bookmarkStart w:id="142" w:name="_Toc512325900"/>
      <w:r>
        <w:rPr>
          <w:rStyle w:val="CharSectno"/>
        </w:rPr>
        <w:t>79BC</w:t>
      </w:r>
      <w:r>
        <w:t>.</w:t>
      </w:r>
      <w:r>
        <w:tab/>
        <w:t>Acquittal etc. of pending charge of impounding offence (driving), effect of</w:t>
      </w:r>
      <w:bookmarkEnd w:id="142"/>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143" w:name="_Toc512325901"/>
      <w:r>
        <w:rPr>
          <w:rStyle w:val="CharSectno"/>
        </w:rPr>
        <w:t>79BD</w:t>
      </w:r>
      <w:r>
        <w:t>.</w:t>
      </w:r>
      <w:r>
        <w:tab/>
        <w:t>Suspension of vehicle licence on Commissioner’s request</w:t>
      </w:r>
      <w:bookmarkEnd w:id="143"/>
    </w:p>
    <w:p>
      <w:pPr>
        <w:pStyle w:val="Subsection"/>
        <w:keepNext/>
        <w:keepLines/>
      </w:pPr>
      <w:r>
        <w:tab/>
        <w:t>(1)</w:t>
      </w:r>
      <w:r>
        <w:tab/>
        <w:t>If —</w:t>
      </w:r>
    </w:p>
    <w:p>
      <w:pPr>
        <w:pStyle w:val="Indenta"/>
        <w:spacing w:before="120"/>
      </w:pPr>
      <w:r>
        <w:tab/>
        <w:t>(a)</w:t>
      </w:r>
      <w:r>
        <w:tab/>
        <w:t>a responsible person for a vehicle who is given a surrender notice under section 79BA fails to surrender the vehicle specified in the notice according to the notice; or</w:t>
      </w:r>
    </w:p>
    <w:p>
      <w:pPr>
        <w:pStyle w:val="Indenta"/>
        <w:spacing w:before="120"/>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keepNext/>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144" w:name="_Toc512325902"/>
      <w:r>
        <w:rPr>
          <w:rStyle w:val="CharSectno"/>
        </w:rPr>
        <w:t>79B</w:t>
      </w:r>
      <w:r>
        <w:t>.</w:t>
      </w:r>
      <w:r>
        <w:tab/>
        <w:t>Notice of impounding, police to issue etc.</w:t>
      </w:r>
      <w:bookmarkEnd w:id="144"/>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keepNext/>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145" w:name="_Toc512325903"/>
      <w:r>
        <w:rPr>
          <w:rStyle w:val="CharSectno"/>
        </w:rPr>
        <w:t>79C</w:t>
      </w:r>
      <w:r>
        <w:t>.</w:t>
      </w:r>
      <w:r>
        <w:tab/>
        <w:t>Senior officer to be informed etc. if vehicle impounded</w:t>
      </w:r>
      <w:bookmarkEnd w:id="145"/>
    </w:p>
    <w:p>
      <w:pPr>
        <w:pStyle w:val="Subsection"/>
      </w:pPr>
      <w:r>
        <w:tab/>
        <w:t>(1)</w:t>
      </w:r>
      <w:r>
        <w:tab/>
        <w:t>A police officer, other than a senior police officer, who seizes and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date of the seizure and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No. 51 of 2016 s. 29.] </w:t>
      </w:r>
    </w:p>
    <w:p>
      <w:pPr>
        <w:pStyle w:val="Heading5"/>
      </w:pPr>
      <w:bookmarkStart w:id="146" w:name="_Toc512325904"/>
      <w:r>
        <w:rPr>
          <w:rStyle w:val="CharSectno"/>
        </w:rPr>
        <w:t>79D</w:t>
      </w:r>
      <w:r>
        <w:t>.</w:t>
      </w:r>
      <w:r>
        <w:tab/>
        <w:t>Release of impounded vehicle</w:t>
      </w:r>
      <w:bookmarkEnd w:id="146"/>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keepNext/>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147" w:name="_Toc512325905"/>
      <w:r>
        <w:rPr>
          <w:rStyle w:val="CharSectno"/>
        </w:rPr>
        <w:t>79E</w:t>
      </w:r>
      <w:r>
        <w:t>.</w:t>
      </w:r>
      <w:r>
        <w:tab/>
        <w:t>Liability for police expenses for impounding</w:t>
      </w:r>
      <w:bookmarkEnd w:id="147"/>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reasonable expenses of the Commissioner in impounding the vehicle and any substitute vehicle impounded under section 79BCB and any alternative vehicle impounded under section 79BCE.</w:t>
      </w:r>
    </w:p>
    <w:p>
      <w:pPr>
        <w:pStyle w:val="Footnotesection"/>
        <w:ind w:left="890" w:hanging="890"/>
      </w:pPr>
      <w:r>
        <w:tab/>
        <w:t>[Section 79E inserted by No. 23 of 2009 s. 16; amended by No. 20 of 2010 s. 11; No. 51 of 2016 s. 30.]</w:t>
      </w:r>
    </w:p>
    <w:p>
      <w:pPr>
        <w:pStyle w:val="Heading4"/>
        <w:keepLines/>
      </w:pPr>
      <w:bookmarkStart w:id="148" w:name="_Toc491075095"/>
      <w:bookmarkStart w:id="149" w:name="_Toc497206397"/>
      <w:bookmarkStart w:id="150" w:name="_Toc499733155"/>
      <w:bookmarkStart w:id="151" w:name="_Toc500926256"/>
      <w:bookmarkStart w:id="152" w:name="_Toc512325906"/>
      <w:r>
        <w:t>Subdivision 3 — Impounding and confiscation of vehicles by court order</w:t>
      </w:r>
      <w:bookmarkEnd w:id="148"/>
      <w:bookmarkEnd w:id="149"/>
      <w:bookmarkEnd w:id="150"/>
      <w:bookmarkEnd w:id="151"/>
      <w:bookmarkEnd w:id="152"/>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pPr>
      <w:bookmarkStart w:id="153" w:name="_Toc512325907"/>
      <w:r>
        <w:rPr>
          <w:rStyle w:val="CharSectno"/>
        </w:rPr>
        <w:t>80A</w:t>
      </w:r>
      <w:r>
        <w:t>.</w:t>
      </w:r>
      <w:r>
        <w:tab/>
        <w:t>Confiscation of vehicles used in certain impounding offences (driving)</w:t>
      </w:r>
      <w:bookmarkEnd w:id="153"/>
    </w:p>
    <w:p>
      <w:pPr>
        <w:pStyle w:val="Subsection"/>
      </w:pPr>
      <w:r>
        <w:tab/>
        <w:t>(1)</w:t>
      </w:r>
      <w:r>
        <w:tab/>
        <w:t>A court that convicts a person of an impounding offence (driving) may, by order and in accordance with subsection (2), (3) or (4), confiscate the vehicle used in the offence.</w:t>
      </w:r>
    </w:p>
    <w:p>
      <w:pPr>
        <w:pStyle w:val="Subsection"/>
      </w:pPr>
      <w:r>
        <w:tab/>
        <w:t>(2)</w:t>
      </w:r>
      <w:r>
        <w:tab/>
        <w:t>A court may make an order if it is satisfied that —</w:t>
      </w:r>
    </w:p>
    <w:p>
      <w:pPr>
        <w:pStyle w:val="Indenta"/>
      </w:pPr>
      <w:r>
        <w:tab/>
        <w:t>(a)</w:t>
      </w:r>
      <w:r>
        <w:tab/>
        <w:t>the offence was committed in a school zone; or</w:t>
      </w:r>
    </w:p>
    <w:p>
      <w:pPr>
        <w:pStyle w:val="Indenta"/>
      </w:pPr>
      <w:r>
        <w:tab/>
        <w:t>(b)</w:t>
      </w:r>
      <w:r>
        <w:tab/>
        <w:t>the offence was committed in a confiscation zone other than a school zone and the commission of the offence resulted in, or was likely to result in —</w:t>
      </w:r>
    </w:p>
    <w:p>
      <w:pPr>
        <w:pStyle w:val="Indenti"/>
      </w:pPr>
      <w:r>
        <w:tab/>
        <w:t>(i)</w:t>
      </w:r>
      <w:r>
        <w:tab/>
        <w:t>members of the public experiencing harassment, intimidation, fear or alarm; or</w:t>
      </w:r>
    </w:p>
    <w:p>
      <w:pPr>
        <w:pStyle w:val="Indenti"/>
      </w:pPr>
      <w:r>
        <w:tab/>
        <w:t>(ii)</w:t>
      </w:r>
      <w:r>
        <w:tab/>
        <w:t>damage to any property, including the road;</w:t>
      </w:r>
    </w:p>
    <w:p>
      <w:pPr>
        <w:pStyle w:val="Indenta"/>
      </w:pPr>
      <w:r>
        <w:tab/>
      </w:r>
      <w:r>
        <w:tab/>
        <w:t>or</w:t>
      </w:r>
    </w:p>
    <w:p>
      <w:pPr>
        <w:pStyle w:val="Indenta"/>
      </w:pPr>
      <w:r>
        <w:tab/>
        <w:t>(c)</w:t>
      </w:r>
      <w:r>
        <w:tab/>
        <w:t>the commission of the offence involved the driving of the vehicle at 90 km/h or more above the speed limit.</w:t>
      </w:r>
    </w:p>
    <w:p>
      <w:pPr>
        <w:pStyle w:val="Subsection"/>
      </w:pPr>
      <w:r>
        <w:tab/>
        <w:t>(3)</w:t>
      </w:r>
      <w:r>
        <w:tab/>
        <w:t xml:space="preserve">The court may make the order if it is satisfied that — </w:t>
      </w:r>
    </w:p>
    <w:p>
      <w:pPr>
        <w:pStyle w:val="Indenta"/>
      </w:pPr>
      <w:r>
        <w:tab/>
        <w:t>(a)</w:t>
      </w:r>
      <w:r>
        <w:tab/>
        <w:t>the offence was committed in a confiscation zone; and</w:t>
      </w:r>
    </w:p>
    <w:p>
      <w:pPr>
        <w:pStyle w:val="Indenta"/>
      </w:pPr>
      <w:r>
        <w:tab/>
        <w:t>(b)</w:t>
      </w:r>
      <w:r>
        <w:tab/>
        <w:t>in the 5 years before the day on which the offence was committed the person was convicted of a previous impounding offence (driving) which was committed in a confiscation zone.</w:t>
      </w:r>
    </w:p>
    <w:p>
      <w:pPr>
        <w:pStyle w:val="Subsection"/>
      </w:pPr>
      <w:r>
        <w:tab/>
        <w:t>(4)</w:t>
      </w:r>
      <w:r>
        <w:tab/>
        <w:t>The court may make the order if it is satisfied that in the 5 years before the day on which the offence was committed the person was convicted of 2 previous impounding offences (driving).</w:t>
      </w:r>
    </w:p>
    <w:p>
      <w:pPr>
        <w:pStyle w:val="Footnotesection"/>
      </w:pPr>
      <w:r>
        <w:tab/>
        <w:t>[Section 80A inserted by No. 51 of 2016 s. 31.]</w:t>
      </w:r>
    </w:p>
    <w:p>
      <w:pPr>
        <w:pStyle w:val="Heading5"/>
        <w:rPr>
          <w:snapToGrid w:val="0"/>
        </w:rPr>
      </w:pPr>
      <w:bookmarkStart w:id="154" w:name="_Toc512325908"/>
      <w:r>
        <w:rPr>
          <w:rStyle w:val="CharSectno"/>
        </w:rPr>
        <w:t>80B</w:t>
      </w:r>
      <w:r>
        <w:t>.</w:t>
      </w:r>
      <w:r>
        <w:tab/>
      </w:r>
      <w:r>
        <w:rPr>
          <w:snapToGrid w:val="0"/>
        </w:rPr>
        <w:t>Impounding offence (driver’s licence) by previous offender, court may impound vehicle of</w:t>
      </w:r>
      <w:bookmarkEnd w:id="154"/>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155" w:name="_Toc512325909"/>
      <w:r>
        <w:rPr>
          <w:rStyle w:val="CharSectno"/>
        </w:rPr>
        <w:t>80C</w:t>
      </w:r>
      <w:r>
        <w:t>.</w:t>
      </w:r>
      <w:r>
        <w:tab/>
        <w:t>Impounding offence (</w:t>
      </w:r>
      <w:r>
        <w:rPr>
          <w:snapToGrid w:val="0"/>
        </w:rPr>
        <w:t>driver’s licence) by previous offender, court may confiscate vehicle of</w:t>
      </w:r>
      <w:bookmarkEnd w:id="155"/>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156" w:name="_Toc512325910"/>
      <w:r>
        <w:rPr>
          <w:rStyle w:val="CharSectno"/>
        </w:rPr>
        <w:t>80CA</w:t>
      </w:r>
      <w:r>
        <w:t>.</w:t>
      </w:r>
      <w:r>
        <w:tab/>
        <w:t>Road rage offence, court may impound offender’s vehicle for</w:t>
      </w:r>
      <w:bookmarkEnd w:id="156"/>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pageBreakBefore/>
        <w:spacing w:before="0"/>
      </w:pPr>
      <w:bookmarkStart w:id="157" w:name="_Toc512325911"/>
      <w:r>
        <w:rPr>
          <w:rStyle w:val="CharSectno"/>
        </w:rPr>
        <w:t>80CB</w:t>
      </w:r>
      <w:r>
        <w:t>.</w:t>
      </w:r>
      <w:r>
        <w:tab/>
        <w:t>Road rage offence, court may confiscate offender’s vehicle for</w:t>
      </w:r>
      <w:bookmarkEnd w:id="157"/>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158" w:name="_Toc512325912"/>
      <w:r>
        <w:rPr>
          <w:rStyle w:val="CharSectno"/>
        </w:rPr>
        <w:t>80D</w:t>
      </w:r>
      <w:r>
        <w:t>.</w:t>
      </w:r>
      <w:r>
        <w:tab/>
        <w:t>Effect of confiscation under s. 80A, 80C or 80CB</w:t>
      </w:r>
      <w:bookmarkEnd w:id="158"/>
    </w:p>
    <w:p>
      <w:pPr>
        <w:pStyle w:val="Subsection"/>
        <w:spacing w:before="120"/>
        <w:rPr>
          <w:snapToGrid w:val="0"/>
        </w:rPr>
      </w:pPr>
      <w:r>
        <w:tab/>
        <w:t>(1)</w:t>
      </w:r>
      <w:r>
        <w:tab/>
        <w:t>The property in a vehicle that is confiscated under section 80A, as in force at any time,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 No. 51 of 2016 s. 32.]</w:t>
      </w:r>
    </w:p>
    <w:p>
      <w:pPr>
        <w:pStyle w:val="Heading5"/>
        <w:spacing w:before="180"/>
      </w:pPr>
      <w:bookmarkStart w:id="159" w:name="_Toc512325913"/>
      <w:r>
        <w:rPr>
          <w:rStyle w:val="CharSectno"/>
        </w:rPr>
        <w:t>80E</w:t>
      </w:r>
      <w:r>
        <w:t>.</w:t>
      </w:r>
      <w:r>
        <w:tab/>
        <w:t>Confiscation under s. 80A not to be of stolen, hired or lent vehicle</w:t>
      </w:r>
      <w:bookmarkEnd w:id="159"/>
    </w:p>
    <w:p>
      <w:pPr>
        <w:pStyle w:val="Subsection"/>
        <w:spacing w:before="120"/>
      </w:pPr>
      <w:r>
        <w:tab/>
        <w:t>(1)</w:t>
      </w:r>
      <w:r>
        <w:tab/>
        <w:t>A court is not to make an order under section 80A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 No. 51 of 2016 s. 33.]</w:t>
      </w:r>
    </w:p>
    <w:p>
      <w:pPr>
        <w:pStyle w:val="Heading5"/>
        <w:spacing w:before="180"/>
      </w:pPr>
      <w:bookmarkStart w:id="160" w:name="_Toc512325914"/>
      <w:r>
        <w:rPr>
          <w:rStyle w:val="CharSectno"/>
        </w:rPr>
        <w:t>80FA</w:t>
      </w:r>
      <w:r>
        <w:t>.</w:t>
      </w:r>
      <w:r>
        <w:tab/>
        <w:t>When court may order impounding instead of confiscation</w:t>
      </w:r>
      <w:bookmarkEnd w:id="160"/>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 No. 51 of 2016 s. 34.]</w:t>
      </w:r>
    </w:p>
    <w:p>
      <w:pPr>
        <w:pStyle w:val="Heading5"/>
        <w:spacing w:before="240"/>
      </w:pPr>
      <w:bookmarkStart w:id="161" w:name="_Toc512325915"/>
      <w:r>
        <w:rPr>
          <w:rStyle w:val="CharSectno"/>
        </w:rPr>
        <w:t>80F</w:t>
      </w:r>
      <w:r>
        <w:t>.</w:t>
      </w:r>
      <w:r>
        <w:tab/>
        <w:t>Impounding or confiscation order to specify time and place for surrender of vehicle</w:t>
      </w:r>
      <w:bookmarkEnd w:id="161"/>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62" w:name="_Toc512325916"/>
      <w:r>
        <w:rPr>
          <w:rStyle w:val="CharSectno"/>
        </w:rPr>
        <w:t>80GA</w:t>
      </w:r>
      <w:r>
        <w:t>.</w:t>
      </w:r>
      <w:r>
        <w:tab/>
        <w:t>Application for s. 80B to 80CB order, which vehicle can be subject of</w:t>
      </w:r>
      <w:bookmarkEnd w:id="162"/>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pageBreakBefore/>
        <w:spacing w:before="0"/>
      </w:pPr>
      <w:bookmarkStart w:id="163" w:name="_Toc512325917"/>
      <w:r>
        <w:rPr>
          <w:rStyle w:val="CharSectno"/>
        </w:rPr>
        <w:t>80G</w:t>
      </w:r>
      <w:r>
        <w:t>.</w:t>
      </w:r>
      <w:r>
        <w:tab/>
        <w:t>Procedure and grounds for making orders under s. 80A to 80CB</w:t>
      </w:r>
      <w:bookmarkEnd w:id="163"/>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order</w:t>
      </w:r>
      <w:r>
        <w:t xml:space="preserve"> means an order under section 80A,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pPr>
      <w:r>
        <w:tab/>
        <w:t>(3A)</w:t>
      </w:r>
      <w:r>
        <w:tab/>
        <w:t xml:space="preserve">Despite subsections (2) and (3), the court may make an order on its own initiative in proceedings referred to in subsection (2)(b), in which case subsection (3) applies as if — </w:t>
      </w:r>
    </w:p>
    <w:p>
      <w:pPr>
        <w:pStyle w:val="Indenta"/>
      </w:pPr>
      <w:r>
        <w:tab/>
        <w:t>(a)</w:t>
      </w:r>
      <w:r>
        <w:tab/>
        <w:t>references to the Commissioner were references to the court; and</w:t>
      </w:r>
    </w:p>
    <w:p>
      <w:pPr>
        <w:pStyle w:val="Indenta"/>
      </w:pPr>
      <w:r>
        <w:tab/>
        <w:t>(b)</w:t>
      </w:r>
      <w:r>
        <w:tab/>
        <w:t>references to an intention to make an application were references to an intention to make an order.</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whether or not to make an order other than an order under section 80A(3) or (4),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make an order that may be made under section 80A(3) or (4)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do a restricted act in respect of the vehicle unless a court has made an order approving of the proposed act.</w:t>
      </w:r>
    </w:p>
    <w:p>
      <w:pPr>
        <w:pStyle w:val="Penstart"/>
      </w:pPr>
      <w:r>
        <w:tab/>
        <w:t>Penalty for this subsection: a fine of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 No. 51 of 2016 s. 35.]</w:t>
      </w:r>
    </w:p>
    <w:p>
      <w:pPr>
        <w:pStyle w:val="Heading5"/>
      </w:pPr>
      <w:bookmarkStart w:id="164" w:name="_Toc512325918"/>
      <w:r>
        <w:rPr>
          <w:rStyle w:val="CharSectno"/>
        </w:rPr>
        <w:t>80H</w:t>
      </w:r>
      <w:r>
        <w:t>.</w:t>
      </w:r>
      <w:r>
        <w:tab/>
        <w:t>Liability for police expenses for court</w:t>
      </w:r>
      <w:r>
        <w:noBreakHyphen/>
        <w:t>ordered impounding</w:t>
      </w:r>
      <w:bookmarkEnd w:id="164"/>
    </w:p>
    <w:p>
      <w:pPr>
        <w:pStyle w:val="Subsection"/>
      </w:pPr>
      <w:r>
        <w:tab/>
        <w:t>(1)</w:t>
      </w:r>
      <w:r>
        <w:tab/>
        <w:t>If a vehicle is impounded on an impounding order, the person because of whose conviction the vehicle was impounded is liable to pay to the Commissioner all reasonable expenses of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 No. 51 of 2016 s. 36.]</w:t>
      </w:r>
    </w:p>
    <w:p>
      <w:pPr>
        <w:pStyle w:val="Heading4"/>
        <w:pageBreakBefore/>
        <w:spacing w:before="0"/>
      </w:pPr>
      <w:bookmarkStart w:id="165" w:name="_Toc491075108"/>
      <w:bookmarkStart w:id="166" w:name="_Toc497206410"/>
      <w:bookmarkStart w:id="167" w:name="_Toc499733168"/>
      <w:bookmarkStart w:id="168" w:name="_Toc500926269"/>
      <w:bookmarkStart w:id="169" w:name="_Toc512325919"/>
      <w:r>
        <w:t>Subdivision 4 — Vehicles impounded or confiscated under Subdivision 2 or 3</w:t>
      </w:r>
      <w:bookmarkEnd w:id="165"/>
      <w:bookmarkEnd w:id="166"/>
      <w:bookmarkEnd w:id="167"/>
      <w:bookmarkEnd w:id="168"/>
      <w:bookmarkEnd w:id="169"/>
    </w:p>
    <w:p>
      <w:pPr>
        <w:pStyle w:val="Footnoteheading"/>
      </w:pPr>
      <w:r>
        <w:tab/>
        <w:t>[Heading inserted by No. 51 of 2016 s. 37.]</w:t>
      </w:r>
    </w:p>
    <w:p>
      <w:pPr>
        <w:pStyle w:val="Heading5"/>
      </w:pPr>
      <w:bookmarkStart w:id="170" w:name="_Toc512325920"/>
      <w:r>
        <w:rPr>
          <w:rStyle w:val="CharSectno"/>
        </w:rPr>
        <w:t>80IA</w:t>
      </w:r>
      <w:r>
        <w:t>.</w:t>
      </w:r>
      <w:r>
        <w:tab/>
        <w:t>Release of vehicle after impounding period</w:t>
      </w:r>
      <w:bookmarkEnd w:id="170"/>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71" w:name="_Toc512325921"/>
      <w:r>
        <w:rPr>
          <w:rStyle w:val="CharSectno"/>
        </w:rPr>
        <w:t>80IB</w:t>
      </w:r>
      <w:r>
        <w:t>.</w:t>
      </w:r>
      <w:r>
        <w:tab/>
        <w:t>Impounding expenses, payment of before vehicle released</w:t>
      </w:r>
      <w:bookmarkEnd w:id="171"/>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reasonable expenses of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Footnotesection"/>
        <w:ind w:left="890" w:hanging="890"/>
      </w:pPr>
      <w:r>
        <w:tab/>
        <w:t>[Section 80IB inserted by No. 4 of 2007 s. 9; amended by No. 24 of 2008 s. 23 and 25; No. 23 of 2009 s. 22; No. 20 of 2010 s. 12; No. 51 of 2016 s. 38.]</w:t>
      </w:r>
    </w:p>
    <w:p>
      <w:pPr>
        <w:pStyle w:val="Heading5"/>
        <w:rPr>
          <w:snapToGrid w:val="0"/>
        </w:rPr>
      </w:pPr>
      <w:bookmarkStart w:id="172" w:name="_Toc512325922"/>
      <w:r>
        <w:rPr>
          <w:rStyle w:val="CharSectno"/>
        </w:rPr>
        <w:t>80I</w:t>
      </w:r>
      <w:r>
        <w:rPr>
          <w:snapToGrid w:val="0"/>
        </w:rPr>
        <w:t>.</w:t>
      </w:r>
      <w:r>
        <w:rPr>
          <w:snapToGrid w:val="0"/>
        </w:rPr>
        <w:tab/>
        <w:t>Storage expenses after impounding period ends</w:t>
      </w:r>
      <w:bookmarkEnd w:id="172"/>
    </w:p>
    <w:p>
      <w:pPr>
        <w:pStyle w:val="Subsection"/>
      </w:pPr>
      <w:r>
        <w:tab/>
        <w:t>(1A)</w:t>
      </w:r>
      <w:r>
        <w:tab/>
        <w:t xml:space="preserve">If a vehicle is impounded under Subdivision 2 or on an impounding order and a person is convicted of the offence for which the vehicle was impounded, that person is liable to pay to the Commissioner an amount specified by the Commissioner as being equivalent to all reasonable expenses of the Commissioner in storing the vehicle after the impounding period ends (the </w:t>
      </w:r>
      <w:r>
        <w:rPr>
          <w:rStyle w:val="CharDefText"/>
        </w:rPr>
        <w:t>post</w:t>
      </w:r>
      <w:r>
        <w:rPr>
          <w:rStyle w:val="CharDefText"/>
        </w:rPr>
        <w:noBreakHyphen/>
        <w:t>impoundment expenses</w:t>
      </w:r>
      <w:r>
        <w:t>).</w:t>
      </w:r>
    </w:p>
    <w:p>
      <w:pPr>
        <w:pStyle w:val="Subsection"/>
      </w:pPr>
      <w:r>
        <w:tab/>
        <w:t>(1)</w:t>
      </w:r>
      <w:r>
        <w:tab/>
        <w:t>The Commissioner may refuse to release a vehicle impounded under Subdivision 2 or on an impounding order until the Commissioner is paid the post</w:t>
      </w:r>
      <w:r>
        <w:noBreakHyphen/>
        <w:t>impoundment expenses for the vehicle.</w:t>
      </w:r>
    </w:p>
    <w:p>
      <w:pPr>
        <w:pStyle w:val="Subsection"/>
      </w:pPr>
      <w:r>
        <w:tab/>
        <w:t>(2A)</w:t>
      </w:r>
      <w:r>
        <w:tab/>
        <w:t>If the vehicle impounded under Subdivision 2 is a substitute vehicle impounded under section 79BCB, the post</w:t>
      </w:r>
      <w:r>
        <w:noBreakHyphen/>
        <w:t>impoundment expenses are both the expenses incurred in storing the substitute vehicle and any unpaid expenses incurred in storing the initially impounded vehicle (as defined in section 79BCA(1)).</w:t>
      </w:r>
    </w:p>
    <w:p>
      <w:pPr>
        <w:pStyle w:val="Subsection"/>
      </w:pPr>
      <w:r>
        <w:tab/>
        <w:t>(2)</w:t>
      </w:r>
      <w:r>
        <w:tab/>
        <w:t>The post</w:t>
      </w:r>
      <w:r>
        <w:noBreakHyphen/>
        <w:t>impoundment expenses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 No. 51 of 2016 s. 39.]</w:t>
      </w:r>
    </w:p>
    <w:p>
      <w:pPr>
        <w:pStyle w:val="Heading5"/>
      </w:pPr>
      <w:bookmarkStart w:id="173" w:name="_Toc512325923"/>
      <w:r>
        <w:rPr>
          <w:rStyle w:val="CharSectno"/>
        </w:rPr>
        <w:t>80JA</w:t>
      </w:r>
      <w:r>
        <w:t>.</w:t>
      </w:r>
      <w:r>
        <w:tab/>
        <w:t>Disposal, with consent, of vehicles impounded under s. 79 or 79A</w:t>
      </w:r>
      <w:bookmarkEnd w:id="173"/>
    </w:p>
    <w:p>
      <w:pPr>
        <w:pStyle w:val="Subsection"/>
      </w:pPr>
      <w:r>
        <w:tab/>
        <w:t>(1)</w:t>
      </w:r>
      <w:r>
        <w:tab/>
        <w:t>In this section —</w:t>
      </w:r>
    </w:p>
    <w:p>
      <w:pPr>
        <w:pStyle w:val="Defstart"/>
      </w:pPr>
      <w:r>
        <w:tab/>
      </w:r>
      <w:r>
        <w:rPr>
          <w:rStyle w:val="CharDefText"/>
        </w:rPr>
        <w:t>impounded vehicle</w:t>
      </w:r>
      <w:r>
        <w:t xml:space="preserve"> means a vehicle that is impounded under section 79 or 79A.</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keepNext/>
        <w:keepLines/>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reasonable expenses of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keepLines/>
      </w:pPr>
      <w:r>
        <w:tab/>
        <w:t>(c)</w:t>
      </w:r>
      <w:r>
        <w:tab/>
        <w:t>the person charged with that offence is acquitted,</w:t>
      </w:r>
    </w:p>
    <w:p>
      <w:pPr>
        <w:pStyle w:val="Subsection"/>
        <w:keepNext/>
        <w:keepLines/>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 amended by No. 51 of 2016 s. 40.]</w:t>
      </w:r>
    </w:p>
    <w:p>
      <w:pPr>
        <w:pStyle w:val="Heading5"/>
        <w:spacing w:before="240"/>
      </w:pPr>
      <w:bookmarkStart w:id="174" w:name="_Toc512325924"/>
      <w:r>
        <w:rPr>
          <w:rStyle w:val="CharSectno"/>
        </w:rPr>
        <w:t>80J</w:t>
      </w:r>
      <w:r>
        <w:t>.</w:t>
      </w:r>
      <w:r>
        <w:tab/>
        <w:t>Sale of confiscated and uncollected vehicles and items</w:t>
      </w:r>
      <w:bookmarkEnd w:id="174"/>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 as in force at any time, 80C(1) or 80CB(1);</w:t>
      </w:r>
    </w:p>
    <w:p>
      <w:pPr>
        <w:pStyle w:val="Defstart"/>
      </w:pPr>
      <w:r>
        <w:tab/>
      </w:r>
      <w:r>
        <w:rPr>
          <w:rStyle w:val="CharDefText"/>
        </w:rPr>
        <w:t>expenses</w:t>
      </w:r>
      <w:r>
        <w:t xml:space="preserve"> means the reasonable expenses of the Commissioner;</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7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or an item unless any appeal against an impounding or confiscation order in respect of the vehicle is determined.</w:t>
      </w:r>
    </w:p>
    <w:p>
      <w:pPr>
        <w:pStyle w:val="Subsection"/>
        <w:keepNext/>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Ednotepara"/>
      </w:pPr>
      <w:r>
        <w:tab/>
        <w:t>[(b)</w:t>
      </w:r>
      <w:r>
        <w:tab/>
        <w:t>deleted]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in satisfaction of an unpaid amount for which a person is liable under section 80I;</w:t>
      </w:r>
    </w:p>
    <w:p>
      <w:pPr>
        <w:pStyle w:val="Indenta"/>
      </w:pPr>
      <w:r>
        <w:tab/>
        <w:t>(ga)</w:t>
      </w:r>
      <w:r>
        <w:tab/>
        <w:t>in satisfaction of an unpaid amount of a judgment debt arising out of a liability under section 80I;</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 as in force at any time,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 No. 51 of 2016 s. 41.]</w:t>
      </w:r>
    </w:p>
    <w:p>
      <w:pPr>
        <w:pStyle w:val="Heading5"/>
        <w:keepNext w:val="0"/>
        <w:keepLines w:val="0"/>
        <w:spacing w:before="160"/>
      </w:pPr>
      <w:bookmarkStart w:id="175" w:name="_Toc512325925"/>
      <w:r>
        <w:rPr>
          <w:rStyle w:val="CharSectno"/>
        </w:rPr>
        <w:t>80K</w:t>
      </w:r>
      <w:r>
        <w:t>.</w:t>
      </w:r>
      <w:r>
        <w:tab/>
        <w:t>Police expenses more than sale proceeds, liability for</w:t>
      </w:r>
      <w:bookmarkEnd w:id="175"/>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76" w:name="_Toc512325926"/>
      <w:r>
        <w:rPr>
          <w:rStyle w:val="CharSectno"/>
        </w:rPr>
        <w:t>80LA</w:t>
      </w:r>
      <w:r>
        <w:t>.</w:t>
      </w:r>
      <w:r>
        <w:tab/>
        <w:t>Liability for police expenses for uncollected vehicle more than sale proceeds</w:t>
      </w:r>
      <w:bookmarkEnd w:id="176"/>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reasonable expenses incurred by the Commissioner in selling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 amended by No. 51 of 2016 s. 42.]</w:t>
      </w:r>
    </w:p>
    <w:p>
      <w:pPr>
        <w:pStyle w:val="Heading5"/>
        <w:keepNext w:val="0"/>
        <w:keepLines w:val="0"/>
      </w:pPr>
      <w:bookmarkStart w:id="177" w:name="_Toc512325927"/>
      <w:r>
        <w:rPr>
          <w:rStyle w:val="CharSectno"/>
        </w:rPr>
        <w:t>80L</w:t>
      </w:r>
      <w:r>
        <w:t>.</w:t>
      </w:r>
      <w:r>
        <w:tab/>
        <w:t>Transfer of vehicle licence to State in some cases</w:t>
      </w:r>
      <w:bookmarkEnd w:id="177"/>
    </w:p>
    <w:p>
      <w:pPr>
        <w:pStyle w:val="Subsection"/>
      </w:pPr>
      <w:r>
        <w:tab/>
        <w:t>(1)</w:t>
      </w:r>
      <w:r>
        <w:tab/>
        <w:t>If a licensed vehicle is confiscated on an order under section 80A, as in force at any time,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 No. 51 of 2016 s. 43.]</w:t>
      </w:r>
    </w:p>
    <w:p>
      <w:pPr>
        <w:pStyle w:val="Heading5"/>
      </w:pPr>
      <w:bookmarkStart w:id="178" w:name="_Toc512325928"/>
      <w:r>
        <w:rPr>
          <w:rStyle w:val="CharSectno"/>
        </w:rPr>
        <w:t>80M</w:t>
      </w:r>
      <w:r>
        <w:t>.</w:t>
      </w:r>
      <w:r>
        <w:tab/>
        <w:t>Compensation for certain vehicles or items disposed of under s. 80J</w:t>
      </w:r>
      <w:bookmarkEnd w:id="178"/>
    </w:p>
    <w:p>
      <w:pPr>
        <w:pStyle w:val="Subsection"/>
      </w:pPr>
      <w:r>
        <w:tab/>
        <w:t>(1)</w:t>
      </w:r>
      <w:r>
        <w:tab/>
        <w:t xml:space="preserve">In this section — </w:t>
      </w:r>
    </w:p>
    <w:p>
      <w:pPr>
        <w:pStyle w:val="Defstart"/>
      </w:pPr>
      <w:r>
        <w:tab/>
      </w:r>
      <w:r>
        <w:rPr>
          <w:rStyle w:val="CharDefText"/>
        </w:rPr>
        <w:t>former owner</w:t>
      </w:r>
      <w:r>
        <w:t>, in relation to an uncollected vehicle sold or otherwise disposed of under section 80J, or an item in or on the vehicle, means the owner of the vehicle or item before the vehicle or item was sold or otherwise disposed of;</w:t>
      </w:r>
    </w:p>
    <w:p>
      <w:pPr>
        <w:pStyle w:val="Defstart"/>
      </w:pPr>
      <w:r>
        <w:tab/>
      </w:r>
      <w:r>
        <w:rPr>
          <w:rStyle w:val="CharDefText"/>
        </w:rPr>
        <w:t>item</w:t>
      </w:r>
      <w:r>
        <w:t xml:space="preserve"> has the meaning given in section 80J(1);</w:t>
      </w:r>
    </w:p>
    <w:p>
      <w:pPr>
        <w:pStyle w:val="Defstart"/>
      </w:pPr>
      <w:r>
        <w:tab/>
      </w:r>
      <w:r>
        <w:rPr>
          <w:rStyle w:val="CharDefText"/>
        </w:rPr>
        <w:t>uncollected vehicle</w:t>
      </w:r>
      <w:r>
        <w:t xml:space="preserve"> has the meaning given in section 80J(1).</w:t>
      </w:r>
    </w:p>
    <w:p>
      <w:pPr>
        <w:pStyle w:val="Subsection"/>
        <w:keepNext/>
      </w:pPr>
      <w:r>
        <w:tab/>
        <w:t>(2)</w:t>
      </w:r>
      <w:r>
        <w:tab/>
        <w:t xml:space="preserve">The State is liable to pay compensation to the former owner of an uncollected vehicle, or an item, if the vehicle or item is sold or otherwise disposed of under section 80J and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acquitted of that offence, or the charge is withdrawn or dismissed.</w:t>
      </w:r>
    </w:p>
    <w:p>
      <w:pPr>
        <w:pStyle w:val="Subsection"/>
      </w:pPr>
      <w:r>
        <w:tab/>
        <w:t>(3)</w:t>
      </w:r>
      <w:r>
        <w:tab/>
        <w:t>If, before the end of the period referred to in subsection (2)(a), the Commissioner of Police is satisfied that it is unlikely that a person will be charged with committing the offence for which the uncollected vehicle was impounded, the former owner of the vehicle, or item, may be paid compensation.</w:t>
      </w:r>
    </w:p>
    <w:p>
      <w:pPr>
        <w:pStyle w:val="Subsection"/>
      </w:pPr>
      <w:r>
        <w:tab/>
        <w:t>(4)</w:t>
      </w:r>
      <w:r>
        <w:tab/>
        <w:t>A liability that the State has under subsection (2) in relation to a an uncollected vehicle, or item, is reduced by an amount paid under subsection (3) in relation to the vehicle or item.</w:t>
      </w:r>
    </w:p>
    <w:p>
      <w:pPr>
        <w:pStyle w:val="Subsection"/>
      </w:pPr>
      <w:r>
        <w:tab/>
        <w:t>(5)</w:t>
      </w:r>
      <w:r>
        <w:tab/>
        <w:t xml:space="preserve">The State may recover from a person an amount equal to the amount of compensation paid to the person under subsection (2) or (3) in a court of competent jurisdiction as a debt due to the State if — </w:t>
      </w:r>
    </w:p>
    <w:p>
      <w:pPr>
        <w:pStyle w:val="Indenta"/>
      </w:pPr>
      <w:r>
        <w:tab/>
        <w:t>(a)</w:t>
      </w:r>
      <w:r>
        <w:tab/>
        <w:t>a person is, after the payment of the compensation, convicted of the offence for which the uncollected vehicle was impounded; and</w:t>
      </w:r>
    </w:p>
    <w:p>
      <w:pPr>
        <w:pStyle w:val="Indenta"/>
      </w:pPr>
      <w:r>
        <w:tab/>
        <w:t>(b)</w:t>
      </w:r>
      <w:r>
        <w:tab/>
        <w:t>any appeal against the conviction is determined and the conviction is not quashed or overturned.</w:t>
      </w:r>
    </w:p>
    <w:p>
      <w:pPr>
        <w:pStyle w:val="Subsection"/>
      </w:pPr>
      <w:r>
        <w:tab/>
        <w:t>(6)</w:t>
      </w:r>
      <w:r>
        <w:tab/>
        <w:t xml:space="preserve">The State is liable to pay compensation to the former owner of an uncollected vehicle, or an item, if — </w:t>
      </w:r>
    </w:p>
    <w:p>
      <w:pPr>
        <w:pStyle w:val="Indenta"/>
      </w:pPr>
      <w:r>
        <w:tab/>
        <w:t>(a)</w:t>
      </w:r>
      <w:r>
        <w:tab/>
        <w:t>a person was convicted of the offence for which the vehicle was impounded; and</w:t>
      </w:r>
    </w:p>
    <w:p>
      <w:pPr>
        <w:pStyle w:val="Indenta"/>
      </w:pPr>
      <w:r>
        <w:tab/>
        <w:t>(b)</w:t>
      </w:r>
      <w:r>
        <w:tab/>
        <w:t>the person is subsequently acquitted of the offence; and</w:t>
      </w:r>
    </w:p>
    <w:p>
      <w:pPr>
        <w:pStyle w:val="Indenta"/>
      </w:pPr>
      <w:r>
        <w:tab/>
        <w:t>(c)</w:t>
      </w:r>
      <w:r>
        <w:tab/>
        <w:t xml:space="preserve">at the time of the acquittal — </w:t>
      </w:r>
    </w:p>
    <w:p>
      <w:pPr>
        <w:pStyle w:val="Indenti"/>
      </w:pPr>
      <w:r>
        <w:tab/>
        <w:t>(i)</w:t>
      </w:r>
      <w:r>
        <w:tab/>
        <w:t>no other person has been convicted of the offence for which the vehicle was impounded; or</w:t>
      </w:r>
    </w:p>
    <w:p>
      <w:pPr>
        <w:pStyle w:val="Indenti"/>
      </w:pPr>
      <w:r>
        <w:tab/>
        <w:t>(ii)</w:t>
      </w:r>
      <w:r>
        <w:tab/>
        <w:t>if a person has been charged with the offence for which the vehicle was impounded, the person is acquitted of the offence or the charge is withdrawn or dismissed.</w:t>
      </w:r>
    </w:p>
    <w:p>
      <w:pPr>
        <w:pStyle w:val="Subsection"/>
      </w:pPr>
      <w:r>
        <w:tab/>
        <w:t>(7)</w:t>
      </w:r>
      <w:r>
        <w:tab/>
        <w:t xml:space="preserve">The amount of compensation to be paid under this section — </w:t>
      </w:r>
    </w:p>
    <w:p>
      <w:pPr>
        <w:pStyle w:val="Indenta"/>
      </w:pPr>
      <w:r>
        <w:tab/>
        <w:t>(a)</w:t>
      </w:r>
      <w:r>
        <w:tab/>
        <w:t>for an uncollected vehicle, is limited to the market value of the vehicle at the time it was impounded; and</w:t>
      </w:r>
    </w:p>
    <w:p>
      <w:pPr>
        <w:pStyle w:val="Indenta"/>
      </w:pPr>
      <w:r>
        <w:tab/>
        <w:t>(b)</w:t>
      </w:r>
      <w:r>
        <w:tab/>
        <w:t xml:space="preserve">for an item, is limited to the market value of the item at the time the vehicle was impounded. </w:t>
      </w:r>
    </w:p>
    <w:p>
      <w:pPr>
        <w:pStyle w:val="Subsection"/>
      </w:pPr>
      <w:r>
        <w:tab/>
        <w:t>(8)</w:t>
      </w:r>
      <w:r>
        <w:tab/>
        <w:t xml:space="preserve">For the purposes of subsection (7), the market value of an uncollected vehicle, or an item, is — </w:t>
      </w:r>
    </w:p>
    <w:p>
      <w:pPr>
        <w:pStyle w:val="Indenta"/>
      </w:pPr>
      <w:r>
        <w:tab/>
        <w:t>(a)</w:t>
      </w:r>
      <w:r>
        <w:tab/>
        <w:t>the market value agreed between the State and the former owner of the vehicle or item; or</w:t>
      </w:r>
    </w:p>
    <w:p>
      <w:pPr>
        <w:pStyle w:val="Indenta"/>
      </w:pPr>
      <w:r>
        <w:tab/>
        <w:t>(b)</w:t>
      </w:r>
      <w:r>
        <w:tab/>
        <w:t>if no such agreement exists, the market value of the vehicle or item as determined by a court of competent jurisdiction.</w:t>
      </w:r>
    </w:p>
    <w:p>
      <w:pPr>
        <w:pStyle w:val="Footnotesection"/>
      </w:pPr>
      <w:r>
        <w:tab/>
        <w:t>[Section 80M inserted by No. 51 of 2016 s. 44.]</w:t>
      </w:r>
    </w:p>
    <w:p>
      <w:pPr>
        <w:pStyle w:val="Heading4"/>
      </w:pPr>
      <w:bookmarkStart w:id="179" w:name="_Toc491075118"/>
      <w:bookmarkStart w:id="180" w:name="_Toc497206420"/>
      <w:bookmarkStart w:id="181" w:name="_Toc499733178"/>
      <w:bookmarkStart w:id="182" w:name="_Toc500926279"/>
      <w:bookmarkStart w:id="183" w:name="_Toc512325929"/>
      <w:r>
        <w:t>Subdivision 5 — Impounding and confiscation of unlicensed motor cycles used on roads</w:t>
      </w:r>
      <w:bookmarkEnd w:id="179"/>
      <w:bookmarkEnd w:id="180"/>
      <w:bookmarkEnd w:id="181"/>
      <w:bookmarkEnd w:id="182"/>
      <w:bookmarkEnd w:id="183"/>
    </w:p>
    <w:p>
      <w:pPr>
        <w:pStyle w:val="Footnoteheading"/>
      </w:pPr>
      <w:r>
        <w:tab/>
        <w:t>[Heading inserted by No. 51 of 2016 s. 45.]</w:t>
      </w:r>
    </w:p>
    <w:p>
      <w:pPr>
        <w:pStyle w:val="Heading5"/>
      </w:pPr>
      <w:bookmarkStart w:id="184" w:name="_Toc512325930"/>
      <w:r>
        <w:rPr>
          <w:rStyle w:val="CharSectno"/>
        </w:rPr>
        <w:t>80N</w:t>
      </w:r>
      <w:r>
        <w:t>.</w:t>
      </w:r>
      <w:r>
        <w:tab/>
        <w:t>Terms used</w:t>
      </w:r>
      <w:bookmarkEnd w:id="184"/>
    </w:p>
    <w:p>
      <w:pPr>
        <w:pStyle w:val="Subsection"/>
      </w:pPr>
      <w:r>
        <w:tab/>
      </w:r>
      <w:r>
        <w:tab/>
        <w:t xml:space="preserve">In this Subdivision — </w:t>
      </w:r>
    </w:p>
    <w:p>
      <w:pPr>
        <w:pStyle w:val="Defstart"/>
      </w:pPr>
      <w:r>
        <w:tab/>
      </w:r>
      <w:r>
        <w:rPr>
          <w:rStyle w:val="CharDefText"/>
        </w:rPr>
        <w:t>immediate family</w:t>
      </w:r>
      <w:r>
        <w:t>, in relation to a person, means a spouse or de facto partner, child, grandchild, sibling, parent or grandparent of the person;</w:t>
      </w:r>
    </w:p>
    <w:p>
      <w:pPr>
        <w:pStyle w:val="Defstart"/>
      </w:pPr>
      <w:r>
        <w:tab/>
      </w:r>
      <w:r>
        <w:rPr>
          <w:rStyle w:val="CharDefText"/>
        </w:rPr>
        <w:t>surrender notice</w:t>
      </w:r>
      <w:r>
        <w:t xml:space="preserve"> has the meaning given in section 80P(2);</w:t>
      </w:r>
    </w:p>
    <w:p>
      <w:pPr>
        <w:pStyle w:val="Defstart"/>
      </w:pPr>
      <w:r>
        <w:tab/>
      </w:r>
      <w:r>
        <w:rPr>
          <w:rStyle w:val="CharDefText"/>
        </w:rPr>
        <w:t>suspected use</w:t>
      </w:r>
      <w:r>
        <w:t>, in relation to a motor cycle impounded under section 80O(2) or 80Q(1) or (2), means the use of the motor cycle in circumstances described in section 80O(1)(a) to (c).</w:t>
      </w:r>
    </w:p>
    <w:p>
      <w:pPr>
        <w:pStyle w:val="Footnotesection"/>
      </w:pPr>
      <w:r>
        <w:tab/>
        <w:t>[Section 80N inserted by No. 51 of 2016 s. 45.]</w:t>
      </w:r>
    </w:p>
    <w:p>
      <w:pPr>
        <w:pStyle w:val="Heading5"/>
      </w:pPr>
      <w:bookmarkStart w:id="185" w:name="_Toc512325931"/>
      <w:r>
        <w:rPr>
          <w:rStyle w:val="CharSectno"/>
        </w:rPr>
        <w:t>80O</w:t>
      </w:r>
      <w:r>
        <w:t>.</w:t>
      </w:r>
      <w:r>
        <w:tab/>
        <w:t>Police power to impound unlicensed motor cycle used on road</w:t>
      </w:r>
      <w:bookmarkEnd w:id="185"/>
    </w:p>
    <w:p>
      <w:pPr>
        <w:pStyle w:val="Subsection"/>
      </w:pPr>
      <w:r>
        <w:tab/>
        <w:t>(1)</w:t>
      </w:r>
      <w:r>
        <w:tab/>
        <w:t xml:space="preserve">This section applies if a police officer reasonably suspects that — </w:t>
      </w:r>
    </w:p>
    <w:p>
      <w:pPr>
        <w:pStyle w:val="Indenta"/>
      </w:pPr>
      <w:r>
        <w:tab/>
        <w:t>(a)</w:t>
      </w:r>
      <w:r>
        <w:tab/>
        <w:t>a motor cycle is being used on a road; and</w:t>
      </w:r>
    </w:p>
    <w:p>
      <w:pPr>
        <w:pStyle w:val="Indenta"/>
      </w:pPr>
      <w:r>
        <w:tab/>
        <w:t>(b)</w:t>
      </w:r>
      <w:r>
        <w:tab/>
        <w:t xml:space="preserve">the use constitutes an offence under the </w:t>
      </w:r>
      <w:r>
        <w:rPr>
          <w:i/>
        </w:rPr>
        <w:t>Road Traffic (Vehicles) Act 2012</w:t>
      </w:r>
      <w:r>
        <w:t xml:space="preserve"> section 4(2); and</w:t>
      </w:r>
    </w:p>
    <w:p>
      <w:pPr>
        <w:pStyle w:val="Indenta"/>
      </w:pPr>
      <w:r>
        <w:tab/>
        <w:t>(c)</w:t>
      </w:r>
      <w:r>
        <w:tab/>
        <w:t xml:space="preserve">the motor cycle was not, at any time during the period of 2 years immediately before the day of the use — </w:t>
      </w:r>
    </w:p>
    <w:p>
      <w:pPr>
        <w:pStyle w:val="Indenti"/>
      </w:pPr>
      <w:r>
        <w:tab/>
        <w:t>(i)</w:t>
      </w:r>
      <w:r>
        <w:tab/>
        <w:t xml:space="preserve">licensed under the </w:t>
      </w:r>
      <w:r>
        <w:rPr>
          <w:i/>
        </w:rPr>
        <w:t>Road Traffic (Vehicles) Act 2012</w:t>
      </w:r>
      <w:r>
        <w:t xml:space="preserve">; or </w:t>
      </w:r>
    </w:p>
    <w:p>
      <w:pPr>
        <w:pStyle w:val="Indenti"/>
      </w:pPr>
      <w:r>
        <w:tab/>
        <w:t>(ii)</w:t>
      </w:r>
      <w:r>
        <w:tab/>
        <w:t xml:space="preserve">the subject of a permit, or number plates, issued under the </w:t>
      </w:r>
      <w:r>
        <w:rPr>
          <w:i/>
        </w:rPr>
        <w:t xml:space="preserve">Road Traffic (Vehicles) Act 2012 </w:t>
      </w:r>
      <w:r>
        <w:t>section 13.</w:t>
      </w:r>
    </w:p>
    <w:p>
      <w:pPr>
        <w:pStyle w:val="Subsection"/>
      </w:pPr>
      <w:r>
        <w:tab/>
        <w:t>(2)</w:t>
      </w:r>
      <w:r>
        <w:tab/>
        <w:t>The police officer may seize and impound the motor cycle within a period of 28 days after the day of its suspected use.</w:t>
      </w:r>
    </w:p>
    <w:p>
      <w:pPr>
        <w:pStyle w:val="Subsection"/>
      </w:pPr>
      <w:r>
        <w:tab/>
        <w:t>(3)</w:t>
      </w:r>
      <w:r>
        <w:tab/>
        <w:t xml:space="preserve">The Commissioner is to ensure that, as soon as practicable after a motor cycle is impounded under subsection (2), notice of the impounding is given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(4)</w:t>
      </w:r>
      <w:r>
        <w:tab/>
        <w:t>The notice must be in an approved form and specify the following —</w:t>
      </w:r>
    </w:p>
    <w:p>
      <w:pPr>
        <w:pStyle w:val="Indenta"/>
      </w:pPr>
      <w:r>
        <w:tab/>
        <w:t>(a)</w:t>
      </w:r>
      <w:r>
        <w:tab/>
        <w:t>the time when the motor cycle was impounded;</w:t>
      </w:r>
    </w:p>
    <w:p>
      <w:pPr>
        <w:pStyle w:val="Indenta"/>
      </w:pPr>
      <w:r>
        <w:tab/>
        <w:t>(b)</w:t>
      </w:r>
      <w:r>
        <w:tab/>
        <w:t>the address of the place where the motor cycle is stored;</w:t>
      </w:r>
    </w:p>
    <w:p>
      <w:pPr>
        <w:pStyle w:val="Indenta"/>
      </w:pPr>
      <w:r>
        <w:tab/>
        <w:t>(c)</w:t>
      </w:r>
      <w:r>
        <w:tab/>
        <w:t>sufficient details of the motor cycle to identify it;</w:t>
      </w:r>
    </w:p>
    <w:p>
      <w:pPr>
        <w:pStyle w:val="Indenta"/>
      </w:pPr>
      <w:r>
        <w:tab/>
        <w:t>(d)</w:t>
      </w:r>
      <w:r>
        <w:tab/>
        <w:t>the time and place of the suspected use of the motor cycle;</w:t>
      </w:r>
    </w:p>
    <w:p>
      <w:pPr>
        <w:pStyle w:val="Indenta"/>
      </w:pPr>
      <w:r>
        <w:tab/>
        <w:t>(e)</w:t>
      </w:r>
      <w:r>
        <w:tab/>
        <w:t>sufficient other details of the suspected use to identify the grounds for giving the notice;</w:t>
      </w:r>
    </w:p>
    <w:p>
      <w:pPr>
        <w:pStyle w:val="Indenta"/>
      </w:pPr>
      <w:r>
        <w:tab/>
        <w:t>(f)</w:t>
      </w:r>
      <w:r>
        <w:tab/>
        <w:t>if known, the name of the driver of the motor cycle during its suspected use.</w:t>
      </w:r>
    </w:p>
    <w:p>
      <w:pPr>
        <w:pStyle w:val="Subsection"/>
        <w:keepNext/>
      </w:pPr>
      <w:r>
        <w:tab/>
        <w:t>(5)</w:t>
      </w:r>
      <w:r>
        <w:tab/>
        <w:t>The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80O inserted by No. 51 of 2016 s. 45.]</w:t>
      </w:r>
    </w:p>
    <w:p>
      <w:pPr>
        <w:pStyle w:val="Heading5"/>
      </w:pPr>
      <w:bookmarkStart w:id="186" w:name="_Toc512325932"/>
      <w:r>
        <w:rPr>
          <w:rStyle w:val="CharSectno"/>
        </w:rPr>
        <w:t>80P</w:t>
      </w:r>
      <w:r>
        <w:t>.</w:t>
      </w:r>
      <w:r>
        <w:tab/>
        <w:t>Surrender notice</w:t>
      </w:r>
      <w:bookmarkEnd w:id="186"/>
    </w:p>
    <w:p>
      <w:pPr>
        <w:pStyle w:val="Subsection"/>
      </w:pPr>
      <w:r>
        <w:tab/>
        <w:t>(1)</w:t>
      </w:r>
      <w:r>
        <w:tab/>
        <w:t xml:space="preserve">This section applies if — </w:t>
      </w:r>
    </w:p>
    <w:p>
      <w:pPr>
        <w:pStyle w:val="Indenta"/>
      </w:pPr>
      <w:r>
        <w:tab/>
        <w:t>(a)</w:t>
      </w:r>
      <w:r>
        <w:tab/>
        <w:t>a police officer reasonably suspects, in relation to a motor cycle, that the motor cycle has been used in circumstances described in section 80O(1)(a) to (c); and</w:t>
      </w:r>
    </w:p>
    <w:p>
      <w:pPr>
        <w:pStyle w:val="Indenta"/>
      </w:pPr>
      <w:r>
        <w:tab/>
        <w:t>(b)</w:t>
      </w:r>
      <w:r>
        <w:tab/>
        <w:t>it is impracticable for the police officer to impound the motor cycle under section 80O(2).</w:t>
      </w:r>
    </w:p>
    <w:p>
      <w:pPr>
        <w:pStyle w:val="Subsection"/>
      </w:pPr>
      <w:r>
        <w:tab/>
        <w:t>(2)</w:t>
      </w:r>
      <w:r>
        <w:tab/>
        <w:t xml:space="preserve">The police officer may give, personally or by registered post, a notice (a </w:t>
      </w:r>
      <w:r>
        <w:rPr>
          <w:rStyle w:val="CharDefText"/>
        </w:rPr>
        <w:t>surrender notice</w:t>
      </w:r>
      <w:r>
        <w:t xml:space="preserve">) to — </w:t>
      </w:r>
    </w:p>
    <w:p>
      <w:pPr>
        <w:pStyle w:val="Indenta"/>
      </w:pPr>
      <w:r>
        <w:tab/>
        <w:t>(a)</w:t>
      </w:r>
      <w:r>
        <w:tab/>
        <w:t>a responsible person for the motor cycle; and</w:t>
      </w:r>
    </w:p>
    <w:p>
      <w:pPr>
        <w:pStyle w:val="Indenta"/>
      </w:pPr>
      <w:r>
        <w:tab/>
        <w:t>(b)</w:t>
      </w:r>
      <w:r>
        <w:tab/>
        <w:t xml:space="preserve">if that person has not reached the age of 18 years, a responsible adult, as defined in the </w:t>
      </w:r>
      <w:r>
        <w:rPr>
          <w:i/>
        </w:rPr>
        <w:t>Young Offenders Act 1994</w:t>
      </w:r>
      <w:r>
        <w:t>, for the person.</w:t>
      </w:r>
    </w:p>
    <w:p>
      <w:pPr>
        <w:pStyle w:val="Subsection"/>
      </w:pPr>
      <w:r>
        <w:tab/>
        <w:t>(3)</w:t>
      </w:r>
      <w:r>
        <w:tab/>
        <w:t>The surrender notice cannot be given more than 28 days after the day of the suspected use of the motor cycle.</w:t>
      </w:r>
    </w:p>
    <w:p>
      <w:pPr>
        <w:pStyle w:val="Subsection"/>
      </w:pPr>
      <w:r>
        <w:tab/>
        <w:t>(4)</w:t>
      </w:r>
      <w:r>
        <w:tab/>
        <w:t>The surrender notice must be in an approved form and contain a statement to the effect that, because of the suspected use of the motor cycle, it is required to be surrendered to the Commissioner for impounding.</w:t>
      </w:r>
    </w:p>
    <w:p>
      <w:pPr>
        <w:pStyle w:val="Subsection"/>
        <w:keepNext/>
      </w:pPr>
      <w:r>
        <w:tab/>
        <w:t>(5)</w:t>
      </w:r>
      <w:r>
        <w:tab/>
        <w:t>The surrender notice must specify the following —</w:t>
      </w:r>
    </w:p>
    <w:p>
      <w:pPr>
        <w:pStyle w:val="Indenta"/>
      </w:pPr>
      <w:r>
        <w:tab/>
        <w:t>(a)</w:t>
      </w:r>
      <w:r>
        <w:tab/>
        <w:t>sufficient details of the motor cycle to identify it;</w:t>
      </w:r>
    </w:p>
    <w:p>
      <w:pPr>
        <w:pStyle w:val="Indenta"/>
      </w:pPr>
      <w:r>
        <w:tab/>
        <w:t>(b)</w:t>
      </w:r>
      <w:r>
        <w:tab/>
        <w:t>the time and place of the suspected use of the motor cycle;</w:t>
      </w:r>
    </w:p>
    <w:p>
      <w:pPr>
        <w:pStyle w:val="Indenta"/>
      </w:pPr>
      <w:r>
        <w:tab/>
        <w:t>(c)</w:t>
      </w:r>
      <w:r>
        <w:tab/>
        <w:t>sufficient other details of the suspected use to identify the grounds for giving the notice;</w:t>
      </w:r>
    </w:p>
    <w:p>
      <w:pPr>
        <w:pStyle w:val="Indenta"/>
      </w:pPr>
      <w:r>
        <w:tab/>
        <w:t>(d)</w:t>
      </w:r>
      <w:r>
        <w:tab/>
        <w:t>if known, the name of the driver of the motor cycle during its suspected use;</w:t>
      </w:r>
    </w:p>
    <w:p>
      <w:pPr>
        <w:pStyle w:val="Indenta"/>
      </w:pPr>
      <w:r>
        <w:tab/>
        <w:t>(e)</w:t>
      </w:r>
      <w:r>
        <w:tab/>
        <w:t>the place at which, and the time of day during which, the motor cycle and its keys are required to be surrendered under this Subdivision;</w:t>
      </w:r>
    </w:p>
    <w:p>
      <w:pPr>
        <w:pStyle w:val="Indenta"/>
      </w:pPr>
      <w:r>
        <w:tab/>
        <w:t>(f)</w:t>
      </w:r>
      <w:r>
        <w:tab/>
        <w:t>the last day on or before which the motor cycle and its keys are required to be surrendered, being the 7</w:t>
      </w:r>
      <w:r>
        <w:rPr>
          <w:vertAlign w:val="superscript"/>
        </w:rPr>
        <w:t>th</w:t>
      </w:r>
      <w:r>
        <w:t xml:space="preserve"> day after the day the surrender notice has been given.</w:t>
      </w:r>
    </w:p>
    <w:p>
      <w:pPr>
        <w:pStyle w:val="Subsection"/>
      </w:pPr>
      <w:r>
        <w:tab/>
        <w:t>(6)</w:t>
      </w:r>
      <w:r>
        <w:tab/>
        <w:t>The surrender notice must also include the following —</w:t>
      </w:r>
    </w:p>
    <w:p>
      <w:pPr>
        <w:pStyle w:val="Indenta"/>
      </w:pPr>
      <w:r>
        <w:tab/>
        <w:t>(a)</w:t>
      </w:r>
      <w:r>
        <w:tab/>
        <w:t>a statement to the effect that this Subdivision contains law about the notice and the impounding of the motor cycle;</w:t>
      </w:r>
    </w:p>
    <w:p>
      <w:pPr>
        <w:pStyle w:val="Indenta"/>
      </w:pPr>
      <w:r>
        <w:tab/>
        <w:t>(b)</w:t>
      </w:r>
      <w:r>
        <w:tab/>
        <w:t>a statement as to the effect of sections 80Q(1) and (2), 80S, 80T and 80U;</w:t>
      </w:r>
    </w:p>
    <w:p>
      <w:pPr>
        <w:pStyle w:val="Indenta"/>
      </w:pPr>
      <w:r>
        <w:tab/>
        <w:t>(c)</w:t>
      </w:r>
      <w:r>
        <w:tab/>
        <w:t>a statement as to the effect that if the motor cycle is confiscated under section 80T, it may be disposed of under section 80V;</w:t>
      </w:r>
    </w:p>
    <w:p>
      <w:pPr>
        <w:pStyle w:val="Indenta"/>
      </w:pPr>
      <w:r>
        <w:tab/>
        <w:t>(d)</w:t>
      </w:r>
      <w:r>
        <w:tab/>
        <w:t>a statement as to the effect of section 80W.</w:t>
      </w:r>
    </w:p>
    <w:p>
      <w:pPr>
        <w:pStyle w:val="Footnotesection"/>
      </w:pPr>
      <w:r>
        <w:tab/>
        <w:t>[Section 80P inserted by No. 51 of 2016 s. 45.]</w:t>
      </w:r>
    </w:p>
    <w:p>
      <w:pPr>
        <w:pStyle w:val="Heading5"/>
        <w:pageBreakBefore/>
        <w:spacing w:before="0"/>
      </w:pPr>
      <w:bookmarkStart w:id="187" w:name="_Toc512325933"/>
      <w:r>
        <w:rPr>
          <w:rStyle w:val="CharSectno"/>
        </w:rPr>
        <w:t>80Q</w:t>
      </w:r>
      <w:r>
        <w:t>.</w:t>
      </w:r>
      <w:r>
        <w:tab/>
        <w:t>Consequences of surrender notice</w:t>
      </w:r>
      <w:bookmarkEnd w:id="187"/>
    </w:p>
    <w:p>
      <w:pPr>
        <w:pStyle w:val="Subsection"/>
      </w:pPr>
      <w:r>
        <w:tab/>
        <w:t>(1)</w:t>
      </w:r>
      <w:r>
        <w:tab/>
        <w:t>If a responsible person for a motor cycle who is given a surrender notice surrenders the motor cycle according to the notice, the motor cycle must be impounded for a period that commences at the time when the motor cycle is surrendered.</w:t>
      </w:r>
    </w:p>
    <w:p>
      <w:pPr>
        <w:pStyle w:val="Subsection"/>
      </w:pPr>
      <w:r>
        <w:tab/>
        <w:t>(2)</w:t>
      </w:r>
      <w:r>
        <w:tab/>
        <w:t>If a responsible person for a motor cycle who is given a surrender notice fails to surrender the motor cycle according to the notice, the motor cycle must be impounded for a period that commences at the time when a police officer takes possession of the motor cycle for the purpose of impounding it.</w:t>
      </w:r>
    </w:p>
    <w:p>
      <w:pPr>
        <w:pStyle w:val="Subsection"/>
      </w:pPr>
      <w:r>
        <w:tab/>
        <w:t>(3)</w:t>
      </w:r>
      <w:r>
        <w:tab/>
        <w:t>A person who is given a surrender notice in relation to a motor cycle commits an offence if the person fails to comply with the notice.</w:t>
      </w:r>
    </w:p>
    <w:p>
      <w:pPr>
        <w:pStyle w:val="Penstart"/>
      </w:pPr>
      <w:r>
        <w:tab/>
        <w:t>Penalty for this subsection: a fine of 50 PU.</w:t>
      </w:r>
    </w:p>
    <w:p>
      <w:pPr>
        <w:pStyle w:val="Subsection"/>
      </w:pPr>
      <w:r>
        <w:tab/>
        <w:t>(4)</w:t>
      </w:r>
      <w:r>
        <w:tab/>
        <w:t xml:space="preserve">A person who is given a surrender notice in relation to a motor cycle commits an offence if, without the authority of a court order, the person — </w:t>
      </w:r>
    </w:p>
    <w:p>
      <w:pPr>
        <w:pStyle w:val="Indenta"/>
      </w:pPr>
      <w:r>
        <w:tab/>
        <w:t>(a)</w:t>
      </w:r>
      <w:r>
        <w:tab/>
        <w:t>disposes of an interest that the person has in the motor cycle; or</w:t>
      </w:r>
    </w:p>
    <w:p>
      <w:pPr>
        <w:pStyle w:val="Indenta"/>
      </w:pPr>
      <w:r>
        <w:tab/>
        <w:t>(b)</w:t>
      </w:r>
      <w:r>
        <w:tab/>
        <w:t>does anything, or causes or permits another person to do anything, that results or will result in a reduction in the value of the motor cycle.</w:t>
      </w:r>
    </w:p>
    <w:p>
      <w:pPr>
        <w:pStyle w:val="Penstart"/>
      </w:pPr>
      <w:r>
        <w:tab/>
        <w:t>Penalty for this subsection: a fine of 50 PU.</w:t>
      </w:r>
    </w:p>
    <w:p>
      <w:pPr>
        <w:pStyle w:val="Footnotesection"/>
      </w:pPr>
      <w:r>
        <w:tab/>
        <w:t>[Section 80Q inserted by No. 51 of 2016 s. 45.]</w:t>
      </w:r>
    </w:p>
    <w:p>
      <w:pPr>
        <w:pStyle w:val="Heading5"/>
      </w:pPr>
      <w:bookmarkStart w:id="188" w:name="_Toc512325934"/>
      <w:r>
        <w:rPr>
          <w:rStyle w:val="CharSectno"/>
        </w:rPr>
        <w:t>80R</w:t>
      </w:r>
      <w:r>
        <w:t>.</w:t>
      </w:r>
      <w:r>
        <w:tab/>
        <w:t>Senior police officer to be informed if vehicle impounded</w:t>
      </w:r>
      <w:bookmarkEnd w:id="188"/>
    </w:p>
    <w:p>
      <w:pPr>
        <w:pStyle w:val="Subsection"/>
      </w:pPr>
      <w:r>
        <w:tab/>
        <w:t>(1)</w:t>
      </w:r>
      <w:r>
        <w:tab/>
        <w:t>A police officer, other than a senior police officer, who seizes and impounds a motor cycle under section 80O(2) or gives a surrender notice under section 80P(2) must, as soon as practicable after the notice is given, inform a senior police officer of the following —</w:t>
      </w:r>
    </w:p>
    <w:p>
      <w:pPr>
        <w:pStyle w:val="Indenta"/>
      </w:pPr>
      <w:r>
        <w:tab/>
        <w:t>(a)</w:t>
      </w:r>
      <w:r>
        <w:tab/>
        <w:t>the date the seizure and impounding or the giving of the notice, as the case requires;</w:t>
      </w:r>
    </w:p>
    <w:p>
      <w:pPr>
        <w:pStyle w:val="Indenta"/>
      </w:pPr>
      <w:r>
        <w:tab/>
        <w:t>(b)</w:t>
      </w:r>
      <w:r>
        <w:tab/>
        <w:t>the police officer’s grounds for suspecting the matters referred to in section 80O(1)(a) to (c);</w:t>
      </w:r>
    </w:p>
    <w:p>
      <w:pPr>
        <w:pStyle w:val="Indenta"/>
      </w:pPr>
      <w:r>
        <w:tab/>
        <w:t>(c)</w:t>
      </w:r>
      <w:r>
        <w:tab/>
        <w:t>whether or not the motor cycle has been seized or surrendered.</w:t>
      </w:r>
    </w:p>
    <w:p>
      <w:pPr>
        <w:pStyle w:val="Subsection"/>
      </w:pPr>
      <w:r>
        <w:tab/>
        <w:t>(2)</w:t>
      </w:r>
      <w:r>
        <w:tab/>
        <w:t>A senior police officer who is informed under subsection (1) must make enquiries as to whether there were reasonable grounds for suspecting the matters referred to in section 80O(1)(a) to (c).</w:t>
      </w:r>
    </w:p>
    <w:p>
      <w:pPr>
        <w:pStyle w:val="Subsection"/>
      </w:pPr>
      <w:r>
        <w:tab/>
        <w:t>(3)</w:t>
      </w:r>
      <w:r>
        <w:tab/>
        <w:t xml:space="preserve">If the senior police officer is not satisfied that there were reasonable grounds for suspecting the matters referred to in section 80O(1)(a) to (c), the senior police officer must, as soon as practicable — </w:t>
      </w:r>
    </w:p>
    <w:p>
      <w:pPr>
        <w:pStyle w:val="Indenta"/>
      </w:pPr>
      <w:r>
        <w:tab/>
        <w:t>(a)</w:t>
      </w:r>
      <w:r>
        <w:tab/>
        <w:t>if the motor cycle has been impounded under section 80P, cancel the surrender notice and give a written notice of the cancellation to each person to whom the notice was given; and</w:t>
      </w:r>
    </w:p>
    <w:p>
      <w:pPr>
        <w:pStyle w:val="Indenta"/>
      </w:pPr>
      <w:r>
        <w:tab/>
        <w:t>(b)</w:t>
      </w:r>
      <w:r>
        <w:tab/>
        <w:t>ensure that the motor cycle is returned to a responsible person for the motor cycle, or if no responsible person is available, to the driver of the motor cycle at the time of its suspected use.</w:t>
      </w:r>
    </w:p>
    <w:p>
      <w:pPr>
        <w:pStyle w:val="Footnotesection"/>
      </w:pPr>
      <w:r>
        <w:tab/>
        <w:t>[Section 80R inserted by No. 51 of 2016 s. 45.]</w:t>
      </w:r>
    </w:p>
    <w:p>
      <w:pPr>
        <w:pStyle w:val="Heading5"/>
      </w:pPr>
      <w:bookmarkStart w:id="189" w:name="_Toc512325935"/>
      <w:r>
        <w:rPr>
          <w:rStyle w:val="CharSectno"/>
        </w:rPr>
        <w:t>80S</w:t>
      </w:r>
      <w:r>
        <w:t>.</w:t>
      </w:r>
      <w:r>
        <w:tab/>
        <w:t>Claims of right to possession</w:t>
      </w:r>
      <w:bookmarkEnd w:id="189"/>
    </w:p>
    <w:p>
      <w:pPr>
        <w:pStyle w:val="Subsection"/>
      </w:pPr>
      <w:r>
        <w:tab/>
        <w:t>(1)</w:t>
      </w:r>
      <w:r>
        <w:tab/>
        <w:t xml:space="preserve">A person may, within 10 days after the day on which a motor cycle is impounded under section 80O(2) or 80Q(1) or (2), give to the Commissioner a claim that — </w:t>
      </w:r>
    </w:p>
    <w:p>
      <w:pPr>
        <w:pStyle w:val="Indenta"/>
      </w:pPr>
      <w:r>
        <w:tab/>
        <w:t>(a)</w:t>
      </w:r>
      <w:r>
        <w:tab/>
        <w:t xml:space="preserve">the person — </w:t>
      </w:r>
    </w:p>
    <w:p>
      <w:pPr>
        <w:pStyle w:val="Indenti"/>
      </w:pPr>
      <w:r>
        <w:tab/>
        <w:t>(i)</w:t>
      </w:r>
      <w:r>
        <w:tab/>
        <w:t>is a responsible person for the motor cycle; and</w:t>
      </w:r>
    </w:p>
    <w:p>
      <w:pPr>
        <w:pStyle w:val="Indenti"/>
      </w:pPr>
      <w:r>
        <w:tab/>
        <w:t>(ii)</w:t>
      </w:r>
      <w:r>
        <w:tab/>
        <w:t>is not a member of the driver’s immediate family; and</w:t>
      </w:r>
    </w:p>
    <w:p>
      <w:pPr>
        <w:pStyle w:val="Indenti"/>
      </w:pPr>
      <w:r>
        <w:tab/>
        <w:t>(iii)</w:t>
      </w:r>
      <w:r>
        <w:tab/>
        <w:t>was not the driver of the motor cycle at the time of the suspected use;</w:t>
      </w:r>
    </w:p>
    <w:p>
      <w:pPr>
        <w:pStyle w:val="Indenta"/>
      </w:pPr>
      <w:r>
        <w:tab/>
      </w:r>
      <w:r>
        <w:tab/>
        <w:t>and</w:t>
      </w:r>
    </w:p>
    <w:p>
      <w:pPr>
        <w:pStyle w:val="Indenta"/>
      </w:pPr>
      <w:r>
        <w:tab/>
        <w:t>(b)</w:t>
      </w:r>
      <w:r>
        <w:tab/>
        <w:t>the suspected use of the motor cycle occurred without the knowledge and acquiescence of the person.</w:t>
      </w:r>
    </w:p>
    <w:p>
      <w:pPr>
        <w:pStyle w:val="Subsection"/>
        <w:keepNext/>
      </w:pPr>
      <w:r>
        <w:tab/>
        <w:t>(2)</w:t>
      </w:r>
      <w:r>
        <w:tab/>
        <w:t>The claim is to be in an approved form.</w:t>
      </w:r>
    </w:p>
    <w:p>
      <w:pPr>
        <w:pStyle w:val="Subsection"/>
      </w:pPr>
      <w:r>
        <w:tab/>
        <w:t>(3)</w:t>
      </w:r>
      <w:r>
        <w:tab/>
        <w:t>If the Commissioner accepts the claim, the Commissioner must, as soon as practicable, ensure that the motor cycle is returned to the claimant.</w:t>
      </w:r>
    </w:p>
    <w:p>
      <w:pPr>
        <w:pStyle w:val="Subsection"/>
      </w:pPr>
      <w:r>
        <w:tab/>
        <w:t>(4)</w:t>
      </w:r>
      <w:r>
        <w:tab/>
        <w:t>If the Commissioner rejects a claim, the Commissioner must, as soon as practicable, give a written notice of the rejection to the person making the claim.</w:t>
      </w:r>
    </w:p>
    <w:p>
      <w:pPr>
        <w:pStyle w:val="Footnotesection"/>
      </w:pPr>
      <w:r>
        <w:tab/>
        <w:t>[Section 80S inserted by No. 51 of 2016 s. 45.]</w:t>
      </w:r>
    </w:p>
    <w:p>
      <w:pPr>
        <w:pStyle w:val="Heading5"/>
      </w:pPr>
      <w:bookmarkStart w:id="190" w:name="_Toc512325936"/>
      <w:r>
        <w:rPr>
          <w:rStyle w:val="CharSectno"/>
        </w:rPr>
        <w:t>80T</w:t>
      </w:r>
      <w:r>
        <w:t>.</w:t>
      </w:r>
      <w:r>
        <w:tab/>
        <w:t>Confiscation</w:t>
      </w:r>
      <w:bookmarkEnd w:id="190"/>
    </w:p>
    <w:p>
      <w:pPr>
        <w:pStyle w:val="Subsection"/>
        <w:spacing w:before="100"/>
      </w:pPr>
      <w:r>
        <w:tab/>
        <w:t>(1)</w:t>
      </w:r>
      <w:r>
        <w:tab/>
        <w:t xml:space="preserve">A motor cycle impounded under section 80O(2) or 80Q(1) or (2) is confiscated on the later of the following — </w:t>
      </w:r>
    </w:p>
    <w:p>
      <w:pPr>
        <w:pStyle w:val="Indenta"/>
      </w:pPr>
      <w:r>
        <w:tab/>
        <w:t>(a)</w:t>
      </w:r>
      <w:r>
        <w:tab/>
        <w:t>if the Commissioner does not receive a claim under section 80S — the 14</w:t>
      </w:r>
      <w:r>
        <w:rPr>
          <w:vertAlign w:val="superscript"/>
        </w:rPr>
        <w:t>th</w:t>
      </w:r>
      <w:r>
        <w:t> day after the motor cycle is impounded; or</w:t>
      </w:r>
    </w:p>
    <w:p>
      <w:pPr>
        <w:pStyle w:val="Indenta"/>
      </w:pPr>
      <w:r>
        <w:tab/>
        <w:t>(b)</w:t>
      </w:r>
      <w:r>
        <w:tab/>
        <w:t>if the Commissioner receives one or more claims under section 80S but rejects all of them — the day after the last of those claims is rejected.</w:t>
      </w:r>
    </w:p>
    <w:p>
      <w:pPr>
        <w:pStyle w:val="Subsection"/>
      </w:pPr>
      <w:r>
        <w:tab/>
        <w:t>(2)</w:t>
      </w:r>
      <w:r>
        <w:tab/>
        <w:t>If a motor cycle is confiscated under subsection (1), the property in the motor cycle vests absolutely in the State, free from all interests, rights, titles or claims in or to the ownership or possession of the motor cycle.</w:t>
      </w:r>
    </w:p>
    <w:p>
      <w:pPr>
        <w:pStyle w:val="Footnotesection"/>
      </w:pPr>
      <w:r>
        <w:tab/>
        <w:t>[Section 80T inserted by No. 51 of 2016 s. 45.]</w:t>
      </w:r>
    </w:p>
    <w:p>
      <w:pPr>
        <w:pStyle w:val="Heading5"/>
      </w:pPr>
      <w:bookmarkStart w:id="191" w:name="_Toc512325937"/>
      <w:r>
        <w:rPr>
          <w:rStyle w:val="CharSectno"/>
        </w:rPr>
        <w:t>80U</w:t>
      </w:r>
      <w:r>
        <w:t>.</w:t>
      </w:r>
      <w:r>
        <w:tab/>
        <w:t>Liability for police expenses</w:t>
      </w:r>
      <w:bookmarkEnd w:id="191"/>
      <w:r>
        <w:t xml:space="preserve"> </w:t>
      </w:r>
    </w:p>
    <w:p>
      <w:pPr>
        <w:pStyle w:val="Subsection"/>
      </w:pPr>
      <w:r>
        <w:tab/>
      </w:r>
      <w:r>
        <w:tab/>
        <w:t xml:space="preserve">If a motor cycle is confiscated under section 80T(1), the driver of the motor cycle at the time of its suspected use is liable to pay to the Commissioner an amount specified by the Commissioner as being equivalent to all reasonable expenses of the Commissioner in — </w:t>
      </w:r>
    </w:p>
    <w:p>
      <w:pPr>
        <w:pStyle w:val="Indenta"/>
      </w:pPr>
      <w:r>
        <w:tab/>
        <w:t>(a)</w:t>
      </w:r>
      <w:r>
        <w:tab/>
        <w:t>impounding the motor cycle; and</w:t>
      </w:r>
    </w:p>
    <w:p>
      <w:pPr>
        <w:pStyle w:val="Indenta"/>
      </w:pPr>
      <w:r>
        <w:tab/>
        <w:t>(b)</w:t>
      </w:r>
      <w:r>
        <w:tab/>
        <w:t>storing the motor cycle after it has been confiscated but before it has been sold or otherwise disposed of under section 80V.</w:t>
      </w:r>
    </w:p>
    <w:p>
      <w:pPr>
        <w:pStyle w:val="Footnotesection"/>
      </w:pPr>
      <w:r>
        <w:tab/>
        <w:t>[Section 80U inserted by No. 51 of 2016 s. 45.]</w:t>
      </w:r>
    </w:p>
    <w:p>
      <w:pPr>
        <w:pStyle w:val="Heading5"/>
      </w:pPr>
      <w:bookmarkStart w:id="192" w:name="_Toc512325938"/>
      <w:r>
        <w:rPr>
          <w:rStyle w:val="CharSectno"/>
        </w:rPr>
        <w:t>80V</w:t>
      </w:r>
      <w:r>
        <w:t>.</w:t>
      </w:r>
      <w:r>
        <w:tab/>
        <w:t>Sale or other disposal of confiscated motor cycle and items on it</w:t>
      </w:r>
      <w:bookmarkEnd w:id="192"/>
    </w:p>
    <w:p>
      <w:pPr>
        <w:pStyle w:val="Subsection"/>
      </w:pPr>
      <w:r>
        <w:tab/>
        <w:t>(1)</w:t>
      </w:r>
      <w:r>
        <w:tab/>
        <w:t>In this section —</w:t>
      </w:r>
    </w:p>
    <w:p>
      <w:pPr>
        <w:pStyle w:val="Defstart"/>
      </w:pPr>
      <w:r>
        <w:tab/>
      </w:r>
      <w:r>
        <w:rPr>
          <w:rStyle w:val="CharDefText"/>
        </w:rPr>
        <w:t>confiscated motor cycle</w:t>
      </w:r>
      <w:r>
        <w:t xml:space="preserve"> means a motor cycle that is confiscated under section 80T(1);</w:t>
      </w:r>
    </w:p>
    <w:p>
      <w:pPr>
        <w:pStyle w:val="Defstart"/>
        <w:rPr>
          <w:b/>
        </w:rPr>
      </w:pPr>
      <w:r>
        <w:tab/>
      </w:r>
      <w:r>
        <w:rPr>
          <w:rStyle w:val="CharDefText"/>
        </w:rPr>
        <w:t>item</w:t>
      </w:r>
      <w:r>
        <w:t>, in relation to a confiscated motor cycle, means an item that was in or on the motor cycle at the time when it was impounded under this Subdivision.</w:t>
      </w:r>
    </w:p>
    <w:p>
      <w:pPr>
        <w:pStyle w:val="Subsection"/>
      </w:pPr>
      <w:r>
        <w:tab/>
        <w:t>(2)</w:t>
      </w:r>
      <w:r>
        <w:tab/>
        <w:t>The Commissioner may sell or otherwise dispose of a confiscated motor cycle or an item.</w:t>
      </w:r>
    </w:p>
    <w:p>
      <w:pPr>
        <w:pStyle w:val="Subsection"/>
      </w:pPr>
      <w:r>
        <w:tab/>
        <w:t>(3)</w:t>
      </w:r>
      <w:r>
        <w:tab/>
        <w:t>The owner of an item may apply to the Magistrates Court for an order that the item be returned.</w:t>
      </w:r>
    </w:p>
    <w:p>
      <w:pPr>
        <w:pStyle w:val="Subsection"/>
      </w:pPr>
      <w:r>
        <w:tab/>
        <w:t>(4)</w:t>
      </w:r>
      <w:r>
        <w:tab/>
        <w:t>Proceeds of the sale or disposal under subsection (2) of a confiscated motor cycle or item are to be paid in the following order of priority —</w:t>
      </w:r>
    </w:p>
    <w:p>
      <w:pPr>
        <w:pStyle w:val="Indenta"/>
      </w:pPr>
      <w:r>
        <w:tab/>
        <w:t>(a)</w:t>
      </w:r>
      <w:r>
        <w:tab/>
        <w:t>for expenses incurred in selling the motor cycle or item;</w:t>
      </w:r>
    </w:p>
    <w:p>
      <w:pPr>
        <w:pStyle w:val="Indenta"/>
      </w:pPr>
      <w:r>
        <w:tab/>
        <w:t>(b)</w:t>
      </w:r>
      <w:r>
        <w:tab/>
        <w:t>for expenses incurred consequent on the confiscation of the motor cycle;</w:t>
      </w:r>
    </w:p>
    <w:p>
      <w:pPr>
        <w:pStyle w:val="Indenta"/>
      </w:pPr>
      <w:r>
        <w:tab/>
        <w:t>(c)</w:t>
      </w:r>
      <w:r>
        <w:tab/>
        <w:t>in satisfaction of an unpaid amount for which a person is liable under section 80U;</w:t>
      </w:r>
    </w:p>
    <w:p>
      <w:pPr>
        <w:pStyle w:val="Indenta"/>
      </w:pPr>
      <w:r>
        <w:tab/>
        <w:t>(d)</w:t>
      </w:r>
      <w:r>
        <w:tab/>
        <w:t>in satisfaction of an unpaid amount of a judgment debt arising out of a liability under section 80U;</w:t>
      </w:r>
    </w:p>
    <w:p>
      <w:pPr>
        <w:pStyle w:val="Indenta"/>
      </w:pPr>
      <w:r>
        <w:tab/>
        <w:t>(e)</w:t>
      </w:r>
      <w:r>
        <w:tab/>
        <w:t>in satisfaction of any unpaid amount known to the Commissioner —</w:t>
      </w:r>
    </w:p>
    <w:p>
      <w:pPr>
        <w:pStyle w:val="Indenti"/>
      </w:pPr>
      <w:r>
        <w:tab/>
        <w:t>(i)</w:t>
      </w:r>
      <w:r>
        <w:tab/>
        <w:t>for which the motor cycle was nominated in writing as security for the payment of that amount; and</w:t>
      </w:r>
    </w:p>
    <w:p>
      <w:pPr>
        <w:pStyle w:val="Indenti"/>
      </w:pPr>
      <w:r>
        <w:tab/>
        <w:t>(ii)</w:t>
      </w:r>
      <w:r>
        <w:tab/>
        <w:t>that, but for the confiscation of the motor cycle, would have been payable to a person other than the person convicted of the offence in respect of which the motor cycle was confiscated;</w:t>
      </w:r>
    </w:p>
    <w:p>
      <w:pPr>
        <w:pStyle w:val="Indenta"/>
      </w:pPr>
      <w:r>
        <w:tab/>
        <w:t>(f)</w:t>
      </w:r>
      <w:r>
        <w:tab/>
        <w:t xml:space="preserve">the balance, to the credit of the Road Trauma Trust Account established in accordance with the </w:t>
      </w:r>
      <w:r>
        <w:rPr>
          <w:i/>
        </w:rPr>
        <w:t>Road Safety Council Act 2002</w:t>
      </w:r>
      <w:r>
        <w:t xml:space="preserve"> section 12.</w:t>
      </w:r>
    </w:p>
    <w:p>
      <w:pPr>
        <w:pStyle w:val="Footnotesection"/>
      </w:pPr>
      <w:r>
        <w:tab/>
        <w:t>[Section 80V inserted by No. 51 of 2016 s. 45.]</w:t>
      </w:r>
    </w:p>
    <w:p>
      <w:pPr>
        <w:pStyle w:val="Heading5"/>
      </w:pPr>
      <w:bookmarkStart w:id="193" w:name="_Toc512325939"/>
      <w:r>
        <w:rPr>
          <w:rStyle w:val="CharSectno"/>
        </w:rPr>
        <w:t>80W</w:t>
      </w:r>
      <w:r>
        <w:t>.</w:t>
      </w:r>
      <w:r>
        <w:tab/>
        <w:t>Liability for police expenses exceeding sale proceeds</w:t>
      </w:r>
      <w:bookmarkEnd w:id="193"/>
    </w:p>
    <w:p>
      <w:pPr>
        <w:pStyle w:val="Subsection"/>
      </w:pPr>
      <w:r>
        <w:tab/>
      </w:r>
      <w:r>
        <w:tab/>
        <w:t>If a motor cycle or item is sold under section 80V(2) but the proceeds of the sale are insufficient to pay the expenses specified in section 80U, the driver of the motor cycle at the time of its suspected use is liable to pay to the Commissioner the difference between the amount of those expenses and the proceeds of the sale.</w:t>
      </w:r>
    </w:p>
    <w:p>
      <w:pPr>
        <w:pStyle w:val="Footnotesection"/>
      </w:pPr>
      <w:r>
        <w:tab/>
        <w:t>[Section 80W inserted by No. 51 of 2016 s. 45.]</w:t>
      </w:r>
    </w:p>
    <w:p>
      <w:pPr>
        <w:pStyle w:val="Ednotesection"/>
      </w:pPr>
      <w:r>
        <w:t>[</w:t>
      </w:r>
      <w:r>
        <w:rPr>
          <w:b/>
        </w:rPr>
        <w:t>81.</w:t>
      </w:r>
      <w:r>
        <w:tab/>
        <w:t>Deleted by No. 76 of 1996 s. 17.]</w:t>
      </w:r>
    </w:p>
    <w:p>
      <w:pPr>
        <w:pStyle w:val="Heading2"/>
      </w:pPr>
      <w:bookmarkStart w:id="194" w:name="_Toc491075129"/>
      <w:bookmarkStart w:id="195" w:name="_Toc497206431"/>
      <w:bookmarkStart w:id="196" w:name="_Toc499733189"/>
      <w:bookmarkStart w:id="197" w:name="_Toc500926290"/>
      <w:bookmarkStart w:id="198" w:name="_Toc512325940"/>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194"/>
      <w:bookmarkEnd w:id="195"/>
      <w:bookmarkEnd w:id="196"/>
      <w:bookmarkEnd w:id="197"/>
      <w:bookmarkEnd w:id="198"/>
    </w:p>
    <w:p>
      <w:pPr>
        <w:pStyle w:val="Footnoteheading"/>
        <w:tabs>
          <w:tab w:val="left" w:pos="840"/>
        </w:tabs>
      </w:pPr>
      <w:r>
        <w:tab/>
        <w:t>[Heading inserted by No. 64 of 1988 s. 4.]</w:t>
      </w:r>
    </w:p>
    <w:p>
      <w:pPr>
        <w:pStyle w:val="Heading5"/>
        <w:rPr>
          <w:snapToGrid w:val="0"/>
        </w:rPr>
      </w:pPr>
      <w:bookmarkStart w:id="199" w:name="_Toc512325941"/>
      <w:r>
        <w:rPr>
          <w:rStyle w:val="CharSectno"/>
        </w:rPr>
        <w:t>81A</w:t>
      </w:r>
      <w:r>
        <w:rPr>
          <w:snapToGrid w:val="0"/>
        </w:rPr>
        <w:t>.</w:t>
      </w:r>
      <w:r>
        <w:rPr>
          <w:snapToGrid w:val="0"/>
        </w:rPr>
        <w:tab/>
        <w:t>Terms used</w:t>
      </w:r>
      <w:bookmarkEnd w:id="19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200" w:name="_Toc512325942"/>
      <w:r>
        <w:rPr>
          <w:rStyle w:val="CharSectno"/>
        </w:rPr>
        <w:t>81B</w:t>
      </w:r>
      <w:r>
        <w:rPr>
          <w:snapToGrid w:val="0"/>
        </w:rPr>
        <w:t>.</w:t>
      </w:r>
      <w:r>
        <w:rPr>
          <w:snapToGrid w:val="0"/>
        </w:rPr>
        <w:tab/>
        <w:t>Order for road closure for event, application for</w:t>
      </w:r>
      <w:bookmarkEnd w:id="20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201" w:name="_Toc512325943"/>
      <w:r>
        <w:rPr>
          <w:rStyle w:val="CharSectno"/>
        </w:rPr>
        <w:t>81C</w:t>
      </w:r>
      <w:r>
        <w:rPr>
          <w:snapToGrid w:val="0"/>
        </w:rPr>
        <w:t>.</w:t>
      </w:r>
      <w:r>
        <w:rPr>
          <w:snapToGrid w:val="0"/>
        </w:rPr>
        <w:tab/>
        <w:t>Order for road closure for event, making</w:t>
      </w:r>
      <w:bookmarkEnd w:id="201"/>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202" w:name="_Toc512325944"/>
      <w:r>
        <w:rPr>
          <w:rStyle w:val="CharSectno"/>
        </w:rPr>
        <w:t>81D</w:t>
      </w:r>
      <w:r>
        <w:rPr>
          <w:snapToGrid w:val="0"/>
        </w:rPr>
        <w:t>.</w:t>
      </w:r>
      <w:r>
        <w:rPr>
          <w:snapToGrid w:val="0"/>
        </w:rPr>
        <w:tab/>
        <w:t>Road closure, how effected by local government</w:t>
      </w:r>
      <w:bookmarkEnd w:id="202"/>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203" w:name="_Toc512325945"/>
      <w:r>
        <w:rPr>
          <w:rStyle w:val="CharSectno"/>
        </w:rPr>
        <w:t>81E</w:t>
      </w:r>
      <w:r>
        <w:rPr>
          <w:snapToGrid w:val="0"/>
        </w:rPr>
        <w:t>.</w:t>
      </w:r>
      <w:r>
        <w:rPr>
          <w:snapToGrid w:val="0"/>
        </w:rPr>
        <w:tab/>
        <w:t>Road closure order, effect of</w:t>
      </w:r>
      <w:bookmarkEnd w:id="203"/>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204" w:name="_Toc512325946"/>
      <w:r>
        <w:rPr>
          <w:rStyle w:val="CharSectno"/>
        </w:rPr>
        <w:t>81F</w:t>
      </w:r>
      <w:r>
        <w:rPr>
          <w:snapToGrid w:val="0"/>
        </w:rPr>
        <w:t>.</w:t>
      </w:r>
      <w:r>
        <w:rPr>
          <w:snapToGrid w:val="0"/>
        </w:rPr>
        <w:tab/>
        <w:t>Offences</w:t>
      </w:r>
      <w:bookmarkEnd w:id="204"/>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205" w:name="_Toc491075136"/>
      <w:bookmarkStart w:id="206" w:name="_Toc497206438"/>
      <w:bookmarkStart w:id="207" w:name="_Toc499733196"/>
      <w:bookmarkStart w:id="208" w:name="_Toc500926297"/>
      <w:bookmarkStart w:id="209" w:name="_Toc512325947"/>
      <w:r>
        <w:rPr>
          <w:rStyle w:val="CharPartNo"/>
        </w:rPr>
        <w:t>Part VI</w:t>
      </w:r>
      <w:r>
        <w:rPr>
          <w:rStyle w:val="CharDivNo"/>
        </w:rPr>
        <w:t> </w:t>
      </w:r>
      <w:r>
        <w:t>—</w:t>
      </w:r>
      <w:r>
        <w:rPr>
          <w:rStyle w:val="CharDivText"/>
        </w:rPr>
        <w:t> </w:t>
      </w:r>
      <w:r>
        <w:rPr>
          <w:rStyle w:val="CharPartText"/>
        </w:rPr>
        <w:t>Miscellaneous</w:t>
      </w:r>
      <w:bookmarkEnd w:id="205"/>
      <w:bookmarkEnd w:id="206"/>
      <w:bookmarkEnd w:id="207"/>
      <w:bookmarkEnd w:id="208"/>
      <w:bookmarkEnd w:id="209"/>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210" w:name="_Toc512325948"/>
      <w:r>
        <w:rPr>
          <w:rStyle w:val="CharSectno"/>
        </w:rPr>
        <w:t>90</w:t>
      </w:r>
      <w:r>
        <w:rPr>
          <w:snapToGrid w:val="0"/>
        </w:rPr>
        <w:t>.</w:t>
      </w:r>
      <w:r>
        <w:rPr>
          <w:snapToGrid w:val="0"/>
        </w:rPr>
        <w:tab/>
        <w:t>Unlawfully interfering with parts of motor vehicles</w:t>
      </w:r>
      <w:bookmarkEnd w:id="210"/>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r>
        <w:t>[Part VIA (s. 104-104T) deleted by No. 8 of 2012 s. 28.]</w:t>
      </w:r>
    </w:p>
    <w:p>
      <w:pPr>
        <w:pStyle w:val="Heading2"/>
      </w:pPr>
      <w:bookmarkStart w:id="211" w:name="_Toc491075138"/>
      <w:bookmarkStart w:id="212" w:name="_Toc497206440"/>
      <w:bookmarkStart w:id="213" w:name="_Toc499733198"/>
      <w:bookmarkStart w:id="214" w:name="_Toc500926299"/>
      <w:bookmarkStart w:id="215" w:name="_Toc512325949"/>
      <w:r>
        <w:rPr>
          <w:rStyle w:val="CharPartNo"/>
        </w:rPr>
        <w:t>Part VII</w:t>
      </w:r>
      <w:r>
        <w:rPr>
          <w:rStyle w:val="CharDivNo"/>
        </w:rPr>
        <w:t> </w:t>
      </w:r>
      <w:r>
        <w:t>—</w:t>
      </w:r>
      <w:r>
        <w:rPr>
          <w:rStyle w:val="CharDivText"/>
        </w:rPr>
        <w:t> </w:t>
      </w:r>
      <w:r>
        <w:rPr>
          <w:rStyle w:val="CharPartText"/>
        </w:rPr>
        <w:t>Offences and penalties</w:t>
      </w:r>
      <w:bookmarkEnd w:id="211"/>
      <w:bookmarkEnd w:id="212"/>
      <w:bookmarkEnd w:id="213"/>
      <w:bookmarkEnd w:id="214"/>
      <w:bookmarkEnd w:id="215"/>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216" w:name="_Toc512325950"/>
      <w:r>
        <w:rPr>
          <w:rStyle w:val="CharSectno"/>
        </w:rPr>
        <w:t>106</w:t>
      </w:r>
      <w:r>
        <w:t>.</w:t>
      </w:r>
      <w:r>
        <w:tab/>
        <w:t>Sentencing for certain offences</w:t>
      </w:r>
      <w:bookmarkEnd w:id="21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217" w:name="_Toc512325951"/>
      <w:r>
        <w:rPr>
          <w:rStyle w:val="CharSectno"/>
        </w:rPr>
        <w:t>106A</w:t>
      </w:r>
      <w:r>
        <w:t>.</w:t>
      </w:r>
      <w:r>
        <w:tab/>
        <w:t>Mandatory disqualification</w:t>
      </w:r>
      <w:bookmarkEnd w:id="217"/>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rPr>
          <w:rStyle w:val="CharDivText"/>
        </w:rPr>
      </w:pPr>
      <w:bookmarkStart w:id="218" w:name="_Toc491075141"/>
      <w:bookmarkStart w:id="219" w:name="_Toc497206443"/>
      <w:bookmarkStart w:id="220" w:name="_Toc499733201"/>
      <w:bookmarkStart w:id="221" w:name="_Toc500926302"/>
      <w:bookmarkStart w:id="222" w:name="_Toc512325952"/>
      <w:r>
        <w:rPr>
          <w:rStyle w:val="CharPartNo"/>
        </w:rPr>
        <w:t>Part VIII</w:t>
      </w:r>
      <w:r>
        <w:rPr>
          <w:rStyle w:val="CharDivNo"/>
        </w:rPr>
        <w:t> </w:t>
      </w:r>
      <w:r>
        <w:t>—</w:t>
      </w:r>
      <w:r>
        <w:rPr>
          <w:rStyle w:val="CharDivText"/>
        </w:rPr>
        <w:t> </w:t>
      </w:r>
      <w:r>
        <w:rPr>
          <w:rStyle w:val="CharPartText"/>
        </w:rPr>
        <w:t>Transitional and savings provisions</w:t>
      </w:r>
      <w:bookmarkEnd w:id="218"/>
      <w:bookmarkEnd w:id="219"/>
      <w:bookmarkEnd w:id="220"/>
      <w:bookmarkEnd w:id="221"/>
      <w:bookmarkEnd w:id="222"/>
    </w:p>
    <w:p>
      <w:pPr>
        <w:pStyle w:val="Footnoteheading"/>
      </w:pPr>
      <w:r>
        <w:tab/>
        <w:t>[Heading amended by No. 51 of 2016 s. 46.]</w:t>
      </w:r>
    </w:p>
    <w:p>
      <w:pPr>
        <w:pStyle w:val="Heading5"/>
        <w:rPr>
          <w:snapToGrid w:val="0"/>
        </w:rPr>
      </w:pPr>
      <w:bookmarkStart w:id="223" w:name="_Toc512325953"/>
      <w:r>
        <w:rPr>
          <w:rStyle w:val="CharSectno"/>
        </w:rPr>
        <w:t>108</w:t>
      </w:r>
      <w:r>
        <w:rPr>
          <w:snapToGrid w:val="0"/>
        </w:rPr>
        <w:t>.</w:t>
      </w:r>
      <w:r>
        <w:rPr>
          <w:snapToGrid w:val="0"/>
        </w:rPr>
        <w:tab/>
        <w:t xml:space="preserve">Savings as to </w:t>
      </w:r>
      <w:r>
        <w:rPr>
          <w:i/>
          <w:snapToGrid w:val="0"/>
        </w:rPr>
        <w:t>Traffic Act 1919</w:t>
      </w:r>
      <w:bookmarkEnd w:id="223"/>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pPr>
      <w:bookmarkStart w:id="224" w:name="_Toc512325954"/>
      <w:r>
        <w:rPr>
          <w:rStyle w:val="CharSectno"/>
        </w:rPr>
        <w:t>109</w:t>
      </w:r>
      <w:r>
        <w:t>.</w:t>
      </w:r>
      <w:r>
        <w:tab/>
        <w:t xml:space="preserve">Transitional and savings provisions for the </w:t>
      </w:r>
      <w:r>
        <w:rPr>
          <w:i/>
        </w:rPr>
        <w:t>Road Traffic Amendment (Impounding and Confiscation of Vehicles) Act 2016</w:t>
      </w:r>
      <w:bookmarkEnd w:id="224"/>
    </w:p>
    <w:p>
      <w:pPr>
        <w:pStyle w:val="Subsection"/>
      </w:pPr>
      <w:r>
        <w:tab/>
        <w:t>(1)</w:t>
      </w:r>
      <w:r>
        <w:tab/>
        <w:t xml:space="preserve">In this section — </w:t>
      </w:r>
    </w:p>
    <w:p>
      <w:pPr>
        <w:pStyle w:val="Defstart"/>
      </w:pPr>
      <w:r>
        <w:tab/>
      </w:r>
      <w:r>
        <w:rPr>
          <w:rStyle w:val="CharDefText"/>
        </w:rPr>
        <w:t>amendment Act</w:t>
      </w:r>
      <w:r>
        <w:t xml:space="preserve"> means the </w:t>
      </w:r>
      <w:r>
        <w:rPr>
          <w:i/>
        </w:rPr>
        <w:t>Road Traffic Amendment (Impounding and Confiscation of Vehicles) Act 2016</w:t>
      </w:r>
      <w:r>
        <w:t>;</w:t>
      </w:r>
    </w:p>
    <w:p>
      <w:pPr>
        <w:pStyle w:val="Defstart"/>
      </w:pPr>
      <w:r>
        <w:tab/>
      </w:r>
      <w:r>
        <w:rPr>
          <w:rStyle w:val="CharDefText"/>
        </w:rPr>
        <w:t>commencement day</w:t>
      </w:r>
      <w:r>
        <w:t xml:space="preserve"> means — </w:t>
      </w:r>
    </w:p>
    <w:p>
      <w:pPr>
        <w:pStyle w:val="Defpara"/>
      </w:pPr>
      <w:r>
        <w:tab/>
        <w:t>(a)</w:t>
      </w:r>
      <w:r>
        <w:tab/>
        <w:t>in subsections (2) to (5), the day on which section 7 of the amendment Act comes into operation;</w:t>
      </w:r>
    </w:p>
    <w:p>
      <w:pPr>
        <w:pStyle w:val="Defpara"/>
      </w:pPr>
      <w:r>
        <w:tab/>
        <w:t>(b)</w:t>
      </w:r>
      <w:r>
        <w:tab/>
        <w:t>in subsections (6) to (9), the day on which section 31 of the amendment Act comes into operation;</w:t>
      </w:r>
    </w:p>
    <w:p>
      <w:pPr>
        <w:pStyle w:val="Defstart"/>
      </w:pPr>
      <w:r>
        <w:tab/>
      </w:r>
      <w:r>
        <w:rPr>
          <w:rStyle w:val="CharDefText"/>
        </w:rPr>
        <w:t>former</w:t>
      </w:r>
      <w:r>
        <w:t>, in relation to a provision of this Act, means the provision as it was immediately before commencement day.</w:t>
      </w:r>
    </w:p>
    <w:p>
      <w:pPr>
        <w:pStyle w:val="Subsection"/>
      </w:pPr>
      <w:r>
        <w:tab/>
        <w:t>(2)</w:t>
      </w:r>
      <w:r>
        <w:tab/>
        <w:t>An offence committed under former section 60(1) is, on and after commencement day, to be taken to be an offence under section 60(1A)(b) for the purposes of Part V.</w:t>
      </w:r>
    </w:p>
    <w:p>
      <w:pPr>
        <w:pStyle w:val="Subsection"/>
      </w:pPr>
      <w:r>
        <w:tab/>
        <w:t>(3)</w:t>
      </w:r>
      <w:r>
        <w:tab/>
        <w:t>An offence committed under former section 60(1a) is, on and after commencement day, to be taken to be an offence under section 60A(1)(b) for the purposes of Part V.</w:t>
      </w:r>
    </w:p>
    <w:p>
      <w:pPr>
        <w:pStyle w:val="Subsection"/>
      </w:pPr>
      <w:r>
        <w:tab/>
        <w:t>(4)</w:t>
      </w:r>
      <w:r>
        <w:tab/>
        <w:t>An offence committed under former section 60(1b) is, on and after commencement day, to be taken to be an offence under section 60A(2)(b) for the purposes of Part V.</w:t>
      </w:r>
    </w:p>
    <w:p>
      <w:pPr>
        <w:pStyle w:val="Subsection"/>
      </w:pPr>
      <w:r>
        <w:tab/>
        <w:t>(5)</w:t>
      </w:r>
      <w:r>
        <w:tab/>
        <w:t>An offence committed under former section 62A is, on and after commencement day, to be taken to be an offence under section 62A(b) or (c), as the case requires, for the purposes of Part V.</w:t>
      </w:r>
    </w:p>
    <w:p>
      <w:pPr>
        <w:pStyle w:val="Subsection"/>
      </w:pPr>
      <w:r>
        <w:tab/>
        <w:t>(6)</w:t>
      </w:r>
      <w:r>
        <w:tab/>
        <w:t>Section 80A(2) and (3) do not apply to, or in relation to, an offence committed before commencement day.</w:t>
      </w:r>
    </w:p>
    <w:p>
      <w:pPr>
        <w:pStyle w:val="Subsection"/>
      </w:pPr>
      <w:r>
        <w:tab/>
        <w:t>(7)</w:t>
      </w:r>
      <w:r>
        <w:tab/>
        <w:t>Section 80J applies to a vehicle impounded under Part V Division 4 Subdivision 2, or on an impounding order (as defined in section 78A), whether before, on or after commencement day.</w:t>
      </w:r>
    </w:p>
    <w:p>
      <w:pPr>
        <w:pStyle w:val="Subsection"/>
      </w:pPr>
      <w:r>
        <w:tab/>
        <w:t>(8)</w:t>
      </w:r>
      <w:r>
        <w:tab/>
        <w:t>Section 80J applies to a vehicle confiscated under former section 80A(1) as if it had been confiscated under section 80A on or after commencement day.</w:t>
      </w:r>
    </w:p>
    <w:p>
      <w:pPr>
        <w:pStyle w:val="Subsection"/>
      </w:pPr>
      <w:r>
        <w:tab/>
        <w:t>(9)</w:t>
      </w:r>
      <w:r>
        <w:tab/>
        <w:t>Section 80J applies to a vehicle confiscated under section 80C(1) or 80CB(1) whether before, on or after commencement day.</w:t>
      </w:r>
    </w:p>
    <w:p>
      <w:pPr>
        <w:pStyle w:val="Footnotesection"/>
      </w:pPr>
      <w:r>
        <w:tab/>
        <w:t>[Section 109 inserted by No. 51 of 2016 s. 47.]</w:t>
      </w:r>
    </w:p>
    <w:p>
      <w:pPr>
        <w:pStyle w:val="Ednotesection"/>
        <w:spacing w:before="260"/>
      </w:pPr>
      <w:r>
        <w:t>[</w:t>
      </w:r>
      <w:r>
        <w:rPr>
          <w:b/>
        </w:rPr>
        <w:t>110.</w:t>
      </w:r>
      <w:r>
        <w:tab/>
        <w:t>Deleted by No. 8 of 2012 s. 31.]</w:t>
      </w:r>
    </w:p>
    <w:p>
      <w:pPr>
        <w:pStyle w:val="Heading2"/>
      </w:pPr>
      <w:bookmarkStart w:id="225" w:name="_Toc491075144"/>
      <w:bookmarkStart w:id="226" w:name="_Toc497206446"/>
      <w:bookmarkStart w:id="227" w:name="_Toc499733204"/>
      <w:bookmarkStart w:id="228" w:name="_Toc500926305"/>
      <w:bookmarkStart w:id="229" w:name="_Toc512325955"/>
      <w:r>
        <w:rPr>
          <w:rStyle w:val="CharPartNo"/>
        </w:rPr>
        <w:t>Part IX</w:t>
      </w:r>
      <w:r>
        <w:rPr>
          <w:rStyle w:val="CharDivNo"/>
        </w:rPr>
        <w:t> </w:t>
      </w:r>
      <w:r>
        <w:t>—</w:t>
      </w:r>
      <w:r>
        <w:rPr>
          <w:rStyle w:val="CharDivText"/>
        </w:rPr>
        <w:t> </w:t>
      </w:r>
      <w:r>
        <w:rPr>
          <w:rStyle w:val="CharPartText"/>
        </w:rPr>
        <w:t>Regulations</w:t>
      </w:r>
      <w:bookmarkEnd w:id="225"/>
      <w:bookmarkEnd w:id="226"/>
      <w:bookmarkEnd w:id="227"/>
      <w:bookmarkEnd w:id="228"/>
      <w:bookmarkEnd w:id="229"/>
    </w:p>
    <w:p>
      <w:pPr>
        <w:pStyle w:val="Heading5"/>
        <w:rPr>
          <w:snapToGrid w:val="0"/>
        </w:rPr>
      </w:pPr>
      <w:bookmarkStart w:id="230" w:name="_Toc512325956"/>
      <w:r>
        <w:rPr>
          <w:rStyle w:val="CharSectno"/>
        </w:rPr>
        <w:t>111</w:t>
      </w:r>
      <w:r>
        <w:rPr>
          <w:snapToGrid w:val="0"/>
        </w:rPr>
        <w:t>.</w:t>
      </w:r>
      <w:r>
        <w:rPr>
          <w:snapToGrid w:val="0"/>
        </w:rPr>
        <w:tab/>
        <w:t>Regulations etc.</w:t>
      </w:r>
      <w:bookmarkEnd w:id="23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231" w:name="_Toc512325957"/>
      <w:r>
        <w:rPr>
          <w:rStyle w:val="CharSectno"/>
        </w:rPr>
        <w:t>111AB</w:t>
      </w:r>
      <w:r>
        <w:t>.</w:t>
      </w:r>
      <w:r>
        <w:tab/>
        <w:t>Exemption from specified regulations, regulations may allow grant of</w:t>
      </w:r>
      <w:bookmarkEnd w:id="231"/>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rPr>
          <w:sz w:val="24"/>
          <w:szCs w:val="24"/>
        </w:rPr>
      </w:pPr>
      <w:r>
        <w:rPr>
          <w:sz w:val="24"/>
          <w:szCs w:val="24"/>
        </w:rP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232" w:name="_Toc491075147"/>
      <w:bookmarkStart w:id="233" w:name="_Toc497206449"/>
      <w:bookmarkStart w:id="234" w:name="_Toc499733207"/>
      <w:bookmarkStart w:id="235" w:name="_Toc500926308"/>
      <w:bookmarkStart w:id="236" w:name="_Toc512325958"/>
      <w:r>
        <w:t>Notes</w:t>
      </w:r>
      <w:bookmarkEnd w:id="232"/>
      <w:bookmarkEnd w:id="233"/>
      <w:bookmarkEnd w:id="234"/>
      <w:bookmarkEnd w:id="235"/>
      <w:bookmarkEnd w:id="236"/>
    </w:p>
    <w:p>
      <w:pPr>
        <w:pStyle w:val="nSubsection"/>
      </w:pPr>
      <w:r>
        <w:rPr>
          <w:vertAlign w:val="superscript"/>
        </w:rPr>
        <w:t>1</w:t>
      </w:r>
      <w:r>
        <w:tab/>
        <w:t xml:space="preserve">This is a compilation of the </w:t>
      </w:r>
      <w:r>
        <w:rPr>
          <w:i/>
          <w:noProof/>
        </w:rPr>
        <w:t>Road Traffic Act 1974</w:t>
      </w:r>
      <w:r>
        <w:t xml:space="preserve"> and includes the amendments made by the other written laws referred to in the following table</w:t>
      </w:r>
      <w:r>
        <w:rPr>
          <w:vertAlign w:val="superscript"/>
        </w:rPr>
        <w:t> 1M, 1a</w:t>
      </w:r>
      <w:r>
        <w:t>.  The table also contains information about any reprint.</w:t>
      </w:r>
    </w:p>
    <w:p>
      <w:pPr>
        <w:pStyle w:val="nHeading3"/>
        <w:spacing w:before="200"/>
      </w:pPr>
      <w:bookmarkStart w:id="237" w:name="_Toc512325959"/>
      <w:r>
        <w:t>Compilation table</w:t>
      </w:r>
      <w:bookmarkEnd w:id="237"/>
    </w:p>
    <w:tbl>
      <w:tblPr>
        <w:tblW w:w="7089" w:type="dxa"/>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1"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8"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1" w:type="dxa"/>
          </w:tcPr>
          <w:p>
            <w:pPr>
              <w:pStyle w:val="nTable"/>
              <w:spacing w:after="40"/>
            </w:pPr>
            <w:r>
              <w:t>1 Jul 1976 (see s. 2 and </w:t>
            </w:r>
            <w:r>
              <w:rPr>
                <w:i/>
              </w:rPr>
              <w:t>Gazette</w:t>
            </w:r>
            <w:r>
              <w:t xml:space="preserve"> 12 Dec 1975 p. 4481)</w:t>
            </w:r>
          </w:p>
        </w:tc>
      </w:tr>
      <w:tr>
        <w:trPr>
          <w:cantSplit/>
        </w:trPr>
        <w:tc>
          <w:tcPr>
            <w:tcW w:w="2268"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1" w:type="dxa"/>
          </w:tcPr>
          <w:p>
            <w:pPr>
              <w:pStyle w:val="nTable"/>
              <w:spacing w:after="40"/>
            </w:pPr>
            <w:r>
              <w:t xml:space="preserve">20 Feb 1976 (see s. 2 and </w:t>
            </w:r>
            <w:r>
              <w:rPr>
                <w:i/>
              </w:rPr>
              <w:t>Gazette</w:t>
            </w:r>
            <w:r>
              <w:t xml:space="preserve"> 20 Feb 1976 p. 445)</w:t>
            </w:r>
          </w:p>
        </w:tc>
      </w:tr>
      <w:tr>
        <w:trPr>
          <w:cantSplit/>
        </w:trPr>
        <w:tc>
          <w:tcPr>
            <w:tcW w:w="2268"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1" w:type="dxa"/>
          </w:tcPr>
          <w:p>
            <w:pPr>
              <w:pStyle w:val="nTable"/>
              <w:spacing w:after="40"/>
            </w:pPr>
            <w:r>
              <w:t xml:space="preserve">21 Aug 1976 (see s. 2 and </w:t>
            </w:r>
            <w:r>
              <w:rPr>
                <w:i/>
              </w:rPr>
              <w:t>Gazette</w:t>
            </w:r>
            <w:r>
              <w:t xml:space="preserve"> 6 Aug 1976 p. 2658)</w:t>
            </w:r>
          </w:p>
        </w:tc>
      </w:tr>
      <w:tr>
        <w:trPr>
          <w:cantSplit/>
        </w:trPr>
        <w:tc>
          <w:tcPr>
            <w:tcW w:w="2268"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1"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8"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1" w:type="dxa"/>
          </w:tcPr>
          <w:p>
            <w:pPr>
              <w:pStyle w:val="nTable"/>
              <w:keepLines/>
              <w:spacing w:after="40"/>
            </w:pPr>
            <w:r>
              <w:t>9 Dec 1976</w:t>
            </w:r>
          </w:p>
        </w:tc>
      </w:tr>
      <w:tr>
        <w:trPr>
          <w:cantSplit/>
        </w:trPr>
        <w:tc>
          <w:tcPr>
            <w:tcW w:w="2268"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1" w:type="dxa"/>
          </w:tcPr>
          <w:p>
            <w:pPr>
              <w:pStyle w:val="nTable"/>
              <w:spacing w:after="40"/>
            </w:pPr>
            <w:r>
              <w:t>29 Aug 1977</w:t>
            </w:r>
          </w:p>
        </w:tc>
      </w:tr>
      <w:tr>
        <w:trPr>
          <w:cantSplit/>
        </w:trPr>
        <w:tc>
          <w:tcPr>
            <w:tcW w:w="2268"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1"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8"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1" w:type="dxa"/>
          </w:tcPr>
          <w:p>
            <w:pPr>
              <w:pStyle w:val="nTable"/>
              <w:spacing w:after="40"/>
            </w:pPr>
            <w:r>
              <w:t>1 Jul 1979 (see s. 2(2))</w:t>
            </w:r>
          </w:p>
        </w:tc>
      </w:tr>
      <w:tr>
        <w:trPr>
          <w:cantSplit/>
        </w:trPr>
        <w:tc>
          <w:tcPr>
            <w:tcW w:w="2268"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1" w:type="dxa"/>
          </w:tcPr>
          <w:p>
            <w:pPr>
              <w:pStyle w:val="nTable"/>
              <w:spacing w:after="40"/>
            </w:pPr>
            <w:r>
              <w:t>18 May 1979</w:t>
            </w:r>
          </w:p>
        </w:tc>
      </w:tr>
      <w:tr>
        <w:trPr>
          <w:cantSplit/>
        </w:trPr>
        <w:tc>
          <w:tcPr>
            <w:tcW w:w="2268"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1"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8" w:type="dxa"/>
            <w:gridSpan w:val="3"/>
          </w:tcPr>
          <w:p>
            <w:pPr>
              <w:pStyle w:val="nTable"/>
              <w:spacing w:after="40"/>
            </w:pPr>
            <w:r>
              <w:t xml:space="preserve">Untitled regulations published in </w:t>
            </w:r>
            <w:r>
              <w:rPr>
                <w:i/>
              </w:rPr>
              <w:t>Gazette</w:t>
            </w:r>
            <w:r>
              <w:t xml:space="preserve"> 6 Jun 1980 p. 1671</w:t>
            </w:r>
            <w:r>
              <w:noBreakHyphen/>
              <w:t>2</w:t>
            </w:r>
          </w:p>
        </w:tc>
        <w:tc>
          <w:tcPr>
            <w:tcW w:w="2551" w:type="dxa"/>
          </w:tcPr>
          <w:p>
            <w:pPr>
              <w:pStyle w:val="nTable"/>
              <w:spacing w:after="40"/>
            </w:pPr>
            <w:r>
              <w:t>6 Jun 1980</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8"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1"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8"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1" w:type="dxa"/>
          </w:tcPr>
          <w:p>
            <w:pPr>
              <w:pStyle w:val="nTable"/>
              <w:spacing w:after="40"/>
            </w:pPr>
            <w:r>
              <w:t>19 Nov 1980</w:t>
            </w:r>
          </w:p>
        </w:tc>
      </w:tr>
      <w:tr>
        <w:trPr>
          <w:cantSplit/>
        </w:trPr>
        <w:tc>
          <w:tcPr>
            <w:tcW w:w="2268"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1" w:type="dxa"/>
          </w:tcPr>
          <w:p>
            <w:pPr>
              <w:pStyle w:val="nTable"/>
              <w:spacing w:after="40"/>
            </w:pPr>
            <w:r>
              <w:t>5 Dec 1980</w:t>
            </w:r>
          </w:p>
        </w:tc>
      </w:tr>
      <w:tr>
        <w:trPr>
          <w:cantSplit/>
        </w:trPr>
        <w:tc>
          <w:tcPr>
            <w:tcW w:w="4538"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1" w:type="dxa"/>
          </w:tcPr>
          <w:p>
            <w:pPr>
              <w:pStyle w:val="nTable"/>
              <w:spacing w:after="40"/>
            </w:pPr>
            <w:r>
              <w:t>29 May 1981</w:t>
            </w:r>
          </w:p>
        </w:tc>
      </w:tr>
      <w:tr>
        <w:trPr>
          <w:cantSplit/>
        </w:trPr>
        <w:tc>
          <w:tcPr>
            <w:tcW w:w="2268"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1" w:type="dxa"/>
          </w:tcPr>
          <w:p>
            <w:pPr>
              <w:pStyle w:val="nTable"/>
              <w:spacing w:after="40"/>
            </w:pPr>
            <w:r>
              <w:t>25 Aug 1981</w:t>
            </w:r>
          </w:p>
        </w:tc>
      </w:tr>
      <w:tr>
        <w:trPr>
          <w:cantSplit/>
        </w:trPr>
        <w:tc>
          <w:tcPr>
            <w:tcW w:w="2268"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1" w:type="dxa"/>
          </w:tcPr>
          <w:p>
            <w:pPr>
              <w:pStyle w:val="nTable"/>
              <w:spacing w:after="40"/>
            </w:pPr>
            <w:r>
              <w:t xml:space="preserve">1 Aug 1982 (see s. 2 and </w:t>
            </w:r>
            <w:r>
              <w:rPr>
                <w:i/>
              </w:rPr>
              <w:t>Gazette</w:t>
            </w:r>
            <w:r>
              <w:t xml:space="preserve"> 23 Jul 1982 p. 2842)</w:t>
            </w:r>
          </w:p>
        </w:tc>
      </w:tr>
      <w:tr>
        <w:trPr>
          <w:cantSplit/>
        </w:trPr>
        <w:tc>
          <w:tcPr>
            <w:tcW w:w="2268"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1" w:type="dxa"/>
          </w:tcPr>
          <w:p>
            <w:pPr>
              <w:pStyle w:val="nTable"/>
              <w:spacing w:after="40"/>
            </w:pPr>
            <w:r>
              <w:t xml:space="preserve">2 Feb 1982 (see s. 2 and </w:t>
            </w:r>
            <w:r>
              <w:rPr>
                <w:i/>
              </w:rPr>
              <w:t>Gazette</w:t>
            </w:r>
            <w:r>
              <w:t xml:space="preserve"> 2 Feb 1982 p. 393)</w:t>
            </w:r>
          </w:p>
        </w:tc>
      </w:tr>
      <w:tr>
        <w:trPr>
          <w:cantSplit/>
        </w:trPr>
        <w:tc>
          <w:tcPr>
            <w:tcW w:w="2268"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1" w:type="dxa"/>
          </w:tcPr>
          <w:p>
            <w:pPr>
              <w:pStyle w:val="nTable"/>
              <w:spacing w:after="40"/>
            </w:pPr>
            <w:r>
              <w:t>1 Jul 1982 (see s. 2)</w:t>
            </w:r>
          </w:p>
        </w:tc>
      </w:tr>
      <w:tr>
        <w:trPr>
          <w:cantSplit/>
        </w:trPr>
        <w:tc>
          <w:tcPr>
            <w:tcW w:w="4538"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1" w:type="dxa"/>
          </w:tcPr>
          <w:p>
            <w:pPr>
              <w:pStyle w:val="nTable"/>
              <w:spacing w:after="40"/>
            </w:pPr>
            <w:r>
              <w:t>28 May 1982</w:t>
            </w:r>
          </w:p>
        </w:tc>
      </w:tr>
      <w:tr>
        <w:trPr>
          <w:cantSplit/>
        </w:trPr>
        <w:tc>
          <w:tcPr>
            <w:tcW w:w="2268"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1"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8"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1"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8"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1" w:type="dxa"/>
          </w:tcPr>
          <w:p>
            <w:pPr>
              <w:pStyle w:val="nTable"/>
              <w:spacing w:after="40"/>
            </w:pPr>
            <w:r>
              <w:t>20 May 1983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8"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1" w:type="dxa"/>
          </w:tcPr>
          <w:p>
            <w:pPr>
              <w:pStyle w:val="nTable"/>
              <w:spacing w:after="40"/>
            </w:pPr>
            <w:r>
              <w:t>28 Jun 1984</w:t>
            </w:r>
          </w:p>
        </w:tc>
      </w:tr>
      <w:tr>
        <w:trPr>
          <w:cantSplit/>
        </w:trPr>
        <w:tc>
          <w:tcPr>
            <w:tcW w:w="2268"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1" w:type="dxa"/>
          </w:tcPr>
          <w:p>
            <w:pPr>
              <w:pStyle w:val="nTable"/>
              <w:spacing w:after="40"/>
            </w:pPr>
            <w:r>
              <w:t>4 Jan 1985</w:t>
            </w:r>
          </w:p>
        </w:tc>
      </w:tr>
      <w:tr>
        <w:trPr>
          <w:cantSplit/>
        </w:trPr>
        <w:tc>
          <w:tcPr>
            <w:tcW w:w="2268"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1" w:type="dxa"/>
          </w:tcPr>
          <w:p>
            <w:pPr>
              <w:pStyle w:val="nTable"/>
              <w:spacing w:after="40"/>
            </w:pPr>
            <w:r>
              <w:t xml:space="preserve">31 Mar 1985 (see s. 2 and </w:t>
            </w:r>
            <w:r>
              <w:rPr>
                <w:i/>
              </w:rPr>
              <w:t>Gazette</w:t>
            </w:r>
            <w:r>
              <w:t xml:space="preserve"> 8 Mar 1985 p. 867)</w:t>
            </w:r>
          </w:p>
        </w:tc>
      </w:tr>
      <w:tr>
        <w:trPr>
          <w:cantSplit/>
        </w:trPr>
        <w:tc>
          <w:tcPr>
            <w:tcW w:w="2268"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1" w:type="dxa"/>
          </w:tcPr>
          <w:p>
            <w:pPr>
              <w:pStyle w:val="nTable"/>
              <w:spacing w:after="40"/>
            </w:pPr>
            <w:r>
              <w:t>1 Jan 1986 (see s. 2 and </w:t>
            </w:r>
            <w:r>
              <w:rPr>
                <w:i/>
              </w:rPr>
              <w:t>Gazette</w:t>
            </w:r>
            <w:r>
              <w:t xml:space="preserve"> 20 Dec 1985 p. 4822)</w:t>
            </w:r>
          </w:p>
        </w:tc>
      </w:tr>
      <w:tr>
        <w:trPr>
          <w:cantSplit/>
        </w:trPr>
        <w:tc>
          <w:tcPr>
            <w:tcW w:w="2268"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1" w:type="dxa"/>
          </w:tcPr>
          <w:p>
            <w:pPr>
              <w:pStyle w:val="nTable"/>
              <w:spacing w:after="40"/>
            </w:pPr>
            <w:r>
              <w:t>4 Dec 1985 (see s. 2)</w:t>
            </w:r>
          </w:p>
        </w:tc>
      </w:tr>
      <w:tr>
        <w:trPr>
          <w:cantSplit/>
        </w:trPr>
        <w:tc>
          <w:tcPr>
            <w:tcW w:w="4538"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1" w:type="dxa"/>
          </w:tcPr>
          <w:p>
            <w:pPr>
              <w:pStyle w:val="nTable"/>
              <w:spacing w:after="40"/>
            </w:pPr>
            <w:r>
              <w:t>30 May 1986</w:t>
            </w:r>
          </w:p>
        </w:tc>
      </w:tr>
      <w:tr>
        <w:trPr>
          <w:cantSplit/>
        </w:trPr>
        <w:tc>
          <w:tcPr>
            <w:tcW w:w="2268"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1" w:type="dxa"/>
          </w:tcPr>
          <w:p>
            <w:pPr>
              <w:pStyle w:val="nTable"/>
              <w:spacing w:after="40"/>
            </w:pPr>
            <w:r>
              <w:t>4 Dec 1986 (see s. 2)</w:t>
            </w:r>
          </w:p>
        </w:tc>
      </w:tr>
      <w:tr>
        <w:trPr>
          <w:cantSplit/>
        </w:trPr>
        <w:tc>
          <w:tcPr>
            <w:tcW w:w="4538"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1" w:type="dxa"/>
          </w:tcPr>
          <w:p>
            <w:pPr>
              <w:pStyle w:val="nTable"/>
              <w:spacing w:after="40"/>
            </w:pPr>
            <w:r>
              <w:t>29 May 1987</w:t>
            </w:r>
          </w:p>
        </w:tc>
      </w:tr>
      <w:tr>
        <w:trPr>
          <w:cantSplit/>
        </w:trPr>
        <w:tc>
          <w:tcPr>
            <w:tcW w:w="2268"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1"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8"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1"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8"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1"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8"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1"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8"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1"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8"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1" w:type="dxa"/>
          </w:tcPr>
          <w:p>
            <w:pPr>
              <w:pStyle w:val="nTable"/>
              <w:spacing w:after="40"/>
            </w:pPr>
            <w:r>
              <w:t xml:space="preserve">1 Feb 1991 (see s. 2 and </w:t>
            </w:r>
            <w:r>
              <w:rPr>
                <w:i/>
              </w:rPr>
              <w:t>Gazette</w:t>
            </w:r>
            <w:r>
              <w:t xml:space="preserve"> 1 Feb 1991 p. 511)</w:t>
            </w:r>
          </w:p>
        </w:tc>
      </w:tr>
      <w:tr>
        <w:trPr>
          <w:cantSplit/>
        </w:trPr>
        <w:tc>
          <w:tcPr>
            <w:tcW w:w="2268"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4538"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1" w:type="dxa"/>
          </w:tcPr>
          <w:p>
            <w:pPr>
              <w:pStyle w:val="nTable"/>
              <w:spacing w:after="40"/>
            </w:pPr>
            <w:r>
              <w:t>11 Aug 1989</w:t>
            </w:r>
          </w:p>
        </w:tc>
      </w:tr>
      <w:tr>
        <w:trPr>
          <w:cantSplit/>
        </w:trPr>
        <w:tc>
          <w:tcPr>
            <w:tcW w:w="4538"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1" w:type="dxa"/>
          </w:tcPr>
          <w:p>
            <w:pPr>
              <w:pStyle w:val="nTable"/>
              <w:spacing w:after="40"/>
            </w:pPr>
            <w:r>
              <w:t>22 Sep 1989</w:t>
            </w:r>
          </w:p>
        </w:tc>
      </w:tr>
      <w:tr>
        <w:trPr>
          <w:cantSplit/>
        </w:trPr>
        <w:tc>
          <w:tcPr>
            <w:tcW w:w="4538"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1" w:type="dxa"/>
          </w:tcPr>
          <w:p>
            <w:pPr>
              <w:pStyle w:val="nTable"/>
              <w:spacing w:after="40"/>
            </w:pPr>
            <w:r>
              <w:t>17 Nov 1989</w:t>
            </w:r>
          </w:p>
        </w:tc>
      </w:tr>
      <w:tr>
        <w:trPr>
          <w:cantSplit/>
        </w:trPr>
        <w:tc>
          <w:tcPr>
            <w:tcW w:w="2268"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4538"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1" w:type="dxa"/>
          </w:tcPr>
          <w:p>
            <w:pPr>
              <w:pStyle w:val="nTable"/>
              <w:spacing w:after="40"/>
            </w:pPr>
            <w:r>
              <w:t>29 Aug 1990</w:t>
            </w:r>
          </w:p>
        </w:tc>
      </w:tr>
      <w:tr>
        <w:trPr>
          <w:cantSplit/>
        </w:trPr>
        <w:tc>
          <w:tcPr>
            <w:tcW w:w="4538"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1" w:type="dxa"/>
          </w:tcPr>
          <w:p>
            <w:pPr>
              <w:pStyle w:val="nTable"/>
              <w:spacing w:after="40"/>
            </w:pPr>
            <w:r>
              <w:t>23 Nov 1990</w:t>
            </w:r>
          </w:p>
        </w:tc>
      </w:tr>
      <w:tr>
        <w:trPr>
          <w:cantSplit/>
        </w:trPr>
        <w:tc>
          <w:tcPr>
            <w:tcW w:w="2268"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1"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9"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8"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1" w:type="dxa"/>
          </w:tcPr>
          <w:p>
            <w:pPr>
              <w:pStyle w:val="nTable"/>
              <w:spacing w:after="40"/>
            </w:pPr>
            <w:r>
              <w:t>23 Aug 1991</w:t>
            </w:r>
          </w:p>
        </w:tc>
      </w:tr>
      <w:tr>
        <w:trPr>
          <w:cantSplit/>
        </w:trPr>
        <w:tc>
          <w:tcPr>
            <w:tcW w:w="4538"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1" w:type="dxa"/>
          </w:tcPr>
          <w:p>
            <w:pPr>
              <w:pStyle w:val="nTable"/>
              <w:spacing w:after="40"/>
            </w:pPr>
            <w:r>
              <w:t>22 Nov 1991</w:t>
            </w:r>
          </w:p>
        </w:tc>
      </w:tr>
      <w:tr>
        <w:trPr>
          <w:cantSplit/>
        </w:trPr>
        <w:tc>
          <w:tcPr>
            <w:tcW w:w="2268"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1"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8"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1" w:type="dxa"/>
          </w:tcPr>
          <w:p>
            <w:pPr>
              <w:pStyle w:val="nTable"/>
              <w:spacing w:after="40"/>
            </w:pPr>
            <w:r>
              <w:t>17 Dec 1991 (see s. 2)</w:t>
            </w:r>
          </w:p>
        </w:tc>
      </w:tr>
      <w:tr>
        <w:trPr>
          <w:cantSplit/>
        </w:trPr>
        <w:tc>
          <w:tcPr>
            <w:tcW w:w="2268"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1"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8"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1" w:type="dxa"/>
          </w:tcPr>
          <w:p>
            <w:pPr>
              <w:pStyle w:val="nTable"/>
              <w:spacing w:after="40"/>
            </w:pPr>
            <w:r>
              <w:t>16 Jun 1993 (see s. 2)</w:t>
            </w:r>
          </w:p>
        </w:tc>
      </w:tr>
      <w:tr>
        <w:trPr>
          <w:cantSplit/>
        </w:trPr>
        <w:tc>
          <w:tcPr>
            <w:tcW w:w="4538"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1" w:type="dxa"/>
          </w:tcPr>
          <w:p>
            <w:pPr>
              <w:pStyle w:val="nTable"/>
              <w:spacing w:after="40"/>
            </w:pPr>
            <w:r>
              <w:t>21 Aug 1992</w:t>
            </w:r>
          </w:p>
        </w:tc>
      </w:tr>
      <w:tr>
        <w:trPr>
          <w:cantSplit/>
        </w:trPr>
        <w:tc>
          <w:tcPr>
            <w:tcW w:w="4538"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1" w:type="dxa"/>
          </w:tcPr>
          <w:p>
            <w:pPr>
              <w:pStyle w:val="nTable"/>
              <w:spacing w:after="40"/>
            </w:pPr>
            <w:r>
              <w:t>13 Nov 1992</w:t>
            </w:r>
          </w:p>
        </w:tc>
      </w:tr>
      <w:tr>
        <w:trPr>
          <w:cantSplit/>
        </w:trPr>
        <w:tc>
          <w:tcPr>
            <w:tcW w:w="2268"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s. 11: 1 Jul 1993 (see s. 2(1));</w:t>
            </w:r>
            <w:r>
              <w:br/>
              <w:t>s. 6: 27 Aug 1993 (see s. 2(2))</w:t>
            </w:r>
          </w:p>
        </w:tc>
      </w:tr>
      <w:tr>
        <w:trPr>
          <w:cantSplit/>
        </w:trPr>
        <w:tc>
          <w:tcPr>
            <w:tcW w:w="2268"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1" w:type="dxa"/>
          </w:tcPr>
          <w:p>
            <w:pPr>
              <w:pStyle w:val="nTable"/>
              <w:spacing w:after="40"/>
            </w:pPr>
            <w:r>
              <w:t xml:space="preserve">17 May 1994 (see s. 2 and </w:t>
            </w:r>
            <w:r>
              <w:rPr>
                <w:i/>
              </w:rPr>
              <w:t>Gazette</w:t>
            </w:r>
            <w:r>
              <w:t xml:space="preserve"> 17 May 1994 p. 2065)</w:t>
            </w:r>
          </w:p>
        </w:tc>
      </w:tr>
      <w:tr>
        <w:trPr>
          <w:cantSplit/>
        </w:trPr>
        <w:tc>
          <w:tcPr>
            <w:tcW w:w="2268"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1" w:type="dxa"/>
          </w:tcPr>
          <w:p>
            <w:pPr>
              <w:pStyle w:val="nTable"/>
              <w:spacing w:after="40"/>
            </w:pPr>
            <w:r>
              <w:t xml:space="preserve">10 Jan 1995 (see s. 2 and </w:t>
            </w:r>
            <w:r>
              <w:rPr>
                <w:i/>
              </w:rPr>
              <w:t>Gazette</w:t>
            </w:r>
            <w:r>
              <w:t xml:space="preserve"> 10 Jan 1995 p. 73)</w:t>
            </w:r>
          </w:p>
        </w:tc>
      </w:tr>
      <w:tr>
        <w:trPr>
          <w:cantSplit/>
        </w:trPr>
        <w:tc>
          <w:tcPr>
            <w:tcW w:w="2268"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7089"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8"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1"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8"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1" w:type="dxa"/>
          </w:tcPr>
          <w:p>
            <w:pPr>
              <w:pStyle w:val="nTable"/>
              <w:spacing w:after="40"/>
            </w:pPr>
            <w:r>
              <w:t>20 Dec 1995 (see s. 2)</w:t>
            </w:r>
          </w:p>
        </w:tc>
      </w:tr>
      <w:tr>
        <w:trPr>
          <w:cantSplit/>
        </w:trPr>
        <w:tc>
          <w:tcPr>
            <w:tcW w:w="2268"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4538"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1" w:type="dxa"/>
          </w:tcPr>
          <w:p>
            <w:pPr>
              <w:pStyle w:val="nTable"/>
              <w:spacing w:after="40"/>
            </w:pPr>
            <w:r>
              <w:t xml:space="preserve">24 May 1996 </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1" w:type="dxa"/>
          </w:tcPr>
          <w:p>
            <w:pPr>
              <w:pStyle w:val="nTable"/>
              <w:spacing w:after="40"/>
            </w:pPr>
            <w:r>
              <w:t>1 Nov 1996 (see s. 2)</w:t>
            </w:r>
          </w:p>
        </w:tc>
      </w:tr>
      <w:tr>
        <w:trPr>
          <w:cantSplit/>
        </w:trPr>
        <w:tc>
          <w:tcPr>
            <w:tcW w:w="2268"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w:t>
            </w:r>
          </w:p>
        </w:tc>
      </w:tr>
      <w:tr>
        <w:trPr>
          <w:cantSplit/>
        </w:trPr>
        <w:tc>
          <w:tcPr>
            <w:tcW w:w="2268"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1"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8"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1" w:type="dxa"/>
          </w:tcPr>
          <w:p>
            <w:pPr>
              <w:pStyle w:val="nTable"/>
              <w:spacing w:after="40"/>
            </w:pPr>
            <w:r>
              <w:t>17 Dec 1996</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8"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1" w:type="dxa"/>
          </w:tcPr>
          <w:p>
            <w:pPr>
              <w:pStyle w:val="nTable"/>
              <w:spacing w:after="40"/>
            </w:pPr>
            <w:r>
              <w:t>13 May 1997</w:t>
            </w:r>
          </w:p>
        </w:tc>
      </w:tr>
      <w:tr>
        <w:trPr>
          <w:cantSplit/>
        </w:trPr>
        <w:tc>
          <w:tcPr>
            <w:tcW w:w="2268"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1"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8"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4538"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1" w:type="dxa"/>
          </w:tcPr>
          <w:p>
            <w:pPr>
              <w:pStyle w:val="nTable"/>
              <w:spacing w:after="40"/>
            </w:pPr>
            <w:r>
              <w:t>15 May 1998 (see r. 2)</w:t>
            </w:r>
          </w:p>
        </w:tc>
      </w:tr>
      <w:tr>
        <w:trPr>
          <w:cantSplit/>
        </w:trPr>
        <w:tc>
          <w:tcPr>
            <w:tcW w:w="4538"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1" w:type="dxa"/>
          </w:tcPr>
          <w:p>
            <w:pPr>
              <w:pStyle w:val="nTable"/>
              <w:spacing w:after="40"/>
            </w:pPr>
            <w:r>
              <w:t>3 Jul 1998 (see r. 2)</w:t>
            </w:r>
          </w:p>
        </w:tc>
      </w:tr>
      <w:tr>
        <w:trPr>
          <w:cantSplit/>
        </w:trPr>
        <w:tc>
          <w:tcPr>
            <w:tcW w:w="2268"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1" w:type="dxa"/>
          </w:tcPr>
          <w:p>
            <w:pPr>
              <w:pStyle w:val="nTable"/>
              <w:spacing w:after="40"/>
            </w:pPr>
            <w:r>
              <w:t>7 Dec 1998 (see s. 2)</w:t>
            </w:r>
          </w:p>
        </w:tc>
      </w:tr>
      <w:tr>
        <w:trPr>
          <w:cantSplit/>
        </w:trPr>
        <w:tc>
          <w:tcPr>
            <w:tcW w:w="226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1" w:type="dxa"/>
          </w:tcPr>
          <w:p>
            <w:pPr>
              <w:pStyle w:val="nTable"/>
              <w:spacing w:after="40"/>
            </w:pPr>
            <w:r>
              <w:t xml:space="preserve">7 Aug 1999 (see s. 2 and </w:t>
            </w:r>
            <w:r>
              <w:rPr>
                <w:i/>
              </w:rPr>
              <w:t>Gazette</w:t>
            </w:r>
            <w:r>
              <w:t xml:space="preserve"> 6 Aug 1999 p. 3727)</w:t>
            </w:r>
          </w:p>
        </w:tc>
      </w:tr>
      <w:tr>
        <w:trPr>
          <w:cantSplit/>
        </w:trPr>
        <w:tc>
          <w:tcPr>
            <w:tcW w:w="4538"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1" w:type="dxa"/>
          </w:tcPr>
          <w:p>
            <w:pPr>
              <w:pStyle w:val="nTable"/>
              <w:spacing w:after="40"/>
            </w:pPr>
            <w:r>
              <w:t>25 May 1999 (see r. 2)</w:t>
            </w:r>
          </w:p>
        </w:tc>
      </w:tr>
      <w:tr>
        <w:trPr>
          <w:cantSplit/>
        </w:trPr>
        <w:tc>
          <w:tcPr>
            <w:tcW w:w="2268"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1" w:type="dxa"/>
          </w:tcPr>
          <w:p>
            <w:pPr>
              <w:pStyle w:val="nTable"/>
              <w:spacing w:after="40"/>
            </w:pPr>
            <w:r>
              <w:t>1 Jul 1999 (see s. 2(3))</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8"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8"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1" w:type="dxa"/>
          </w:tcPr>
          <w:p>
            <w:pPr>
              <w:pStyle w:val="nTable"/>
              <w:spacing w:after="40"/>
            </w:pPr>
            <w:r>
              <w:t>25 Nov 1999 (see s. 2)</w:t>
            </w:r>
          </w:p>
        </w:tc>
      </w:tr>
      <w:tr>
        <w:trPr>
          <w:cantSplit/>
        </w:trPr>
        <w:tc>
          <w:tcPr>
            <w:tcW w:w="4538"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1" w:type="dxa"/>
          </w:tcPr>
          <w:p>
            <w:pPr>
              <w:pStyle w:val="nTable"/>
              <w:spacing w:after="40"/>
            </w:pPr>
            <w:r>
              <w:t xml:space="preserve">31 May 2000 (see r. 2 and </w:t>
            </w:r>
            <w:r>
              <w:rPr>
                <w:i/>
              </w:rPr>
              <w:t>Gazette</w:t>
            </w:r>
            <w:r>
              <w:t xml:space="preserve"> 17 May 2000 p. 2426)</w:t>
            </w:r>
          </w:p>
        </w:tc>
      </w:tr>
      <w:tr>
        <w:trPr>
          <w:cantSplit/>
        </w:trPr>
        <w:tc>
          <w:tcPr>
            <w:tcW w:w="2268"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1"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8"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1" w:type="dxa"/>
          </w:tcPr>
          <w:p>
            <w:pPr>
              <w:pStyle w:val="nTable"/>
              <w:spacing w:after="40"/>
            </w:pPr>
            <w:r>
              <w:t xml:space="preserve">5 Feb 2001 (see s. 2 and </w:t>
            </w:r>
            <w:r>
              <w:rPr>
                <w:i/>
              </w:rPr>
              <w:t xml:space="preserve">Gazette </w:t>
            </w:r>
            <w:r>
              <w:t>30 Jan 2001 p. 615)</w:t>
            </w:r>
          </w:p>
        </w:tc>
      </w:tr>
      <w:tr>
        <w:trPr>
          <w:cantSplit/>
        </w:trPr>
        <w:tc>
          <w:tcPr>
            <w:tcW w:w="4538"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1" w:type="dxa"/>
          </w:tcPr>
          <w:p>
            <w:pPr>
              <w:pStyle w:val="nTable"/>
              <w:spacing w:after="40"/>
            </w:pPr>
            <w:r>
              <w:t>29 Jun 2001 (see r. 2)</w:t>
            </w:r>
          </w:p>
        </w:tc>
      </w:tr>
      <w:tr>
        <w:trPr>
          <w:cantSplit/>
        </w:trPr>
        <w:tc>
          <w:tcPr>
            <w:tcW w:w="4538"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1" w:type="dxa"/>
          </w:tcPr>
          <w:p>
            <w:pPr>
              <w:pStyle w:val="nTable"/>
              <w:spacing w:after="40"/>
            </w:pPr>
            <w:r>
              <w:t>14 Aug 2001 (see r. 2)</w:t>
            </w:r>
          </w:p>
        </w:tc>
      </w:tr>
      <w:tr>
        <w:trPr>
          <w:cantSplit/>
        </w:trPr>
        <w:tc>
          <w:tcPr>
            <w:tcW w:w="7089"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8"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1"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8"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1" w:type="dxa"/>
          </w:tcPr>
          <w:p>
            <w:pPr>
              <w:pStyle w:val="nTable"/>
              <w:spacing w:after="40"/>
            </w:pPr>
            <w:r>
              <w:t xml:space="preserve">4 Dec 2006 (see s. 2 and </w:t>
            </w:r>
            <w:r>
              <w:rPr>
                <w:i/>
              </w:rPr>
              <w:t>Gazette</w:t>
            </w:r>
            <w:r>
              <w:t xml:space="preserve"> 28 Nov 2006 p. 4889)</w:t>
            </w:r>
          </w:p>
        </w:tc>
      </w:tr>
      <w:tr>
        <w:trPr>
          <w:cantSplit/>
        </w:trPr>
        <w:tc>
          <w:tcPr>
            <w:tcW w:w="4538"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1" w:type="dxa"/>
          </w:tcPr>
          <w:p>
            <w:pPr>
              <w:pStyle w:val="nTable"/>
              <w:spacing w:after="40"/>
            </w:pPr>
            <w:r>
              <w:t>17 May 2002 (see r. 2)</w:t>
            </w:r>
          </w:p>
        </w:tc>
      </w:tr>
      <w:tr>
        <w:trPr>
          <w:cantSplit/>
        </w:trPr>
        <w:tc>
          <w:tcPr>
            <w:tcW w:w="2268"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1" w:type="dxa"/>
          </w:tcPr>
          <w:p>
            <w:pPr>
              <w:pStyle w:val="nTable"/>
              <w:spacing w:after="40"/>
            </w:pPr>
            <w:r>
              <w:t xml:space="preserve">1 Sep 2002 (see s. 2 and </w:t>
            </w:r>
            <w:r>
              <w:rPr>
                <w:i/>
              </w:rPr>
              <w:t>Gazette</w:t>
            </w:r>
            <w:r>
              <w:t xml:space="preserve"> 13 Aug 2002 p. 4151)</w:t>
            </w:r>
          </w:p>
        </w:tc>
      </w:tr>
      <w:tr>
        <w:trPr>
          <w:cantSplit/>
        </w:trPr>
        <w:tc>
          <w:tcPr>
            <w:tcW w:w="2268"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1" w:type="dxa"/>
          </w:tcPr>
          <w:p>
            <w:pPr>
              <w:pStyle w:val="nTable"/>
              <w:spacing w:after="40"/>
            </w:pPr>
            <w:r>
              <w:t xml:space="preserve">1 Jul 2002 (see s. 2(1) and </w:t>
            </w:r>
            <w:r>
              <w:rPr>
                <w:i/>
              </w:rPr>
              <w:t>Gazette</w:t>
            </w:r>
            <w:r>
              <w:t xml:space="preserve"> 1 Jul 2002 p. 3205)</w:t>
            </w:r>
          </w:p>
        </w:tc>
      </w:tr>
      <w:tr>
        <w:trPr>
          <w:cantSplit/>
        </w:trPr>
        <w:tc>
          <w:tcPr>
            <w:tcW w:w="2268"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1" w:type="dxa"/>
          </w:tcPr>
          <w:p>
            <w:pPr>
              <w:pStyle w:val="nTable"/>
              <w:spacing w:after="40"/>
            </w:pPr>
            <w:r>
              <w:t xml:space="preserve">1 Jul 2002 (see s. 2 and </w:t>
            </w:r>
            <w:r>
              <w:rPr>
                <w:i/>
              </w:rPr>
              <w:t>Gazette</w:t>
            </w:r>
            <w:r>
              <w:t xml:space="preserve"> 28 Jun 2002 p. 3037)</w:t>
            </w:r>
          </w:p>
        </w:tc>
      </w:tr>
      <w:tr>
        <w:trPr>
          <w:cantSplit/>
        </w:trPr>
        <w:tc>
          <w:tcPr>
            <w:tcW w:w="2268"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1" w:type="dxa"/>
          </w:tcPr>
          <w:p>
            <w:pPr>
              <w:pStyle w:val="nTable"/>
              <w:keepNext/>
              <w:spacing w:after="40"/>
            </w:pPr>
            <w:r>
              <w:t xml:space="preserve">1 Jul 2003 (see s. 2(1) and (2) and </w:t>
            </w:r>
            <w:r>
              <w:rPr>
                <w:i/>
              </w:rPr>
              <w:t>Gazette</w:t>
            </w:r>
            <w:r>
              <w:t xml:space="preserve"> 27 Jun 2003 p. 2383)</w:t>
            </w:r>
          </w:p>
        </w:tc>
      </w:tr>
      <w:tr>
        <w:trPr>
          <w:cantSplit/>
        </w:trPr>
        <w:tc>
          <w:tcPr>
            <w:tcW w:w="2268"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4538"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1" w:type="dxa"/>
          </w:tcPr>
          <w:p>
            <w:pPr>
              <w:pStyle w:val="nTable"/>
              <w:spacing w:after="40"/>
            </w:pPr>
            <w:r>
              <w:t>31 May 2003 (see r. 2)</w:t>
            </w:r>
          </w:p>
        </w:tc>
      </w:tr>
      <w:tr>
        <w:trPr>
          <w:cantSplit/>
        </w:trPr>
        <w:tc>
          <w:tcPr>
            <w:tcW w:w="2268"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1"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8"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1" w:type="dxa"/>
          </w:tcPr>
          <w:p>
            <w:pPr>
              <w:pStyle w:val="nTable"/>
              <w:keepNext/>
              <w:spacing w:after="40"/>
            </w:pPr>
            <w:r>
              <w:t>15 Dec 2003 (see s. 2)</w:t>
            </w:r>
          </w:p>
        </w:tc>
      </w:tr>
      <w:tr>
        <w:trPr>
          <w:cantSplit/>
        </w:trPr>
        <w:tc>
          <w:tcPr>
            <w:tcW w:w="2268"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1" w:type="dxa"/>
          </w:tcPr>
          <w:p>
            <w:pPr>
              <w:pStyle w:val="nTable"/>
              <w:keepNext/>
              <w:spacing w:after="40"/>
            </w:pPr>
            <w:r>
              <w:t>21 May 2004 (see s. 2)</w:t>
            </w:r>
          </w:p>
        </w:tc>
      </w:tr>
      <w:tr>
        <w:trPr>
          <w:cantSplit/>
        </w:trPr>
        <w:tc>
          <w:tcPr>
            <w:tcW w:w="4538"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1" w:type="dxa"/>
          </w:tcPr>
          <w:p>
            <w:pPr>
              <w:pStyle w:val="nTable"/>
              <w:spacing w:after="40"/>
            </w:pPr>
            <w:r>
              <w:t>31 May 2004 (see r. 2)</w:t>
            </w:r>
          </w:p>
        </w:tc>
      </w:tr>
      <w:tr>
        <w:trPr>
          <w:cantSplit/>
        </w:trPr>
        <w:tc>
          <w:tcPr>
            <w:tcW w:w="2268"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1" w:type="dxa"/>
          </w:tcPr>
          <w:p>
            <w:pPr>
              <w:pStyle w:val="nTable"/>
              <w:spacing w:after="40"/>
            </w:pPr>
            <w:r>
              <w:t>10 Jun 2004 (see s. 2)</w:t>
            </w:r>
          </w:p>
        </w:tc>
      </w:tr>
      <w:tr>
        <w:trPr>
          <w:cantSplit/>
        </w:trPr>
        <w:tc>
          <w:tcPr>
            <w:tcW w:w="2268"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1"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9"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8"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1"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8"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1"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8"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1"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1"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8"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1" w:type="dxa"/>
          </w:tcPr>
          <w:p>
            <w:pPr>
              <w:pStyle w:val="nTable"/>
              <w:spacing w:after="40"/>
              <w:rPr>
                <w:snapToGrid w:val="0"/>
              </w:rPr>
            </w:pPr>
            <w:r>
              <w:rPr>
                <w:snapToGrid w:val="0"/>
              </w:rPr>
              <w:t>1 Feb 2005 (see r. 2)</w:t>
            </w:r>
          </w:p>
        </w:tc>
      </w:tr>
      <w:tr>
        <w:trPr>
          <w:cantSplit/>
        </w:trPr>
        <w:tc>
          <w:tcPr>
            <w:tcW w:w="4538"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1" w:type="dxa"/>
          </w:tcPr>
          <w:p>
            <w:pPr>
              <w:pStyle w:val="nTable"/>
              <w:keepNext/>
              <w:spacing w:after="40"/>
              <w:rPr>
                <w:snapToGrid w:val="0"/>
              </w:rPr>
            </w:pPr>
            <w:r>
              <w:t>31 May 2005 (see r. 2)</w:t>
            </w:r>
          </w:p>
        </w:tc>
      </w:tr>
      <w:tr>
        <w:trPr>
          <w:cantSplit/>
        </w:trPr>
        <w:tc>
          <w:tcPr>
            <w:tcW w:w="7089"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8"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1" w:type="dxa"/>
          </w:tcPr>
          <w:p>
            <w:pPr>
              <w:pStyle w:val="nTable"/>
              <w:spacing w:after="40"/>
              <w:rPr>
                <w:snapToGrid w:val="0"/>
              </w:rPr>
            </w:pPr>
            <w:r>
              <w:rPr>
                <w:snapToGrid w:val="0"/>
              </w:rPr>
              <w:t>31 May 2006 (see r. 2)</w:t>
            </w:r>
          </w:p>
        </w:tc>
      </w:tr>
      <w:tr>
        <w:tc>
          <w:tcPr>
            <w:tcW w:w="2268"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8"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1"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1"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8"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1"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8"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1"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8"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1"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8"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1"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1"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1"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1"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8"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1"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8"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1" w:type="dxa"/>
          </w:tcPr>
          <w:p>
            <w:pPr>
              <w:pStyle w:val="nTable"/>
              <w:spacing w:after="40"/>
              <w:rPr>
                <w:snapToGrid w:val="0"/>
              </w:rPr>
            </w:pPr>
            <w:r>
              <w:rPr>
                <w:snapToGrid w:val="0"/>
              </w:rPr>
              <w:t>1 Jan 2010 (see s. 2(b))</w:t>
            </w:r>
          </w:p>
        </w:tc>
      </w:tr>
      <w:tr>
        <w:tc>
          <w:tcPr>
            <w:tcW w:w="2268"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8"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8"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9"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8"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1"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8"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1"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8"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1"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1"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1"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1"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1"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9"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188</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1"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8" w:type="dxa"/>
            <w:shd w:val="clear" w:color="auto" w:fill="auto"/>
          </w:tcPr>
          <w:p>
            <w:pPr>
              <w:pStyle w:val="nTable"/>
              <w:spacing w:after="40"/>
              <w:rPr>
                <w:i/>
                <w:snapToGrid w:val="0"/>
                <w:vertAlign w:val="superscript"/>
              </w:rPr>
            </w:pPr>
            <w:r>
              <w:rPr>
                <w:i/>
                <w:snapToGrid w:val="0"/>
              </w:rPr>
              <w:t>Road Traffic Amendment (Alcohol Interlocks and Other Matters) Act 2015</w:t>
            </w:r>
            <w:r>
              <w:rPr>
                <w:snapToGrid w:val="0"/>
              </w:rPr>
              <w:t xml:space="preserve"> Pt. 2 (other than s. 9) and Pt. 3 Div. 1 </w:t>
            </w:r>
            <w:r>
              <w:rPr>
                <w:snapToGrid w:val="0"/>
                <w:vertAlign w:val="superscript"/>
              </w:rPr>
              <w:t>30</w:t>
            </w:r>
          </w:p>
        </w:tc>
        <w:tc>
          <w:tcPr>
            <w:tcW w:w="1134" w:type="dxa"/>
            <w:shd w:val="clear" w:color="auto" w:fill="auto"/>
          </w:tcPr>
          <w:p>
            <w:pPr>
              <w:pStyle w:val="nTable"/>
              <w:spacing w:after="40"/>
              <w:rPr>
                <w:snapToGrid w:val="0"/>
              </w:rPr>
            </w:pPr>
            <w:r>
              <w:t>2 of 2015</w:t>
            </w:r>
          </w:p>
        </w:tc>
        <w:tc>
          <w:tcPr>
            <w:tcW w:w="1136" w:type="dxa"/>
            <w:shd w:val="clear" w:color="auto" w:fill="auto"/>
          </w:tcPr>
          <w:p>
            <w:pPr>
              <w:pStyle w:val="nTable"/>
              <w:spacing w:after="40"/>
            </w:pPr>
            <w:r>
              <w:t>25 Feb 2015</w:t>
            </w:r>
          </w:p>
        </w:tc>
        <w:tc>
          <w:tcPr>
            <w:tcW w:w="2551" w:type="dxa"/>
            <w:shd w:val="clear" w:color="auto" w:fill="auto"/>
          </w:tcPr>
          <w:p>
            <w:pPr>
              <w:pStyle w:val="nTable"/>
              <w:spacing w:after="40"/>
              <w:rPr>
                <w:snapToGrid w:val="0"/>
              </w:rPr>
            </w:pPr>
            <w:r>
              <w:t xml:space="preserve">Pt. 2 (other than s. 9): 4 Apr 2016 (see s. 2(1)(b) and </w:t>
            </w:r>
            <w:r>
              <w:rPr>
                <w:i/>
              </w:rPr>
              <w:t>Gazette</w:t>
            </w:r>
            <w:r>
              <w:t xml:space="preserve"> 24 Mar 2016 p. 927);</w:t>
            </w:r>
            <w:r>
              <w:br/>
              <w:t xml:space="preserve">Pt. 3 Div. 1: 24 Oct 2016 (see s. 2(1)(b) and (2) and </w:t>
            </w:r>
            <w:r>
              <w:rPr>
                <w:i/>
              </w:rPr>
              <w:t>Gazette</w:t>
            </w:r>
            <w:r>
              <w:t xml:space="preserve"> 20 Sep 2016 p. 3965)</w:t>
            </w:r>
          </w:p>
        </w:tc>
      </w:tr>
      <w:tr>
        <w:trPr>
          <w:cantSplit/>
        </w:trPr>
        <w:tc>
          <w:tcPr>
            <w:tcW w:w="2268" w:type="dxa"/>
            <w:shd w:val="clear" w:color="auto" w:fill="auto"/>
          </w:tcPr>
          <w:p>
            <w:pPr>
              <w:pStyle w:val="nTable"/>
              <w:spacing w:after="40"/>
              <w:rPr>
                <w:i/>
                <w:snapToGrid w:val="0"/>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1" w:type="dxa"/>
            <w:shd w:val="clear" w:color="auto" w:fill="auto"/>
          </w:tcPr>
          <w:p>
            <w:pPr>
              <w:pStyle w:val="nTable"/>
              <w:spacing w:after="40"/>
              <w:rPr>
                <w:snapToGrid w:val="0"/>
              </w:rPr>
            </w:pPr>
            <w:r>
              <w:t>2 Apr 2015 (see s. 2(b))</w:t>
            </w:r>
          </w:p>
        </w:tc>
      </w:tr>
      <w:tr>
        <w:trPr>
          <w:cantSplit/>
        </w:trPr>
        <w:tc>
          <w:tcPr>
            <w:tcW w:w="7089" w:type="dxa"/>
            <w:gridSpan w:val="4"/>
            <w:shd w:val="clear" w:color="auto" w:fill="auto"/>
          </w:tcPr>
          <w:p>
            <w:pPr>
              <w:pStyle w:val="nTable"/>
              <w:spacing w:after="40"/>
            </w:pPr>
            <w:r>
              <w:rPr>
                <w:b/>
              </w:rPr>
              <w:t xml:space="preserve">Reprint 13: The </w:t>
            </w:r>
            <w:r>
              <w:rPr>
                <w:b/>
                <w:i/>
              </w:rPr>
              <w:t xml:space="preserve">Road Traffic Act 1974 </w:t>
            </w:r>
            <w:r>
              <w:rPr>
                <w:b/>
              </w:rPr>
              <w:t xml:space="preserve">as at 12 Jun 2015 </w:t>
            </w:r>
            <w:r>
              <w:t xml:space="preserve">(includes amendments listed above except those in the </w:t>
            </w:r>
            <w:r>
              <w:rPr>
                <w:i/>
                <w:noProof/>
                <w:snapToGrid w:val="0"/>
              </w:rPr>
              <w:t>Medicines and Poisons Act 2014</w:t>
            </w:r>
            <w:r>
              <w:rPr>
                <w:noProof/>
                <w:snapToGrid w:val="0"/>
              </w:rPr>
              <w:t xml:space="preserve"> and the </w:t>
            </w:r>
            <w:r>
              <w:rPr>
                <w:i/>
                <w:snapToGrid w:val="0"/>
              </w:rPr>
              <w:t>Road Traffic Amendment (Alcohol Interlocks and Other Matters) Act 2015</w:t>
            </w:r>
            <w:r>
              <w:t>)</w:t>
            </w:r>
          </w:p>
        </w:tc>
      </w:tr>
      <w:tr>
        <w:trPr>
          <w:cantSplit/>
        </w:trPr>
        <w:tc>
          <w:tcPr>
            <w:tcW w:w="2268" w:type="dxa"/>
            <w:shd w:val="clear" w:color="auto" w:fill="auto"/>
          </w:tcPr>
          <w:p>
            <w:pPr>
              <w:pStyle w:val="nTable"/>
              <w:spacing w:after="40"/>
              <w:rPr>
                <w:i/>
              </w:rPr>
            </w:pPr>
            <w:r>
              <w:rPr>
                <w:i/>
              </w:rPr>
              <w:t xml:space="preserve">Public Health (Consequential Provisions) Act 2016 </w:t>
            </w:r>
            <w:r>
              <w:t>s. 101</w:t>
            </w:r>
          </w:p>
        </w:tc>
        <w:tc>
          <w:tcPr>
            <w:tcW w:w="1134" w:type="dxa"/>
            <w:shd w:val="clear" w:color="auto" w:fill="auto"/>
          </w:tcPr>
          <w:p>
            <w:pPr>
              <w:pStyle w:val="nTable"/>
              <w:spacing w:after="40"/>
            </w:pPr>
            <w:r>
              <w:t>19 of 2016</w:t>
            </w:r>
          </w:p>
        </w:tc>
        <w:tc>
          <w:tcPr>
            <w:tcW w:w="1136" w:type="dxa"/>
            <w:shd w:val="clear" w:color="auto" w:fill="auto"/>
          </w:tcPr>
          <w:p>
            <w:pPr>
              <w:pStyle w:val="nTable"/>
              <w:spacing w:after="40"/>
            </w:pPr>
            <w:r>
              <w:t>25 Jul 2016</w:t>
            </w:r>
          </w:p>
        </w:tc>
        <w:tc>
          <w:tcPr>
            <w:tcW w:w="2551" w:type="dxa"/>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rPr>
                <w:i/>
                <w:snapToGrid w:val="0"/>
              </w:rPr>
            </w:pPr>
            <w:r>
              <w:rPr>
                <w:i/>
              </w:rPr>
              <w:t xml:space="preserve">Road Traffic Legislation Amendment Act 2016 </w:t>
            </w:r>
            <w:r>
              <w:t>Pt. 2 Div. 1, Pt. 3 Div. 1 Subdiv. 1, Div. 2, Div. 3 Subdiv. 1, Div. 4 Subdiv. 1 (other than s. 64)</w:t>
            </w:r>
          </w:p>
        </w:tc>
        <w:tc>
          <w:tcPr>
            <w:tcW w:w="1134" w:type="dxa"/>
            <w:shd w:val="clear" w:color="auto" w:fill="auto"/>
          </w:tcPr>
          <w:p>
            <w:pPr>
              <w:pStyle w:val="nTable"/>
              <w:spacing w:after="40"/>
              <w:rPr>
                <w:snapToGrid w:val="0"/>
              </w:rPr>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t>Pt. 1: 21 Sep 2016 (see s. 2(a));</w:t>
            </w:r>
            <w:r>
              <w:br/>
              <w:t>Pt. 2: Div. 1: 22 Sep 2016 (see s. 2(b));</w:t>
            </w:r>
            <w:r>
              <w:br/>
              <w:t xml:space="preserve">Pt. 3 Div. 1 Subdiv. 1, Div. 3 Subdiv. 1 (other than s. 46 and 53) and Div. 4 Subdiv. 1 (other than s. 64): 28 Nov 2016 (see s. 2(c) and </w:t>
            </w:r>
            <w:r>
              <w:rPr>
                <w:i/>
              </w:rPr>
              <w:t>Gazette</w:t>
            </w:r>
            <w:r>
              <w:t xml:space="preserve"> 25 Nov 2016 p. 5279);</w:t>
            </w:r>
            <w:r>
              <w:br/>
            </w:r>
            <w:r>
              <w:rPr>
                <w:snapToGrid w:val="0"/>
              </w:rPr>
              <w:t xml:space="preserve">Pt. 3 Div. 2, s. 46 and 53: 10 Mar 2017 (see s. 2(c) and </w:t>
            </w:r>
            <w:r>
              <w:rPr>
                <w:i/>
                <w:snapToGrid w:val="0"/>
              </w:rPr>
              <w:t>Gazette</w:t>
            </w:r>
            <w:r>
              <w:rPr>
                <w:snapToGrid w:val="0"/>
              </w:rPr>
              <w:t xml:space="preserve"> 7 Feb 2017 p. 1158</w:t>
            </w:r>
            <w:r>
              <w:rPr>
                <w:snapToGrid w:val="0"/>
              </w:rPr>
              <w:noBreakHyphen/>
              <w:t>9)</w:t>
            </w:r>
          </w:p>
        </w:tc>
      </w:tr>
      <w:tr>
        <w:trPr>
          <w:cantSplit/>
        </w:trPr>
        <w:tc>
          <w:tcPr>
            <w:tcW w:w="2268" w:type="dxa"/>
            <w:shd w:val="clear" w:color="auto" w:fill="auto"/>
          </w:tcPr>
          <w:p>
            <w:pPr>
              <w:pStyle w:val="nTable"/>
              <w:spacing w:after="40"/>
              <w:rPr>
                <w:i/>
              </w:rPr>
            </w:pPr>
            <w:r>
              <w:rPr>
                <w:i/>
              </w:rPr>
              <w:t xml:space="preserve">Road Traffic Amendment (Impounding and Confiscation of Vehicles) Act 2016 </w:t>
            </w:r>
            <w:r>
              <w:t>Pt. 2</w:t>
            </w:r>
            <w:r>
              <w:rPr>
                <w:i/>
              </w:rPr>
              <w:t> </w:t>
            </w:r>
            <w:r>
              <w:rPr>
                <w:vertAlign w:val="superscript"/>
              </w:rPr>
              <w:t>31</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rPr>
                <w:snapToGrid w:val="0"/>
              </w:rPr>
              <w:t xml:space="preserve">14 Jan 2017 (see s. 2(1)(b) and (2) and </w:t>
            </w:r>
            <w:r>
              <w:rPr>
                <w:i/>
                <w:snapToGrid w:val="0"/>
              </w:rPr>
              <w:t>Gazette</w:t>
            </w:r>
            <w:r>
              <w:rPr>
                <w:snapToGrid w:val="0"/>
              </w:rPr>
              <w:t xml:space="preserve"> 13 Jan 2017 p. 338)</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snapToGrid w:val="0"/>
              </w:rPr>
              <w:t xml:space="preserve">Reprint 14: The </w:t>
            </w:r>
            <w:r>
              <w:rPr>
                <w:b/>
                <w:i/>
                <w:noProof/>
                <w:snapToGrid w:val="0"/>
              </w:rPr>
              <w:t>Road Traffic Act 1974</w:t>
            </w:r>
            <w:r>
              <w:rPr>
                <w:b/>
                <w:snapToGrid w:val="0"/>
              </w:rPr>
              <w:t xml:space="preserve"> as at 1 Dec 2017</w:t>
            </w:r>
            <w:r>
              <w:rPr>
                <w:snapToGrid w:val="0"/>
              </w:rPr>
              <w:t xml:space="preserve"> (includes amendments listed above)</w:t>
            </w:r>
          </w:p>
        </w:tc>
      </w:tr>
    </w:tbl>
    <w:p>
      <w:pPr>
        <w:pStyle w:val="nSubsection"/>
        <w:keepNext/>
        <w:keepLines/>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8" w:name="_Toc512325960"/>
      <w:r>
        <w:t>Provisions that have not come into operation</w:t>
      </w:r>
      <w:bookmarkEnd w:id="238"/>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snapToGrid w:val="0"/>
              </w:rPr>
            </w:pPr>
            <w:r>
              <w:rPr>
                <w:i/>
              </w:rPr>
              <w:t>Public Health (Consequential Provisions) Act 2016</w:t>
            </w:r>
            <w:r>
              <w:t xml:space="preserve"> Pt. 5 Div. 21</w:t>
            </w:r>
            <w:r>
              <w:rPr>
                <w:vertAlign w:val="superscript"/>
              </w:rPr>
              <w:t> 33</w:t>
            </w:r>
          </w:p>
        </w:tc>
        <w:tc>
          <w:tcPr>
            <w:tcW w:w="1134" w:type="dxa"/>
            <w:tcBorders>
              <w:top w:val="nil"/>
              <w:bottom w:val="nil"/>
            </w:tcBorders>
          </w:tcPr>
          <w:p>
            <w:pPr>
              <w:pStyle w:val="nTable"/>
              <w:keepNext/>
              <w:spacing w:after="40"/>
            </w:pPr>
            <w:r>
              <w:t>19 of 2016</w:t>
            </w:r>
          </w:p>
        </w:tc>
        <w:tc>
          <w:tcPr>
            <w:tcW w:w="1135" w:type="dxa"/>
            <w:tcBorders>
              <w:top w:val="nil"/>
              <w:bottom w:val="nil"/>
            </w:tcBorders>
          </w:tcPr>
          <w:p>
            <w:pPr>
              <w:pStyle w:val="nTable"/>
              <w:keepNext/>
              <w:spacing w:after="40"/>
            </w:pPr>
            <w:r>
              <w:t>25 Jul 2016</w:t>
            </w:r>
          </w:p>
        </w:tc>
        <w:tc>
          <w:tcPr>
            <w:tcW w:w="2552" w:type="dxa"/>
            <w:tcBorders>
              <w:top w:val="nil"/>
              <w:bottom w:val="nil"/>
            </w:tcBorders>
          </w:tcPr>
          <w:p>
            <w:pPr>
              <w:pStyle w:val="nTable"/>
              <w:keepNext/>
              <w:spacing w:after="40"/>
            </w:pPr>
            <w:r>
              <w:t>To</w:t>
            </w:r>
            <w:r>
              <w:rPr>
                <w:snapToGrid w:val="0"/>
              </w:rPr>
              <w:t xml:space="preserve"> be proclaimed (see s. 2(1)(c))</w:t>
            </w:r>
          </w:p>
        </w:tc>
      </w:tr>
      <w:tr>
        <w:tblPrEx>
          <w:tblCellMar>
            <w:left w:w="56" w:type="dxa"/>
            <w:right w:w="56" w:type="dxa"/>
          </w:tblCellMar>
        </w:tblPrEx>
        <w:trPr>
          <w:gridAfter w:val="1"/>
          <w:wAfter w:w="34" w:type="dxa"/>
          <w:cantSplit/>
        </w:trPr>
        <w:tc>
          <w:tcPr>
            <w:tcW w:w="2268" w:type="dxa"/>
            <w:tcBorders>
              <w:top w:val="nil"/>
              <w:bottom w:val="nil"/>
            </w:tcBorders>
          </w:tcPr>
          <w:p>
            <w:pPr>
              <w:pStyle w:val="nTable"/>
              <w:spacing w:after="40"/>
              <w:ind w:right="113"/>
              <w:rPr>
                <w:i/>
              </w:rPr>
            </w:pPr>
            <w:r>
              <w:rPr>
                <w:i/>
              </w:rPr>
              <w:t xml:space="preserve">Road Traffic Legislation Amendment Act 2016 </w:t>
            </w:r>
            <w:r>
              <w:t>s. 64 </w:t>
            </w:r>
            <w:r>
              <w:rPr>
                <w:vertAlign w:val="superscript"/>
              </w:rPr>
              <w:t>34</w:t>
            </w:r>
          </w:p>
        </w:tc>
        <w:tc>
          <w:tcPr>
            <w:tcW w:w="1134" w:type="dxa"/>
            <w:tcBorders>
              <w:top w:val="nil"/>
              <w:bottom w:val="nil"/>
            </w:tcBorders>
          </w:tcPr>
          <w:p>
            <w:pPr>
              <w:pStyle w:val="nTable"/>
              <w:keepNext/>
              <w:spacing w:after="40"/>
            </w:pPr>
            <w:r>
              <w:t>25 of 2016</w:t>
            </w:r>
          </w:p>
        </w:tc>
        <w:tc>
          <w:tcPr>
            <w:tcW w:w="1135" w:type="dxa"/>
            <w:tcBorders>
              <w:top w:val="nil"/>
              <w:bottom w:val="nil"/>
            </w:tcBorders>
          </w:tcPr>
          <w:p>
            <w:pPr>
              <w:pStyle w:val="nTable"/>
              <w:keepNext/>
              <w:spacing w:after="40"/>
            </w:pPr>
            <w:r>
              <w:t>21 Sep 2016</w:t>
            </w:r>
          </w:p>
        </w:tc>
        <w:tc>
          <w:tcPr>
            <w:tcW w:w="2552" w:type="dxa"/>
            <w:tcBorders>
              <w:top w:val="nil"/>
              <w:bottom w:val="nil"/>
            </w:tcBorders>
          </w:tcPr>
          <w:p>
            <w:pPr>
              <w:pStyle w:val="nTable"/>
              <w:keepNext/>
              <w:spacing w:after="40"/>
              <w:rPr>
                <w:snapToGrid w:val="0"/>
              </w:rPr>
            </w:pPr>
            <w:r>
              <w:rPr>
                <w:snapToGrid w:val="0"/>
              </w:rP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vertAlign w:val="superscript"/>
              </w:rPr>
            </w:pPr>
            <w:r>
              <w:rPr>
                <w:i/>
              </w:rPr>
              <w:t>Health Practitioner Regulation National Law (WA) Amendment Act 2018</w:t>
            </w:r>
            <w:r>
              <w:t xml:space="preserve"> s. 120 </w:t>
            </w:r>
            <w:r>
              <w:rPr>
                <w:vertAlign w:val="superscript"/>
              </w:rPr>
              <w:t>35</w:t>
            </w:r>
          </w:p>
        </w:tc>
        <w:tc>
          <w:tcPr>
            <w:tcW w:w="1134" w:type="dxa"/>
            <w:tcBorders>
              <w:top w:val="nil"/>
              <w:bottom w:val="single" w:sz="4" w:space="0" w:color="auto"/>
            </w:tcBorders>
          </w:tcPr>
          <w:p>
            <w:pPr>
              <w:pStyle w:val="nTable"/>
              <w:keepNext/>
              <w:spacing w:after="40"/>
            </w:pPr>
            <w:r>
              <w:t>4 of 2018</w:t>
            </w:r>
          </w:p>
        </w:tc>
        <w:tc>
          <w:tcPr>
            <w:tcW w:w="1135" w:type="dxa"/>
            <w:tcBorders>
              <w:top w:val="nil"/>
              <w:bottom w:val="single" w:sz="4" w:space="0" w:color="auto"/>
            </w:tcBorders>
          </w:tcPr>
          <w:p>
            <w:pPr>
              <w:pStyle w:val="nTable"/>
              <w:keepNext/>
              <w:spacing w:after="40"/>
            </w:pPr>
            <w:r>
              <w:t>19 Apr 2018</w:t>
            </w:r>
          </w:p>
        </w:tc>
        <w:tc>
          <w:tcPr>
            <w:tcW w:w="2552" w:type="dxa"/>
            <w:tcBorders>
              <w:top w:val="nil"/>
              <w:bottom w:val="single" w:sz="4" w:space="0" w:color="auto"/>
            </w:tcBorders>
          </w:tcPr>
          <w:p>
            <w:pPr>
              <w:pStyle w:val="nTable"/>
              <w:keepNext/>
              <w:spacing w:after="40"/>
              <w:rPr>
                <w:snapToGrid w:val="0"/>
              </w:rPr>
            </w:pPr>
            <w:r>
              <w:rPr>
                <w:snapToGrid w:val="0"/>
              </w:rPr>
              <w:t>To be proclaimed (see s. 2(d))</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cl.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in the </w:t>
      </w:r>
      <w:r>
        <w:rPr>
          <w:i/>
          <w:snapToGrid w:val="0"/>
        </w:rPr>
        <w:t>Road Traffic Amendment Act 1997</w:t>
      </w:r>
      <w:r>
        <w:rPr>
          <w:snapToGrid w:val="0"/>
        </w:rPr>
        <w:t xml:space="preserve"> s. 13 to amend s. 20(2) did not come into operation because of an error in the reference to the provision to be amended.</w:t>
      </w:r>
    </w:p>
    <w:p>
      <w:pPr>
        <w:pStyle w:val="nSubsection"/>
        <w:keepNext/>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keepNext/>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keepNext/>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keepNext/>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spacing w:before="0"/>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spacing w:before="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pPr>
      <w:r>
        <w:rPr>
          <w:snapToGrid w:val="0"/>
          <w:vertAlign w:val="superscript"/>
        </w:rPr>
        <w:t>30</w:t>
      </w:r>
      <w:r>
        <w:rPr>
          <w:snapToGrid w:val="0"/>
        </w:rPr>
        <w:tab/>
      </w:r>
      <w:r>
        <w:t>T</w:t>
      </w:r>
      <w:r>
        <w:rPr>
          <w:snapToGrid w:val="0"/>
        </w:rPr>
        <w:t xml:space="preserve">he </w:t>
      </w:r>
      <w:r>
        <w:rPr>
          <w:i/>
        </w:rPr>
        <w:t>Road Traffic Amendment (Alcohol Interlocks and Other Matters) Act 2015</w:t>
      </w:r>
      <w:r>
        <w:t xml:space="preserve"> s. 9 </w:t>
      </w:r>
      <w:r>
        <w:rPr>
          <w:snapToGrid w:val="0"/>
        </w:rPr>
        <w:t xml:space="preserve">will not come into operation because the section it seeks to amend was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31</w:t>
      </w:r>
      <w:r>
        <w:rPr>
          <w:snapToGrid w:val="0"/>
        </w:rPr>
        <w:tab/>
        <w:t xml:space="preserve">The </w:t>
      </w:r>
      <w:r>
        <w:rPr>
          <w:i/>
        </w:rPr>
        <w:t xml:space="preserve">Road Traffic Amendment (Impounding and Confiscation of Vehicles) Act 2016 </w:t>
      </w:r>
      <w:r>
        <w:t xml:space="preserve">s. 5 and Pt. 3 Div. 3 will </w:t>
      </w:r>
      <w:r>
        <w:rPr>
          <w:snapToGrid w:val="0"/>
        </w:rPr>
        <w:t>not come into operation (see. s. 57(1)).</w:t>
      </w:r>
    </w:p>
    <w:p>
      <w:pPr>
        <w:pStyle w:val="nSubsection"/>
        <w:rPr>
          <w:snapToGrid w:val="0"/>
        </w:rPr>
      </w:pPr>
      <w:r>
        <w:rPr>
          <w:snapToGrid w:val="0"/>
          <w:vertAlign w:val="superscript"/>
        </w:rPr>
        <w:t>32</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keepNext/>
        <w:rPr>
          <w:snapToGrid w:val="0"/>
        </w:rPr>
      </w:pPr>
      <w:r>
        <w:rPr>
          <w:snapToGrid w:val="0"/>
          <w:vertAlign w:val="superscript"/>
        </w:rPr>
        <w:t>33</w:t>
      </w:r>
      <w:r>
        <w:rPr>
          <w:snapToGrid w:val="0"/>
        </w:rPr>
        <w:tab/>
        <w:t xml:space="preserve">On the date as at which this </w:t>
      </w:r>
      <w:r>
        <w:t>compilation</w:t>
      </w:r>
      <w:r>
        <w:rPr>
          <w:snapToGrid w:val="0"/>
        </w:rPr>
        <w:t xml:space="preserve"> was prepared, the </w:t>
      </w:r>
      <w:r>
        <w:rPr>
          <w:i/>
        </w:rPr>
        <w:t>Public Health (Consequential Provisions) Act 2016</w:t>
      </w:r>
      <w:r>
        <w:t xml:space="preserve"> Pt. 5 Div. 21 </w:t>
      </w:r>
      <w:r>
        <w:rPr>
          <w:snapToGrid w:val="0"/>
        </w:rPr>
        <w:t>had not come into operation.  It reads as follows:</w:t>
      </w:r>
    </w:p>
    <w:p>
      <w:pPr>
        <w:pStyle w:val="BlankOpen"/>
      </w:pPr>
    </w:p>
    <w:p>
      <w:pPr>
        <w:pStyle w:val="nzHeading2"/>
        <w:spacing w:before="0"/>
      </w:pPr>
      <w:r>
        <w:rPr>
          <w:rStyle w:val="CharPartNo"/>
        </w:rPr>
        <w:t>Part 5</w:t>
      </w:r>
      <w:r>
        <w:t> — </w:t>
      </w:r>
      <w:r>
        <w:rPr>
          <w:rStyle w:val="CharPartText"/>
        </w:rPr>
        <w:t>Other Acts amended</w:t>
      </w:r>
    </w:p>
    <w:p>
      <w:pPr>
        <w:pStyle w:val="nzHeading3"/>
        <w:rPr>
          <w:rStyle w:val="CharDivText"/>
        </w:rPr>
      </w:pPr>
      <w:r>
        <w:rPr>
          <w:rStyle w:val="CharDivNo"/>
        </w:rPr>
        <w:t>Division 21</w:t>
      </w:r>
      <w:r>
        <w:t> — </w:t>
      </w:r>
      <w:r>
        <w:rPr>
          <w:rStyle w:val="CharDivText"/>
          <w:i/>
        </w:rPr>
        <w:t>Road Traffic Act 1974</w:t>
      </w:r>
      <w:r>
        <w:rPr>
          <w:rStyle w:val="CharDivText"/>
        </w:rPr>
        <w:t xml:space="preserve"> amended</w:t>
      </w:r>
    </w:p>
    <w:p>
      <w:pPr>
        <w:pStyle w:val="nzHeading5"/>
      </w:pPr>
      <w:r>
        <w:rPr>
          <w:rStyle w:val="CharSectno"/>
        </w:rPr>
        <w:t>325</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326</w:t>
      </w:r>
      <w:r>
        <w:t>.</w:t>
      </w:r>
      <w:r>
        <w:tab/>
        <w:t>Section 70 amended</w:t>
      </w:r>
    </w:p>
    <w:p>
      <w:pPr>
        <w:pStyle w:val="nzSubsection"/>
        <w:keepNext/>
      </w:pPr>
      <w:r>
        <w:tab/>
      </w:r>
      <w:r>
        <w:tab/>
        <w:t xml:space="preserve">In section 70(7) delete the definition of </w:t>
      </w:r>
      <w:r>
        <w:rPr>
          <w:rStyle w:val="CharDefText"/>
        </w:rPr>
        <w:t>technologist</w:t>
      </w:r>
      <w:r>
        <w:t xml:space="preserve"> and insert:</w:t>
      </w:r>
    </w:p>
    <w:p>
      <w:pPr>
        <w:pStyle w:val="BlankOpen"/>
      </w:pPr>
    </w:p>
    <w:p>
      <w:pPr>
        <w:pStyle w:val="nzDefstart"/>
      </w:pPr>
      <w:r>
        <w:tab/>
      </w:r>
      <w:r>
        <w:rPr>
          <w:rStyle w:val="CharDefText"/>
        </w:rPr>
        <w:t>technologist</w:t>
      </w:r>
      <w:r>
        <w:t xml:space="preserve"> means a person approved, or belonging to a class of persons approved, by the Minister to prepare sampling equipment.</w:t>
      </w:r>
    </w:p>
    <w:p>
      <w:pPr>
        <w:pStyle w:val="BlankClose"/>
      </w:pPr>
    </w:p>
    <w:p>
      <w:pPr>
        <w:pStyle w:val="BlankClose"/>
      </w:pPr>
    </w:p>
    <w:p>
      <w:pPr>
        <w:pStyle w:val="nSubsection"/>
        <w:rPr>
          <w:snapToGrid w:val="0"/>
        </w:rPr>
      </w:pPr>
      <w:r>
        <w:rPr>
          <w:snapToGrid w:val="0"/>
          <w:vertAlign w:val="superscript"/>
        </w:rPr>
        <w:t>34</w:t>
      </w:r>
      <w:r>
        <w:rPr>
          <w:snapToGrid w:val="0"/>
        </w:rPr>
        <w:tab/>
        <w:t xml:space="preserve">On the date as at which this </w:t>
      </w:r>
      <w:r>
        <w:t>compilation</w:t>
      </w:r>
      <w:r>
        <w:rPr>
          <w:snapToGrid w:val="0"/>
        </w:rPr>
        <w:t xml:space="preserve"> was prepared, the </w:t>
      </w:r>
      <w:r>
        <w:rPr>
          <w:i/>
        </w:rPr>
        <w:t xml:space="preserve">Road Traffic Legislation Amendment Act 2016 </w:t>
      </w:r>
      <w:r>
        <w:t xml:space="preserve">s. 64 </w:t>
      </w:r>
      <w:r>
        <w:rPr>
          <w:snapToGrid w:val="0"/>
        </w:rPr>
        <w:t>had not come into operation.  It reads as follows:</w:t>
      </w:r>
    </w:p>
    <w:p>
      <w:pPr>
        <w:pStyle w:val="BlankOpen"/>
      </w:pPr>
    </w:p>
    <w:p>
      <w:pPr>
        <w:pStyle w:val="nzHeading5"/>
        <w:spacing w:before="0"/>
      </w:pPr>
      <w:r>
        <w:rPr>
          <w:rStyle w:val="CharSectno"/>
        </w:rPr>
        <w:t>64</w:t>
      </w:r>
      <w:r>
        <w:t>.</w:t>
      </w:r>
      <w:r>
        <w:tab/>
        <w:t>Section 110 inserted</w:t>
      </w:r>
    </w:p>
    <w:p>
      <w:pPr>
        <w:pStyle w:val="nzSubsection"/>
      </w:pPr>
      <w:r>
        <w:tab/>
      </w:r>
      <w:r>
        <w:tab/>
        <w:t>At the end of Part VIII insert:</w:t>
      </w:r>
    </w:p>
    <w:p>
      <w:pPr>
        <w:pStyle w:val="BlankOpen"/>
      </w:pPr>
    </w:p>
    <w:p>
      <w:pPr>
        <w:pStyle w:val="nzHeading5"/>
        <w:rPr>
          <w:snapToGrid w:val="0"/>
        </w:rPr>
      </w:pPr>
      <w:r>
        <w:t>110.</w:t>
      </w:r>
      <w:r>
        <w:tab/>
        <w:t xml:space="preserve">Transitional provisions for the </w:t>
      </w:r>
      <w:r>
        <w:rPr>
          <w:i/>
          <w:snapToGrid w:val="0"/>
        </w:rPr>
        <w:t>Road Traffic Legislation Amendment Act 2016</w:t>
      </w:r>
    </w:p>
    <w:p>
      <w:pPr>
        <w:pStyle w:val="nzSubsection"/>
        <w:rPr>
          <w:snapToGrid w:val="0"/>
        </w:rPr>
      </w:pPr>
      <w:r>
        <w:tab/>
        <w:t>(1)</w:t>
      </w:r>
      <w:r>
        <w:tab/>
        <w:t xml:space="preserve">Until the </w:t>
      </w:r>
      <w:r>
        <w:rPr>
          <w:i/>
          <w:snapToGrid w:val="0"/>
        </w:rPr>
        <w:t>Road Traffic Legislation Amendment Act 2016</w:t>
      </w:r>
      <w:r>
        <w:rPr>
          <w:snapToGrid w:val="0"/>
        </w:rPr>
        <w:t xml:space="preserve"> section 62(2) comes into operation, section 49(1) has effect as if paragraph (c) of the Penalty also referred to the application of subsection (3)(ca).</w:t>
      </w:r>
    </w:p>
    <w:p>
      <w:pPr>
        <w:pStyle w:val="nzSubsection"/>
        <w:keepNext/>
        <w:keepLines/>
        <w:rPr>
          <w:snapToGrid w:val="0"/>
        </w:rPr>
      </w:pPr>
      <w:r>
        <w:tab/>
        <w:t>(2)</w:t>
      </w:r>
      <w:r>
        <w:tab/>
        <w:t xml:space="preserve">Until the </w:t>
      </w:r>
      <w:r>
        <w:rPr>
          <w:i/>
          <w:snapToGrid w:val="0"/>
        </w:rPr>
        <w:t xml:space="preserve">Road Traffic Legislation Amendment Act 2016 </w:t>
      </w:r>
      <w:r>
        <w:rPr>
          <w:snapToGrid w:val="0"/>
        </w:rPr>
        <w:t xml:space="preserve">section 63 comes into operation, the definition of </w:t>
      </w:r>
      <w:r>
        <w:rPr>
          <w:b/>
          <w:i/>
        </w:rPr>
        <w:t>impounding offence (driver’s licence)</w:t>
      </w:r>
      <w:r>
        <w:t xml:space="preserve"> paragraph (a) in section 78A, </w:t>
      </w:r>
      <w:r>
        <w:rPr>
          <w:snapToGrid w:val="0"/>
        </w:rPr>
        <w:t>has effect as if it also referred to section 49(3)(ca).</w:t>
      </w:r>
    </w:p>
    <w:p>
      <w:pPr>
        <w:pStyle w:val="BlankClose"/>
        <w:keepNext/>
        <w:widowControl w:val="0"/>
      </w:pPr>
    </w:p>
    <w:p>
      <w:pPr>
        <w:pStyle w:val="nSubsection"/>
        <w:rPr>
          <w:snapToGrid w:val="0"/>
        </w:rPr>
      </w:pPr>
      <w:r>
        <w:rPr>
          <w:snapToGrid w:val="0"/>
          <w:vertAlign w:val="superscript"/>
        </w:rPr>
        <w:t>35</w:t>
      </w:r>
      <w:r>
        <w:rPr>
          <w:snapToGrid w:val="0"/>
        </w:rPr>
        <w:tab/>
        <w:t xml:space="preserve">On the date as at which this </w:t>
      </w:r>
      <w:r>
        <w:t>compilation</w:t>
      </w:r>
      <w:r>
        <w:rPr>
          <w:snapToGrid w:val="0"/>
        </w:rPr>
        <w:t xml:space="preserve"> was prepared, the </w:t>
      </w:r>
      <w:r>
        <w:rPr>
          <w:i/>
          <w:snapToGrid w:val="0"/>
        </w:rPr>
        <w:t>Health Practitioner Regulation National Law (WA) Amendment Act 2018</w:t>
      </w:r>
      <w:r>
        <w:rPr>
          <w:snapToGrid w:val="0"/>
        </w:rPr>
        <w:t xml:space="preserve"> </w:t>
      </w:r>
      <w:r>
        <w:t xml:space="preserve">s. 120 </w:t>
      </w:r>
      <w:r>
        <w:rPr>
          <w:snapToGrid w:val="0"/>
        </w:rPr>
        <w:t>had not come into operation.  It reads as follows:</w:t>
      </w:r>
    </w:p>
    <w:p>
      <w:pPr>
        <w:pStyle w:val="BlankOpen"/>
      </w:pPr>
    </w:p>
    <w:p>
      <w:pPr>
        <w:pStyle w:val="nzHeading5"/>
      </w:pPr>
      <w:bookmarkStart w:id="239" w:name="_Toc511216827"/>
      <w:bookmarkStart w:id="240" w:name="_Toc511995452"/>
      <w:r>
        <w:rPr>
          <w:rStyle w:val="CharSectno"/>
        </w:rPr>
        <w:t>120</w:t>
      </w:r>
      <w:r>
        <w:t>.</w:t>
      </w:r>
      <w:r>
        <w:tab/>
      </w:r>
      <w:r>
        <w:rPr>
          <w:i/>
        </w:rPr>
        <w:t>Road Traffic Act 1974</w:t>
      </w:r>
      <w:r>
        <w:t xml:space="preserve"> amended</w:t>
      </w:r>
      <w:bookmarkEnd w:id="239"/>
      <w:bookmarkEnd w:id="240"/>
    </w:p>
    <w:p>
      <w:pPr>
        <w:pStyle w:val="nzSubsection"/>
      </w:pPr>
      <w:r>
        <w:tab/>
        <w:t>(1)</w:t>
      </w:r>
      <w:r>
        <w:tab/>
        <w:t xml:space="preserve">This section amends the </w:t>
      </w:r>
      <w:r>
        <w:rPr>
          <w:i/>
        </w:rPr>
        <w:t>Road Traffic Act 1974</w:t>
      </w:r>
      <w:r>
        <w:t>.</w:t>
      </w:r>
    </w:p>
    <w:p>
      <w:pPr>
        <w:pStyle w:val="nzSubsection"/>
      </w:pPr>
      <w:r>
        <w:tab/>
        <w:t>(2)</w:t>
      </w:r>
      <w:r>
        <w:tab/>
        <w:t xml:space="preserve">In section 65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nzSubsection"/>
      </w:pPr>
      <w:r>
        <w:tab/>
        <w:t>(3)</w:t>
      </w:r>
      <w:r>
        <w:tab/>
        <w:t xml:space="preserve">In section 65 in the definition of </w:t>
      </w:r>
      <w:r>
        <w:rPr>
          <w:b/>
          <w:i/>
        </w:rPr>
        <w:t>registered nurse</w:t>
      </w:r>
      <w:r>
        <w:t xml:space="preserve"> delete “and midwifery”.</w:t>
      </w: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42" w:name="_Toc491075150"/>
      <w:bookmarkStart w:id="243" w:name="_Toc497206452"/>
      <w:bookmarkStart w:id="244" w:name="_Toc499733210"/>
      <w:bookmarkStart w:id="245" w:name="_Toc500926311"/>
      <w:bookmarkStart w:id="246" w:name="_Toc512325961"/>
      <w:r>
        <w:rPr>
          <w:sz w:val="28"/>
        </w:rPr>
        <w:t>Defined terms</w:t>
      </w:r>
      <w:bookmarkEnd w:id="242"/>
      <w:bookmarkEnd w:id="243"/>
      <w:bookmarkEnd w:id="244"/>
      <w:bookmarkEnd w:id="245"/>
      <w:bookmarkEnd w:id="2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above the speed limit</w:t>
      </w:r>
      <w:r>
        <w:tab/>
        <w:t>49AAA</w:t>
      </w:r>
    </w:p>
    <w:p>
      <w:pPr>
        <w:pStyle w:val="DefinedTerms"/>
      </w:pPr>
      <w:r>
        <w:t>alleged offence</w:t>
      </w:r>
      <w:r>
        <w:tab/>
        <w:t>71C(1) (a) and (b)</w:t>
      </w:r>
    </w:p>
    <w:p>
      <w:pPr>
        <w:pStyle w:val="DefinedTerms"/>
      </w:pPr>
      <w:r>
        <w:t>alleged offender</w:t>
      </w:r>
      <w:r>
        <w:tab/>
        <w:t>71C(1)(a) and (b), 79BCA(1)(c), 79BCD(1)(a),</w:t>
      </w:r>
      <w:r>
        <w:br/>
      </w:r>
      <w:r>
        <w:tab/>
        <w:t>79D(2)(f)(ii), (g)(ii), (h)(ii) and (i)(ii) and 79D(6)(b)</w:t>
      </w:r>
    </w:p>
    <w:p>
      <w:pPr>
        <w:pStyle w:val="DefinedTerms"/>
      </w:pPr>
      <w:r>
        <w:t>alternative vehicle</w:t>
      </w:r>
      <w:r>
        <w:tab/>
        <w:t>79BCD(4), 79B(3C)</w:t>
      </w:r>
    </w:p>
    <w:p>
      <w:pPr>
        <w:pStyle w:val="DefinedTerms"/>
      </w:pPr>
      <w:r>
        <w:t>amended provisions</w:t>
      </w:r>
      <w:r>
        <w:tab/>
        <w:t>72A(1)</w:t>
      </w:r>
    </w:p>
    <w:p>
      <w:pPr>
        <w:pStyle w:val="DefinedTerms"/>
      </w:pPr>
      <w:r>
        <w:t>amendment Act</w:t>
      </w:r>
      <w:r>
        <w:tab/>
        <w:t>109(1)</w:t>
      </w:r>
    </w:p>
    <w:p>
      <w:pPr>
        <w:pStyle w:val="DefinedTerms"/>
      </w:pPr>
      <w:r>
        <w:t>analyst</w:t>
      </w:r>
      <w:r>
        <w:tab/>
        <w:t>65</w:t>
      </w:r>
    </w:p>
    <w:p>
      <w:pPr>
        <w:pStyle w:val="DefinedTerms"/>
      </w:pPr>
      <w:r>
        <w:t>approved</w:t>
      </w:r>
      <w:r>
        <w:tab/>
        <w:t>78A(1)</w:t>
      </w:r>
    </w:p>
    <w:p>
      <w:pPr>
        <w:pStyle w:val="DefinedTerms"/>
      </w:pPr>
      <w:r>
        <w:t>approved device</w:t>
      </w:r>
      <w:r>
        <w:tab/>
        <w:t>65</w:t>
      </w:r>
    </w:p>
    <w:p>
      <w:pPr>
        <w:pStyle w:val="DefinedTerms"/>
      </w:pPr>
      <w:r>
        <w:t>approved expert</w:t>
      </w:r>
      <w:r>
        <w:tab/>
        <w:t>70(7)</w:t>
      </w:r>
    </w:p>
    <w:p>
      <w:pPr>
        <w:pStyle w:val="DefinedTerms"/>
      </w:pPr>
      <w:r>
        <w:t>authorised drug tester</w:t>
      </w:r>
      <w:r>
        <w:tab/>
        <w:t>65</w:t>
      </w:r>
    </w:p>
    <w:p>
      <w:pPr>
        <w:pStyle w:val="DefinedTerms"/>
      </w:pPr>
      <w:r>
        <w:t>authorised person</w:t>
      </w:r>
      <w:r>
        <w:tab/>
        <w:t>65</w:t>
      </w:r>
    </w:p>
    <w:p>
      <w:pPr>
        <w:pStyle w:val="DefinedTerms"/>
      </w:pPr>
      <w:r>
        <w:t>blood alcohol content</w:t>
      </w:r>
      <w:r>
        <w:tab/>
        <w:t>65</w:t>
      </w:r>
    </w:p>
    <w:p>
      <w:pPr>
        <w:pStyle w:val="DefinedTerms"/>
      </w:pPr>
      <w:r>
        <w:t>breath analysing equipment</w:t>
      </w:r>
      <w:r>
        <w:tab/>
        <w:t>65</w:t>
      </w:r>
    </w:p>
    <w:p>
      <w:pPr>
        <w:pStyle w:val="DefinedTerms"/>
      </w:pPr>
      <w:r>
        <w:t>business owner</w:t>
      </w:r>
      <w:r>
        <w:tab/>
        <w:t>79D(2)(g)(i)</w:t>
      </w:r>
    </w:p>
    <w:p>
      <w:pPr>
        <w:pStyle w:val="DefinedTerms"/>
      </w:pPr>
      <w:r>
        <w:t>cancellation provision</w:t>
      </w:r>
      <w:r>
        <w:tab/>
        <w:t>62B(3), 64A(1A)</w:t>
      </w:r>
    </w:p>
    <w:p>
      <w:pPr>
        <w:pStyle w:val="DefinedTerms"/>
      </w:pPr>
      <w:r>
        <w:t>circumstances of aggravation</w:t>
      </w:r>
      <w:r>
        <w:tab/>
        <w:t>49AB(1)</w:t>
      </w:r>
    </w:p>
    <w:p>
      <w:pPr>
        <w:pStyle w:val="DefinedTerms"/>
      </w:pPr>
      <w:r>
        <w:t>commencement day</w:t>
      </w:r>
      <w:r>
        <w:tab/>
        <w:t>72(8), 72A(1), 109(1)</w:t>
      </w:r>
    </w:p>
    <w:p>
      <w:pPr>
        <w:pStyle w:val="DefinedTerms"/>
      </w:pPr>
      <w:r>
        <w:t>Commissioner</w:t>
      </w:r>
      <w:r>
        <w:tab/>
        <w:t>78A(1), 80G(1)</w:t>
      </w:r>
    </w:p>
    <w:p>
      <w:pPr>
        <w:pStyle w:val="DefinedTerms"/>
      </w:pPr>
      <w:r>
        <w:t>conduct</w:t>
      </w:r>
      <w:r>
        <w:tab/>
        <w:t>65</w:t>
      </w:r>
    </w:p>
    <w:p>
      <w:pPr>
        <w:pStyle w:val="DefinedTerms"/>
      </w:pPr>
      <w:r>
        <w:t>confiscated motor cycle</w:t>
      </w:r>
      <w:r>
        <w:tab/>
        <w:t>80V(1)</w:t>
      </w:r>
    </w:p>
    <w:p>
      <w:pPr>
        <w:pStyle w:val="DefinedTerms"/>
      </w:pPr>
      <w:r>
        <w:t>confiscated vehicle</w:t>
      </w:r>
      <w:r>
        <w:tab/>
        <w:t>80J(1)</w:t>
      </w:r>
    </w:p>
    <w:p>
      <w:pPr>
        <w:pStyle w:val="DefinedTerms"/>
      </w:pPr>
      <w:r>
        <w:t>confiscation zone</w:t>
      </w:r>
      <w:r>
        <w:tab/>
        <w:t>49AAA</w:t>
      </w:r>
    </w:p>
    <w:p>
      <w:pPr>
        <w:pStyle w:val="DefinedTerms"/>
      </w:pPr>
      <w:r>
        <w:t>day of the offence</w:t>
      </w:r>
      <w:r>
        <w:tab/>
        <w:t>78A(1)</w:t>
      </w:r>
    </w:p>
    <w:p>
      <w:pPr>
        <w:pStyle w:val="DefinedTerms"/>
      </w:pPr>
      <w:r>
        <w:t>dentist</w:t>
      </w:r>
      <w:r>
        <w:tab/>
        <w:t>65</w:t>
      </w:r>
    </w:p>
    <w:p>
      <w:pPr>
        <w:pStyle w:val="DefinedTerms"/>
      </w:pPr>
      <w:r>
        <w:t>disqualification notice</w:t>
      </w:r>
      <w:r>
        <w:tab/>
        <w:t>71C(2)</w:t>
      </w:r>
    </w:p>
    <w:p>
      <w:pPr>
        <w:pStyle w:val="DefinedTerms"/>
      </w:pPr>
      <w:r>
        <w:t>driver</w:t>
      </w:r>
      <w:r>
        <w:tab/>
        <w:t>49A(1), 54(1), (2) and (6), 55(1) and (4), 56(1) and (4),</w:t>
      </w:r>
      <w:r>
        <w:br/>
      </w:r>
      <w:r>
        <w:tab/>
        <w:t>59(1), 59A(1), 59BA(1), 79BC(1)(a)</w:t>
      </w:r>
    </w:p>
    <w:p>
      <w:pPr>
        <w:pStyle w:val="DefinedTerms"/>
      </w:pPr>
      <w:r>
        <w:t>driver assessment</w:t>
      </w:r>
      <w:r>
        <w:tab/>
        <w:t>65</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expenses</w:t>
      </w:r>
      <w:r>
        <w:tab/>
        <w:t>80J(1)</w:t>
      </w:r>
    </w:p>
    <w:p>
      <w:pPr>
        <w:pStyle w:val="DefinedTerms"/>
      </w:pPr>
      <w:r>
        <w:t>former</w:t>
      </w:r>
      <w:r>
        <w:tab/>
        <w:t>109(1)</w:t>
      </w:r>
    </w:p>
    <w:p>
      <w:pPr>
        <w:pStyle w:val="DefinedTerms"/>
      </w:pPr>
      <w:r>
        <w:t>former owner</w:t>
      </w:r>
      <w:r>
        <w:tab/>
        <w:t>80M(1)</w:t>
      </w:r>
    </w:p>
    <w:p>
      <w:pPr>
        <w:pStyle w:val="DefinedTerms"/>
      </w:pPr>
      <w:r>
        <w:t>grievous bodily harm</w:t>
      </w:r>
      <w:r>
        <w:tab/>
        <w:t>49AAA</w:t>
      </w:r>
    </w:p>
    <w:p>
      <w:pPr>
        <w:pStyle w:val="DefinedTerms"/>
      </w:pPr>
      <w:r>
        <w:t>hired</w:t>
      </w:r>
      <w:r>
        <w:tab/>
        <w:t>78A(1)</w:t>
      </w:r>
    </w:p>
    <w:p>
      <w:pPr>
        <w:pStyle w:val="DefinedTerms"/>
      </w:pPr>
      <w:r>
        <w:t>immediate family</w:t>
      </w:r>
      <w:r>
        <w:tab/>
        <w:t>80N</w:t>
      </w:r>
    </w:p>
    <w:p>
      <w:pPr>
        <w:pStyle w:val="DefinedTerms"/>
      </w:pPr>
      <w:r>
        <w:t>impound</w:t>
      </w:r>
      <w:r>
        <w:tab/>
        <w:t>78A(1)</w:t>
      </w:r>
    </w:p>
    <w:p>
      <w:pPr>
        <w:pStyle w:val="DefinedTerms"/>
      </w:pPr>
      <w:r>
        <w:t>impounded vehicle</w:t>
      </w:r>
      <w:r>
        <w:tab/>
        <w:t>79D(1), 80JA(1)</w:t>
      </w:r>
    </w:p>
    <w:p>
      <w:pPr>
        <w:pStyle w:val="DefinedTerms"/>
      </w:pPr>
      <w:r>
        <w:t>impounding offence (driver’s licence)</w:t>
      </w:r>
      <w:r>
        <w:tab/>
        <w:t>78A(1)</w:t>
      </w:r>
    </w:p>
    <w:p>
      <w:pPr>
        <w:pStyle w:val="DefinedTerms"/>
      </w:pPr>
      <w:r>
        <w:t>impounding offence (driving)</w:t>
      </w:r>
      <w:r>
        <w:tab/>
        <w:t>78A(1)</w:t>
      </w:r>
    </w:p>
    <w:p>
      <w:pPr>
        <w:pStyle w:val="DefinedTerms"/>
      </w:pPr>
      <w:r>
        <w:t>impounding or confiscation order</w:t>
      </w:r>
      <w:r>
        <w:tab/>
        <w:t>78A(1)</w:t>
      </w:r>
    </w:p>
    <w:p>
      <w:pPr>
        <w:pStyle w:val="DefinedTerms"/>
      </w:pPr>
      <w:r>
        <w:t>impounding order</w:t>
      </w:r>
      <w:r>
        <w:tab/>
        <w:t>78A(1)</w:t>
      </w:r>
    </w:p>
    <w:p>
      <w:pPr>
        <w:pStyle w:val="DefinedTerms"/>
      </w:pPr>
      <w:r>
        <w:t>impounding period</w:t>
      </w:r>
      <w:r>
        <w:tab/>
        <w:t>78A(1)</w:t>
      </w:r>
    </w:p>
    <w:p>
      <w:pPr>
        <w:pStyle w:val="DefinedTerms"/>
      </w:pPr>
      <w:r>
        <w:t>impounding provision</w:t>
      </w:r>
      <w:r>
        <w:tab/>
        <w:t>79BA(1)(b)(i) and (ii), 79BCA(5)(b), 79BCD(5)(b)</w:t>
      </w:r>
    </w:p>
    <w:p>
      <w:pPr>
        <w:pStyle w:val="DefinedTerms"/>
      </w:pPr>
      <w:r>
        <w:t>initially impounded vehicle</w:t>
      </w:r>
      <w:r>
        <w:tab/>
        <w:t>79BCA(1)(a)</w:t>
      </w:r>
    </w:p>
    <w:p>
      <w:pPr>
        <w:pStyle w:val="DefinedTerms"/>
      </w:pPr>
      <w:r>
        <w:t>instructor</w:t>
      </w:r>
      <w:r>
        <w:tab/>
        <w:t>49AAA</w:t>
      </w:r>
    </w:p>
    <w:p>
      <w:pPr>
        <w:pStyle w:val="DefinedTerms"/>
      </w:pPr>
      <w:r>
        <w:t>interest</w:t>
      </w:r>
      <w:r>
        <w:tab/>
        <w:t>78A(1)</w:t>
      </w:r>
    </w:p>
    <w:p>
      <w:pPr>
        <w:pStyle w:val="DefinedTerms"/>
      </w:pPr>
      <w:r>
        <w:t>item</w:t>
      </w:r>
      <w:r>
        <w:tab/>
        <w:t>80J(1), 80M(1), 80V(1)</w:t>
      </w:r>
    </w:p>
    <w:p>
      <w:pPr>
        <w:pStyle w:val="DefinedTerms"/>
      </w:pPr>
      <w:r>
        <w:t>learner driver</w:t>
      </w:r>
      <w:r>
        <w:tab/>
        <w:t>49AAA</w:t>
      </w:r>
    </w:p>
    <w:p>
      <w:pPr>
        <w:pStyle w:val="DefinedTerms"/>
      </w:pPr>
      <w:r>
        <w:t>lent</w:t>
      </w:r>
      <w:r>
        <w:tab/>
        <w:t>78A(1)</w:t>
      </w:r>
    </w:p>
    <w:p>
      <w:pPr>
        <w:pStyle w:val="DefinedTerms"/>
      </w:pPr>
      <w:r>
        <w:t>material time</w:t>
      </w:r>
      <w:r>
        <w:tab/>
        <w:t>71(1)</w:t>
      </w:r>
    </w:p>
    <w:p>
      <w:pPr>
        <w:pStyle w:val="DefinedTerms"/>
      </w:pPr>
      <w:r>
        <w:t>medical practitioner</w:t>
      </w:r>
      <w:r>
        <w:tab/>
        <w:t>65</w:t>
      </w:r>
    </w:p>
    <w:p>
      <w:pPr>
        <w:pStyle w:val="DefinedTerms"/>
      </w:pPr>
      <w:r>
        <w:t>Minister</w:t>
      </w:r>
      <w:r>
        <w:tab/>
        <w:t>72(3A)</w:t>
      </w:r>
    </w:p>
    <w:p>
      <w:pPr>
        <w:pStyle w:val="DefinedTerms"/>
      </w:pPr>
      <w:r>
        <w:t>motor cycle</w:t>
      </w:r>
      <w:r>
        <w:tab/>
        <w:t>49AAA</w:t>
      </w:r>
    </w:p>
    <w:p>
      <w:pPr>
        <w:pStyle w:val="DefinedTerms"/>
      </w:pPr>
      <w:r>
        <w:t>necessity permit</w:t>
      </w:r>
      <w:r>
        <w:tab/>
        <w:t>49A(5)</w:t>
      </w:r>
    </w:p>
    <w:p>
      <w:pPr>
        <w:pStyle w:val="DefinedTerms"/>
      </w:pPr>
      <w:r>
        <w:t>notice to surrender</w:t>
      </w:r>
      <w:r>
        <w:tab/>
        <w:t>79BCC(1)</w:t>
      </w:r>
    </w:p>
    <w:p>
      <w:pPr>
        <w:pStyle w:val="DefinedTerms"/>
      </w:pPr>
      <w:r>
        <w:t>nurse practitioner</w:t>
      </w:r>
      <w:r>
        <w:tab/>
        <w:t>65</w:t>
      </w:r>
    </w:p>
    <w:p>
      <w:pPr>
        <w:pStyle w:val="DefinedTerms"/>
      </w:pPr>
      <w:r>
        <w:t>offence</w:t>
      </w:r>
      <w:r>
        <w:tab/>
        <w:t>60B(1), 79BA(1)(a), 79BCA(1)(c), 79BCD(1)(a)</w:t>
      </w:r>
    </w:p>
    <w:p>
      <w:pPr>
        <w:pStyle w:val="DefinedTerms"/>
      </w:pPr>
      <w:r>
        <w:t>offender</w:t>
      </w:r>
      <w:r>
        <w:tab/>
        <w:t>71B(1), 80LA(1)</w:t>
      </w:r>
    </w:p>
    <w:p>
      <w:pPr>
        <w:pStyle w:val="DefinedTerms"/>
      </w:pPr>
      <w:r>
        <w:t>order</w:t>
      </w:r>
      <w:r>
        <w:tab/>
        <w:t>80G(1), 81A</w:t>
      </w:r>
    </w:p>
    <w:p>
      <w:pPr>
        <w:pStyle w:val="DefinedTerms"/>
      </w:pPr>
      <w:r>
        <w:t>person</w:t>
      </w:r>
      <w:r>
        <w:tab/>
        <w:t>66(7)(b)</w:t>
      </w:r>
    </w:p>
    <w:p>
      <w:pPr>
        <w:pStyle w:val="DefinedTerms"/>
      </w:pPr>
      <w:r>
        <w:t>police officer</w:t>
      </w:r>
      <w:r>
        <w:tab/>
        <w:t>71C(1)(a) and (b), 79BA(1)(a)</w:t>
      </w:r>
    </w:p>
    <w:p>
      <w:pPr>
        <w:pStyle w:val="DefinedTerms"/>
      </w:pPr>
      <w:r>
        <w:t>post</w:t>
      </w:r>
      <w:r>
        <w:noBreakHyphen/>
        <w:t>impoundment expenses</w:t>
      </w:r>
      <w:r>
        <w:tab/>
        <w:t>80I(1A)</w:t>
      </w:r>
    </w:p>
    <w:p>
      <w:pPr>
        <w:pStyle w:val="DefinedTerms"/>
      </w:pPr>
      <w:r>
        <w:t>preliminary oral fluid test</w:t>
      </w:r>
      <w:r>
        <w:tab/>
        <w:t>65</w:t>
      </w:r>
    </w:p>
    <w:p>
      <w:pPr>
        <w:pStyle w:val="DefinedTerms"/>
      </w:pPr>
      <w:r>
        <w:t>preliminary test</w:t>
      </w:r>
      <w:r>
        <w:tab/>
        <w:t>65</w:t>
      </w:r>
    </w:p>
    <w:p>
      <w:pPr>
        <w:pStyle w:val="DefinedTerms"/>
      </w:pPr>
      <w:r>
        <w:t>prescribed illicit drug</w:t>
      </w:r>
      <w:r>
        <w:tab/>
        <w:t>65</w:t>
      </w:r>
    </w:p>
    <w:p>
      <w:pPr>
        <w:pStyle w:val="DefinedTerms"/>
      </w:pPr>
      <w:r>
        <w:t>prescribed sample taker</w:t>
      </w:r>
      <w:r>
        <w:tab/>
        <w:t>65</w:t>
      </w:r>
    </w:p>
    <w:p>
      <w:pPr>
        <w:pStyle w:val="DefinedTerms"/>
      </w:pPr>
      <w:r>
        <w:t>previous offender</w:t>
      </w:r>
      <w:r>
        <w:tab/>
        <w:t>79(1A), 79BC(1)(a)</w:t>
      </w:r>
    </w:p>
    <w:p>
      <w:pPr>
        <w:pStyle w:val="DefinedTerms"/>
      </w:pPr>
      <w:r>
        <w:t>provide driving instruction</w:t>
      </w:r>
      <w:r>
        <w:tab/>
        <w:t>49AAA</w:t>
      </w:r>
    </w:p>
    <w:p>
      <w:pPr>
        <w:pStyle w:val="DefinedTerms"/>
      </w:pPr>
      <w:r>
        <w:t>reasonable expenses</w:t>
      </w:r>
      <w:r>
        <w:tab/>
        <w:t>78A(1)</w:t>
      </w:r>
    </w:p>
    <w:p>
      <w:pPr>
        <w:pStyle w:val="DefinedTerms"/>
      </w:pPr>
      <w:r>
        <w:t>reckless manner</w:t>
      </w:r>
      <w:r>
        <w:tab/>
        <w:t>60(1)</w:t>
      </w:r>
    </w:p>
    <w:p>
      <w:pPr>
        <w:pStyle w:val="DefinedTerms"/>
      </w:pPr>
      <w:r>
        <w:t>registered nurse</w:t>
      </w:r>
      <w:r>
        <w:tab/>
        <w:t>65</w:t>
      </w:r>
    </w:p>
    <w:p>
      <w:pPr>
        <w:pStyle w:val="DefinedTerms"/>
      </w:pPr>
      <w:r>
        <w:t>relevant offence</w:t>
      </w:r>
      <w:r>
        <w:tab/>
        <w:t>49(7)</w:t>
      </w:r>
    </w:p>
    <w:p>
      <w:pPr>
        <w:pStyle w:val="DefinedTerms"/>
      </w:pPr>
      <w:r>
        <w:t>requirement</w:t>
      </w:r>
      <w:r>
        <w:tab/>
        <w:t>67(1), 67AA(1), 67AB(1), 68A(1)</w:t>
      </w:r>
    </w:p>
    <w:p>
      <w:pPr>
        <w:pStyle w:val="DefinedTerms"/>
      </w:pPr>
      <w:r>
        <w:t>road</w:t>
      </w:r>
      <w:r>
        <w:tab/>
        <w:t>81A</w:t>
      </w:r>
    </w:p>
    <w:p>
      <w:pPr>
        <w:pStyle w:val="DefinedTerms"/>
      </w:pPr>
      <w:r>
        <w:t>road rage circumstances</w:t>
      </w:r>
      <w:r>
        <w:tab/>
        <w:t>78A(1)</w:t>
      </w:r>
    </w:p>
    <w:p>
      <w:pPr>
        <w:pStyle w:val="DefinedTerms"/>
      </w:pPr>
      <w:r>
        <w:t>road rage offence</w:t>
      </w:r>
      <w:r>
        <w:tab/>
        <w:t>78A(1)</w:t>
      </w:r>
    </w:p>
    <w:p>
      <w:pPr>
        <w:pStyle w:val="DefinedTerms"/>
      </w:pPr>
      <w:r>
        <w:t>sample</w:t>
      </w:r>
      <w:r>
        <w:tab/>
        <w:t>71A(1)</w:t>
      </w:r>
    </w:p>
    <w:p>
      <w:pPr>
        <w:pStyle w:val="DefinedTerms"/>
      </w:pPr>
      <w:r>
        <w:t>school zone</w:t>
      </w:r>
      <w:r>
        <w:tab/>
        <w:t>49AAA</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78A(1)</w:t>
      </w:r>
    </w:p>
    <w:p>
      <w:pPr>
        <w:pStyle w:val="DefinedTerms"/>
      </w:pPr>
      <w:r>
        <w:t>serious bodily harm</w:t>
      </w:r>
      <w:r>
        <w:tab/>
        <w:t>66(8A)</w:t>
      </w:r>
    </w:p>
    <w:p>
      <w:pPr>
        <w:pStyle w:val="DefinedTerms"/>
      </w:pPr>
      <w:r>
        <w:t>service</w:t>
      </w:r>
      <w:r>
        <w:tab/>
        <w:t>79D(1)</w:t>
      </w:r>
    </w:p>
    <w:p>
      <w:pPr>
        <w:pStyle w:val="DefinedTerms"/>
      </w:pPr>
      <w:r>
        <w:t>shorter impounding period</w:t>
      </w:r>
      <w:r>
        <w:tab/>
        <w:t>79BC(2) and (3)</w:t>
      </w:r>
    </w:p>
    <w:p>
      <w:pPr>
        <w:pStyle w:val="DefinedTerms"/>
      </w:pPr>
      <w:r>
        <w:t>speed limit</w:t>
      </w:r>
      <w:r>
        <w:tab/>
        <w:t>49AAA</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 80N, 80P(2)</w:t>
      </w:r>
    </w:p>
    <w:p>
      <w:pPr>
        <w:pStyle w:val="DefinedTerms"/>
      </w:pPr>
      <w:r>
        <w:t>surrender period</w:t>
      </w:r>
      <w:r>
        <w:tab/>
        <w:t>78A(1)</w:t>
      </w:r>
    </w:p>
    <w:p>
      <w:pPr>
        <w:pStyle w:val="DefinedTerms"/>
      </w:pPr>
      <w:r>
        <w:t>surrender substitute vehicle notice</w:t>
      </w:r>
      <w:r>
        <w:tab/>
        <w:t>79BCA(2)</w:t>
      </w:r>
    </w:p>
    <w:p>
      <w:pPr>
        <w:pStyle w:val="DefinedTerms"/>
      </w:pPr>
      <w:r>
        <w:t>suspected use</w:t>
      </w:r>
      <w:r>
        <w:tab/>
        <w:t>80N</w:t>
      </w:r>
    </w:p>
    <w:p>
      <w:pPr>
        <w:pStyle w:val="DefinedTerms"/>
      </w:pPr>
      <w:r>
        <w:t>taxi</w:t>
      </w:r>
      <w:r>
        <w:tab/>
        <w:t>79D(1)</w:t>
      </w:r>
    </w:p>
    <w:p>
      <w:pPr>
        <w:pStyle w:val="DefinedTerms"/>
      </w:pPr>
      <w:r>
        <w:t>taxi operator</w:t>
      </w:r>
      <w:r>
        <w:tab/>
        <w:t>79D(1)</w:t>
      </w:r>
    </w:p>
    <w:p>
      <w:pPr>
        <w:pStyle w:val="DefinedTerms"/>
      </w:pPr>
      <w:r>
        <w:t>technologist</w:t>
      </w:r>
      <w:r>
        <w:tab/>
        <w:t>70(7)</w:t>
      </w:r>
    </w:p>
    <w:p>
      <w:pPr>
        <w:pStyle w:val="DefinedTerms"/>
      </w:pPr>
      <w:r>
        <w:t>time of sampling</w:t>
      </w:r>
      <w:r>
        <w:tab/>
        <w:t>71(1)(c)</w:t>
      </w:r>
    </w:p>
    <w:p>
      <w:pPr>
        <w:pStyle w:val="DefinedTerms"/>
      </w:pPr>
      <w:r>
        <w:t>uncollected vehicle</w:t>
      </w:r>
      <w:r>
        <w:tab/>
        <w:t>80J(1), 80M(1)</w:t>
      </w:r>
    </w:p>
    <w:p>
      <w:pPr>
        <w:pStyle w:val="DefinedTerms"/>
      </w:pPr>
      <w:r>
        <w:t>undergoes</w:t>
      </w:r>
      <w:r>
        <w:tab/>
        <w:t>65</w:t>
      </w:r>
    </w:p>
    <w:p>
      <w:pPr>
        <w:pStyle w:val="DefinedTerms"/>
      </w:pPr>
      <w:r>
        <w:t>vehicle</w:t>
      </w:r>
      <w:r>
        <w:tab/>
        <w:t>79BA(1)(a)</w:t>
      </w:r>
    </w:p>
    <w:p>
      <w:pPr>
        <w:pStyle w:val="DefinedTerms"/>
      </w:pPr>
      <w:r>
        <w:t>vehicle A</w:t>
      </w:r>
      <w:r>
        <w:tab/>
        <w:t>79BCD(1)(a)</w:t>
      </w:r>
    </w:p>
    <w:p>
      <w:pPr>
        <w:pStyle w:val="DefinedTerms"/>
      </w:pPr>
      <w:r>
        <w:t>vehicle referred to in section 80GA</w:t>
      </w:r>
      <w:r>
        <w:tab/>
        <w:t>78A(1)</w:t>
      </w:r>
    </w:p>
    <w:p>
      <w:pPr>
        <w:pStyle w:val="DefinedTerms"/>
      </w:pPr>
      <w:r>
        <w:t>vehicle service provider</w:t>
      </w:r>
      <w:r>
        <w:tab/>
        <w:t>79D(1)</w:t>
      </w:r>
    </w:p>
    <w:p>
      <w:pPr>
        <w:pStyle w:val="DefinedTerms"/>
      </w:pPr>
      <w:r>
        <w:t>victim</w:t>
      </w:r>
      <w:r>
        <w:tab/>
        <w:t>54(2) and (6)</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7" w:name="DefinedTerms"/>
    <w:bookmarkEnd w:id="2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8" w:name="Coversheet"/>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57D2F72"/>
    <w:multiLevelType w:val="hybridMultilevel"/>
    <w:tmpl w:val="C21C2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0"/>
  </w:num>
  <w:num w:numId="15">
    <w:abstractNumId w:val="10"/>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1100757"/>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 w:name="WAFER_20161125122242" w:val="RemoveTocBookmarks,RemoveUnusedBookmarks,RemoveLanguageTags,UsedStyles,ResetPageSize"/>
    <w:docVar w:name="WAFER_20161125122242_GUID" w:val="e3376381-8405-462f-95ae-d1946390de8b"/>
    <w:docVar w:name="WAFER_20161129133815" w:val="RemoveTocBookmarks,RemoveUnusedBookmarks,RemoveLanguageTags,UsedStyles,ResetPageSize"/>
    <w:docVar w:name="WAFER_20161129133815_GUID" w:val="17dd4d64-a006-4bdb-9ddf-c466e3e5fa38"/>
    <w:docVar w:name="WAFER_20170120161305" w:val="RemoveTocBookmarks,RemoveUnusedBookmarks,RemoveLanguageTags,UsedStyles,ResetPageSize"/>
    <w:docVar w:name="WAFER_20170120161305_GUID" w:val="1f96ffe4-3978-4c35-995a-45fca67e5dd7"/>
    <w:docVar w:name="WAFER_20170307094553" w:val="RemoveTocBookmarks,RemoveUnusedBookmarks,RemoveLanguageTags,UsedStyles,ResetPageSize"/>
    <w:docVar w:name="WAFER_20170307094553_GUID" w:val="ed2552d5-da56-42e9-911c-4ca1e4695185"/>
    <w:docVar w:name="WAFER_20170821100757" w:val="RemoveTocBookmarks,RemoveUnusedBookmarks,RemoveLanguageTags,UsedStyles,ResetPageSize,RemoveCustomizations"/>
    <w:docVar w:name="WAFER_20170821100757_GUID" w:val="f2c506b8-8ccc-452b-bad1-d3da70468e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956168">
      <w:bodyDiv w:val="1"/>
      <w:marLeft w:val="0"/>
      <w:marRight w:val="0"/>
      <w:marTop w:val="0"/>
      <w:marBottom w:val="0"/>
      <w:divBdr>
        <w:top w:val="none" w:sz="0" w:space="0" w:color="auto"/>
        <w:left w:val="none" w:sz="0" w:space="0" w:color="auto"/>
        <w:bottom w:val="none" w:sz="0" w:space="0" w:color="auto"/>
        <w:right w:val="none" w:sz="0" w:space="0" w:color="auto"/>
      </w:divBdr>
    </w:div>
    <w:div w:id="650601793">
      <w:bodyDiv w:val="1"/>
      <w:marLeft w:val="0"/>
      <w:marRight w:val="0"/>
      <w:marTop w:val="0"/>
      <w:marBottom w:val="0"/>
      <w:divBdr>
        <w:top w:val="none" w:sz="0" w:space="0" w:color="auto"/>
        <w:left w:val="none" w:sz="0" w:space="0" w:color="auto"/>
        <w:bottom w:val="none" w:sz="0" w:space="0" w:color="auto"/>
        <w:right w:val="none" w:sz="0" w:space="0" w:color="auto"/>
      </w:divBdr>
    </w:div>
    <w:div w:id="8475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B9F0C-939C-46D1-9B89-BB599510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60543</Words>
  <Characters>275473</Characters>
  <Application>Microsoft Office Word</Application>
  <DocSecurity>0</DocSecurity>
  <Lines>7870</Lines>
  <Paragraphs>3818</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332198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1974 - 14-b0-01</dc:title>
  <dc:subject/>
  <dc:creator/>
  <cp:keywords/>
  <dc:description/>
  <cp:lastModifiedBy>svcMRProcess</cp:lastModifiedBy>
  <cp:revision>4</cp:revision>
  <cp:lastPrinted>2017-08-21T02:35:00Z</cp:lastPrinted>
  <dcterms:created xsi:type="dcterms:W3CDTF">2018-09-08T03:37:00Z</dcterms:created>
  <dcterms:modified xsi:type="dcterms:W3CDTF">2018-09-08T03:37:00Z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2017-11-30T16:00:00Z</vt:filetime>
  </property>
  <property fmtid="{D5CDD505-2E9C-101B-9397-08002B2CF9AE}" pid="7" name="ReprintNo">
    <vt:lpwstr>14</vt:lpwstr>
  </property>
  <property fmtid="{D5CDD505-2E9C-101B-9397-08002B2CF9AE}" pid="8" name="CommencementDate">
    <vt:lpwstr>20180419</vt:lpwstr>
  </property>
  <property fmtid="{D5CDD505-2E9C-101B-9397-08002B2CF9AE}" pid="9" name="AsAtDate">
    <vt:lpwstr>19 Apr 2018</vt:lpwstr>
  </property>
  <property fmtid="{D5CDD505-2E9C-101B-9397-08002B2CF9AE}" pid="10" name="Suffix">
    <vt:lpwstr>14-b0-01</vt:lpwstr>
  </property>
</Properties>
</file>