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(Fees and Charges)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(Fees and Charges)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_Toc514929209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_Toc514929210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_Toc514929211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Scale of fees and charges</w:t>
      </w:r>
    </w:p>
    <w:p>
      <w:pPr>
        <w:pStyle w:val="TOC8"/>
        <w:rPr>
          <w:rFonts w:asciiTheme="minorHAnsi" w:eastAsiaTheme="minorEastAsia" w:hAnsiTheme="minorHAnsi" w:cstheme="minorBidi"/>
          <w:szCs w:val="22"/>
        </w:rPr>
      </w:pPr>
      <w:r>
        <w:t>4.</w:t>
      </w:r>
      <w:r>
        <w:tab/>
        <w:t>Scale of fees and charges</w:t>
      </w:r>
      <w:r>
        <w:tab/>
      </w:r>
      <w:r>
        <w:fldChar w:fldCharType="begin"/>
      </w:r>
      <w:r>
        <w:instrText xml:space="preserve"> PAGEREF _Toc514929213 \h </w:instrText>
      </w:r>
      <w:r>
        <w:fldChar w:fldCharType="separate"/>
      </w:r>
      <w:r>
        <w:t>6</w:t>
      </w:r>
      <w:r>
        <w:fldChar w:fldCharType="end"/>
      </w:r>
    </w:p>
    <w:p>
      <w:pPr>
        <w:pStyle w:val="TOC8"/>
        <w:rPr>
          <w:rFonts w:asciiTheme="minorHAnsi" w:eastAsiaTheme="minorEastAsia" w:hAnsiTheme="minorHAnsi" w:cstheme="minorBidi"/>
          <w:szCs w:val="22"/>
        </w:rPr>
      </w:pPr>
      <w:r>
        <w:t>5.</w:t>
      </w:r>
      <w:r>
        <w:tab/>
        <w:t>General fees and charges</w:t>
      </w:r>
      <w:r>
        <w:tab/>
      </w:r>
      <w:r>
        <w:fldChar w:fldCharType="begin"/>
      </w:r>
      <w:r>
        <w:instrText xml:space="preserve"> PAGEREF _Toc514929214 \h </w:instrText>
      </w:r>
      <w:r>
        <w:fldChar w:fldCharType="separate"/>
      </w:r>
      <w:r>
        <w:t>6</w:t>
      </w:r>
      <w:r>
        <w:fldChar w:fldCharType="end"/>
      </w:r>
    </w:p>
    <w:p>
      <w:pPr>
        <w:pStyle w:val="TOC8"/>
        <w:rPr>
          <w:rFonts w:asciiTheme="minorHAnsi" w:eastAsiaTheme="minorEastAsia" w:hAnsiTheme="minorHAnsi" w:cstheme="minorBidi"/>
          <w:szCs w:val="22"/>
        </w:rPr>
      </w:pPr>
      <w:r>
        <w:t>6.</w:t>
      </w:r>
      <w:r>
        <w:tab/>
        <w:t>Compensable patients</w:t>
      </w:r>
      <w:r>
        <w:tab/>
      </w:r>
      <w:r>
        <w:fldChar w:fldCharType="begin"/>
      </w:r>
      <w:r>
        <w:instrText xml:space="preserve"> PAGEREF _Toc514929215 \h </w:instrText>
      </w:r>
      <w:r>
        <w:fldChar w:fldCharType="separate"/>
      </w:r>
      <w:r>
        <w:t>6</w:t>
      </w:r>
      <w:r>
        <w:fldChar w:fldCharType="end"/>
      </w:r>
    </w:p>
    <w:p>
      <w:pPr>
        <w:pStyle w:val="TOC8"/>
        <w:rPr>
          <w:rFonts w:asciiTheme="minorHAnsi" w:eastAsiaTheme="minorEastAsia" w:hAnsiTheme="minorHAnsi" w:cstheme="minorBidi"/>
          <w:szCs w:val="22"/>
        </w:rPr>
      </w:pPr>
      <w:r>
        <w:t>7.</w:t>
      </w:r>
      <w:r>
        <w:tab/>
        <w:t>Magnetic resonance imaging services</w:t>
      </w:r>
      <w:r>
        <w:tab/>
      </w:r>
      <w:r>
        <w:fldChar w:fldCharType="begin"/>
      </w:r>
      <w:r>
        <w:instrText xml:space="preserve"> PAGEREF _Toc514929216 \h </w:instrText>
      </w:r>
      <w:r>
        <w:fldChar w:fldCharType="separate"/>
      </w:r>
      <w:r>
        <w:t>7</w:t>
      </w:r>
      <w:r>
        <w:fldChar w:fldCharType="end"/>
      </w:r>
    </w:p>
    <w:p>
      <w:pPr>
        <w:pStyle w:val="TOC8"/>
        <w:rPr>
          <w:rFonts w:asciiTheme="minorHAnsi" w:eastAsiaTheme="minorEastAsia" w:hAnsiTheme="minorHAnsi" w:cstheme="minorBidi"/>
          <w:szCs w:val="22"/>
        </w:rPr>
      </w:pPr>
      <w:r>
        <w:t>8.</w:t>
      </w:r>
      <w:r>
        <w:tab/>
        <w:t>Pathology services</w:t>
      </w:r>
      <w:r>
        <w:tab/>
      </w:r>
      <w:r>
        <w:fldChar w:fldCharType="begin"/>
      </w:r>
      <w:r>
        <w:instrText xml:space="preserve"> PAGEREF _Toc514929217 \h </w:instrText>
      </w:r>
      <w:r>
        <w:fldChar w:fldCharType="separate"/>
      </w:r>
      <w:r>
        <w:t>7</w:t>
      </w:r>
      <w:r>
        <w:fldChar w:fldCharType="end"/>
      </w:r>
    </w:p>
    <w:p>
      <w:pPr>
        <w:pStyle w:val="TOC8"/>
        <w:rPr>
          <w:rFonts w:asciiTheme="minorHAnsi" w:eastAsiaTheme="minorEastAsia" w:hAnsiTheme="minorHAnsi" w:cstheme="minorBidi"/>
          <w:szCs w:val="22"/>
        </w:rPr>
      </w:pPr>
      <w:r>
        <w:t>9.</w:t>
      </w:r>
      <w:r>
        <w:tab/>
        <w:t>Specialised orthoses</w:t>
      </w:r>
      <w:r>
        <w:tab/>
      </w:r>
      <w:r>
        <w:fldChar w:fldCharType="begin"/>
      </w:r>
      <w:r>
        <w:instrText xml:space="preserve"> PAGEREF _Toc514929218 \h </w:instrText>
      </w:r>
      <w:r>
        <w:fldChar w:fldCharType="separate"/>
      </w:r>
      <w:r>
        <w:t>8</w:t>
      </w:r>
      <w:r>
        <w:fldChar w:fldCharType="end"/>
      </w:r>
    </w:p>
    <w:p>
      <w:pPr>
        <w:pStyle w:val="TOC8"/>
        <w:rPr>
          <w:rFonts w:asciiTheme="minorHAnsi" w:eastAsiaTheme="minorEastAsia" w:hAnsiTheme="minorHAnsi" w:cstheme="minorBidi"/>
          <w:szCs w:val="22"/>
        </w:rPr>
      </w:pPr>
      <w:r>
        <w:t>10.</w:t>
      </w:r>
      <w:r>
        <w:tab/>
        <w:t>Surgically implanted prostheses</w:t>
      </w:r>
      <w:r>
        <w:tab/>
      </w:r>
      <w:r>
        <w:fldChar w:fldCharType="begin"/>
      </w:r>
      <w:r>
        <w:instrText xml:space="preserve"> PAGEREF _Toc514929219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Classes of patients</w:t>
      </w:r>
    </w:p>
    <w:p>
      <w:pPr>
        <w:pStyle w:val="TOC8"/>
        <w:rPr>
          <w:rFonts w:asciiTheme="minorHAnsi" w:eastAsiaTheme="minorEastAsia" w:hAnsiTheme="minorHAnsi" w:cstheme="minorBidi"/>
          <w:szCs w:val="22"/>
        </w:rPr>
      </w:pPr>
      <w:r>
        <w:t>11.</w:t>
      </w:r>
      <w:r>
        <w:tab/>
        <w:t>Classes of patients</w:t>
      </w:r>
      <w:r>
        <w:tab/>
      </w:r>
      <w:r>
        <w:fldChar w:fldCharType="begin"/>
      </w:r>
      <w:r>
        <w:instrText xml:space="preserve"> PAGEREF _Toc514929221 \h </w:instrText>
      </w:r>
      <w:r>
        <w:fldChar w:fldCharType="separate"/>
      </w:r>
      <w:r>
        <w:t>10</w:t>
      </w:r>
      <w:r>
        <w:fldChar w:fldCharType="end"/>
      </w:r>
    </w:p>
    <w:p>
      <w:pPr>
        <w:pStyle w:val="TOC8"/>
        <w:rPr>
          <w:rFonts w:asciiTheme="minorHAnsi" w:eastAsiaTheme="minorEastAsia" w:hAnsiTheme="minorHAnsi" w:cstheme="minorBidi"/>
          <w:szCs w:val="22"/>
        </w:rPr>
      </w:pPr>
      <w:r>
        <w:t>12.</w:t>
      </w:r>
      <w:r>
        <w:tab/>
        <w:t>Classes of in</w:t>
      </w:r>
      <w:r>
        <w:noBreakHyphen/>
        <w:t>patients</w:t>
      </w:r>
      <w:r>
        <w:tab/>
      </w:r>
      <w:r>
        <w:fldChar w:fldCharType="begin"/>
      </w:r>
      <w:r>
        <w:instrText xml:space="preserve"> PAGEREF _Toc514929222 \h </w:instrText>
      </w:r>
      <w:r>
        <w:fldChar w:fldCharType="separate"/>
      </w:r>
      <w:r>
        <w:t>10</w:t>
      </w:r>
      <w:r>
        <w:fldChar w:fldCharType="end"/>
      </w:r>
    </w:p>
    <w:p>
      <w:pPr>
        <w:pStyle w:val="TOC8"/>
        <w:rPr>
          <w:rFonts w:asciiTheme="minorHAnsi" w:eastAsiaTheme="minorEastAsia" w:hAnsiTheme="minorHAnsi" w:cstheme="minorBidi"/>
          <w:szCs w:val="22"/>
        </w:rPr>
      </w:pPr>
      <w:r>
        <w:t>13.</w:t>
      </w:r>
      <w:r>
        <w:tab/>
        <w:t>Classes of day patients</w:t>
      </w:r>
      <w:r>
        <w:tab/>
      </w:r>
      <w:r>
        <w:fldChar w:fldCharType="begin"/>
      </w:r>
      <w:r>
        <w:instrText xml:space="preserve"> PAGEREF _Toc514929223 \h </w:instrText>
      </w:r>
      <w:r>
        <w:fldChar w:fldCharType="separate"/>
      </w:r>
      <w:r>
        <w:t>14</w:t>
      </w:r>
      <w:r>
        <w:fldChar w:fldCharType="end"/>
      </w:r>
    </w:p>
    <w:p>
      <w:pPr>
        <w:pStyle w:val="TOC8"/>
        <w:rPr>
          <w:rFonts w:asciiTheme="minorHAnsi" w:eastAsiaTheme="minorEastAsia" w:hAnsiTheme="minorHAnsi" w:cstheme="minorBidi"/>
          <w:szCs w:val="22"/>
        </w:rPr>
      </w:pPr>
      <w:r>
        <w:t>14.</w:t>
      </w:r>
      <w:r>
        <w:tab/>
        <w:t>Classes of out</w:t>
      </w:r>
      <w:r>
        <w:noBreakHyphen/>
        <w:t>patients</w:t>
      </w:r>
      <w:r>
        <w:tab/>
      </w:r>
      <w:r>
        <w:fldChar w:fldCharType="begin"/>
      </w:r>
      <w:r>
        <w:instrText xml:space="preserve"> PAGEREF _Toc514929224 \h </w:instrText>
      </w:r>
      <w:r>
        <w:fldChar w:fldCharType="separate"/>
      </w:r>
      <w:r>
        <w:t>15</w:t>
      </w:r>
      <w:r>
        <w:fldChar w:fldCharType="end"/>
      </w:r>
    </w:p>
    <w:p>
      <w:pPr>
        <w:pStyle w:val="TOC8"/>
        <w:rPr>
          <w:rFonts w:asciiTheme="minorHAnsi" w:eastAsiaTheme="minorEastAsia" w:hAnsiTheme="minorHAnsi" w:cstheme="minorBidi"/>
          <w:szCs w:val="22"/>
        </w:rPr>
      </w:pPr>
      <w:r>
        <w:t>15.</w:t>
      </w:r>
      <w:r>
        <w:tab/>
        <w:t>Classes of same day patients</w:t>
      </w:r>
      <w:r>
        <w:tab/>
      </w:r>
      <w:r>
        <w:fldChar w:fldCharType="begin"/>
      </w:r>
      <w:r>
        <w:instrText xml:space="preserve"> PAGEREF _Toc514929225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Scale of fees and charges</w:t>
      </w:r>
    </w:p>
    <w:p>
      <w:pPr>
        <w:pStyle w:val="TOC4"/>
        <w:tabs>
          <w:tab w:val="right" w:leader="dot" w:pos="7077"/>
        </w:tabs>
        <w:rPr>
          <w:rFonts w:asciiTheme="minorHAnsi" w:eastAsiaTheme="minorEastAsia" w:hAnsiTheme="minorHAnsi" w:cstheme="minorBidi"/>
          <w:b w:val="0"/>
          <w:szCs w:val="22"/>
        </w:rPr>
      </w:pPr>
      <w:r>
        <w:t>Division 1 — General</w:t>
      </w:r>
    </w:p>
    <w:p>
      <w:pPr>
        <w:pStyle w:val="TOC6"/>
        <w:tabs>
          <w:tab w:val="right" w:leader="dot" w:pos="7077"/>
        </w:tabs>
        <w:rPr>
          <w:rFonts w:asciiTheme="minorHAnsi" w:eastAsiaTheme="minorEastAsia" w:hAnsiTheme="minorHAnsi" w:cstheme="minorBidi"/>
          <w:b w:val="0"/>
          <w:sz w:val="22"/>
          <w:szCs w:val="22"/>
        </w:rPr>
      </w:pPr>
      <w:r>
        <w:t>Subdivision 1 —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Day patients</w:t>
      </w:r>
    </w:p>
    <w:p>
      <w:pPr>
        <w:pStyle w:val="TOC6"/>
        <w:tabs>
          <w:tab w:val="right" w:leader="dot" w:pos="7077"/>
        </w:tabs>
        <w:rPr>
          <w:rFonts w:asciiTheme="minorHAnsi" w:eastAsiaTheme="minorEastAsia" w:hAnsiTheme="minorHAnsi" w:cstheme="minorBidi"/>
          <w:b w:val="0"/>
          <w:sz w:val="22"/>
          <w:szCs w:val="22"/>
        </w:rPr>
      </w:pPr>
      <w:r>
        <w:t>Subdivision 3 —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4 — Same day patients</w:t>
      </w:r>
    </w:p>
    <w:p>
      <w:pPr>
        <w:pStyle w:val="TOC6"/>
        <w:tabs>
          <w:tab w:val="right" w:leader="dot" w:pos="7077"/>
        </w:tabs>
        <w:rPr>
          <w:rFonts w:asciiTheme="minorHAnsi" w:eastAsiaTheme="minorEastAsia" w:hAnsiTheme="minorHAnsi" w:cstheme="minorBidi"/>
          <w:b w:val="0"/>
          <w:sz w:val="22"/>
          <w:szCs w:val="22"/>
        </w:rPr>
      </w:pPr>
      <w:r>
        <w:t>Subdivision 5 — Other services</w:t>
      </w:r>
    </w:p>
    <w:p>
      <w:pPr>
        <w:pStyle w:val="TOC4"/>
        <w:tabs>
          <w:tab w:val="right" w:leader="dot" w:pos="7077"/>
        </w:tabs>
        <w:rPr>
          <w:rFonts w:asciiTheme="minorHAnsi" w:eastAsiaTheme="minorEastAsia" w:hAnsiTheme="minorHAnsi" w:cstheme="minorBidi"/>
          <w:b w:val="0"/>
          <w:szCs w:val="22"/>
        </w:rPr>
      </w:pPr>
      <w:r>
        <w:t>Division 2 — Compensable patients</w:t>
      </w:r>
    </w:p>
    <w:p>
      <w:pPr>
        <w:pStyle w:val="TOC6"/>
        <w:tabs>
          <w:tab w:val="right" w:leader="dot" w:pos="7077"/>
        </w:tabs>
        <w:rPr>
          <w:rFonts w:asciiTheme="minorHAnsi" w:eastAsiaTheme="minorEastAsia" w:hAnsiTheme="minorHAnsi" w:cstheme="minorBidi"/>
          <w:b w:val="0"/>
          <w:sz w:val="22"/>
          <w:szCs w:val="22"/>
        </w:rPr>
      </w:pPr>
      <w:r>
        <w:t>Subdivision 1 — Compensable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Compensable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3 — Compensable same day patients</w:t>
      </w:r>
    </w:p>
    <w:p>
      <w:pPr>
        <w:pStyle w:val="TOC4"/>
        <w:tabs>
          <w:tab w:val="right" w:leader="dot" w:pos="7077"/>
        </w:tabs>
        <w:rPr>
          <w:rFonts w:asciiTheme="minorHAnsi" w:eastAsiaTheme="minorEastAsia" w:hAnsiTheme="minorHAnsi" w:cstheme="minorBidi"/>
          <w:b w:val="0"/>
          <w:szCs w:val="22"/>
        </w:rPr>
      </w:pPr>
      <w:r>
        <w:t>Division 3 — Magnetic resonance imaging</w:t>
      </w:r>
    </w:p>
    <w:p>
      <w:pPr>
        <w:pStyle w:val="TOC6"/>
        <w:tabs>
          <w:tab w:val="right" w:leader="dot" w:pos="7077"/>
        </w:tabs>
        <w:rPr>
          <w:rFonts w:asciiTheme="minorHAnsi" w:eastAsiaTheme="minorEastAsia" w:hAnsiTheme="minorHAnsi" w:cstheme="minorBidi"/>
          <w:b w:val="0"/>
          <w:sz w:val="22"/>
          <w:szCs w:val="22"/>
        </w:rPr>
      </w:pPr>
      <w:r>
        <w:t>Division 4 — Pathology services</w:t>
      </w:r>
    </w:p>
    <w:p>
      <w:pPr>
        <w:pStyle w:val="TOC4"/>
        <w:tabs>
          <w:tab w:val="right" w:leader="dot" w:pos="7077"/>
        </w:tabs>
        <w:rPr>
          <w:rFonts w:asciiTheme="minorHAnsi" w:eastAsiaTheme="minorEastAsia" w:hAnsiTheme="minorHAnsi" w:cstheme="minorBidi"/>
          <w:b w:val="0"/>
          <w:szCs w:val="22"/>
        </w:rPr>
      </w:pPr>
      <w:r>
        <w:t>Division 5 — Specialised orthoses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Adult chargeable patients</w:t>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Child chargeable patients</w:t>
      </w:r>
    </w:p>
    <w:p>
      <w:pPr>
        <w:pStyle w:val="TOC4"/>
        <w:tabs>
          <w:tab w:val="right" w:leader="dot" w:pos="7077"/>
        </w:tabs>
        <w:rPr>
          <w:rFonts w:asciiTheme="minorHAnsi" w:eastAsiaTheme="minorEastAsia" w:hAnsiTheme="minorHAnsi" w:cstheme="minorBidi"/>
          <w:b w:val="0"/>
          <w:szCs w:val="22"/>
        </w:rPr>
      </w:pPr>
      <w:r>
        <w:t>Division 6 — Surgically implanted prostheses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_Toc514929244 \h </w:instrText>
      </w:r>
      <w:r>
        <w:fldChar w:fldCharType="separate"/>
      </w:r>
      <w:r>
        <w:t>37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_Toc514929245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(Fees and Charges) Order 2016</w:t>
      </w:r>
    </w:p>
    <w:p>
      <w:pPr>
        <w:pStyle w:val="Heading2"/>
        <w:pageBreakBefore w:val="0"/>
        <w:spacing w:before="240"/>
      </w:pPr>
      <w:bookmarkStart w:id="3" w:name="_Toc513793270"/>
      <w:bookmarkStart w:id="4" w:name="_Toc514929208"/>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514929209"/>
      <w:r>
        <w:rPr>
          <w:rStyle w:val="CharSectno"/>
        </w:rPr>
        <w:t>1</w:t>
      </w:r>
      <w:r>
        <w:t>.</w:t>
      </w:r>
      <w:r>
        <w:tab/>
        <w:t>Citation</w:t>
      </w:r>
      <w:bookmarkEnd w:id="5"/>
    </w:p>
    <w:p>
      <w:pPr>
        <w:pStyle w:val="Subsection"/>
      </w:pPr>
      <w:r>
        <w:tab/>
      </w:r>
      <w:r>
        <w:tab/>
      </w:r>
      <w:bookmarkStart w:id="6" w:name="Start_Cursor"/>
      <w:bookmarkEnd w:id="6"/>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7" w:name="_Toc514929210"/>
      <w:r>
        <w:rPr>
          <w:rStyle w:val="CharSectno"/>
        </w:rPr>
        <w:t>2</w:t>
      </w:r>
      <w:r>
        <w:rPr>
          <w:spacing w:val="-2"/>
        </w:rPr>
        <w:t>.</w:t>
      </w:r>
      <w:r>
        <w:rPr>
          <w:spacing w:val="-2"/>
        </w:rPr>
        <w:tab/>
        <w:t>Commencement</w:t>
      </w:r>
      <w:bookmarkEnd w:id="7"/>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8" w:name="_Toc514929211"/>
      <w:r>
        <w:rPr>
          <w:rStyle w:val="CharSectno"/>
        </w:rPr>
        <w:t>3</w:t>
      </w:r>
      <w:r>
        <w:t>.</w:t>
      </w:r>
      <w:r>
        <w:tab/>
        <w:t>Terms used</w:t>
      </w:r>
      <w:bookmarkEnd w:id="8"/>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in Gazette 2 Feb 2018 p. 315.]</w:t>
      </w:r>
    </w:p>
    <w:p>
      <w:pPr>
        <w:pStyle w:val="Heading2"/>
        <w:rPr>
          <w:rStyle w:val="CharPartText"/>
        </w:rPr>
      </w:pPr>
      <w:bookmarkStart w:id="9" w:name="_Toc513793274"/>
      <w:bookmarkStart w:id="10" w:name="_Toc514929212"/>
      <w:r>
        <w:rPr>
          <w:rStyle w:val="CharPartNo"/>
        </w:rPr>
        <w:t>Part 2</w:t>
      </w:r>
      <w:r>
        <w:t> — </w:t>
      </w:r>
      <w:r>
        <w:rPr>
          <w:rStyle w:val="CharPartText"/>
        </w:rPr>
        <w:t>Scale of fees and charges</w:t>
      </w:r>
      <w:bookmarkEnd w:id="9"/>
      <w:bookmarkEnd w:id="10"/>
    </w:p>
    <w:p>
      <w:pPr>
        <w:pStyle w:val="Heading5"/>
      </w:pPr>
      <w:bookmarkStart w:id="11" w:name="_Toc514929213"/>
      <w:r>
        <w:rPr>
          <w:rStyle w:val="CharSectno"/>
        </w:rPr>
        <w:t>4</w:t>
      </w:r>
      <w:r>
        <w:t>.</w:t>
      </w:r>
      <w:r>
        <w:tab/>
        <w:t>Scale of fees and charges</w:t>
      </w:r>
      <w:bookmarkEnd w:id="11"/>
    </w:p>
    <w:p>
      <w:pPr>
        <w:pStyle w:val="Subsection"/>
      </w:pPr>
      <w:r>
        <w:tab/>
      </w:r>
      <w:r>
        <w:tab/>
        <w:t>The scale of fees and charges fixed under section 56 of the Act is set out in Schedule 1.</w:t>
      </w:r>
    </w:p>
    <w:p>
      <w:pPr>
        <w:pStyle w:val="Heading5"/>
      </w:pPr>
      <w:bookmarkStart w:id="12" w:name="_Toc514929214"/>
      <w:r>
        <w:rPr>
          <w:rStyle w:val="CharSectno"/>
        </w:rPr>
        <w:t>5</w:t>
      </w:r>
      <w:r>
        <w:t>.</w:t>
      </w:r>
      <w:r>
        <w:tab/>
        <w:t>General fees and charges</w:t>
      </w:r>
      <w:bookmarkEnd w:id="12"/>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13" w:name="_Toc514929215"/>
      <w:r>
        <w:rPr>
          <w:rStyle w:val="CharSectno"/>
        </w:rPr>
        <w:t>6</w:t>
      </w:r>
      <w:r>
        <w:t>.</w:t>
      </w:r>
      <w:r>
        <w:tab/>
        <w:t>Compensable patients</w:t>
      </w:r>
      <w:bookmarkEnd w:id="13"/>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14" w:name="_Toc514929216"/>
      <w:r>
        <w:rPr>
          <w:rStyle w:val="CharSectno"/>
        </w:rPr>
        <w:t>7</w:t>
      </w:r>
      <w:r>
        <w:t>.</w:t>
      </w:r>
      <w:r>
        <w:tab/>
        <w:t>Magnetic resonance imaging services</w:t>
      </w:r>
      <w:bookmarkEnd w:id="14"/>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in Gazette 9 Mar 2018 p. 797.]</w:t>
      </w:r>
    </w:p>
    <w:p>
      <w:pPr>
        <w:pStyle w:val="Heading5"/>
      </w:pPr>
      <w:bookmarkStart w:id="15" w:name="_Toc514929217"/>
      <w:r>
        <w:rPr>
          <w:rStyle w:val="CharSectno"/>
        </w:rPr>
        <w:t>8</w:t>
      </w:r>
      <w:r>
        <w:t>.</w:t>
      </w:r>
      <w:r>
        <w:tab/>
        <w:t>Pathology services</w:t>
      </w:r>
      <w:bookmarkEnd w:id="15"/>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16" w:name="_Toc514929218"/>
      <w:r>
        <w:rPr>
          <w:rStyle w:val="CharSectno"/>
        </w:rPr>
        <w:t>9</w:t>
      </w:r>
      <w:r>
        <w:t>.</w:t>
      </w:r>
      <w:r>
        <w:tab/>
        <w:t>Specialised orthoses</w:t>
      </w:r>
      <w:bookmarkEnd w:id="16"/>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to a chargeable patient who is an adult of a specialised orthosis described in the Table.</w:t>
      </w:r>
    </w:p>
    <w:p>
      <w:pPr>
        <w:pStyle w:val="Subsection"/>
      </w:pPr>
      <w:r>
        <w:tab/>
        <w:t>(3)</w:t>
      </w:r>
      <w:r>
        <w:tab/>
        <w:t>The fees and charges set out in Schedule 1 Division 5 Subdivision 2 apply in respect of the supply to a chargeable patient who is a child of a specialised orthosis described in the Table.</w:t>
      </w:r>
    </w:p>
    <w:p>
      <w:pPr>
        <w:pStyle w:val="Footnotesection"/>
      </w:pPr>
      <w:r>
        <w:tab/>
        <w:t>[Clause 9 amended in Gazette 9 Mar 2018 p. 798.]</w:t>
      </w:r>
    </w:p>
    <w:p>
      <w:pPr>
        <w:pStyle w:val="Heading5"/>
      </w:pPr>
      <w:bookmarkStart w:id="17" w:name="_Toc514929219"/>
      <w:r>
        <w:rPr>
          <w:rStyle w:val="CharSectno"/>
        </w:rPr>
        <w:t>10</w:t>
      </w:r>
      <w:r>
        <w:t>.</w:t>
      </w:r>
      <w:r>
        <w:tab/>
        <w:t>Surgically implanted prostheses</w:t>
      </w:r>
      <w:bookmarkEnd w:id="17"/>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rPr>
          <w:rStyle w:val="CharPartText"/>
        </w:rPr>
      </w:pPr>
      <w:bookmarkStart w:id="18" w:name="_Toc513793282"/>
      <w:bookmarkStart w:id="19" w:name="_Toc514929220"/>
      <w:r>
        <w:rPr>
          <w:rStyle w:val="CharPartNo"/>
        </w:rPr>
        <w:t>Part 3</w:t>
      </w:r>
      <w:r>
        <w:rPr>
          <w:rStyle w:val="CharDivNo"/>
        </w:rPr>
        <w:t> </w:t>
      </w:r>
      <w:r>
        <w:t>—</w:t>
      </w:r>
      <w:r>
        <w:rPr>
          <w:rStyle w:val="CharDivText"/>
        </w:rPr>
        <w:t> </w:t>
      </w:r>
      <w:r>
        <w:rPr>
          <w:rStyle w:val="CharPartText"/>
        </w:rPr>
        <w:t>Classes of patients</w:t>
      </w:r>
      <w:bookmarkEnd w:id="18"/>
      <w:bookmarkEnd w:id="19"/>
    </w:p>
    <w:p>
      <w:pPr>
        <w:pStyle w:val="Heading5"/>
      </w:pPr>
      <w:bookmarkStart w:id="20" w:name="_Toc514929221"/>
      <w:r>
        <w:rPr>
          <w:rStyle w:val="CharSectno"/>
        </w:rPr>
        <w:t>11</w:t>
      </w:r>
      <w:r>
        <w:t>.</w:t>
      </w:r>
      <w:r>
        <w:tab/>
        <w:t>Classes of patients</w:t>
      </w:r>
      <w:bookmarkEnd w:id="20"/>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21" w:name="_Toc514929222"/>
      <w:r>
        <w:rPr>
          <w:rStyle w:val="CharSectno"/>
        </w:rPr>
        <w:t>12</w:t>
      </w:r>
      <w:r>
        <w:t>.</w:t>
      </w:r>
      <w:r>
        <w:tab/>
        <w:t>Classes of in</w:t>
      </w:r>
      <w:r>
        <w:noBreakHyphen/>
        <w:t>patients</w:t>
      </w:r>
      <w:bookmarkEnd w:id="21"/>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in Gazette 9 Mar 2018 p. 798.]</w:t>
      </w:r>
    </w:p>
    <w:p>
      <w:pPr>
        <w:pStyle w:val="Heading5"/>
      </w:pPr>
      <w:bookmarkStart w:id="22" w:name="_Toc514929223"/>
      <w:r>
        <w:rPr>
          <w:rStyle w:val="CharSectno"/>
        </w:rPr>
        <w:t>13</w:t>
      </w:r>
      <w:r>
        <w:t>.</w:t>
      </w:r>
      <w:r>
        <w:tab/>
        <w:t>Classes of day patients</w:t>
      </w:r>
      <w:bookmarkEnd w:id="22"/>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pPr>
      <w:r>
        <w:tab/>
      </w:r>
      <w:r>
        <w:tab/>
        <w:t>or</w:t>
      </w:r>
    </w:p>
    <w:p>
      <w:pPr>
        <w:pStyle w:val="Indenta"/>
      </w:pPr>
      <w:r>
        <w:tab/>
        <w:t>(c)</w:t>
      </w:r>
      <w:r>
        <w:tab/>
        <w:t xml:space="preserve">an ineligible day patient, namely, a day patient — </w:t>
      </w:r>
    </w:p>
    <w:p>
      <w:pPr>
        <w:pStyle w:val="Indenti"/>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in Gazette 9 Mar 2018 p. 798.]</w:t>
      </w:r>
    </w:p>
    <w:p>
      <w:pPr>
        <w:pStyle w:val="Heading5"/>
      </w:pPr>
      <w:bookmarkStart w:id="23" w:name="_Toc514929224"/>
      <w:r>
        <w:rPr>
          <w:rStyle w:val="CharSectno"/>
        </w:rPr>
        <w:t>14</w:t>
      </w:r>
      <w:r>
        <w:t>.</w:t>
      </w:r>
      <w:r>
        <w:tab/>
        <w:t>Classes of out</w:t>
      </w:r>
      <w:r>
        <w:noBreakHyphen/>
        <w:t>patients</w:t>
      </w:r>
      <w:bookmarkEnd w:id="23"/>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pPr>
      <w:r>
        <w:tab/>
        <w:t>(3)</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in Gazette 9 Mar 2018 p. 798.]</w:t>
      </w:r>
    </w:p>
    <w:p>
      <w:pPr>
        <w:pStyle w:val="Heading5"/>
        <w:keepNext w:val="0"/>
        <w:keepLines w:val="0"/>
      </w:pPr>
      <w:bookmarkStart w:id="24" w:name="_Toc514929225"/>
      <w:r>
        <w:rPr>
          <w:rStyle w:val="CharSectno"/>
        </w:rPr>
        <w:t>15</w:t>
      </w:r>
      <w:r>
        <w:t>.</w:t>
      </w:r>
      <w:r>
        <w:tab/>
        <w:t>Classes of same day patients</w:t>
      </w:r>
      <w:bookmarkEnd w:id="24"/>
    </w:p>
    <w:p>
      <w:pPr>
        <w:pStyle w:val="Subsection"/>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in Gazette 9 Mar 2018 p. 798.]</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5" w:name="_Toc513793288"/>
      <w:bookmarkStart w:id="26" w:name="_Toc514929226"/>
      <w:r>
        <w:rPr>
          <w:rStyle w:val="CharSchNo"/>
        </w:rPr>
        <w:t>Schedule 1</w:t>
      </w:r>
      <w:r>
        <w:t> — </w:t>
      </w:r>
      <w:r>
        <w:rPr>
          <w:rStyle w:val="CharSchText"/>
        </w:rPr>
        <w:t>Scale of fees and charges</w:t>
      </w:r>
      <w:bookmarkEnd w:id="25"/>
      <w:bookmarkEnd w:id="26"/>
    </w:p>
    <w:p>
      <w:pPr>
        <w:pStyle w:val="yShoulderClause"/>
      </w:pPr>
      <w:r>
        <w:t>[cl. 4]</w:t>
      </w:r>
    </w:p>
    <w:p>
      <w:pPr>
        <w:pStyle w:val="yHeading3"/>
      </w:pPr>
      <w:bookmarkStart w:id="27" w:name="_Toc513793289"/>
      <w:bookmarkStart w:id="28" w:name="_Toc514929227"/>
      <w:r>
        <w:rPr>
          <w:rStyle w:val="CharSDivNo"/>
        </w:rPr>
        <w:t>Division 1</w:t>
      </w:r>
      <w:r>
        <w:t> — </w:t>
      </w:r>
      <w:r>
        <w:rPr>
          <w:rStyle w:val="CharSDivText"/>
        </w:rPr>
        <w:t>General</w:t>
      </w:r>
      <w:bookmarkEnd w:id="27"/>
      <w:bookmarkEnd w:id="28"/>
    </w:p>
    <w:p>
      <w:pPr>
        <w:pStyle w:val="yHeading4"/>
        <w:rPr>
          <w:sz w:val="24"/>
          <w:szCs w:val="24"/>
        </w:rPr>
      </w:pPr>
      <w:bookmarkStart w:id="29" w:name="_Toc513793290"/>
      <w:bookmarkStart w:id="30" w:name="_Toc514929228"/>
      <w:r>
        <w:rPr>
          <w:sz w:val="24"/>
          <w:szCs w:val="24"/>
        </w:rPr>
        <w:t>Subdivision 1 — In</w:t>
      </w:r>
      <w:r>
        <w:rPr>
          <w:sz w:val="24"/>
          <w:szCs w:val="24"/>
        </w:rPr>
        <w:noBreakHyphen/>
        <w:t>patients</w:t>
      </w:r>
      <w:bookmarkEnd w:id="29"/>
      <w:bookmarkEnd w:id="30"/>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$638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$350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$60.05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$198.15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$2 586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31" w:name="_Toc513793291"/>
      <w:bookmarkStart w:id="32" w:name="_Toc514929229"/>
      <w:r>
        <w:rPr>
          <w:sz w:val="24"/>
          <w:szCs w:val="24"/>
        </w:rPr>
        <w:t>Subdivision 2 — Day patients</w:t>
      </w:r>
      <w:bookmarkEnd w:id="31"/>
      <w:bookmarkEnd w:id="3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33" w:name="_Toc513793292"/>
      <w:bookmarkStart w:id="34" w:name="_Toc514929230"/>
      <w:r>
        <w:rPr>
          <w:sz w:val="24"/>
          <w:szCs w:val="24"/>
        </w:rPr>
        <w:t>Subdivision 3 — Out</w:t>
      </w:r>
      <w:r>
        <w:rPr>
          <w:sz w:val="24"/>
          <w:szCs w:val="24"/>
        </w:rPr>
        <w:noBreakHyphen/>
        <w:t>patients</w:t>
      </w:r>
      <w:bookmarkEnd w:id="33"/>
      <w:bookmarkEnd w:id="34"/>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$275</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$6.40</w:t>
            </w:r>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$39.50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$31.60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$31.60</w:t>
            </w:r>
          </w:p>
        </w:tc>
      </w:tr>
    </w:tbl>
    <w:p>
      <w:pPr>
        <w:pStyle w:val="yHeading4"/>
        <w:rPr>
          <w:sz w:val="24"/>
          <w:szCs w:val="24"/>
        </w:rPr>
      </w:pPr>
      <w:bookmarkStart w:id="35" w:name="_Toc513793293"/>
      <w:bookmarkStart w:id="36" w:name="_Toc514929231"/>
      <w:r>
        <w:rPr>
          <w:sz w:val="24"/>
          <w:szCs w:val="24"/>
        </w:rPr>
        <w:t>Subdivision 4 — Same day patients</w:t>
      </w:r>
      <w:bookmarkEnd w:id="35"/>
      <w:bookmarkEnd w:id="36"/>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$289</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$2 429 </w:t>
            </w:r>
            <w:r>
              <w:t>per day</w:t>
            </w:r>
          </w:p>
        </w:tc>
      </w:tr>
    </w:tbl>
    <w:p>
      <w:pPr>
        <w:pStyle w:val="yHeading4"/>
        <w:rPr>
          <w:sz w:val="24"/>
          <w:szCs w:val="24"/>
        </w:rPr>
      </w:pPr>
      <w:bookmarkStart w:id="37" w:name="_Toc513793294"/>
      <w:bookmarkStart w:id="38" w:name="_Toc514929232"/>
      <w:r>
        <w:rPr>
          <w:sz w:val="24"/>
          <w:szCs w:val="24"/>
        </w:rPr>
        <w:t>Subdivision 5 — Other services</w:t>
      </w:r>
      <w:bookmarkEnd w:id="37"/>
      <w:bookmarkEnd w:id="3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$38.15 </w:t>
            </w:r>
            <w:r>
              <w:t>per day</w:t>
            </w:r>
          </w:p>
        </w:tc>
      </w:tr>
    </w:tbl>
    <w:p>
      <w:pPr>
        <w:pStyle w:val="yFootnotesection"/>
      </w:pPr>
      <w:r>
        <w:tab/>
        <w:t>[Division 1 amended in Gazette 21 Oct 2016 p. 4783; 3 Feb 2017 p. 1113; 5 May 2017 p. 2369; 30 Jun 2017 p. 3567; 22 Sep 2017 p. 4933; 2 Feb 2018 p. 316; 27 Apr 2018 p. 1392</w:t>
      </w:r>
      <w:r>
        <w:noBreakHyphen/>
        <w:t>3.]</w:t>
      </w:r>
    </w:p>
    <w:p>
      <w:pPr>
        <w:pStyle w:val="yHeading3"/>
      </w:pPr>
      <w:bookmarkStart w:id="39" w:name="_Toc513793295"/>
      <w:bookmarkStart w:id="40" w:name="_Toc514929233"/>
      <w:r>
        <w:rPr>
          <w:rStyle w:val="CharSDivNo"/>
        </w:rPr>
        <w:t>Division 2</w:t>
      </w:r>
      <w:r>
        <w:t> — </w:t>
      </w:r>
      <w:r>
        <w:rPr>
          <w:rStyle w:val="CharSDivText"/>
        </w:rPr>
        <w:t>Compensable patients</w:t>
      </w:r>
      <w:bookmarkEnd w:id="39"/>
      <w:bookmarkEnd w:id="40"/>
    </w:p>
    <w:p>
      <w:pPr>
        <w:pStyle w:val="yHeading4"/>
        <w:rPr>
          <w:sz w:val="24"/>
          <w:szCs w:val="24"/>
        </w:rPr>
      </w:pPr>
      <w:bookmarkStart w:id="41" w:name="_Toc513793296"/>
      <w:bookmarkStart w:id="42" w:name="_Toc514929234"/>
      <w:r>
        <w:rPr>
          <w:sz w:val="24"/>
          <w:szCs w:val="24"/>
        </w:rPr>
        <w:t>Subdivision 1 — Compensable in</w:t>
      </w:r>
      <w:r>
        <w:rPr>
          <w:sz w:val="24"/>
          <w:szCs w:val="24"/>
        </w:rPr>
        <w:noBreakHyphen/>
        <w:t>patients</w:t>
      </w:r>
      <w:bookmarkEnd w:id="41"/>
      <w:bookmarkEnd w:id="42"/>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$2 540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$1 961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Perth Children’s Hospital or Princess Margaret Hospital for Children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br/>
              <w:t xml:space="preserve">$2 723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$289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$6 356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$3 800 </w:t>
            </w:r>
            <w:r>
              <w:t>per day</w:t>
            </w:r>
          </w:p>
        </w:tc>
      </w:tr>
    </w:tbl>
    <w:p>
      <w:pPr>
        <w:pStyle w:val="yHeading4"/>
        <w:rPr>
          <w:sz w:val="24"/>
          <w:szCs w:val="24"/>
        </w:rPr>
      </w:pPr>
      <w:bookmarkStart w:id="43" w:name="_Toc513793297"/>
      <w:bookmarkStart w:id="44" w:name="_Toc514929235"/>
      <w:r>
        <w:rPr>
          <w:sz w:val="24"/>
          <w:szCs w:val="24"/>
        </w:rPr>
        <w:t>Subdivision 2 — Compensable out</w:t>
      </w:r>
      <w:r>
        <w:rPr>
          <w:sz w:val="24"/>
          <w:szCs w:val="24"/>
        </w:rPr>
        <w:noBreakHyphen/>
        <w:t>patients</w:t>
      </w:r>
      <w:bookmarkEnd w:id="43"/>
      <w:bookmarkEnd w:id="44"/>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$275</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t>$39.50</w:t>
            </w:r>
          </w:p>
          <w:p>
            <w:pPr>
              <w:pStyle w:val="yTableNAm"/>
              <w:rPr>
                <w:szCs w:val="22"/>
              </w:rPr>
            </w:pPr>
            <w:r>
              <w:t>$31.60</w:t>
            </w:r>
          </w:p>
          <w:p>
            <w:pPr>
              <w:pStyle w:val="yTableNAm"/>
            </w:pPr>
            <w:r>
              <w:rPr>
                <w:szCs w:val="22"/>
              </w:rPr>
              <w:br/>
            </w:r>
            <w:r>
              <w:t>$31.60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$275</w:t>
            </w:r>
          </w:p>
        </w:tc>
      </w:tr>
    </w:tbl>
    <w:p>
      <w:pPr>
        <w:pStyle w:val="yHeading4"/>
        <w:rPr>
          <w:sz w:val="24"/>
          <w:szCs w:val="24"/>
        </w:rPr>
      </w:pPr>
      <w:bookmarkStart w:id="45" w:name="_Toc513793298"/>
      <w:bookmarkStart w:id="46" w:name="_Toc514929236"/>
      <w:r>
        <w:rPr>
          <w:sz w:val="24"/>
          <w:szCs w:val="24"/>
        </w:rPr>
        <w:t>Subdivision 3 — Compensable same day patients</w:t>
      </w:r>
      <w:bookmarkEnd w:id="45"/>
      <w:bookmarkEnd w:id="46"/>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$1 856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Perth Children’s Hospital or Princess </w:t>
            </w:r>
            <w:smartTag w:uri="urn:schemas-microsoft-com:office:smarttags" w:element="PlaceName">
              <w:r>
                <w:t>Margaret</w:t>
              </w:r>
            </w:smartTag>
            <w:r>
              <w:t xml:space="preserve"> </w:t>
            </w:r>
            <w:smartTag w:uri="urn:schemas-microsoft-com:office:smarttags" w:element="PlaceName">
              <w:r>
                <w:t>Hospital</w:t>
              </w:r>
            </w:smartTag>
            <w:r>
              <w:t xml:space="preserve"> for Children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rPr>
                <w:szCs w:val="22"/>
              </w:rPr>
              <w:t xml:space="preserve">$2 577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$2 404 </w:t>
            </w:r>
            <w:r>
              <w:t>per day</w:t>
            </w:r>
          </w:p>
        </w:tc>
      </w:tr>
    </w:tbl>
    <w:p>
      <w:pPr>
        <w:pStyle w:val="yFootnotesection"/>
        <w:rPr>
          <w:rStyle w:val="CharSDivNo"/>
          <w:b/>
        </w:rPr>
      </w:pPr>
      <w:r>
        <w:tab/>
        <w:t>[Division 2 amended in Gazette 3 Feb 2017 p. 1113; 30 Jun 2017 p. 3567; 2 Feb 2018 p. 316; 11 May 2018 p. 1503.]</w:t>
      </w:r>
    </w:p>
    <w:p>
      <w:pPr>
        <w:pStyle w:val="yHeading3"/>
        <w:pageBreakBefore/>
        <w:spacing w:before="0"/>
      </w:pPr>
      <w:bookmarkStart w:id="47" w:name="_Toc513793299"/>
      <w:bookmarkStart w:id="48" w:name="_Toc514929237"/>
      <w:r>
        <w:rPr>
          <w:rStyle w:val="CharSDivNo"/>
        </w:rPr>
        <w:t>Division 3</w:t>
      </w:r>
      <w:r>
        <w:t> — </w:t>
      </w:r>
      <w:r>
        <w:rPr>
          <w:rStyle w:val="CharSDivText"/>
        </w:rPr>
        <w:t>Magnetic resonance imaging</w:t>
      </w:r>
      <w:bookmarkEnd w:id="47"/>
      <w:bookmarkEnd w:id="48"/>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49" w:name="_Toc513793300"/>
      <w:bookmarkStart w:id="50" w:name="_Toc514929238"/>
      <w:r>
        <w:rPr>
          <w:rStyle w:val="CharSDivNo"/>
        </w:rPr>
        <w:t>Division 4</w:t>
      </w:r>
      <w:r>
        <w:rPr>
          <w:sz w:val="24"/>
          <w:szCs w:val="24"/>
        </w:rPr>
        <w:t> — </w:t>
      </w:r>
      <w:r>
        <w:rPr>
          <w:rStyle w:val="CharSDivText"/>
        </w:rPr>
        <w:t>Pathology services</w:t>
      </w:r>
      <w:bookmarkEnd w:id="49"/>
      <w:bookmarkEnd w:id="50"/>
    </w:p>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51" w:name="_Toc513793301"/>
      <w:bookmarkStart w:id="52" w:name="_Toc514929239"/>
      <w:r>
        <w:rPr>
          <w:rStyle w:val="CharSDivNo"/>
        </w:rPr>
        <w:t>Division 5</w:t>
      </w:r>
      <w:r>
        <w:t> — </w:t>
      </w:r>
      <w:r>
        <w:rPr>
          <w:rStyle w:val="CharSDivText"/>
        </w:rPr>
        <w:t>Specialised orthoses</w:t>
      </w:r>
      <w:bookmarkEnd w:id="51"/>
      <w:bookmarkEnd w:id="52"/>
    </w:p>
    <w:p>
      <w:pPr>
        <w:pStyle w:val="yHeading4"/>
      </w:pPr>
      <w:bookmarkStart w:id="53" w:name="_Toc513793302"/>
      <w:bookmarkStart w:id="54" w:name="_Toc514929240"/>
      <w:r>
        <w:t>Subdivision 1</w:t>
      </w:r>
      <w:r>
        <w:rPr>
          <w:b w:val="0"/>
        </w:rPr>
        <w:t> — </w:t>
      </w:r>
      <w:r>
        <w:t>Adult chargeable patients</w:t>
      </w:r>
      <w:bookmarkEnd w:id="53"/>
      <w:bookmarkEnd w:id="54"/>
    </w:p>
    <w:p>
      <w:pPr>
        <w:pStyle w:val="yFootnoteheading"/>
      </w:pPr>
      <w:r>
        <w:tab/>
        <w:t>[Heading inserted in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tabs>
          <w:tab w:val="left" w:pos="5245"/>
        </w:tabs>
      </w:pPr>
      <w:bookmarkStart w:id="55" w:name="_Toc513793303"/>
      <w:bookmarkStart w:id="56" w:name="_Toc514929241"/>
      <w:r>
        <w:t>Subdivision 2</w:t>
      </w:r>
      <w:r>
        <w:rPr>
          <w:b w:val="0"/>
        </w:rPr>
        <w:t> — </w:t>
      </w:r>
      <w:r>
        <w:t>Child chargeable patients</w:t>
      </w:r>
      <w:bookmarkEnd w:id="55"/>
      <w:bookmarkEnd w:id="56"/>
    </w:p>
    <w:p>
      <w:pPr>
        <w:pStyle w:val="yFootnoteheading"/>
        <w:tabs>
          <w:tab w:val="left" w:pos="5245"/>
        </w:tabs>
      </w:pPr>
      <w:r>
        <w:tab/>
        <w:t>[Heading inserted in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rPr>
                <w:b/>
                <w:szCs w:val="22"/>
              </w:rPr>
            </w:pPr>
            <w:r>
              <w:rPr>
                <w:b/>
                <w:szCs w:val="22"/>
              </w:rPr>
              <w:t>Item</w:t>
            </w:r>
          </w:p>
        </w:tc>
        <w:tc>
          <w:tcPr>
            <w:tcW w:w="4678" w:type="dxa"/>
          </w:tcPr>
          <w:p>
            <w:pPr>
              <w:pStyle w:val="yTableNAm"/>
              <w:rPr>
                <w:b/>
                <w:szCs w:val="22"/>
              </w:rPr>
            </w:pPr>
            <w:r>
              <w:rPr>
                <w:b/>
                <w:szCs w:val="22"/>
              </w:rPr>
              <w:t>Description of orthosis</w:t>
            </w:r>
          </w:p>
        </w:tc>
        <w:tc>
          <w:tcPr>
            <w:tcW w:w="1417" w:type="dxa"/>
          </w:tcPr>
          <w:p>
            <w:pPr>
              <w:pStyle w:val="yTableNAm"/>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57" w:name="_Toc513793304"/>
      <w:bookmarkStart w:id="58" w:name="_Toc514929242"/>
      <w:r>
        <w:rPr>
          <w:rStyle w:val="CharSDivNo"/>
        </w:rPr>
        <w:t>Division 6</w:t>
      </w:r>
      <w:r>
        <w:t> — </w:t>
      </w:r>
      <w:r>
        <w:rPr>
          <w:rStyle w:val="CharSDivText"/>
        </w:rPr>
        <w:t>Surgically implanted prostheses</w:t>
      </w:r>
      <w:bookmarkEnd w:id="57"/>
      <w:bookmarkEnd w:id="58"/>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60" w:name="_Toc513793305"/>
      <w:bookmarkStart w:id="61" w:name="_Toc514929243"/>
      <w:r>
        <w:t>Notes</w:t>
      </w:r>
      <w:bookmarkEnd w:id="60"/>
      <w:bookmarkEnd w:id="61"/>
    </w:p>
    <w:p>
      <w:pPr>
        <w:pStyle w:val="nSubsection"/>
      </w:pPr>
      <w:r>
        <w:rPr>
          <w:vertAlign w:val="superscript"/>
        </w:rPr>
        <w:t>1</w:t>
      </w:r>
      <w:r>
        <w:tab/>
        <w:t xml:space="preserve">This is a compilation of the </w:t>
      </w:r>
      <w:r>
        <w:rPr>
          <w:i/>
          <w:noProof/>
        </w:rPr>
        <w:t>Health Services (Fees and Charges) Order 2016</w:t>
      </w:r>
      <w:r>
        <w:t xml:space="preserve"> and includes the amendments made by the other written laws referred to in the following table </w:t>
      </w:r>
      <w:r>
        <w:rPr>
          <w:vertAlign w:val="superscript"/>
        </w:rPr>
        <w:t>1a</w:t>
      </w:r>
      <w:r>
        <w:t>.</w:t>
      </w:r>
    </w:p>
    <w:p>
      <w:pPr>
        <w:pStyle w:val="nHeading3"/>
      </w:pPr>
      <w:bookmarkStart w:id="62" w:name="_Toc514929244"/>
      <w:r>
        <w:t>Compilation table</w:t>
      </w:r>
      <w:bookmarkEnd w:id="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rPr>
                <w:sz w:val="20"/>
              </w:rPr>
            </w:pPr>
            <w:r>
              <w:t>cl. 1 and 2: 21 Oct 2016 (see cl. 2(a));</w:t>
            </w:r>
            <w:r>
              <w:br/>
              <w:t>Order other than cl. 1 and 2: 22 Oct 2016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rFonts w:ascii="Times" w:hAnsi="Times"/>
                <w:bCs/>
                <w:snapToGrid w:val="0"/>
                <w:spacing w:val="-2"/>
              </w:rPr>
              <w:t>cl. 1 and 2: 2 Feb 2018 (see cl. 2(a));</w:t>
            </w:r>
            <w:r>
              <w:rPr>
                <w:rFonts w:ascii="Times" w:hAnsi="Times"/>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9 Mar 2018 (see cl. 2(a));</w:t>
            </w:r>
            <w:r>
              <w:rPr>
                <w:rFonts w:ascii="Times" w:hAnsi="Times"/>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27 Apr 2018 (see cl. 2(a));</w:t>
            </w:r>
            <w:r>
              <w:rPr>
                <w:rFonts w:ascii="Times" w:hAnsi="Times"/>
                <w:bCs/>
                <w:snapToGrid w:val="0"/>
                <w:spacing w:val="-2"/>
              </w:rPr>
              <w:br/>
              <w:t>Order other than cl. 1 and 2: 28 Apr 2018 (see cl. 2(b))</w:t>
            </w:r>
          </w:p>
        </w:tc>
      </w:tr>
      <w:tr>
        <w:tc>
          <w:tcPr>
            <w:tcW w:w="3118" w:type="dxa"/>
            <w:tcBorders>
              <w:top w:val="nil"/>
              <w:bottom w:val="single" w:sz="4" w:space="0" w:color="auto"/>
            </w:tcBorders>
          </w:tcPr>
          <w:p>
            <w:pPr>
              <w:pStyle w:val="nTable"/>
              <w:spacing w:after="40"/>
              <w:rPr>
                <w:i/>
              </w:rPr>
            </w:pPr>
            <w:r>
              <w:rPr>
                <w:i/>
              </w:rPr>
              <w:t>Health Services (Fees and Charges) Amendment Order (No. 3) 2018</w:t>
            </w:r>
          </w:p>
        </w:tc>
        <w:tc>
          <w:tcPr>
            <w:tcW w:w="1276" w:type="dxa"/>
            <w:tcBorders>
              <w:top w:val="nil"/>
              <w:bottom w:val="single" w:sz="4" w:space="0" w:color="auto"/>
            </w:tcBorders>
          </w:tcPr>
          <w:p>
            <w:pPr>
              <w:pStyle w:val="nTable"/>
              <w:spacing w:after="40"/>
            </w:pPr>
            <w:r>
              <w:t>11 May 2018 p. 1503</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cl. 1 and 2: 11 May 2018 (see cl. 2(a));</w:t>
            </w:r>
            <w:r>
              <w:rPr>
                <w:rFonts w:ascii="Times" w:hAnsi="Times"/>
                <w:bCs/>
                <w:snapToGrid w:val="0"/>
                <w:spacing w:val="-2"/>
              </w:rPr>
              <w:br/>
              <w:t>Order other than cl. 1 and 2: 12 May 2018 (see cl.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3" w:name="_Toc514929245"/>
      <w:r>
        <w:t>Provisions that have not come into operation</w:t>
      </w:r>
      <w:bookmarkEnd w:id="6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Health Services (Fees and Charges) Amendment Order (No. 6) 2018</w:t>
            </w:r>
            <w:r>
              <w:t xml:space="preserve"> cl. 3 and 4</w:t>
            </w:r>
            <w:r>
              <w:rPr>
                <w:vertAlign w:val="superscript"/>
              </w:rPr>
              <w:t> 2</w:t>
            </w:r>
          </w:p>
        </w:tc>
        <w:tc>
          <w:tcPr>
            <w:tcW w:w="1276" w:type="dxa"/>
          </w:tcPr>
          <w:p>
            <w:pPr>
              <w:pStyle w:val="nTable"/>
              <w:spacing w:after="40"/>
            </w:pPr>
            <w:r>
              <w:t>25 May 2018 p. 1631</w:t>
            </w:r>
            <w:r>
              <w:noBreakHyphen/>
              <w:t>2</w:t>
            </w:r>
          </w:p>
        </w:tc>
        <w:tc>
          <w:tcPr>
            <w:tcW w:w="2693" w:type="dxa"/>
          </w:tcPr>
          <w:p>
            <w:pPr>
              <w:pStyle w:val="nTable"/>
              <w:spacing w:after="40"/>
            </w:pPr>
            <w:r>
              <w:t>1 Jul 2018 (see cl. 2(b))</w:t>
            </w:r>
          </w:p>
        </w:tc>
      </w:tr>
    </w:tbl>
    <w:p>
      <w:pPr>
        <w:pStyle w:val="nSubsection"/>
      </w:pPr>
      <w:r>
        <w:rPr>
          <w:vertAlign w:val="superscript"/>
        </w:rPr>
        <w:t>2</w:t>
      </w:r>
      <w:r>
        <w:tab/>
        <w:t xml:space="preserve">On the date as at which this compilation was prepared, the </w:t>
      </w:r>
      <w:r>
        <w:rPr>
          <w:i/>
        </w:rPr>
        <w:t>Health Services (Fees and Charges) Amendment Order (No. 6) 2018</w:t>
      </w:r>
      <w:r>
        <w:t xml:space="preserve"> cl. 3 and 4 had not come into operation. They read as follows:</w:t>
      </w:r>
    </w:p>
    <w:p>
      <w:pPr>
        <w:pStyle w:val="BlankOpen"/>
      </w:pPr>
    </w:p>
    <w:p>
      <w:pPr>
        <w:pStyle w:val="nzHeading5"/>
        <w:rPr>
          <w:snapToGrid w:val="0"/>
        </w:rPr>
      </w:pPr>
      <w:bookmarkStart w:id="64" w:name="_Toc511028892"/>
      <w:bookmarkStart w:id="65" w:name="_Toc511028906"/>
      <w:r>
        <w:rPr>
          <w:rStyle w:val="CharSectno"/>
        </w:rPr>
        <w:t>3</w:t>
      </w:r>
      <w:r>
        <w:rPr>
          <w:snapToGrid w:val="0"/>
        </w:rPr>
        <w:t>.</w:t>
      </w:r>
      <w:r>
        <w:rPr>
          <w:snapToGrid w:val="0"/>
        </w:rPr>
        <w:tab/>
        <w:t>Order amended</w:t>
      </w:r>
      <w:bookmarkEnd w:id="64"/>
      <w:bookmarkEnd w:id="65"/>
    </w:p>
    <w:p>
      <w:pPr>
        <w:pStyle w:val="nzSubsection"/>
      </w:pPr>
      <w:r>
        <w:tab/>
      </w:r>
      <w:r>
        <w:tab/>
        <w:t xml:space="preserve">This </w:t>
      </w:r>
      <w:r>
        <w:rPr>
          <w:spacing w:val="-2"/>
        </w:rPr>
        <w:t>order amends</w:t>
      </w:r>
      <w:r>
        <w:t xml:space="preserve"> the </w:t>
      </w:r>
      <w:r>
        <w:rPr>
          <w:i/>
        </w:rPr>
        <w:t>Health Services (Fees and Charges) Order 2016</w:t>
      </w:r>
      <w:r>
        <w:t>.</w:t>
      </w:r>
    </w:p>
    <w:p>
      <w:pPr>
        <w:pStyle w:val="nzHeading5"/>
      </w:pPr>
      <w:bookmarkStart w:id="66" w:name="_Toc450312049"/>
      <w:bookmarkStart w:id="67" w:name="_Toc511028893"/>
      <w:bookmarkStart w:id="68" w:name="_Toc511028907"/>
      <w:r>
        <w:rPr>
          <w:rStyle w:val="CharSectno"/>
        </w:rPr>
        <w:t>4</w:t>
      </w:r>
      <w:r>
        <w:t>.</w:t>
      </w:r>
      <w:r>
        <w:tab/>
        <w:t>Schedule 1 amended</w:t>
      </w:r>
      <w:bookmarkEnd w:id="66"/>
      <w:bookmarkEnd w:id="67"/>
      <w:bookmarkEnd w:id="68"/>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5"/>
        <w:gridCol w:w="2126"/>
      </w:tblGrid>
      <w:tr>
        <w:trPr>
          <w:cantSplit/>
          <w:tblHeader/>
          <w:jc w:val="center"/>
        </w:trPr>
        <w:tc>
          <w:tcPr>
            <w:tcW w:w="2553" w:type="dxa"/>
          </w:tcPr>
          <w:p>
            <w:pPr>
              <w:pStyle w:val="TableAm"/>
              <w:keepNext/>
              <w:jc w:val="center"/>
              <w:rPr>
                <w:b/>
                <w:bCs/>
                <w:sz w:val="22"/>
                <w:szCs w:val="22"/>
              </w:rPr>
            </w:pPr>
            <w:r>
              <w:rPr>
                <w:b/>
                <w:bCs/>
                <w:sz w:val="22"/>
                <w:szCs w:val="22"/>
              </w:rPr>
              <w:t>Provision</w:t>
            </w:r>
          </w:p>
        </w:tc>
        <w:tc>
          <w:tcPr>
            <w:tcW w:w="2125" w:type="dxa"/>
          </w:tcPr>
          <w:p>
            <w:pPr>
              <w:pStyle w:val="TableAm"/>
              <w:keepNext/>
              <w:jc w:val="center"/>
              <w:rPr>
                <w:b/>
                <w:bCs/>
                <w:sz w:val="22"/>
                <w:szCs w:val="22"/>
              </w:rPr>
            </w:pPr>
            <w:r>
              <w:rPr>
                <w:b/>
                <w:bCs/>
                <w:sz w:val="22"/>
                <w:szCs w:val="22"/>
              </w:rPr>
              <w:t>Delete</w:t>
            </w:r>
          </w:p>
        </w:tc>
        <w:tc>
          <w:tcPr>
            <w:tcW w:w="2126" w:type="dxa"/>
          </w:tcPr>
          <w:p>
            <w:pPr>
              <w:pStyle w:val="TableAm"/>
              <w:keepNext/>
              <w:jc w:val="center"/>
              <w:rPr>
                <w:b/>
                <w:bCs/>
                <w:sz w:val="22"/>
                <w:szCs w:val="22"/>
              </w:rPr>
            </w:pPr>
            <w:r>
              <w:rPr>
                <w:b/>
                <w:bCs/>
                <w:sz w:val="22"/>
                <w:szCs w:val="22"/>
              </w:rPr>
              <w:t>Insert</w:t>
            </w:r>
          </w:p>
        </w:tc>
      </w:tr>
      <w:tr>
        <w:trPr>
          <w:cantSplit/>
          <w:jc w:val="center"/>
        </w:trPr>
        <w:tc>
          <w:tcPr>
            <w:tcW w:w="2553" w:type="dxa"/>
          </w:tcPr>
          <w:p>
            <w:pPr>
              <w:pStyle w:val="TableAm"/>
              <w:rPr>
                <w:sz w:val="22"/>
                <w:szCs w:val="22"/>
              </w:rPr>
            </w:pPr>
            <w:r>
              <w:rPr>
                <w:sz w:val="22"/>
                <w:szCs w:val="22"/>
              </w:rPr>
              <w:t>Sch. 1 Div. 1 it. 1(b)(i)</w:t>
            </w:r>
          </w:p>
        </w:tc>
        <w:tc>
          <w:tcPr>
            <w:tcW w:w="2125" w:type="dxa"/>
          </w:tcPr>
          <w:p>
            <w:pPr>
              <w:pStyle w:val="TableAm"/>
              <w:rPr>
                <w:sz w:val="22"/>
                <w:szCs w:val="22"/>
              </w:rPr>
            </w:pPr>
            <w:r>
              <w:rPr>
                <w:sz w:val="22"/>
                <w:szCs w:val="22"/>
              </w:rPr>
              <w:t>$638</w:t>
            </w:r>
          </w:p>
        </w:tc>
        <w:tc>
          <w:tcPr>
            <w:tcW w:w="2126" w:type="dxa"/>
          </w:tcPr>
          <w:p>
            <w:pPr>
              <w:pStyle w:val="TableAm"/>
              <w:rPr>
                <w:sz w:val="22"/>
                <w:szCs w:val="22"/>
              </w:rPr>
            </w:pPr>
            <w:r>
              <w:rPr>
                <w:sz w:val="22"/>
                <w:szCs w:val="22"/>
              </w:rPr>
              <w:t>$649</w:t>
            </w:r>
          </w:p>
        </w:tc>
      </w:tr>
      <w:tr>
        <w:trPr>
          <w:cantSplit/>
          <w:jc w:val="center"/>
        </w:trPr>
        <w:tc>
          <w:tcPr>
            <w:tcW w:w="2553" w:type="dxa"/>
          </w:tcPr>
          <w:p>
            <w:pPr>
              <w:pStyle w:val="TableAm"/>
              <w:rPr>
                <w:sz w:val="22"/>
                <w:szCs w:val="22"/>
              </w:rPr>
            </w:pPr>
            <w:r>
              <w:rPr>
                <w:sz w:val="22"/>
                <w:szCs w:val="22"/>
              </w:rPr>
              <w:t>Sch. 1 Div. 1 it. 1(b)(ii)</w:t>
            </w:r>
          </w:p>
        </w:tc>
        <w:tc>
          <w:tcPr>
            <w:tcW w:w="2125" w:type="dxa"/>
          </w:tcPr>
          <w:p>
            <w:pPr>
              <w:pStyle w:val="TableAm"/>
              <w:rPr>
                <w:sz w:val="22"/>
                <w:szCs w:val="22"/>
              </w:rPr>
            </w:pPr>
            <w:r>
              <w:rPr>
                <w:sz w:val="22"/>
                <w:szCs w:val="22"/>
              </w:rPr>
              <w:t>$350</w:t>
            </w:r>
          </w:p>
        </w:tc>
        <w:tc>
          <w:tcPr>
            <w:tcW w:w="2126" w:type="dxa"/>
          </w:tcPr>
          <w:p>
            <w:pPr>
              <w:pStyle w:val="TableAm"/>
              <w:rPr>
                <w:sz w:val="22"/>
                <w:szCs w:val="22"/>
              </w:rPr>
            </w:pPr>
            <w:r>
              <w:rPr>
                <w:sz w:val="22"/>
                <w:szCs w:val="22"/>
              </w:rPr>
              <w:t>$356</w:t>
            </w:r>
          </w:p>
        </w:tc>
      </w:tr>
      <w:tr>
        <w:trPr>
          <w:cantSplit/>
          <w:jc w:val="center"/>
        </w:trPr>
        <w:tc>
          <w:tcPr>
            <w:tcW w:w="2553" w:type="dxa"/>
          </w:tcPr>
          <w:p>
            <w:pPr>
              <w:pStyle w:val="TableAm"/>
              <w:rPr>
                <w:sz w:val="22"/>
                <w:szCs w:val="22"/>
              </w:rPr>
            </w:pPr>
            <w:r>
              <w:rPr>
                <w:sz w:val="22"/>
                <w:szCs w:val="22"/>
              </w:rPr>
              <w:t>Sch. 1 Div. 1 it. 1(e)</w:t>
            </w:r>
          </w:p>
        </w:tc>
        <w:tc>
          <w:tcPr>
            <w:tcW w:w="2125" w:type="dxa"/>
          </w:tcPr>
          <w:p>
            <w:pPr>
              <w:pStyle w:val="TableAm"/>
              <w:rPr>
                <w:sz w:val="22"/>
                <w:szCs w:val="22"/>
              </w:rPr>
            </w:pPr>
            <w:r>
              <w:rPr>
                <w:sz w:val="22"/>
                <w:szCs w:val="22"/>
              </w:rPr>
              <w:t>$2 586</w:t>
            </w:r>
          </w:p>
        </w:tc>
        <w:tc>
          <w:tcPr>
            <w:tcW w:w="2126" w:type="dxa"/>
          </w:tcPr>
          <w:p>
            <w:pPr>
              <w:pStyle w:val="TableAm"/>
              <w:rPr>
                <w:sz w:val="22"/>
                <w:szCs w:val="22"/>
              </w:rPr>
            </w:pPr>
            <w:r>
              <w:rPr>
                <w:sz w:val="22"/>
                <w:szCs w:val="22"/>
              </w:rPr>
              <w:t>$2 778</w:t>
            </w:r>
          </w:p>
        </w:tc>
      </w:tr>
      <w:tr>
        <w:trPr>
          <w:cantSplit/>
          <w:jc w:val="center"/>
        </w:trPr>
        <w:tc>
          <w:tcPr>
            <w:tcW w:w="2553" w:type="dxa"/>
          </w:tcPr>
          <w:p>
            <w:pPr>
              <w:pStyle w:val="TableAm"/>
              <w:rPr>
                <w:sz w:val="22"/>
                <w:szCs w:val="22"/>
              </w:rPr>
            </w:pPr>
            <w:r>
              <w:rPr>
                <w:sz w:val="22"/>
                <w:szCs w:val="22"/>
              </w:rPr>
              <w:t>Sch. 1 Div. 1 it. 4(b)</w:t>
            </w:r>
          </w:p>
        </w:tc>
        <w:tc>
          <w:tcPr>
            <w:tcW w:w="2125" w:type="dxa"/>
          </w:tcPr>
          <w:p>
            <w:pPr>
              <w:pStyle w:val="TableAm"/>
              <w:rPr>
                <w:sz w:val="22"/>
                <w:szCs w:val="22"/>
              </w:rPr>
            </w:pPr>
            <w:r>
              <w:rPr>
                <w:sz w:val="22"/>
                <w:szCs w:val="22"/>
              </w:rPr>
              <w:t>$275</w:t>
            </w:r>
          </w:p>
        </w:tc>
        <w:tc>
          <w:tcPr>
            <w:tcW w:w="2126" w:type="dxa"/>
          </w:tcPr>
          <w:p>
            <w:pPr>
              <w:pStyle w:val="TableAm"/>
              <w:rPr>
                <w:sz w:val="22"/>
                <w:szCs w:val="22"/>
              </w:rPr>
            </w:pPr>
            <w:r>
              <w:rPr>
                <w:sz w:val="22"/>
                <w:szCs w:val="22"/>
              </w:rPr>
              <w:t>$280</w:t>
            </w:r>
          </w:p>
        </w:tc>
      </w:tr>
      <w:tr>
        <w:trPr>
          <w:cantSplit/>
          <w:jc w:val="center"/>
        </w:trPr>
        <w:tc>
          <w:tcPr>
            <w:tcW w:w="2553" w:type="dxa"/>
          </w:tcPr>
          <w:p>
            <w:pPr>
              <w:pStyle w:val="TableAm"/>
              <w:rPr>
                <w:sz w:val="22"/>
                <w:szCs w:val="22"/>
              </w:rPr>
            </w:pPr>
            <w:r>
              <w:rPr>
                <w:sz w:val="22"/>
                <w:szCs w:val="22"/>
              </w:rPr>
              <w:t>Sch. 1 Div. 1 it. 6(b)</w:t>
            </w:r>
          </w:p>
        </w:tc>
        <w:tc>
          <w:tcPr>
            <w:tcW w:w="2125" w:type="dxa"/>
          </w:tcPr>
          <w:p>
            <w:pPr>
              <w:pStyle w:val="TableAm"/>
              <w:rPr>
                <w:sz w:val="22"/>
                <w:szCs w:val="22"/>
              </w:rPr>
            </w:pPr>
            <w:r>
              <w:rPr>
                <w:sz w:val="22"/>
                <w:szCs w:val="22"/>
              </w:rPr>
              <w:t>$289</w:t>
            </w:r>
          </w:p>
        </w:tc>
        <w:tc>
          <w:tcPr>
            <w:tcW w:w="2126" w:type="dxa"/>
          </w:tcPr>
          <w:p>
            <w:pPr>
              <w:pStyle w:val="TableAm"/>
              <w:rPr>
                <w:sz w:val="22"/>
                <w:szCs w:val="22"/>
              </w:rPr>
            </w:pPr>
            <w:r>
              <w:rPr>
                <w:sz w:val="22"/>
                <w:szCs w:val="22"/>
              </w:rPr>
              <w:t>$294</w:t>
            </w:r>
          </w:p>
        </w:tc>
      </w:tr>
      <w:tr>
        <w:trPr>
          <w:cantSplit/>
          <w:jc w:val="center"/>
        </w:trPr>
        <w:tc>
          <w:tcPr>
            <w:tcW w:w="2553" w:type="dxa"/>
          </w:tcPr>
          <w:p>
            <w:pPr>
              <w:pStyle w:val="TableAm"/>
              <w:rPr>
                <w:sz w:val="22"/>
                <w:szCs w:val="22"/>
              </w:rPr>
            </w:pPr>
            <w:r>
              <w:rPr>
                <w:sz w:val="22"/>
                <w:szCs w:val="22"/>
              </w:rPr>
              <w:t>Sch. 1 Div. 1 it. 6(d)</w:t>
            </w:r>
          </w:p>
        </w:tc>
        <w:tc>
          <w:tcPr>
            <w:tcW w:w="2125" w:type="dxa"/>
          </w:tcPr>
          <w:p>
            <w:pPr>
              <w:pStyle w:val="TableAm"/>
              <w:rPr>
                <w:sz w:val="22"/>
                <w:szCs w:val="22"/>
              </w:rPr>
            </w:pPr>
            <w:r>
              <w:rPr>
                <w:sz w:val="22"/>
                <w:szCs w:val="22"/>
              </w:rPr>
              <w:t>$2 429</w:t>
            </w:r>
          </w:p>
        </w:tc>
        <w:tc>
          <w:tcPr>
            <w:tcW w:w="2126" w:type="dxa"/>
          </w:tcPr>
          <w:p>
            <w:pPr>
              <w:pStyle w:val="TableAm"/>
              <w:rPr>
                <w:sz w:val="22"/>
                <w:szCs w:val="22"/>
              </w:rPr>
            </w:pPr>
            <w:r>
              <w:rPr>
                <w:sz w:val="22"/>
                <w:szCs w:val="22"/>
              </w:rPr>
              <w:t>$2 366</w:t>
            </w:r>
          </w:p>
        </w:tc>
      </w:tr>
      <w:tr>
        <w:trPr>
          <w:cantSplit/>
          <w:jc w:val="center"/>
        </w:trPr>
        <w:tc>
          <w:tcPr>
            <w:tcW w:w="2553" w:type="dxa"/>
          </w:tcPr>
          <w:p>
            <w:pPr>
              <w:pStyle w:val="TableAm"/>
              <w:rPr>
                <w:sz w:val="22"/>
                <w:szCs w:val="22"/>
              </w:rPr>
            </w:pPr>
            <w:r>
              <w:rPr>
                <w:sz w:val="22"/>
                <w:szCs w:val="22"/>
              </w:rPr>
              <w:t>Sch. 1 Div. 1 it. 7</w:t>
            </w:r>
          </w:p>
        </w:tc>
        <w:tc>
          <w:tcPr>
            <w:tcW w:w="2125" w:type="dxa"/>
          </w:tcPr>
          <w:p>
            <w:pPr>
              <w:pStyle w:val="TableAm"/>
              <w:rPr>
                <w:sz w:val="22"/>
                <w:szCs w:val="22"/>
              </w:rPr>
            </w:pPr>
            <w:r>
              <w:rPr>
                <w:sz w:val="22"/>
                <w:szCs w:val="22"/>
              </w:rPr>
              <w:t>$38.15</w:t>
            </w:r>
          </w:p>
        </w:tc>
        <w:tc>
          <w:tcPr>
            <w:tcW w:w="2126" w:type="dxa"/>
          </w:tcPr>
          <w:p>
            <w:pPr>
              <w:pStyle w:val="TableAm"/>
              <w:rPr>
                <w:sz w:val="22"/>
                <w:szCs w:val="22"/>
              </w:rPr>
            </w:pPr>
            <w:r>
              <w:rPr>
                <w:sz w:val="22"/>
                <w:szCs w:val="22"/>
              </w:rPr>
              <w:t>$38.45</w:t>
            </w:r>
          </w:p>
        </w:tc>
      </w:tr>
      <w:tr>
        <w:trPr>
          <w:cantSplit/>
          <w:jc w:val="center"/>
        </w:trPr>
        <w:tc>
          <w:tcPr>
            <w:tcW w:w="2553" w:type="dxa"/>
          </w:tcPr>
          <w:p>
            <w:pPr>
              <w:pStyle w:val="TableAm"/>
              <w:rPr>
                <w:sz w:val="22"/>
                <w:szCs w:val="22"/>
              </w:rPr>
            </w:pPr>
            <w:r>
              <w:rPr>
                <w:sz w:val="22"/>
                <w:szCs w:val="22"/>
              </w:rPr>
              <w:t>Sch. 1 Div. 2 it. 1</w:t>
            </w:r>
          </w:p>
        </w:tc>
        <w:tc>
          <w:tcPr>
            <w:tcW w:w="2125" w:type="dxa"/>
          </w:tcPr>
          <w:p>
            <w:pPr>
              <w:pStyle w:val="TableAm"/>
              <w:rPr>
                <w:sz w:val="22"/>
                <w:szCs w:val="22"/>
              </w:rPr>
            </w:pPr>
            <w:r>
              <w:rPr>
                <w:sz w:val="22"/>
                <w:szCs w:val="22"/>
              </w:rPr>
              <w:t>$2 540</w:t>
            </w:r>
          </w:p>
        </w:tc>
        <w:tc>
          <w:tcPr>
            <w:tcW w:w="2126" w:type="dxa"/>
          </w:tcPr>
          <w:p>
            <w:pPr>
              <w:pStyle w:val="TableAm"/>
              <w:rPr>
                <w:sz w:val="22"/>
                <w:szCs w:val="22"/>
              </w:rPr>
            </w:pPr>
            <w:r>
              <w:rPr>
                <w:sz w:val="22"/>
                <w:szCs w:val="22"/>
              </w:rPr>
              <w:t>$2 794</w:t>
            </w:r>
          </w:p>
        </w:tc>
      </w:tr>
      <w:tr>
        <w:trPr>
          <w:cantSplit/>
          <w:jc w:val="center"/>
        </w:trPr>
        <w:tc>
          <w:tcPr>
            <w:tcW w:w="2553" w:type="dxa"/>
          </w:tcPr>
          <w:p>
            <w:pPr>
              <w:pStyle w:val="TableAm"/>
              <w:rPr>
                <w:sz w:val="22"/>
                <w:szCs w:val="22"/>
              </w:rPr>
            </w:pPr>
            <w:r>
              <w:rPr>
                <w:sz w:val="22"/>
                <w:szCs w:val="22"/>
              </w:rPr>
              <w:t>Sch. 1 Div. 2 it. 2</w:t>
            </w:r>
          </w:p>
        </w:tc>
        <w:tc>
          <w:tcPr>
            <w:tcW w:w="2125" w:type="dxa"/>
          </w:tcPr>
          <w:p>
            <w:pPr>
              <w:pStyle w:val="TableAm"/>
              <w:rPr>
                <w:sz w:val="22"/>
                <w:szCs w:val="22"/>
              </w:rPr>
            </w:pPr>
            <w:r>
              <w:rPr>
                <w:sz w:val="22"/>
                <w:szCs w:val="22"/>
              </w:rPr>
              <w:t>$1 961</w:t>
            </w:r>
          </w:p>
        </w:tc>
        <w:tc>
          <w:tcPr>
            <w:tcW w:w="2126" w:type="dxa"/>
          </w:tcPr>
          <w:p>
            <w:pPr>
              <w:pStyle w:val="TableAm"/>
              <w:rPr>
                <w:sz w:val="22"/>
                <w:szCs w:val="22"/>
              </w:rPr>
            </w:pPr>
            <w:r>
              <w:rPr>
                <w:sz w:val="22"/>
                <w:szCs w:val="22"/>
              </w:rPr>
              <w:t>$2 157</w:t>
            </w:r>
          </w:p>
        </w:tc>
      </w:tr>
      <w:tr>
        <w:trPr>
          <w:cantSplit/>
          <w:jc w:val="center"/>
        </w:trPr>
        <w:tc>
          <w:tcPr>
            <w:tcW w:w="2553" w:type="dxa"/>
          </w:tcPr>
          <w:p>
            <w:pPr>
              <w:pStyle w:val="TableAm"/>
              <w:rPr>
                <w:sz w:val="22"/>
                <w:szCs w:val="22"/>
              </w:rPr>
            </w:pPr>
            <w:r>
              <w:rPr>
                <w:sz w:val="22"/>
                <w:szCs w:val="22"/>
              </w:rPr>
              <w:t>Sch. 1 Div. 2 it. 3</w:t>
            </w:r>
          </w:p>
        </w:tc>
        <w:tc>
          <w:tcPr>
            <w:tcW w:w="2125" w:type="dxa"/>
          </w:tcPr>
          <w:p>
            <w:pPr>
              <w:pStyle w:val="TableAm"/>
              <w:rPr>
                <w:sz w:val="22"/>
                <w:szCs w:val="22"/>
              </w:rPr>
            </w:pPr>
            <w:r>
              <w:rPr>
                <w:sz w:val="22"/>
                <w:szCs w:val="22"/>
              </w:rPr>
              <w:t>$2 723</w:t>
            </w:r>
          </w:p>
        </w:tc>
        <w:tc>
          <w:tcPr>
            <w:tcW w:w="2126" w:type="dxa"/>
          </w:tcPr>
          <w:p>
            <w:pPr>
              <w:pStyle w:val="TableAm"/>
              <w:rPr>
                <w:sz w:val="22"/>
                <w:szCs w:val="22"/>
              </w:rPr>
            </w:pPr>
            <w:r>
              <w:rPr>
                <w:sz w:val="22"/>
                <w:szCs w:val="22"/>
              </w:rPr>
              <w:t>$2 995</w:t>
            </w:r>
          </w:p>
        </w:tc>
      </w:tr>
      <w:tr>
        <w:trPr>
          <w:cantSplit/>
          <w:jc w:val="center"/>
        </w:trPr>
        <w:tc>
          <w:tcPr>
            <w:tcW w:w="2553" w:type="dxa"/>
          </w:tcPr>
          <w:p>
            <w:pPr>
              <w:pStyle w:val="TableAm"/>
              <w:rPr>
                <w:sz w:val="22"/>
                <w:szCs w:val="22"/>
              </w:rPr>
            </w:pPr>
            <w:r>
              <w:rPr>
                <w:sz w:val="22"/>
                <w:szCs w:val="22"/>
              </w:rPr>
              <w:t>Sch. 1 Div. 2 it. 4</w:t>
            </w:r>
          </w:p>
        </w:tc>
        <w:tc>
          <w:tcPr>
            <w:tcW w:w="2125" w:type="dxa"/>
          </w:tcPr>
          <w:p>
            <w:pPr>
              <w:pStyle w:val="TableAm"/>
              <w:rPr>
                <w:sz w:val="22"/>
                <w:szCs w:val="22"/>
              </w:rPr>
            </w:pPr>
            <w:r>
              <w:rPr>
                <w:sz w:val="22"/>
                <w:szCs w:val="22"/>
              </w:rPr>
              <w:t>$289</w:t>
            </w:r>
          </w:p>
        </w:tc>
        <w:tc>
          <w:tcPr>
            <w:tcW w:w="2126" w:type="dxa"/>
          </w:tcPr>
          <w:p>
            <w:pPr>
              <w:pStyle w:val="TableAm"/>
              <w:rPr>
                <w:sz w:val="22"/>
                <w:szCs w:val="22"/>
              </w:rPr>
            </w:pPr>
            <w:r>
              <w:rPr>
                <w:sz w:val="22"/>
                <w:szCs w:val="22"/>
              </w:rPr>
              <w:t>$294</w:t>
            </w:r>
          </w:p>
        </w:tc>
      </w:tr>
      <w:tr>
        <w:trPr>
          <w:cantSplit/>
          <w:jc w:val="center"/>
        </w:trPr>
        <w:tc>
          <w:tcPr>
            <w:tcW w:w="2553" w:type="dxa"/>
          </w:tcPr>
          <w:p>
            <w:pPr>
              <w:pStyle w:val="TableAm"/>
              <w:rPr>
                <w:sz w:val="22"/>
                <w:szCs w:val="22"/>
              </w:rPr>
            </w:pPr>
            <w:r>
              <w:rPr>
                <w:sz w:val="22"/>
                <w:szCs w:val="22"/>
              </w:rPr>
              <w:t>Sch. 1 Div. 2 it. 5</w:t>
            </w:r>
          </w:p>
        </w:tc>
        <w:tc>
          <w:tcPr>
            <w:tcW w:w="2125" w:type="dxa"/>
          </w:tcPr>
          <w:p>
            <w:pPr>
              <w:pStyle w:val="TableAm"/>
              <w:rPr>
                <w:sz w:val="22"/>
                <w:szCs w:val="22"/>
              </w:rPr>
            </w:pPr>
            <w:r>
              <w:rPr>
                <w:sz w:val="22"/>
                <w:szCs w:val="22"/>
              </w:rPr>
              <w:t>$6 356</w:t>
            </w:r>
          </w:p>
        </w:tc>
        <w:tc>
          <w:tcPr>
            <w:tcW w:w="2126" w:type="dxa"/>
          </w:tcPr>
          <w:p>
            <w:pPr>
              <w:pStyle w:val="TableAm"/>
              <w:rPr>
                <w:sz w:val="22"/>
                <w:szCs w:val="22"/>
              </w:rPr>
            </w:pPr>
            <w:r>
              <w:rPr>
                <w:sz w:val="22"/>
                <w:szCs w:val="22"/>
              </w:rPr>
              <w:t>$6 442</w:t>
            </w:r>
          </w:p>
        </w:tc>
      </w:tr>
      <w:tr>
        <w:trPr>
          <w:cantSplit/>
          <w:jc w:val="center"/>
        </w:trPr>
        <w:tc>
          <w:tcPr>
            <w:tcW w:w="2553" w:type="dxa"/>
          </w:tcPr>
          <w:p>
            <w:pPr>
              <w:pStyle w:val="TableAm"/>
              <w:rPr>
                <w:sz w:val="22"/>
                <w:szCs w:val="22"/>
              </w:rPr>
            </w:pPr>
            <w:r>
              <w:rPr>
                <w:sz w:val="22"/>
                <w:szCs w:val="22"/>
              </w:rPr>
              <w:t>Sch. 1 Div. 2 it. 6</w:t>
            </w:r>
          </w:p>
        </w:tc>
        <w:tc>
          <w:tcPr>
            <w:tcW w:w="2125" w:type="dxa"/>
          </w:tcPr>
          <w:p>
            <w:pPr>
              <w:pStyle w:val="TableAm"/>
              <w:rPr>
                <w:sz w:val="22"/>
                <w:szCs w:val="22"/>
              </w:rPr>
            </w:pPr>
            <w:r>
              <w:rPr>
                <w:sz w:val="22"/>
                <w:szCs w:val="22"/>
              </w:rPr>
              <w:t>$3 800</w:t>
            </w:r>
          </w:p>
        </w:tc>
        <w:tc>
          <w:tcPr>
            <w:tcW w:w="2126" w:type="dxa"/>
          </w:tcPr>
          <w:p>
            <w:pPr>
              <w:pStyle w:val="TableAm"/>
              <w:rPr>
                <w:sz w:val="22"/>
                <w:szCs w:val="22"/>
              </w:rPr>
            </w:pPr>
            <w:r>
              <w:rPr>
                <w:sz w:val="22"/>
                <w:szCs w:val="22"/>
              </w:rPr>
              <w:t>$3 852</w:t>
            </w:r>
          </w:p>
        </w:tc>
      </w:tr>
      <w:tr>
        <w:trPr>
          <w:cantSplit/>
          <w:jc w:val="center"/>
        </w:trPr>
        <w:tc>
          <w:tcPr>
            <w:tcW w:w="2553" w:type="dxa"/>
          </w:tcPr>
          <w:p>
            <w:pPr>
              <w:pStyle w:val="TableAm"/>
              <w:rPr>
                <w:sz w:val="22"/>
                <w:szCs w:val="22"/>
              </w:rPr>
            </w:pPr>
            <w:r>
              <w:rPr>
                <w:sz w:val="22"/>
                <w:szCs w:val="22"/>
              </w:rPr>
              <w:t>Sch. 1 Div. 2 it. 7</w:t>
            </w:r>
          </w:p>
        </w:tc>
        <w:tc>
          <w:tcPr>
            <w:tcW w:w="2125" w:type="dxa"/>
          </w:tcPr>
          <w:p>
            <w:pPr>
              <w:pStyle w:val="TableAm"/>
              <w:rPr>
                <w:sz w:val="22"/>
                <w:szCs w:val="22"/>
              </w:rPr>
            </w:pPr>
            <w:r>
              <w:rPr>
                <w:sz w:val="22"/>
                <w:szCs w:val="22"/>
              </w:rPr>
              <w:t>$275</w:t>
            </w:r>
          </w:p>
        </w:tc>
        <w:tc>
          <w:tcPr>
            <w:tcW w:w="2126" w:type="dxa"/>
          </w:tcPr>
          <w:p>
            <w:pPr>
              <w:pStyle w:val="TableAm"/>
              <w:rPr>
                <w:sz w:val="22"/>
                <w:szCs w:val="22"/>
              </w:rPr>
            </w:pPr>
            <w:r>
              <w:rPr>
                <w:sz w:val="22"/>
                <w:szCs w:val="22"/>
              </w:rPr>
              <w:t>$280</w:t>
            </w:r>
          </w:p>
        </w:tc>
      </w:tr>
      <w:tr>
        <w:trPr>
          <w:cantSplit/>
          <w:jc w:val="center"/>
        </w:trPr>
        <w:tc>
          <w:tcPr>
            <w:tcW w:w="2553" w:type="dxa"/>
          </w:tcPr>
          <w:p>
            <w:pPr>
              <w:pStyle w:val="TableAm"/>
              <w:rPr>
                <w:sz w:val="22"/>
                <w:szCs w:val="22"/>
              </w:rPr>
            </w:pPr>
            <w:r>
              <w:rPr>
                <w:sz w:val="22"/>
                <w:szCs w:val="22"/>
              </w:rPr>
              <w:t>Sch. 1 Div. 2 it. 9</w:t>
            </w:r>
          </w:p>
        </w:tc>
        <w:tc>
          <w:tcPr>
            <w:tcW w:w="2125" w:type="dxa"/>
          </w:tcPr>
          <w:p>
            <w:pPr>
              <w:pStyle w:val="TableAm"/>
              <w:rPr>
                <w:sz w:val="22"/>
                <w:szCs w:val="22"/>
              </w:rPr>
            </w:pPr>
            <w:r>
              <w:rPr>
                <w:sz w:val="22"/>
                <w:szCs w:val="22"/>
              </w:rPr>
              <w:t>$275</w:t>
            </w:r>
          </w:p>
        </w:tc>
        <w:tc>
          <w:tcPr>
            <w:tcW w:w="2126" w:type="dxa"/>
          </w:tcPr>
          <w:p>
            <w:pPr>
              <w:pStyle w:val="TableAm"/>
              <w:rPr>
                <w:sz w:val="22"/>
                <w:szCs w:val="22"/>
              </w:rPr>
            </w:pPr>
            <w:r>
              <w:rPr>
                <w:sz w:val="22"/>
                <w:szCs w:val="22"/>
              </w:rPr>
              <w:t>$280</w:t>
            </w:r>
          </w:p>
        </w:tc>
      </w:tr>
      <w:tr>
        <w:trPr>
          <w:cantSplit/>
          <w:jc w:val="center"/>
        </w:trPr>
        <w:tc>
          <w:tcPr>
            <w:tcW w:w="2553" w:type="dxa"/>
          </w:tcPr>
          <w:p>
            <w:pPr>
              <w:pStyle w:val="TableAm"/>
              <w:rPr>
                <w:sz w:val="22"/>
                <w:szCs w:val="22"/>
              </w:rPr>
            </w:pPr>
            <w:r>
              <w:rPr>
                <w:sz w:val="22"/>
                <w:szCs w:val="22"/>
              </w:rPr>
              <w:t>Sch. 1 Div. 2 it. 10(a)</w:t>
            </w:r>
          </w:p>
        </w:tc>
        <w:tc>
          <w:tcPr>
            <w:tcW w:w="2125" w:type="dxa"/>
          </w:tcPr>
          <w:p>
            <w:pPr>
              <w:pStyle w:val="TableAm"/>
              <w:rPr>
                <w:sz w:val="22"/>
                <w:szCs w:val="22"/>
              </w:rPr>
            </w:pPr>
            <w:r>
              <w:rPr>
                <w:sz w:val="22"/>
                <w:szCs w:val="22"/>
              </w:rPr>
              <w:t>$1 856</w:t>
            </w:r>
          </w:p>
        </w:tc>
        <w:tc>
          <w:tcPr>
            <w:tcW w:w="2126" w:type="dxa"/>
          </w:tcPr>
          <w:p>
            <w:pPr>
              <w:pStyle w:val="TableAm"/>
              <w:rPr>
                <w:sz w:val="22"/>
                <w:szCs w:val="22"/>
              </w:rPr>
            </w:pPr>
            <w:r>
              <w:rPr>
                <w:sz w:val="22"/>
                <w:szCs w:val="22"/>
              </w:rPr>
              <w:t>$2 042</w:t>
            </w:r>
          </w:p>
        </w:tc>
      </w:tr>
      <w:tr>
        <w:trPr>
          <w:cantSplit/>
          <w:jc w:val="center"/>
        </w:trPr>
        <w:tc>
          <w:tcPr>
            <w:tcW w:w="2553" w:type="dxa"/>
          </w:tcPr>
          <w:p>
            <w:pPr>
              <w:pStyle w:val="TableAm"/>
              <w:rPr>
                <w:sz w:val="22"/>
                <w:szCs w:val="22"/>
              </w:rPr>
            </w:pPr>
            <w:r>
              <w:rPr>
                <w:sz w:val="22"/>
                <w:szCs w:val="22"/>
              </w:rPr>
              <w:t>Sch. 1 Div. 2 it. 10(b)</w:t>
            </w:r>
          </w:p>
        </w:tc>
        <w:tc>
          <w:tcPr>
            <w:tcW w:w="2125" w:type="dxa"/>
          </w:tcPr>
          <w:p>
            <w:pPr>
              <w:pStyle w:val="TableAm"/>
              <w:rPr>
                <w:sz w:val="22"/>
                <w:szCs w:val="22"/>
              </w:rPr>
            </w:pPr>
            <w:r>
              <w:rPr>
                <w:sz w:val="22"/>
                <w:szCs w:val="22"/>
              </w:rPr>
              <w:t>$2 577</w:t>
            </w:r>
          </w:p>
        </w:tc>
        <w:tc>
          <w:tcPr>
            <w:tcW w:w="2126" w:type="dxa"/>
          </w:tcPr>
          <w:p>
            <w:pPr>
              <w:pStyle w:val="TableAm"/>
              <w:rPr>
                <w:sz w:val="22"/>
                <w:szCs w:val="22"/>
              </w:rPr>
            </w:pPr>
            <w:r>
              <w:rPr>
                <w:sz w:val="22"/>
                <w:szCs w:val="22"/>
              </w:rPr>
              <w:t>$2 835</w:t>
            </w:r>
          </w:p>
        </w:tc>
      </w:tr>
      <w:tr>
        <w:trPr>
          <w:cantSplit/>
          <w:jc w:val="center"/>
        </w:trPr>
        <w:tc>
          <w:tcPr>
            <w:tcW w:w="2553" w:type="dxa"/>
          </w:tcPr>
          <w:p>
            <w:pPr>
              <w:pStyle w:val="TableAm"/>
              <w:rPr>
                <w:sz w:val="22"/>
                <w:szCs w:val="22"/>
              </w:rPr>
            </w:pPr>
            <w:r>
              <w:rPr>
                <w:sz w:val="22"/>
                <w:szCs w:val="22"/>
              </w:rPr>
              <w:t>Sch. 1 Div. 2 it. 10(c)</w:t>
            </w:r>
          </w:p>
        </w:tc>
        <w:tc>
          <w:tcPr>
            <w:tcW w:w="2125" w:type="dxa"/>
          </w:tcPr>
          <w:p>
            <w:pPr>
              <w:pStyle w:val="TableAm"/>
              <w:rPr>
                <w:sz w:val="22"/>
                <w:szCs w:val="22"/>
              </w:rPr>
            </w:pPr>
            <w:r>
              <w:rPr>
                <w:sz w:val="22"/>
                <w:szCs w:val="22"/>
              </w:rPr>
              <w:t>$2 404</w:t>
            </w:r>
          </w:p>
        </w:tc>
        <w:tc>
          <w:tcPr>
            <w:tcW w:w="2126" w:type="dxa"/>
          </w:tcPr>
          <w:p>
            <w:pPr>
              <w:pStyle w:val="TableAm"/>
              <w:rPr>
                <w:sz w:val="22"/>
                <w:szCs w:val="22"/>
              </w:rPr>
            </w:pPr>
            <w:r>
              <w:rPr>
                <w:sz w:val="22"/>
                <w:szCs w:val="22"/>
              </w:rPr>
              <w:t>$2 645</w:t>
            </w:r>
          </w:p>
        </w:tc>
      </w:tr>
    </w:tbl>
    <w:p>
      <w:pPr>
        <w:pStyle w:val="BlankClose"/>
      </w:pP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70" w:name="_Toc513793307"/>
      <w:bookmarkStart w:id="71" w:name="_Toc514929246"/>
      <w:r>
        <w:rPr>
          <w:sz w:val="28"/>
        </w:rPr>
        <w:t>Defined terms</w:t>
      </w:r>
      <w:bookmarkEnd w:id="70"/>
      <w:bookmarkEnd w:id="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Benefits Schedule</w:t>
      </w:r>
      <w:r>
        <w:tab/>
        <w:t>3(1)</w:t>
      </w:r>
    </w:p>
    <w:p>
      <w:pPr>
        <w:pStyle w:val="DefinedTerms"/>
      </w:pPr>
      <w:r>
        <w:t>chargeable patient</w:t>
      </w:r>
      <w:r>
        <w:tab/>
        <w:t>9(1)</w:t>
      </w:r>
    </w:p>
    <w:p>
      <w:pPr>
        <w:pStyle w:val="DefinedTerms"/>
      </w:pPr>
      <w:r>
        <w:t>compensable day patient</w:t>
      </w:r>
      <w:r>
        <w:tab/>
        <w:t>3(1)</w:t>
      </w:r>
    </w:p>
    <w:p>
      <w:pPr>
        <w:pStyle w:val="DefinedTerms"/>
      </w:pPr>
      <w:r>
        <w:t>compensable in</w:t>
      </w:r>
      <w:r>
        <w:noBreakHyphen/>
        <w:t>patient</w:t>
      </w:r>
      <w:r>
        <w:tab/>
        <w:t>3(1)</w:t>
      </w:r>
    </w:p>
    <w:p>
      <w:pPr>
        <w:pStyle w:val="DefinedTerms"/>
      </w:pPr>
      <w:r>
        <w:t>compensable out</w:t>
      </w:r>
      <w:r>
        <w:noBreakHyphen/>
        <w:t>patient</w:t>
      </w:r>
      <w:r>
        <w:tab/>
        <w:t>3(1)</w:t>
      </w:r>
    </w:p>
    <w:p>
      <w:pPr>
        <w:pStyle w:val="DefinedTerms"/>
      </w:pPr>
      <w:r>
        <w:t>compensable same day patient</w:t>
      </w:r>
      <w:r>
        <w:tab/>
        <w:t>3(1)</w:t>
      </w:r>
    </w:p>
    <w:p>
      <w:pPr>
        <w:pStyle w:val="DefinedTerms"/>
      </w:pPr>
      <w:r>
        <w:t>concessional beneficiary</w:t>
      </w:r>
      <w:r>
        <w:tab/>
        <w:t>3(1)</w:t>
      </w:r>
    </w:p>
    <w:p>
      <w:pPr>
        <w:pStyle w:val="DefinedTerms"/>
      </w:pPr>
      <w:r>
        <w:t>day hospital</w:t>
      </w:r>
      <w:r>
        <w:tab/>
        <w:t>3(1)</w:t>
      </w:r>
    </w:p>
    <w:p>
      <w:pPr>
        <w:pStyle w:val="DefinedTerms"/>
      </w:pPr>
      <w:r>
        <w:t>day patient</w:t>
      </w:r>
      <w:r>
        <w:tab/>
        <w:t>3(1)</w:t>
      </w:r>
    </w:p>
    <w:p>
      <w:pPr>
        <w:pStyle w:val="DefinedTerms"/>
      </w:pPr>
      <w:r>
        <w:t>DVA arrangement</w:t>
      </w:r>
      <w:r>
        <w:tab/>
        <w:t>3(1)</w:t>
      </w:r>
    </w:p>
    <w:p>
      <w:pPr>
        <w:pStyle w:val="DefinedTerms"/>
      </w:pPr>
      <w:r>
        <w:t>eligible day patient</w:t>
      </w:r>
      <w:r>
        <w:tab/>
        <w:t>3(1)</w:t>
      </w:r>
    </w:p>
    <w:p>
      <w:pPr>
        <w:pStyle w:val="DefinedTerms"/>
      </w:pPr>
      <w:r>
        <w:t>eligible out</w:t>
      </w:r>
      <w:r>
        <w:noBreakHyphen/>
        <w:t>patient</w:t>
      </w:r>
      <w:r>
        <w:tab/>
        <w:t>3(1)</w:t>
      </w:r>
    </w:p>
    <w:p>
      <w:pPr>
        <w:pStyle w:val="DefinedTerms"/>
      </w:pPr>
      <w:r>
        <w:t>eligible person</w:t>
      </w:r>
      <w:r>
        <w:tab/>
        <w:t>3(1)</w:t>
      </w:r>
    </w:p>
    <w:p>
      <w:pPr>
        <w:pStyle w:val="DefinedTerms"/>
      </w:pPr>
      <w:r>
        <w:t>eligible veteran in</w:t>
      </w:r>
      <w:r>
        <w:noBreakHyphen/>
        <w:t>patient</w:t>
      </w:r>
      <w:r>
        <w:tab/>
        <w:t>3(1)</w:t>
      </w:r>
    </w:p>
    <w:p>
      <w:pPr>
        <w:pStyle w:val="DefinedTerms"/>
      </w:pPr>
      <w:r>
        <w:t>eligible veteran out</w:t>
      </w:r>
      <w:r>
        <w:noBreakHyphen/>
        <w:t>patient</w:t>
      </w:r>
      <w:r>
        <w:tab/>
        <w:t>3(1)</w:t>
      </w:r>
    </w:p>
    <w:p>
      <w:pPr>
        <w:pStyle w:val="DefinedTerms"/>
      </w:pPr>
      <w:r>
        <w:t>eligible veteran same day patient</w:t>
      </w:r>
      <w:r>
        <w:tab/>
        <w:t>3(1)</w:t>
      </w:r>
    </w:p>
    <w:p>
      <w:pPr>
        <w:pStyle w:val="DefinedTerms"/>
      </w:pPr>
      <w:r>
        <w:t>entitlement card</w:t>
      </w:r>
      <w:r>
        <w:tab/>
        <w:t>3(1)</w:t>
      </w:r>
    </w:p>
    <w:p>
      <w:pPr>
        <w:pStyle w:val="DefinedTerms"/>
      </w:pPr>
      <w:r>
        <w:t>Gold Card</w:t>
      </w:r>
      <w:r>
        <w:tab/>
        <w:t>3(1)</w:t>
      </w:r>
    </w:p>
    <w:p>
      <w:pPr>
        <w:pStyle w:val="DefinedTerms"/>
      </w:pPr>
      <w:r>
        <w:t>hospital</w:t>
      </w:r>
      <w:r>
        <w:tab/>
        <w:t>3(1)</w:t>
      </w:r>
    </w:p>
    <w:p>
      <w:pPr>
        <w:pStyle w:val="DefinedTerms"/>
      </w:pPr>
      <w:r>
        <w:t>hospital bed</w:t>
      </w:r>
      <w:r>
        <w:tab/>
        <w:t>3(1)</w:t>
      </w:r>
    </w:p>
    <w:p>
      <w:pPr>
        <w:pStyle w:val="DefinedTerms"/>
      </w:pPr>
      <w:r>
        <w:t>ineligible day patient</w:t>
      </w:r>
      <w:r>
        <w:tab/>
        <w:t>3(1)</w:t>
      </w:r>
    </w:p>
    <w:p>
      <w:pPr>
        <w:pStyle w:val="DefinedTerms"/>
      </w:pPr>
      <w:r>
        <w:t>ineligible in</w:t>
      </w:r>
      <w:r>
        <w:noBreakHyphen/>
        <w:t>patient</w:t>
      </w:r>
      <w:r>
        <w:tab/>
        <w:t>3(1)</w:t>
      </w:r>
    </w:p>
    <w:p>
      <w:pPr>
        <w:pStyle w:val="DefinedTerms"/>
      </w:pPr>
      <w:r>
        <w:t>ineligible out</w:t>
      </w:r>
      <w:r>
        <w:noBreakHyphen/>
        <w:t>patient</w:t>
      </w:r>
      <w:r>
        <w:tab/>
        <w:t>3(1)</w:t>
      </w:r>
    </w:p>
    <w:p>
      <w:pPr>
        <w:pStyle w:val="DefinedTerms"/>
      </w:pPr>
      <w:r>
        <w:t>ineligible same day patient</w:t>
      </w:r>
      <w:r>
        <w:tab/>
        <w:t>3(1)</w:t>
      </w:r>
    </w:p>
    <w:p>
      <w:pPr>
        <w:pStyle w:val="DefinedTerms"/>
      </w:pPr>
      <w:r>
        <w:t>in</w:t>
      </w:r>
      <w:r>
        <w:noBreakHyphen/>
        <w:t>patient</w:t>
      </w:r>
      <w:r>
        <w:tab/>
        <w:t>3(1)</w:t>
      </w:r>
    </w:p>
    <w:p>
      <w:pPr>
        <w:pStyle w:val="DefinedTerms"/>
      </w:pPr>
      <w:r>
        <w:t>internal Territory</w:t>
      </w:r>
      <w:r>
        <w:tab/>
        <w:t>3(1)</w:t>
      </w:r>
    </w:p>
    <w:p>
      <w:pPr>
        <w:pStyle w:val="DefinedTerms"/>
      </w:pPr>
      <w:r>
        <w:t>listed amount</w:t>
      </w:r>
      <w:r>
        <w:tab/>
        <w:t>Sch. 1</w:t>
      </w:r>
    </w:p>
    <w:p>
      <w:pPr>
        <w:pStyle w:val="DefinedTerms"/>
      </w:pPr>
      <w:r>
        <w:t>MBS amount</w:t>
      </w:r>
      <w:r>
        <w:tab/>
        <w:t>Sch. 1</w:t>
      </w:r>
    </w:p>
    <w:p>
      <w:pPr>
        <w:pStyle w:val="DefinedTerms"/>
      </w:pPr>
      <w:r>
        <w:t>Medicare</w:t>
      </w:r>
      <w:r>
        <w:tab/>
        <w:t>3(1)</w:t>
      </w:r>
    </w:p>
    <w:p>
      <w:pPr>
        <w:pStyle w:val="DefinedTerms"/>
      </w:pPr>
      <w:r>
        <w:t>midwife</w:t>
      </w:r>
      <w:r>
        <w:tab/>
        <w:t>3(1)</w:t>
      </w:r>
    </w:p>
    <w:p>
      <w:pPr>
        <w:pStyle w:val="DefinedTerms"/>
      </w:pPr>
      <w:r>
        <w:t>midwifery service</w:t>
      </w:r>
      <w:r>
        <w:tab/>
        <w:t>3(1)</w:t>
      </w:r>
    </w:p>
    <w:p>
      <w:pPr>
        <w:pStyle w:val="DefinedTerms"/>
      </w:pPr>
      <w:r>
        <w:t>National Health Act</w:t>
      </w:r>
      <w:r>
        <w:tab/>
        <w:t>3(1)</w:t>
      </w:r>
    </w:p>
    <w:p>
      <w:pPr>
        <w:pStyle w:val="DefinedTerms"/>
      </w:pPr>
      <w:r>
        <w:t>nursing home bed</w:t>
      </w:r>
      <w:r>
        <w:tab/>
        <w:t>3(1)</w:t>
      </w:r>
    </w:p>
    <w:p>
      <w:pPr>
        <w:pStyle w:val="DefinedTerms"/>
      </w:pPr>
      <w:r>
        <w:t>nursing home type patient</w:t>
      </w:r>
      <w:r>
        <w:tab/>
        <w:t>3(1)</w:t>
      </w:r>
    </w:p>
    <w:p>
      <w:pPr>
        <w:pStyle w:val="DefinedTerms"/>
      </w:pPr>
      <w:r>
        <w:t>nursing home type private patient</w:t>
      </w:r>
      <w:r>
        <w:tab/>
        <w:t>3(1)</w:t>
      </w:r>
    </w:p>
    <w:p>
      <w:pPr>
        <w:pStyle w:val="DefinedTerms"/>
      </w:pPr>
      <w:r>
        <w:t>out</w:t>
      </w:r>
      <w:r>
        <w:noBreakHyphen/>
        <w:t>patient</w:t>
      </w:r>
      <w:r>
        <w:tab/>
        <w:t>3(1)</w:t>
      </w:r>
    </w:p>
    <w:p>
      <w:pPr>
        <w:pStyle w:val="DefinedTerms"/>
      </w:pPr>
      <w:r>
        <w:t>participating hospital</w:t>
      </w:r>
      <w:r>
        <w:tab/>
        <w:t>3(1)</w:t>
      </w:r>
    </w:p>
    <w:p>
      <w:pPr>
        <w:pStyle w:val="DefinedTerms"/>
      </w:pPr>
      <w:r>
        <w:t>PBS list</w:t>
      </w:r>
      <w:r>
        <w:tab/>
        <w:t>3(1)</w:t>
      </w:r>
    </w:p>
    <w:p>
      <w:pPr>
        <w:pStyle w:val="DefinedTerms"/>
      </w:pPr>
      <w:r>
        <w:t>PBS price</w:t>
      </w:r>
      <w:r>
        <w:tab/>
        <w:t>3(1)</w:t>
      </w:r>
    </w:p>
    <w:p>
      <w:pPr>
        <w:pStyle w:val="DefinedTerms"/>
      </w:pPr>
      <w:r>
        <w:t>pensioner</w:t>
      </w:r>
      <w:r>
        <w:tab/>
        <w:t>3(1)</w:t>
      </w:r>
    </w:p>
    <w:p>
      <w:pPr>
        <w:pStyle w:val="DefinedTerms"/>
      </w:pPr>
      <w:r>
        <w:t>pensioner concession card</w:t>
      </w:r>
      <w:r>
        <w:tab/>
        <w:t>3(1)</w:t>
      </w:r>
    </w:p>
    <w:p>
      <w:pPr>
        <w:pStyle w:val="DefinedTerms"/>
      </w:pPr>
      <w:r>
        <w:t>private in</w:t>
      </w:r>
      <w:r>
        <w:noBreakHyphen/>
        <w:t>patient</w:t>
      </w:r>
      <w:r>
        <w:tab/>
        <w:t>3(1)</w:t>
      </w:r>
    </w:p>
    <w:p>
      <w:pPr>
        <w:pStyle w:val="DefinedTerms"/>
      </w:pPr>
      <w:r>
        <w:t>private pathology out</w:t>
      </w:r>
      <w:r>
        <w:noBreakHyphen/>
        <w:t>patient</w:t>
      </w:r>
      <w:r>
        <w:tab/>
        <w:t>3(1)</w:t>
      </w:r>
    </w:p>
    <w:p>
      <w:pPr>
        <w:pStyle w:val="DefinedTerms"/>
      </w:pPr>
      <w:r>
        <w:t>private same day patient</w:t>
      </w:r>
      <w:r>
        <w:tab/>
        <w:t>3(1)</w:t>
      </w:r>
    </w:p>
    <w:p>
      <w:pPr>
        <w:pStyle w:val="DefinedTerms"/>
      </w:pPr>
      <w:r>
        <w:t>professional service</w:t>
      </w:r>
      <w:r>
        <w:tab/>
        <w:t>3(1)</w:t>
      </w:r>
    </w:p>
    <w:p>
      <w:pPr>
        <w:pStyle w:val="DefinedTerms"/>
      </w:pPr>
      <w:r>
        <w:t>Prostheses List</w:t>
      </w:r>
      <w:r>
        <w:tab/>
        <w:t>Sch. 1</w:t>
      </w:r>
    </w:p>
    <w:p>
      <w:pPr>
        <w:pStyle w:val="DefinedTerms"/>
      </w:pPr>
      <w:r>
        <w:t>provider hospital</w:t>
      </w:r>
      <w:r>
        <w:tab/>
        <w:t>7(1), 10(1)</w:t>
      </w:r>
    </w:p>
    <w:p>
      <w:pPr>
        <w:pStyle w:val="DefinedTerms"/>
      </w:pPr>
      <w:r>
        <w:t>public in</w:t>
      </w:r>
      <w:r>
        <w:noBreakHyphen/>
        <w:t>patient</w:t>
      </w:r>
      <w:r>
        <w:tab/>
        <w:t>3(1)</w:t>
      </w:r>
    </w:p>
    <w:p>
      <w:pPr>
        <w:pStyle w:val="DefinedTerms"/>
      </w:pPr>
      <w:r>
        <w:t>public same day patient</w:t>
      </w:r>
      <w:r>
        <w:tab/>
        <w:t>3(1)</w:t>
      </w:r>
    </w:p>
    <w:p>
      <w:pPr>
        <w:pStyle w:val="DefinedTerms"/>
      </w:pPr>
      <w:r>
        <w:t>same day patient</w:t>
      </w:r>
      <w:r>
        <w:tab/>
        <w:t>3(1)</w:t>
      </w:r>
    </w:p>
    <w:p>
      <w:pPr>
        <w:pStyle w:val="DefinedTerms"/>
      </w:pPr>
      <w:r>
        <w:t xml:space="preserve">surgically implanted prosthesis </w:t>
      </w:r>
      <w:r>
        <w:tab/>
        <w:t>3(1)</w:t>
      </w:r>
    </w:p>
    <w:p>
      <w:pPr>
        <w:pStyle w:val="DefinedTerms"/>
      </w:pPr>
      <w:r>
        <w:t>veteran</w:t>
      </w:r>
      <w:r>
        <w:tab/>
        <w:t>3(1)</w:t>
      </w:r>
    </w:p>
    <w:p>
      <w:pPr>
        <w:pStyle w:val="DefinedTerms"/>
      </w:pPr>
      <w:r>
        <w:t>White Card</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9" w:name="Schedule"/>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2" w:name="DefinedTerms"/>
    <w:bookmarkEnd w:id="7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 w:name="Coversheet"/>
    <w:bookmarkEnd w:id="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1014212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52903-F68B-4436-BE2D-607FF590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7821</Words>
  <Characters>38795</Characters>
  <Application>Microsoft Office Word</Application>
  <DocSecurity>0</DocSecurity>
  <Lines>1939</Lines>
  <Paragraphs>1503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2016 - 00-k0-00</dc:title>
  <dc:subject/>
  <dc:creator/>
  <cp:keywords/>
  <dc:description/>
  <cp:lastModifiedBy>svcMRProcess</cp:lastModifiedBy>
  <cp:revision>4</cp:revision>
  <cp:lastPrinted>2018-05-24T08:06:00Z</cp:lastPrinted>
  <dcterms:created xsi:type="dcterms:W3CDTF">2018-09-19T23:38:00Z</dcterms:created>
  <dcterms:modified xsi:type="dcterms:W3CDTF">2018-09-19T23:38:00Z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AsAtDate">
    <vt:lpwstr>25 May 2018</vt:lpwstr>
  </property>
  <property fmtid="{D5CDD505-2E9C-101B-9397-08002B2CF9AE}" pid="6" name="Suffix">
    <vt:lpwstr>00-k0-00</vt:lpwstr>
  </property>
  <property fmtid="{D5CDD505-2E9C-101B-9397-08002B2CF9AE}" pid="7" name="CommencementDate">
    <vt:lpwstr>20180525</vt:lpwstr>
  </property>
</Properties>
</file>