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_Toc514925620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_Toc514925621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_Toc514925622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_Toc514925623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_Toc514925624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_Toc514925625 \h </w:instrText>
      </w:r>
      <w:r>
        <w:fldChar w:fldCharType="separate"/>
      </w:r>
      <w:r>
        <w:t>2</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_Toc514925626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_Toc514925627 \h </w:instrText>
      </w:r>
      <w:r>
        <w:fldChar w:fldCharType="separate"/>
      </w:r>
      <w:r>
        <w:t>3</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_Toc514925628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_Toc514925629 \h </w:instrText>
      </w:r>
      <w:r>
        <w:fldChar w:fldCharType="separate"/>
      </w:r>
      <w:r>
        <w:t>4</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_Toc514925630 \h </w:instrText>
      </w:r>
      <w:r>
        <w:fldChar w:fldCharType="separate"/>
      </w:r>
      <w:r>
        <w:t>4</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_Toc514925631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The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_Toc514925638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_Toc514925639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3" w:name="_Toc514925620"/>
      <w:r>
        <w:rPr>
          <w:rStyle w:val="CharSectno"/>
        </w:rPr>
        <w:t>1</w:t>
      </w:r>
      <w:r>
        <w:t>.</w:t>
      </w:r>
      <w:r>
        <w:tab/>
        <w:t>Citation</w:t>
      </w:r>
      <w:bookmarkEnd w:id="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514925621"/>
      <w:r>
        <w:rPr>
          <w:rStyle w:val="CharSectno"/>
        </w:rPr>
        <w:t>2</w:t>
      </w:r>
      <w:r>
        <w:t>.</w:t>
      </w:r>
      <w:r>
        <w:tab/>
        <w:t>Commencement</w:t>
      </w:r>
      <w:bookmarkEnd w:id="4"/>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5" w:name="_Toc514925622"/>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6" w:name="_Toc514925623"/>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7" w:name="_Toc514925624"/>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8" w:name="_Toc514925625"/>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9" w:name="_Toc514925626"/>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514925627"/>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1" w:name="_Toc514925628"/>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514925629"/>
      <w:r>
        <w:rPr>
          <w:rStyle w:val="CharSectno"/>
        </w:rPr>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514925630"/>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514925631"/>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419375132"/>
      <w:bookmarkStart w:id="16" w:name="_Toc419375152"/>
      <w:bookmarkStart w:id="17" w:name="_Toc419453274"/>
      <w:bookmarkStart w:id="18" w:name="_Toc423505387"/>
      <w:bookmarkStart w:id="19" w:name="_Toc423505500"/>
      <w:bookmarkStart w:id="20" w:name="_Toc450911571"/>
      <w:bookmarkStart w:id="21" w:name="_Toc455147394"/>
      <w:bookmarkStart w:id="22" w:name="_Toc455147457"/>
      <w:bookmarkStart w:id="23" w:name="_Toc483483625"/>
      <w:bookmarkStart w:id="24" w:name="_Toc483559381"/>
      <w:bookmarkStart w:id="25" w:name="_Toc483559667"/>
      <w:bookmarkStart w:id="26" w:name="_Toc485630140"/>
      <w:bookmarkStart w:id="27" w:name="_Toc486509465"/>
      <w:bookmarkStart w:id="28" w:name="_Toc514925632"/>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29" w:name="_Toc419375133"/>
      <w:bookmarkStart w:id="30" w:name="_Toc419375153"/>
      <w:bookmarkStart w:id="31" w:name="_Toc419453275"/>
      <w:bookmarkStart w:id="32" w:name="_Toc423505388"/>
      <w:bookmarkStart w:id="33" w:name="_Toc423505501"/>
      <w:bookmarkStart w:id="34" w:name="_Toc450911572"/>
      <w:bookmarkStart w:id="35" w:name="_Toc455147395"/>
      <w:bookmarkStart w:id="36" w:name="_Toc455147458"/>
      <w:bookmarkStart w:id="37" w:name="_Toc483483626"/>
      <w:bookmarkStart w:id="38" w:name="_Toc483559382"/>
      <w:bookmarkStart w:id="39" w:name="_Toc483559668"/>
      <w:bookmarkStart w:id="40" w:name="_Toc485630141"/>
      <w:bookmarkStart w:id="41" w:name="_Toc486509466"/>
      <w:bookmarkStart w:id="42" w:name="_Toc514925633"/>
      <w:r>
        <w:rPr>
          <w:rStyle w:val="CharSchNo"/>
        </w:rPr>
        <w:t>Schedule 2</w:t>
      </w:r>
      <w:r>
        <w:t xml:space="preserve"> — </w:t>
      </w:r>
      <w:r>
        <w:rPr>
          <w:rStyle w:val="CharSchText"/>
        </w:rPr>
        <w:t>Licence fees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1 107.70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1 023.50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1 023.50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1 151.90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w:t>
      </w:r>
    </w:p>
    <w:p>
      <w:pPr>
        <w:pStyle w:val="yScheduleHeading"/>
      </w:pPr>
      <w:bookmarkStart w:id="43" w:name="_Toc419375134"/>
      <w:bookmarkStart w:id="44" w:name="_Toc419375154"/>
      <w:bookmarkStart w:id="45" w:name="_Toc419453276"/>
      <w:bookmarkStart w:id="46" w:name="_Toc423505389"/>
      <w:bookmarkStart w:id="47" w:name="_Toc423505502"/>
      <w:bookmarkStart w:id="48" w:name="_Toc450911573"/>
      <w:bookmarkStart w:id="49" w:name="_Toc455147396"/>
      <w:bookmarkStart w:id="50" w:name="_Toc455147459"/>
      <w:bookmarkStart w:id="51" w:name="_Toc483483627"/>
      <w:bookmarkStart w:id="52" w:name="_Toc483559383"/>
      <w:bookmarkStart w:id="53" w:name="_Toc483559669"/>
      <w:bookmarkStart w:id="54" w:name="_Toc485630142"/>
      <w:bookmarkStart w:id="55" w:name="_Toc486509467"/>
      <w:bookmarkStart w:id="56" w:name="_Toc514925634"/>
      <w:r>
        <w:rPr>
          <w:rStyle w:val="CharSchNo"/>
        </w:rPr>
        <w:t>Schedule 3</w:t>
      </w:r>
      <w:r>
        <w:t xml:space="preserve"> — </w:t>
      </w:r>
      <w:r>
        <w:rPr>
          <w:rStyle w:val="CharSchText"/>
        </w:rPr>
        <w:t>Infringement notice offences and modified penalties</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57" w:name="_Toc419375135"/>
      <w:bookmarkStart w:id="58" w:name="_Toc419375155"/>
      <w:bookmarkStart w:id="59" w:name="_Toc419453277"/>
      <w:bookmarkStart w:id="60" w:name="_Toc423505390"/>
      <w:bookmarkStart w:id="61" w:name="_Toc423505503"/>
      <w:bookmarkStart w:id="62" w:name="_Toc450911574"/>
      <w:bookmarkStart w:id="63" w:name="_Toc455147397"/>
      <w:bookmarkStart w:id="64" w:name="_Toc455147460"/>
      <w:bookmarkStart w:id="65" w:name="_Toc483483628"/>
      <w:bookmarkStart w:id="66" w:name="_Toc483559384"/>
      <w:bookmarkStart w:id="67" w:name="_Toc483559670"/>
      <w:bookmarkStart w:id="68" w:name="_Toc485630143"/>
      <w:bookmarkStart w:id="69" w:name="_Toc486509468"/>
      <w:bookmarkStart w:id="70" w:name="_Toc514925635"/>
      <w:r>
        <w:rPr>
          <w:rStyle w:val="CharSchNo"/>
        </w:rPr>
        <w:t>Schedule 4</w:t>
      </w:r>
      <w:r>
        <w:t xml:space="preserve"> — </w:t>
      </w:r>
      <w:r>
        <w:rPr>
          <w:rStyle w:val="CharSchText"/>
        </w:rPr>
        <w:t>Form of infringement notice</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71" w:name="_Toc419375136"/>
      <w:bookmarkStart w:id="72" w:name="_Toc419375156"/>
      <w:bookmarkStart w:id="73" w:name="_Toc419453278"/>
      <w:bookmarkStart w:id="74" w:name="_Toc423505391"/>
      <w:bookmarkStart w:id="75" w:name="_Toc423505504"/>
      <w:bookmarkStart w:id="76" w:name="_Toc450911575"/>
      <w:bookmarkStart w:id="77" w:name="_Toc455147398"/>
      <w:bookmarkStart w:id="78" w:name="_Toc455147461"/>
      <w:bookmarkStart w:id="79" w:name="_Toc483483629"/>
      <w:bookmarkStart w:id="80" w:name="_Toc483559385"/>
      <w:bookmarkStart w:id="81" w:name="_Toc483559671"/>
      <w:bookmarkStart w:id="82" w:name="_Toc485630144"/>
      <w:bookmarkStart w:id="83" w:name="_Toc486509469"/>
      <w:bookmarkStart w:id="84" w:name="_Toc514925636"/>
      <w:r>
        <w:rPr>
          <w:rStyle w:val="CharSchNo"/>
        </w:rPr>
        <w:t>Schedule 5</w:t>
      </w:r>
      <w:r>
        <w:t xml:space="preserve"> — </w:t>
      </w:r>
      <w:r>
        <w:rPr>
          <w:rStyle w:val="CharSchText"/>
        </w:rPr>
        <w:t>Form of notice of withdrawal of infringement notice</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6" w:name="_Toc419375137"/>
      <w:bookmarkStart w:id="87" w:name="_Toc419375157"/>
      <w:bookmarkStart w:id="88" w:name="_Toc419453279"/>
      <w:bookmarkStart w:id="89" w:name="_Toc423505392"/>
      <w:bookmarkStart w:id="90" w:name="_Toc423505505"/>
      <w:bookmarkStart w:id="91" w:name="_Toc450911576"/>
      <w:bookmarkStart w:id="92" w:name="_Toc455147399"/>
      <w:bookmarkStart w:id="93" w:name="_Toc455147462"/>
      <w:bookmarkStart w:id="94" w:name="_Toc483483630"/>
      <w:bookmarkStart w:id="95" w:name="_Toc483559386"/>
      <w:bookmarkStart w:id="96" w:name="_Toc483559672"/>
      <w:bookmarkStart w:id="97" w:name="_Toc485630145"/>
      <w:bookmarkStart w:id="98" w:name="_Toc486509470"/>
      <w:bookmarkStart w:id="99" w:name="_Toc514925637"/>
      <w:r>
        <w:t>Notes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0" w:name="_Toc514925638"/>
      <w:r>
        <w:t>Compilation table</w:t>
      </w:r>
      <w:bookmarkEnd w:id="10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4"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2017</w:t>
            </w:r>
            <w:r>
              <w:t xml:space="preserve"> Pt. 4</w:t>
            </w:r>
          </w:p>
        </w:tc>
        <w:tc>
          <w:tcPr>
            <w:tcW w:w="1276" w:type="dxa"/>
            <w:tcBorders>
              <w:bottom w:val="single" w:sz="4" w:space="0" w:color="auto"/>
            </w:tcBorders>
            <w:shd w:val="clear" w:color="auto" w:fill="auto"/>
          </w:tcPr>
          <w:p>
            <w:pPr>
              <w:pStyle w:val="nTable"/>
              <w:spacing w:after="40"/>
            </w:pPr>
            <w:r>
              <w:t>26 May 2017 p. 2639</w:t>
            </w:r>
            <w:r>
              <w:noBreakHyphen/>
              <w:t>45</w:t>
            </w:r>
          </w:p>
        </w:tc>
        <w:tc>
          <w:tcPr>
            <w:tcW w:w="2694" w:type="dxa"/>
            <w:tcBorders>
              <w:bottom w:val="single" w:sz="4" w:space="0" w:color="auto"/>
            </w:tcBorders>
            <w:shd w:val="clear" w:color="auto" w:fill="auto"/>
          </w:tcPr>
          <w:p>
            <w:pPr>
              <w:pStyle w:val="nTable"/>
              <w:spacing w:after="40"/>
              <w:rPr>
                <w:bCs/>
                <w:snapToGrid w:val="0"/>
              </w:rPr>
            </w:pPr>
            <w:r>
              <w:t>1 Jul 2017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 w:name="_Toc514925639"/>
      <w:r>
        <w:t>Provisions that have not come into operation</w:t>
      </w:r>
      <w:bookmarkEnd w:id="10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Transport Regulations Amendment (Fees and Charges) Regulations 2018 </w:t>
            </w:r>
            <w:r>
              <w:t>Pt. 3 </w:t>
            </w:r>
            <w:r>
              <w:rPr>
                <w:vertAlign w:val="superscript"/>
              </w:rPr>
              <w:t>3</w:t>
            </w:r>
          </w:p>
        </w:tc>
        <w:tc>
          <w:tcPr>
            <w:tcW w:w="1276" w:type="dxa"/>
            <w:tcBorders>
              <w:top w:val="single" w:sz="8" w:space="0" w:color="auto"/>
              <w:bottom w:val="single" w:sz="8" w:space="0" w:color="auto"/>
            </w:tcBorders>
          </w:tcPr>
          <w:p>
            <w:pPr>
              <w:pStyle w:val="nTable"/>
              <w:spacing w:after="40"/>
            </w:pPr>
            <w:r>
              <w:t>25 May 2018 p. 1640</w:t>
            </w:r>
            <w:r>
              <w:noBreakHyphen/>
              <w:t>7</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3 </w:t>
      </w:r>
      <w:r>
        <w:rPr>
          <w:snapToGrid w:val="0"/>
        </w:rPr>
        <w:t>had not come into operation.  It reads as follows:</w:t>
      </w:r>
    </w:p>
    <w:p>
      <w:pPr>
        <w:pStyle w:val="BlankOpen"/>
        <w:rPr>
          <w:vertAlign w:val="superscript"/>
        </w:rPr>
      </w:pPr>
    </w:p>
    <w:p>
      <w:pPr>
        <w:pStyle w:val="nzHeading2"/>
      </w:pPr>
      <w:bookmarkStart w:id="102" w:name="_Toc510610020"/>
      <w:bookmarkStart w:id="103" w:name="_Toc510610123"/>
      <w:bookmarkStart w:id="104" w:name="_Toc510625132"/>
      <w:bookmarkStart w:id="105" w:name="_Toc510625166"/>
      <w:bookmarkStart w:id="106" w:name="_Toc510625234"/>
      <w:bookmarkStart w:id="107" w:name="_Toc510625332"/>
      <w:bookmarkStart w:id="108" w:name="_Toc510625391"/>
      <w:bookmarkStart w:id="109" w:name="_Toc510625530"/>
      <w:bookmarkStart w:id="110" w:name="_Toc510626598"/>
      <w:bookmarkStart w:id="111" w:name="_Toc510778821"/>
      <w:bookmarkStart w:id="112" w:name="_Toc510778857"/>
      <w:bookmarkStart w:id="113" w:name="_Toc510779303"/>
      <w:bookmarkStart w:id="114" w:name="_Toc510792364"/>
      <w:bookmarkStart w:id="115" w:name="_Toc510792768"/>
      <w:bookmarkStart w:id="116" w:name="_Toc510792881"/>
      <w:bookmarkStart w:id="117" w:name="_Toc511055471"/>
      <w:bookmarkStart w:id="118" w:name="_Toc511141416"/>
      <w:bookmarkStart w:id="119" w:name="_Toc511294309"/>
      <w:bookmarkStart w:id="120" w:name="_Toc511306208"/>
      <w:bookmarkStart w:id="121" w:name="_Toc511326452"/>
      <w:bookmarkStart w:id="122" w:name="_Toc511326487"/>
      <w:bookmarkStart w:id="123" w:name="_Toc511643539"/>
      <w:bookmarkStart w:id="124" w:name="_Toc511648255"/>
      <w:bookmarkStart w:id="125" w:name="_Toc511648290"/>
      <w:r>
        <w:rPr>
          <w:rStyle w:val="CharPartNo"/>
        </w:rPr>
        <w:t>Part 3</w:t>
      </w:r>
      <w:r>
        <w:rPr>
          <w:rStyle w:val="CharDivNo"/>
        </w:rPr>
        <w:t> </w:t>
      </w:r>
      <w:r>
        <w:t>—</w:t>
      </w:r>
      <w:r>
        <w:rPr>
          <w:rStyle w:val="CharDivText"/>
        </w:rPr>
        <w:t> </w:t>
      </w:r>
      <w:r>
        <w:rPr>
          <w:rStyle w:val="CharPartText"/>
          <w:i/>
        </w:rPr>
        <w:t>Perth Parking Management Regulations 1999</w:t>
      </w:r>
      <w:r>
        <w:rPr>
          <w:rStyle w:val="CharPartText"/>
        </w:rPr>
        <w:t> amended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nzHeading5"/>
        <w:rPr>
          <w:snapToGrid w:val="0"/>
        </w:rPr>
      </w:pPr>
      <w:bookmarkStart w:id="126" w:name="_Toc511648256"/>
      <w:bookmarkStart w:id="127" w:name="_Toc511648291"/>
      <w:r>
        <w:rPr>
          <w:rStyle w:val="CharSectno"/>
        </w:rPr>
        <w:t>7</w:t>
      </w:r>
      <w:r>
        <w:rPr>
          <w:snapToGrid w:val="0"/>
        </w:rPr>
        <w:t>.</w:t>
      </w:r>
      <w:r>
        <w:rPr>
          <w:snapToGrid w:val="0"/>
        </w:rPr>
        <w:tab/>
        <w:t>Regulations amended</w:t>
      </w:r>
      <w:bookmarkEnd w:id="126"/>
      <w:bookmarkEnd w:id="127"/>
    </w:p>
    <w:p>
      <w:pPr>
        <w:pStyle w:val="nzSubsection"/>
      </w:pPr>
      <w:r>
        <w:tab/>
      </w:r>
      <w:r>
        <w:tab/>
        <w:t xml:space="preserve">This Part amends the </w:t>
      </w:r>
      <w:r>
        <w:rPr>
          <w:i/>
        </w:rPr>
        <w:t>Perth Parking Management Regulations 1999</w:t>
      </w:r>
      <w:r>
        <w:t>.</w:t>
      </w:r>
    </w:p>
    <w:p>
      <w:pPr>
        <w:pStyle w:val="nzHeading5"/>
      </w:pPr>
      <w:bookmarkStart w:id="128" w:name="_Toc511648257"/>
      <w:bookmarkStart w:id="129" w:name="_Toc511648292"/>
      <w:r>
        <w:rPr>
          <w:rStyle w:val="CharSectno"/>
        </w:rPr>
        <w:t>8</w:t>
      </w:r>
      <w:r>
        <w:t>.</w:t>
      </w:r>
      <w:r>
        <w:tab/>
        <w:t>Schedule 2 amended</w:t>
      </w:r>
      <w:bookmarkEnd w:id="128"/>
      <w:bookmarkEnd w:id="129"/>
    </w:p>
    <w:p>
      <w:pPr>
        <w:pStyle w:val="nzSubsection"/>
      </w:pPr>
      <w:r>
        <w:tab/>
      </w:r>
      <w:r>
        <w:tab/>
        <w:t>In Schedule 2 delete item 11 and insert:</w:t>
      </w:r>
    </w:p>
    <w:p>
      <w:pPr>
        <w:pStyle w:val="BlankOpen"/>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rPr>
        <w:tc>
          <w:tcPr>
            <w:tcW w:w="798" w:type="dxa"/>
            <w:tcBorders>
              <w:top w:val="single" w:sz="4" w:space="0" w:color="auto"/>
              <w:bottom w:val="nil"/>
              <w:right w:val="single" w:sz="4" w:space="0" w:color="auto"/>
            </w:tcBorders>
          </w:tcPr>
          <w:p>
            <w:pPr>
              <w:pStyle w:val="yTableNAm"/>
              <w:rPr>
                <w:sz w:val="20"/>
              </w:rPr>
            </w:pPr>
            <w:r>
              <w:rPr>
                <w:sz w:val="20"/>
              </w:rPr>
              <w:t>11.</w:t>
            </w:r>
          </w:p>
        </w:tc>
        <w:tc>
          <w:tcPr>
            <w:tcW w:w="5104" w:type="dxa"/>
            <w:tcBorders>
              <w:top w:val="single" w:sz="4" w:space="0" w:color="auto"/>
              <w:left w:val="single" w:sz="4" w:space="0" w:color="auto"/>
              <w:bottom w:val="nil"/>
            </w:tcBorders>
          </w:tcPr>
          <w:p>
            <w:pPr>
              <w:pStyle w:val="yTableNAm"/>
              <w:rPr>
                <w:sz w:val="20"/>
              </w:rPr>
            </w:pPr>
            <w:r>
              <w:rPr>
                <w:sz w:val="20"/>
              </w:rP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rPr>
                <w:sz w:val="20"/>
              </w:rPr>
            </w:pPr>
          </w:p>
        </w:tc>
      </w:tr>
      <w:tr>
        <w:trPr>
          <w:cantSplit/>
        </w:trPr>
        <w:tc>
          <w:tcPr>
            <w:tcW w:w="798" w:type="dxa"/>
            <w:tcBorders>
              <w:top w:val="nil"/>
              <w:left w:val="single" w:sz="4" w:space="0" w:color="auto"/>
              <w:bottom w:val="nil"/>
              <w:right w:val="single" w:sz="4" w:space="0" w:color="auto"/>
            </w:tcBorders>
          </w:tcPr>
          <w:p>
            <w:pPr>
              <w:pStyle w:val="zyTableNAm"/>
              <w:rPr>
                <w:sz w:val="20"/>
              </w:rPr>
            </w:pPr>
          </w:p>
        </w:tc>
        <w:tc>
          <w:tcPr>
            <w:tcW w:w="5104" w:type="dxa"/>
            <w:tcBorders>
              <w:top w:val="nil"/>
              <w:left w:val="single" w:sz="4" w:space="0" w:color="auto"/>
              <w:bottom w:val="nil"/>
              <w:right w:val="single" w:sz="4" w:space="0" w:color="auto"/>
            </w:tcBorders>
          </w:tcPr>
          <w:p>
            <w:pPr>
              <w:pStyle w:val="yTableNAm"/>
              <w:rPr>
                <w:sz w:val="20"/>
              </w:rPr>
            </w:pPr>
            <w:r>
              <w:rPr>
                <w:sz w:val="20"/>
              </w:rPr>
              <w:t>(a)</w:t>
            </w:r>
            <w:r>
              <w:rPr>
                <w:sz w:val="20"/>
              </w:rP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rPr>
                <w:sz w:val="20"/>
              </w:rPr>
            </w:pPr>
            <w:r>
              <w:rPr>
                <w:sz w:val="20"/>
              </w:rPr>
              <w:t>nil</w:t>
            </w:r>
          </w:p>
        </w:tc>
      </w:tr>
      <w:tr>
        <w:trPr>
          <w:cantSplit/>
        </w:trPr>
        <w:tc>
          <w:tcPr>
            <w:tcW w:w="798" w:type="dxa"/>
            <w:tcBorders>
              <w:top w:val="nil"/>
              <w:left w:val="single" w:sz="4" w:space="0" w:color="auto"/>
              <w:bottom w:val="nil"/>
              <w:right w:val="single" w:sz="4" w:space="0" w:color="auto"/>
            </w:tcBorders>
          </w:tcPr>
          <w:p>
            <w:pPr>
              <w:pStyle w:val="zyTableNAm"/>
              <w:rPr>
                <w:sz w:val="20"/>
              </w:rPr>
            </w:pPr>
          </w:p>
        </w:tc>
        <w:tc>
          <w:tcPr>
            <w:tcW w:w="5104" w:type="dxa"/>
            <w:tcBorders>
              <w:top w:val="nil"/>
              <w:left w:val="single" w:sz="4" w:space="0" w:color="auto"/>
              <w:bottom w:val="nil"/>
              <w:right w:val="single" w:sz="4" w:space="0" w:color="auto"/>
            </w:tcBorders>
          </w:tcPr>
          <w:p>
            <w:pPr>
              <w:pStyle w:val="yTableNAm"/>
              <w:ind w:left="567" w:hanging="567"/>
              <w:rPr>
                <w:sz w:val="20"/>
              </w:rPr>
            </w:pPr>
            <w:r>
              <w:rPr>
                <w:sz w:val="20"/>
              </w:rPr>
              <w:t>(b)</w:t>
            </w:r>
            <w:r>
              <w:rPr>
                <w:sz w:val="20"/>
              </w:rP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rPr>
                <w:sz w:val="20"/>
              </w:rPr>
            </w:pPr>
            <w:r>
              <w:rPr>
                <w:sz w:val="20"/>
              </w:rPr>
              <w:t>1 124.40</w:t>
            </w:r>
          </w:p>
        </w:tc>
      </w:tr>
      <w:tr>
        <w:trPr>
          <w:cantSplit/>
        </w:trPr>
        <w:tc>
          <w:tcPr>
            <w:tcW w:w="798" w:type="dxa"/>
            <w:tcBorders>
              <w:top w:val="nil"/>
              <w:left w:val="single" w:sz="4" w:space="0" w:color="auto"/>
              <w:bottom w:val="nil"/>
              <w:right w:val="single" w:sz="4" w:space="0" w:color="auto"/>
            </w:tcBorders>
          </w:tcPr>
          <w:p>
            <w:pPr>
              <w:pStyle w:val="zyTableNAm"/>
              <w:rPr>
                <w:sz w:val="20"/>
              </w:rPr>
            </w:pPr>
          </w:p>
        </w:tc>
        <w:tc>
          <w:tcPr>
            <w:tcW w:w="5104" w:type="dxa"/>
            <w:tcBorders>
              <w:top w:val="nil"/>
              <w:left w:val="single" w:sz="4" w:space="0" w:color="auto"/>
              <w:bottom w:val="nil"/>
              <w:right w:val="single" w:sz="4" w:space="0" w:color="auto"/>
            </w:tcBorders>
          </w:tcPr>
          <w:p>
            <w:pPr>
              <w:pStyle w:val="yTableNAm"/>
              <w:rPr>
                <w:sz w:val="20"/>
              </w:rPr>
            </w:pPr>
            <w:r>
              <w:rPr>
                <w:sz w:val="20"/>
              </w:rPr>
              <w:t>(c)</w:t>
            </w:r>
            <w:r>
              <w:rPr>
                <w:sz w:val="20"/>
              </w:rP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rPr>
                <w:sz w:val="20"/>
              </w:rPr>
            </w:pPr>
            <w:r>
              <w:rPr>
                <w:sz w:val="20"/>
              </w:rPr>
              <w:t>1 038.90</w:t>
            </w:r>
          </w:p>
        </w:tc>
      </w:tr>
      <w:tr>
        <w:trPr>
          <w:cantSplit/>
        </w:trPr>
        <w:tc>
          <w:tcPr>
            <w:tcW w:w="798" w:type="dxa"/>
            <w:tcBorders>
              <w:top w:val="nil"/>
              <w:left w:val="single" w:sz="4" w:space="0" w:color="auto"/>
              <w:bottom w:val="nil"/>
              <w:right w:val="single" w:sz="4" w:space="0" w:color="auto"/>
            </w:tcBorders>
          </w:tcPr>
          <w:p>
            <w:pPr>
              <w:pStyle w:val="zyTableNAm"/>
              <w:rPr>
                <w:sz w:val="20"/>
              </w:rPr>
            </w:pPr>
          </w:p>
        </w:tc>
        <w:tc>
          <w:tcPr>
            <w:tcW w:w="5104" w:type="dxa"/>
            <w:tcBorders>
              <w:top w:val="nil"/>
              <w:left w:val="single" w:sz="4" w:space="0" w:color="auto"/>
              <w:bottom w:val="nil"/>
              <w:right w:val="single" w:sz="4" w:space="0" w:color="auto"/>
            </w:tcBorders>
          </w:tcPr>
          <w:p>
            <w:pPr>
              <w:pStyle w:val="yTableNAm"/>
              <w:ind w:left="567" w:hanging="567"/>
              <w:rPr>
                <w:sz w:val="20"/>
              </w:rPr>
            </w:pPr>
            <w:r>
              <w:rPr>
                <w:sz w:val="20"/>
              </w:rPr>
              <w:t>(d)</w:t>
            </w:r>
            <w:r>
              <w:rPr>
                <w:sz w:val="20"/>
              </w:rP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rPr>
                <w:sz w:val="20"/>
              </w:rPr>
            </w:pPr>
            <w:r>
              <w:rPr>
                <w:sz w:val="20"/>
              </w:rPr>
              <w:t>1 038.90</w:t>
            </w:r>
          </w:p>
        </w:tc>
      </w:tr>
      <w:tr>
        <w:trPr>
          <w:cantSplit/>
        </w:trPr>
        <w:tc>
          <w:tcPr>
            <w:tcW w:w="798" w:type="dxa"/>
            <w:tcBorders>
              <w:top w:val="nil"/>
              <w:bottom w:val="single" w:sz="4" w:space="0" w:color="auto"/>
              <w:right w:val="single" w:sz="4" w:space="0" w:color="auto"/>
            </w:tcBorders>
          </w:tcPr>
          <w:p>
            <w:pPr>
              <w:pStyle w:val="zyTableNAm"/>
              <w:rPr>
                <w:sz w:val="20"/>
              </w:rPr>
            </w:pPr>
          </w:p>
        </w:tc>
        <w:tc>
          <w:tcPr>
            <w:tcW w:w="5104" w:type="dxa"/>
            <w:tcBorders>
              <w:top w:val="nil"/>
              <w:left w:val="single" w:sz="4" w:space="0" w:color="auto"/>
              <w:bottom w:val="single" w:sz="4" w:space="0" w:color="auto"/>
            </w:tcBorders>
          </w:tcPr>
          <w:p>
            <w:pPr>
              <w:pStyle w:val="yTableNAm"/>
              <w:rPr>
                <w:sz w:val="20"/>
              </w:rPr>
            </w:pPr>
            <w:r>
              <w:rPr>
                <w:sz w:val="20"/>
              </w:rPr>
              <w:t>(e)</w:t>
            </w:r>
            <w:r>
              <w:rPr>
                <w:sz w:val="20"/>
              </w:rPr>
              <w:tab/>
              <w:t xml:space="preserve">for each other bay </w:t>
            </w:r>
          </w:p>
        </w:tc>
        <w:tc>
          <w:tcPr>
            <w:tcW w:w="1223" w:type="dxa"/>
            <w:tcBorders>
              <w:top w:val="nil"/>
              <w:bottom w:val="single" w:sz="4" w:space="0" w:color="auto"/>
            </w:tcBorders>
            <w:vAlign w:val="bottom"/>
          </w:tcPr>
          <w:p>
            <w:pPr>
              <w:pStyle w:val="yTableNAm"/>
              <w:rPr>
                <w:sz w:val="20"/>
              </w:rPr>
            </w:pPr>
            <w:r>
              <w:rPr>
                <w:sz w:val="20"/>
              </w:rPr>
              <w:t>1 169.20</w:t>
            </w:r>
          </w:p>
        </w:tc>
      </w:tr>
    </w:tbl>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1" w:name="_Toc419375159"/>
      <w:bookmarkStart w:id="132" w:name="_Toc419453282"/>
      <w:bookmarkStart w:id="133" w:name="_Toc423505394"/>
      <w:bookmarkStart w:id="134" w:name="_Toc423505507"/>
      <w:bookmarkStart w:id="135" w:name="_Toc450911579"/>
      <w:bookmarkStart w:id="136" w:name="_Toc455147401"/>
      <w:bookmarkStart w:id="137" w:name="_Toc455147464"/>
      <w:bookmarkStart w:id="138" w:name="_Toc483483633"/>
      <w:bookmarkStart w:id="139" w:name="_Toc483559389"/>
      <w:bookmarkStart w:id="140" w:name="_Toc483559675"/>
      <w:bookmarkStart w:id="141" w:name="_Toc485630147"/>
      <w:bookmarkStart w:id="142" w:name="_Toc486509472"/>
      <w:bookmarkStart w:id="143" w:name="_Toc514925640"/>
      <w:r>
        <w:rPr>
          <w:sz w:val="28"/>
        </w:rPr>
        <w:t>Defined terms</w:t>
      </w:r>
      <w:bookmarkEnd w:id="131"/>
      <w:bookmarkEnd w:id="132"/>
      <w:bookmarkEnd w:id="133"/>
      <w:bookmarkEnd w:id="134"/>
      <w:bookmarkEnd w:id="135"/>
      <w:bookmarkEnd w:id="136"/>
      <w:bookmarkEnd w:id="137"/>
      <w:bookmarkEnd w:id="138"/>
      <w:bookmarkEnd w:id="139"/>
      <w:bookmarkEnd w:id="140"/>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3754</Words>
  <Characters>18811</Characters>
  <Application>Microsoft Office Word</Application>
  <DocSecurity>0</DocSecurity>
  <Lines>696</Lines>
  <Paragraphs>425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1999 - 04-i0-00</dc:title>
  <dc:subject/>
  <dc:creator/>
  <cp:keywords/>
  <dc:description/>
  <cp:lastModifiedBy>svcMRProcess</cp:lastModifiedBy>
  <cp:revision>4</cp:revision>
  <cp:lastPrinted>2018-05-24T08:36:00Z</cp:lastPrinted>
  <dcterms:created xsi:type="dcterms:W3CDTF">2018-05-25T01:28:00Z</dcterms:created>
  <dcterms:modified xsi:type="dcterms:W3CDTF">2018-05-25T01:28:00Z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20180525</vt:lpwstr>
  </property>
  <property fmtid="{D5CDD505-2E9C-101B-9397-08002B2CF9AE}" pid="8" name="AsAtDate">
    <vt:lpwstr>25 May 2018</vt:lpwstr>
  </property>
  <property fmtid="{D5CDD505-2E9C-101B-9397-08002B2CF9AE}" pid="9" name="Suffix">
    <vt:lpwstr>04-i0-00</vt:lpwstr>
  </property>
</Properties>
</file>