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_Toc516817080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_Toc516817081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_Toc516817082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_Toc516817083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_Toc516817084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_Toc516817090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_Toc516817091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Registration of Deeds Act 1856</w:t>
      </w:r>
    </w:p>
    <w:p>
      <w:pPr>
        <w:pStyle w:val="NameofActReg"/>
      </w:pPr>
      <w:r>
        <w:t>Registration of Deeds Regulations 2004</w:t>
      </w:r>
    </w:p>
    <w:p>
      <w:pPr>
        <w:pStyle w:val="Heading5"/>
      </w:pPr>
      <w:bookmarkStart w:id="3" w:name="_Toc51681708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4" w:name="_Toc51681708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5" w:name="_Toc516817082"/>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6" w:name="_Toc516817083"/>
      <w:r>
        <w:rPr>
          <w:rStyle w:val="CharSectno"/>
        </w:rPr>
        <w:t>4</w:t>
      </w:r>
      <w:r>
        <w:t>.</w:t>
      </w:r>
      <w:r>
        <w:tab/>
        <w:t>Memorials for registration, requirements for etc.</w:t>
      </w:r>
      <w:bookmarkEnd w:id="6"/>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in Gazette 7 Jul 2006 p. 2512.]</w:t>
      </w:r>
    </w:p>
    <w:p>
      <w:pPr>
        <w:pStyle w:val="Heading5"/>
        <w:rPr>
          <w:snapToGrid w:val="0"/>
        </w:rPr>
      </w:pPr>
      <w:bookmarkStart w:id="7" w:name="_Toc516817084"/>
      <w:r>
        <w:rPr>
          <w:rStyle w:val="CharSectno"/>
        </w:rPr>
        <w:t>5</w:t>
      </w:r>
      <w:r>
        <w:t>.</w:t>
      </w:r>
      <w:r>
        <w:tab/>
      </w:r>
      <w:r>
        <w:rPr>
          <w:snapToGrid w:val="0"/>
        </w:rPr>
        <w:t>Fees (Sch. 1)</w:t>
      </w:r>
      <w:bookmarkEnd w:id="7"/>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8" w:name="_Toc516817085"/>
      <w:r>
        <w:rPr>
          <w:rStyle w:val="CharSchNo"/>
        </w:rPr>
        <w:t>Schedule 1</w:t>
      </w:r>
      <w:r>
        <w:t xml:space="preserve"> — </w:t>
      </w:r>
      <w:r>
        <w:rPr>
          <w:rStyle w:val="CharSchText"/>
        </w:rPr>
        <w:t>Fees to be charged by the Registrar</w:t>
      </w:r>
      <w:bookmarkEnd w:id="8"/>
    </w:p>
    <w:p>
      <w:pPr>
        <w:pStyle w:val="yShoulderClause"/>
        <w:spacing w:after="120"/>
        <w:rPr>
          <w:b/>
          <w:i/>
        </w:rPr>
      </w:pPr>
      <w:r>
        <w:t>[r. 5]</w:t>
      </w:r>
      <w:r>
        <w:rPr>
          <w:b/>
          <w:i/>
        </w:rPr>
        <w:t xml:space="preserve"> </w:t>
      </w:r>
    </w:p>
    <w:p>
      <w:pPr>
        <w:pStyle w:val="yHeading3"/>
        <w:spacing w:before="260" w:after="120"/>
      </w:pPr>
      <w:bookmarkStart w:id="9" w:name="_Toc516817086"/>
      <w:r>
        <w:rPr>
          <w:rStyle w:val="CharSDivNo"/>
        </w:rPr>
        <w:t>Division 1</w:t>
      </w:r>
      <w:r>
        <w:t> — </w:t>
      </w:r>
      <w:r>
        <w:rPr>
          <w:rStyle w:val="CharSDivText"/>
        </w:rPr>
        <w:t>Registrations</w:t>
      </w:r>
      <w:bookmarkEnd w:id="9"/>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$147.00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$147.00</w:t>
            </w:r>
          </w:p>
        </w:tc>
      </w:tr>
    </w:tbl>
    <w:p>
      <w:pPr>
        <w:pStyle w:val="yFootnotesection"/>
      </w:pPr>
      <w:r>
        <w:tab/>
        <w:t>[Division 1 amended in Gazette 24 Jun 2005 p. 2761; 7 Jul 2006 p. 2512; 25 Jun 2007 p. 2966</w:t>
      </w:r>
      <w:r>
        <w:noBreakHyphen/>
        <w:t>7; 20 Jun 2008 p. 2708; 9 Jan 2009 p. 28; 19 Jun 2009 p. 2242; 18 Jun 2010 p. 2677; 14 Jun 2011 p. 2137; 19 Jun 2015 p. 2135; 24 Jun 2016 p. 2321; 23 Jun 2017 p. 3181.]</w:t>
      </w:r>
    </w:p>
    <w:p>
      <w:pPr>
        <w:pStyle w:val="yHeading3"/>
        <w:spacing w:before="260" w:after="120"/>
      </w:pPr>
      <w:bookmarkStart w:id="10" w:name="_Toc516817087"/>
      <w:r>
        <w:rPr>
          <w:rStyle w:val="CharSDivNo"/>
        </w:rPr>
        <w:t>Division 2</w:t>
      </w:r>
      <w:r>
        <w:t xml:space="preserve"> — </w:t>
      </w:r>
      <w:r>
        <w:rPr>
          <w:rStyle w:val="CharSDivText"/>
        </w:rPr>
        <w:t>Reproduction of documents</w:t>
      </w:r>
      <w:bookmarkEnd w:id="10"/>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$25.30</w:t>
            </w:r>
          </w:p>
        </w:tc>
      </w:tr>
    </w:tbl>
    <w:p>
      <w:pPr>
        <w:pStyle w:val="yFootnotesection"/>
      </w:pPr>
      <w:r>
        <w:tab/>
        <w:t>[Division 2 amended in Gazette 7 Jul 2006 p. 2512; 25 Jun 2007 p. 2967; 20 Jun 2008 p. 2708; 9 Jan 2009 p. 29; 19 Jun 2009 p. 2242; 18 Jun 2010 p. 2677; 14 Jun 2011 p. 2137; 19 Jun 2015 p. 2135; 24 Jun 2016 p. 2321; 23 Jun 2017 p. 3181.]</w:t>
      </w:r>
    </w:p>
    <w:p>
      <w:pPr>
        <w:pStyle w:val="yHeading3"/>
        <w:spacing w:before="260" w:after="120"/>
      </w:pPr>
      <w:bookmarkStart w:id="11" w:name="_Toc516817088"/>
      <w:r>
        <w:rPr>
          <w:rStyle w:val="CharSDivNo"/>
        </w:rPr>
        <w:t>Division 3</w:t>
      </w:r>
      <w:r>
        <w:t> — </w:t>
      </w:r>
      <w:r>
        <w:rPr>
          <w:rStyle w:val="CharSDivText"/>
        </w:rPr>
        <w:t>Miscellaneous</w:t>
      </w:r>
      <w:bookmarkEnd w:id="11"/>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$61</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$147.00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in Gazette 24 Jun 2005 p. 2761; 7 Jul 2006 p. 2512; 25 Jun 2007 p. 2967; 20 Jun 2008 p. 2709; 9 Jan 2009 p. 29; 19 Jun 2009 p. 2242; 18 Jun 2010 p. 2677; 14 Jun 2011 p. 2137; 19 Jun 2015 p. 2135; 24 Jun 2016 p. 2321; 23 Jun 2017 p. 3181.]</w:t>
      </w:r>
    </w:p>
    <w:p>
      <w:pPr>
        <w:pStyle w:val="yEdnotedivision"/>
        <w:spacing w:before="240"/>
      </w:pPr>
      <w:r>
        <w:t>[Division 4 deleted in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13" w:name="_Toc516817089"/>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 w:name="_Toc516817090"/>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tcBorders>
              <w:bottom w:val="single" w:sz="8" w:space="0" w:color="auto"/>
            </w:tcBorders>
            <w:shd w:val="clear" w:color="auto" w:fill="auto"/>
          </w:tcPr>
          <w:p>
            <w:pPr>
              <w:pStyle w:val="nTable"/>
              <w:spacing w:after="40"/>
            </w:pPr>
            <w:r>
              <w:rPr>
                <w:i/>
              </w:rPr>
              <w:t xml:space="preserve">Lands Regulations Amendment (Fees and Charges) Regulations 2017 </w:t>
            </w:r>
            <w:r>
              <w:t>Pt. 2</w:t>
            </w:r>
          </w:p>
        </w:tc>
        <w:tc>
          <w:tcPr>
            <w:tcW w:w="1276" w:type="dxa"/>
            <w:gridSpan w:val="2"/>
            <w:tcBorders>
              <w:bottom w:val="single" w:sz="8" w:space="0" w:color="auto"/>
            </w:tcBorders>
            <w:shd w:val="clear" w:color="auto" w:fill="auto"/>
          </w:tcPr>
          <w:p>
            <w:pPr>
              <w:pStyle w:val="nTable"/>
              <w:spacing w:after="40"/>
            </w:pPr>
            <w:r>
              <w:t>23 Jun 2017 p. 3181</w:t>
            </w:r>
            <w:r>
              <w:noBreakHyphen/>
              <w:t>6</w:t>
            </w:r>
          </w:p>
        </w:tc>
        <w:tc>
          <w:tcPr>
            <w:tcW w:w="2664" w:type="dxa"/>
            <w:tcBorders>
              <w:bottom w:val="single" w:sz="8" w:space="0" w:color="auto"/>
            </w:tcBorders>
            <w:shd w:val="clear" w:color="auto" w:fill="auto"/>
          </w:tcPr>
          <w:p>
            <w:pPr>
              <w:pStyle w:val="nTable"/>
              <w:spacing w:after="40"/>
              <w:rPr>
                <w:snapToGrid w:val="0"/>
              </w:rPr>
            </w:pPr>
            <w:r>
              <w:rPr>
                <w:snapToGrid w:val="0"/>
              </w:rPr>
              <w:t>3 Jul 2017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516817091"/>
      <w:r>
        <w:t>Provisions that have not come into operation</w:t>
      </w:r>
      <w:bookmarkEnd w:id="1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Lands Regulations Amendment (Fees and Charges) Regulations 2018 </w:t>
            </w:r>
            <w:r>
              <w:t>Pt. 2 </w:t>
            </w:r>
            <w:r>
              <w:rPr>
                <w:vertAlign w:val="superscript"/>
              </w:rPr>
              <w:t>2</w:t>
            </w:r>
          </w:p>
        </w:tc>
        <w:tc>
          <w:tcPr>
            <w:tcW w:w="1276" w:type="dxa"/>
            <w:tcBorders>
              <w:top w:val="single" w:sz="8" w:space="0" w:color="auto"/>
              <w:bottom w:val="single" w:sz="8" w:space="0" w:color="auto"/>
            </w:tcBorders>
          </w:tcPr>
          <w:p>
            <w:pPr>
              <w:pStyle w:val="nTable"/>
              <w:spacing w:after="40"/>
            </w:pPr>
            <w:r>
              <w:t>15 Jun 2018 p. 1923</w:t>
            </w:r>
            <w:r>
              <w:noBreakHyphen/>
              <w:t>8</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Lands Regulations Amendment (Fees and Charges) Regulations 2018 </w:t>
      </w:r>
      <w:r>
        <w:t>Pt. 2</w:t>
      </w:r>
      <w:r>
        <w:rPr>
          <w:i/>
        </w:rPr>
        <w:t xml:space="preserve"> </w:t>
      </w:r>
      <w:r>
        <w:rPr>
          <w:snapToGrid w:val="0"/>
        </w:rPr>
        <w:t>had not come into operation.  It reads as follows:</w:t>
      </w:r>
    </w:p>
    <w:p>
      <w:pPr>
        <w:pStyle w:val="BlankOpen"/>
      </w:pPr>
    </w:p>
    <w:p>
      <w:pPr>
        <w:pStyle w:val="nzHeading2"/>
        <w:rPr>
          <w:rStyle w:val="CharPartText"/>
        </w:rPr>
      </w:pPr>
      <w:bookmarkStart w:id="16" w:name="_Toc513723691"/>
      <w:bookmarkStart w:id="17" w:name="_Toc513723706"/>
      <w:bookmarkStart w:id="18" w:name="_Toc513723790"/>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xml:space="preserve"> amended</w:t>
      </w:r>
      <w:bookmarkEnd w:id="16"/>
      <w:bookmarkEnd w:id="17"/>
      <w:bookmarkEnd w:id="18"/>
    </w:p>
    <w:p>
      <w:pPr>
        <w:pStyle w:val="nzHeading5"/>
      </w:pPr>
      <w:bookmarkStart w:id="19" w:name="_Toc513723707"/>
      <w:bookmarkStart w:id="20" w:name="_Toc513723791"/>
      <w:r>
        <w:rPr>
          <w:rStyle w:val="CharSectno"/>
        </w:rPr>
        <w:t>3</w:t>
      </w:r>
      <w:r>
        <w:t>.</w:t>
      </w:r>
      <w:r>
        <w:tab/>
        <w:t>Regulations amended</w:t>
      </w:r>
      <w:bookmarkEnd w:id="19"/>
      <w:bookmarkEnd w:id="20"/>
    </w:p>
    <w:p>
      <w:pPr>
        <w:pStyle w:val="nzSubsection"/>
      </w:pPr>
      <w:r>
        <w:tab/>
      </w:r>
      <w:r>
        <w:tab/>
        <w:t xml:space="preserve">This Part amends the </w:t>
      </w:r>
      <w:r>
        <w:rPr>
          <w:i/>
        </w:rPr>
        <w:t>Registration of Deeds Regulations 2004</w:t>
      </w:r>
      <w:r>
        <w:t>.</w:t>
      </w:r>
    </w:p>
    <w:p>
      <w:pPr>
        <w:pStyle w:val="nzHeading5"/>
      </w:pPr>
      <w:bookmarkStart w:id="21" w:name="_Toc513723708"/>
      <w:bookmarkStart w:id="22" w:name="_Toc513723792"/>
      <w:r>
        <w:rPr>
          <w:rStyle w:val="CharSectno"/>
        </w:rPr>
        <w:t>4</w:t>
      </w:r>
      <w:r>
        <w:t>.</w:t>
      </w:r>
      <w:r>
        <w:tab/>
        <w:t>Schedule 1 amended</w:t>
      </w:r>
      <w:bookmarkEnd w:id="21"/>
      <w:bookmarkEnd w:id="22"/>
    </w:p>
    <w:p>
      <w:pPr>
        <w:pStyle w:val="nzSubsection"/>
      </w:pPr>
      <w:r>
        <w:tab/>
      </w:r>
      <w:r>
        <w:tab/>
        <w:t>In Schedule 1 amend the provisions listed in the Table as set out in the Table.</w:t>
      </w:r>
    </w:p>
    <w:p>
      <w:pPr>
        <w:pStyle w:val="THeading"/>
      </w:pPr>
      <w:r>
        <w:t>Table</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9"/>
        <w:gridCol w:w="2409"/>
        <w:gridCol w:w="1631"/>
      </w:tblGrid>
      <w:tr>
        <w:trPr>
          <w:cantSplit/>
          <w:tblHeader/>
          <w:jc w:val="center"/>
        </w:trPr>
        <w:tc>
          <w:tcPr>
            <w:tcW w:w="2339" w:type="dxa"/>
          </w:tcPr>
          <w:p>
            <w:pPr>
              <w:pStyle w:val="TableAm"/>
              <w:keepNext/>
              <w:jc w:val="center"/>
              <w:rPr>
                <w:b/>
                <w:bCs/>
                <w:sz w:val="20"/>
              </w:rPr>
            </w:pPr>
            <w:r>
              <w:rPr>
                <w:b/>
                <w:bCs/>
                <w:sz w:val="20"/>
              </w:rPr>
              <w:t>Provision</w:t>
            </w:r>
          </w:p>
        </w:tc>
        <w:tc>
          <w:tcPr>
            <w:tcW w:w="2409" w:type="dxa"/>
          </w:tcPr>
          <w:p>
            <w:pPr>
              <w:pStyle w:val="TableAm"/>
              <w:keepNext/>
              <w:jc w:val="center"/>
              <w:rPr>
                <w:b/>
                <w:bCs/>
                <w:sz w:val="20"/>
              </w:rPr>
            </w:pPr>
            <w:r>
              <w:rPr>
                <w:b/>
                <w:bCs/>
                <w:sz w:val="20"/>
              </w:rPr>
              <w:t>Delete</w:t>
            </w:r>
          </w:p>
        </w:tc>
        <w:tc>
          <w:tcPr>
            <w:tcW w:w="1631" w:type="dxa"/>
          </w:tcPr>
          <w:p>
            <w:pPr>
              <w:pStyle w:val="TableAm"/>
              <w:keepNext/>
              <w:jc w:val="center"/>
              <w:rPr>
                <w:b/>
                <w:bCs/>
                <w:sz w:val="20"/>
              </w:rPr>
            </w:pPr>
            <w:r>
              <w:rPr>
                <w:b/>
                <w:bCs/>
                <w:sz w:val="20"/>
              </w:rPr>
              <w:t>Insert</w:t>
            </w:r>
          </w:p>
        </w:tc>
      </w:tr>
      <w:tr>
        <w:trPr>
          <w:cantSplit/>
          <w:jc w:val="center"/>
        </w:trPr>
        <w:tc>
          <w:tcPr>
            <w:tcW w:w="2339" w:type="dxa"/>
          </w:tcPr>
          <w:p>
            <w:pPr>
              <w:pStyle w:val="TableAm"/>
              <w:rPr>
                <w:sz w:val="20"/>
              </w:rPr>
            </w:pPr>
            <w:r>
              <w:rPr>
                <w:sz w:val="20"/>
              </w:rPr>
              <w:t>Div. 1 it. 1</w:t>
            </w:r>
          </w:p>
        </w:tc>
        <w:tc>
          <w:tcPr>
            <w:tcW w:w="2409" w:type="dxa"/>
          </w:tcPr>
          <w:p>
            <w:pPr>
              <w:pStyle w:val="TableAm"/>
              <w:rPr>
                <w:sz w:val="20"/>
              </w:rPr>
            </w:pPr>
            <w:r>
              <w:rPr>
                <w:sz w:val="20"/>
              </w:rPr>
              <w:t>$147.00</w:t>
            </w:r>
          </w:p>
        </w:tc>
        <w:tc>
          <w:tcPr>
            <w:tcW w:w="1631" w:type="dxa"/>
          </w:tcPr>
          <w:p>
            <w:pPr>
              <w:pStyle w:val="TableAm"/>
              <w:rPr>
                <w:sz w:val="20"/>
              </w:rPr>
            </w:pPr>
            <w:r>
              <w:rPr>
                <w:sz w:val="20"/>
              </w:rPr>
              <w:t>$149.20</w:t>
            </w:r>
          </w:p>
        </w:tc>
      </w:tr>
      <w:tr>
        <w:trPr>
          <w:cantSplit/>
          <w:jc w:val="center"/>
        </w:trPr>
        <w:tc>
          <w:tcPr>
            <w:tcW w:w="2339" w:type="dxa"/>
          </w:tcPr>
          <w:p>
            <w:pPr>
              <w:pStyle w:val="TableAm"/>
              <w:rPr>
                <w:sz w:val="20"/>
              </w:rPr>
            </w:pPr>
            <w:r>
              <w:rPr>
                <w:sz w:val="20"/>
              </w:rPr>
              <w:t>Div. 1 it. 2</w:t>
            </w:r>
          </w:p>
        </w:tc>
        <w:tc>
          <w:tcPr>
            <w:tcW w:w="2409" w:type="dxa"/>
          </w:tcPr>
          <w:p>
            <w:pPr>
              <w:pStyle w:val="TableAm"/>
              <w:rPr>
                <w:sz w:val="20"/>
              </w:rPr>
            </w:pPr>
            <w:r>
              <w:rPr>
                <w:sz w:val="20"/>
              </w:rPr>
              <w:t>$147.00</w:t>
            </w:r>
          </w:p>
        </w:tc>
        <w:tc>
          <w:tcPr>
            <w:tcW w:w="1631" w:type="dxa"/>
          </w:tcPr>
          <w:p>
            <w:pPr>
              <w:pStyle w:val="TableAm"/>
              <w:rPr>
                <w:sz w:val="20"/>
              </w:rPr>
            </w:pPr>
            <w:r>
              <w:rPr>
                <w:sz w:val="20"/>
              </w:rPr>
              <w:t>$149.20</w:t>
            </w:r>
          </w:p>
        </w:tc>
      </w:tr>
      <w:tr>
        <w:trPr>
          <w:cantSplit/>
          <w:jc w:val="center"/>
        </w:trPr>
        <w:tc>
          <w:tcPr>
            <w:tcW w:w="2339" w:type="dxa"/>
          </w:tcPr>
          <w:p>
            <w:pPr>
              <w:pStyle w:val="TableAm"/>
              <w:rPr>
                <w:sz w:val="20"/>
              </w:rPr>
            </w:pPr>
            <w:r>
              <w:rPr>
                <w:sz w:val="20"/>
              </w:rPr>
              <w:t>Div. 2 it. 1</w:t>
            </w:r>
          </w:p>
        </w:tc>
        <w:tc>
          <w:tcPr>
            <w:tcW w:w="2409" w:type="dxa"/>
          </w:tcPr>
          <w:p>
            <w:pPr>
              <w:pStyle w:val="TableAm"/>
              <w:rPr>
                <w:sz w:val="20"/>
              </w:rPr>
            </w:pPr>
            <w:r>
              <w:rPr>
                <w:sz w:val="20"/>
              </w:rPr>
              <w:t>$25.30</w:t>
            </w:r>
          </w:p>
        </w:tc>
        <w:tc>
          <w:tcPr>
            <w:tcW w:w="1631" w:type="dxa"/>
          </w:tcPr>
          <w:p>
            <w:pPr>
              <w:pStyle w:val="TableAm"/>
              <w:rPr>
                <w:sz w:val="20"/>
              </w:rPr>
            </w:pPr>
            <w:r>
              <w:rPr>
                <w:sz w:val="20"/>
              </w:rPr>
              <w:t>$25.70</w:t>
            </w:r>
          </w:p>
        </w:tc>
      </w:tr>
      <w:tr>
        <w:trPr>
          <w:cantSplit/>
          <w:jc w:val="center"/>
        </w:trPr>
        <w:tc>
          <w:tcPr>
            <w:tcW w:w="2339" w:type="dxa"/>
          </w:tcPr>
          <w:p>
            <w:pPr>
              <w:pStyle w:val="TableAm"/>
              <w:rPr>
                <w:sz w:val="20"/>
              </w:rPr>
            </w:pPr>
            <w:r>
              <w:rPr>
                <w:sz w:val="20"/>
              </w:rPr>
              <w:t>Div. 3 it. 1</w:t>
            </w:r>
          </w:p>
        </w:tc>
        <w:tc>
          <w:tcPr>
            <w:tcW w:w="2409" w:type="dxa"/>
          </w:tcPr>
          <w:p>
            <w:pPr>
              <w:pStyle w:val="TableAm"/>
              <w:rPr>
                <w:sz w:val="20"/>
              </w:rPr>
            </w:pPr>
            <w:r>
              <w:rPr>
                <w:sz w:val="20"/>
              </w:rPr>
              <w:t>$61</w:t>
            </w:r>
          </w:p>
        </w:tc>
        <w:tc>
          <w:tcPr>
            <w:tcW w:w="1631" w:type="dxa"/>
          </w:tcPr>
          <w:p>
            <w:pPr>
              <w:pStyle w:val="TableAm"/>
              <w:rPr>
                <w:sz w:val="20"/>
              </w:rPr>
            </w:pPr>
            <w:r>
              <w:rPr>
                <w:sz w:val="20"/>
              </w:rPr>
              <w:t>$62.00</w:t>
            </w:r>
          </w:p>
        </w:tc>
      </w:tr>
      <w:tr>
        <w:trPr>
          <w:cantSplit/>
          <w:jc w:val="center"/>
        </w:trPr>
        <w:tc>
          <w:tcPr>
            <w:tcW w:w="2339" w:type="dxa"/>
          </w:tcPr>
          <w:p>
            <w:pPr>
              <w:pStyle w:val="TableAm"/>
              <w:rPr>
                <w:sz w:val="20"/>
              </w:rPr>
            </w:pPr>
            <w:r>
              <w:rPr>
                <w:sz w:val="20"/>
              </w:rPr>
              <w:t>Div. 3 it. 2</w:t>
            </w:r>
          </w:p>
        </w:tc>
        <w:tc>
          <w:tcPr>
            <w:tcW w:w="2409" w:type="dxa"/>
          </w:tcPr>
          <w:p>
            <w:pPr>
              <w:pStyle w:val="TableAm"/>
              <w:rPr>
                <w:sz w:val="20"/>
              </w:rPr>
            </w:pPr>
            <w:r>
              <w:rPr>
                <w:sz w:val="20"/>
              </w:rPr>
              <w:t>$147.00</w:t>
            </w:r>
          </w:p>
        </w:tc>
        <w:tc>
          <w:tcPr>
            <w:tcW w:w="1631" w:type="dxa"/>
          </w:tcPr>
          <w:p>
            <w:pPr>
              <w:pStyle w:val="TableAm"/>
              <w:rPr>
                <w:sz w:val="20"/>
              </w:rPr>
            </w:pPr>
            <w:r>
              <w:rPr>
                <w:sz w:val="20"/>
              </w:rPr>
              <w:t>$149.20</w:t>
            </w:r>
          </w:p>
        </w:tc>
      </w:tr>
    </w:tbl>
    <w:p>
      <w:pPr>
        <w:pStyle w:val="BlankClose"/>
      </w:pPr>
    </w:p>
    <w:p>
      <w:pPr>
        <w:sectPr>
          <w:headerReference w:type="even" r:id="rId28"/>
          <w:headerReference w:type="default" r:id="rId29"/>
          <w:headerReference w:type="first" r:id="rId30"/>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24" w:name="_Toc516817092"/>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15126"/>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1425</Words>
  <Characters>6459</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2004 - 02-f0-00</dc:title>
  <dc:subject/>
  <dc:creator/>
  <cp:keywords/>
  <dc:description/>
  <cp:lastModifiedBy>svcMRProcess</cp:lastModifiedBy>
  <cp:revision>4</cp:revision>
  <cp:lastPrinted>2012-10-30T00:56:00Z</cp:lastPrinted>
  <dcterms:created xsi:type="dcterms:W3CDTF">2018-09-13T08:56:00Z</dcterms:created>
  <dcterms:modified xsi:type="dcterms:W3CDTF">2018-09-13T08:56:00Z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02-f0-00</vt:lpwstr>
  </property>
</Properties>
</file>