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District Court of Western Australia Act 1969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District Court (Fees) Regulations 2002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District Court (Fees) Regulations 2002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_Toc516819514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_Toc516819515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r>
      <w:r>
        <w:t>Terms used</w:t>
      </w:r>
      <w:r>
        <w:tab/>
      </w:r>
      <w:r>
        <w:fldChar w:fldCharType="begin"/>
      </w:r>
      <w:r>
        <w:instrText xml:space="preserve"> PAGEREF _Toc516819516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 to be charged</w:t>
      </w:r>
      <w:r>
        <w:tab/>
      </w:r>
      <w:r>
        <w:fldChar w:fldCharType="begin"/>
      </w:r>
      <w:r>
        <w:instrText xml:space="preserve"> PAGEREF _Toc516819517 \h </w:instrText>
      </w:r>
      <w:r>
        <w:fldChar w:fldCharType="separate"/>
      </w:r>
      <w:r>
        <w:t>3</w:t>
      </w:r>
      <w:r>
        <w:fldChar w:fldCharType="end"/>
      </w:r>
    </w:p>
    <w:p>
      <w:pPr>
        <w:pStyle w:val="TOC8"/>
        <w:rPr>
          <w:rFonts w:asciiTheme="minorHAnsi" w:eastAsiaTheme="minorEastAsia" w:hAnsiTheme="minorHAnsi" w:cstheme="minorBidi"/>
          <w:szCs w:val="22"/>
        </w:rPr>
      </w:pPr>
      <w:r>
        <w:t>4A.</w:t>
      </w:r>
      <w:r>
        <w:tab/>
        <w:t>Fees for small businesses and non</w:t>
      </w:r>
      <w:r>
        <w:noBreakHyphen/>
        <w:t>profit associations</w:t>
      </w:r>
      <w:r>
        <w:tab/>
      </w:r>
      <w:r>
        <w:fldChar w:fldCharType="begin"/>
      </w:r>
      <w:r>
        <w:instrText xml:space="preserve"> PAGEREF _Toc516819518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Exemptions</w:t>
      </w:r>
      <w:r>
        <w:tab/>
      </w:r>
      <w:r>
        <w:fldChar w:fldCharType="begin"/>
      </w:r>
      <w:r>
        <w:instrText xml:space="preserve"> PAGEREF _Toc516819519 \h </w:instrText>
      </w:r>
      <w:r>
        <w:fldChar w:fldCharType="separate"/>
      </w:r>
      <w:r>
        <w:t>5</w:t>
      </w:r>
      <w:r>
        <w:fldChar w:fldCharType="end"/>
      </w:r>
    </w:p>
    <w:p>
      <w:pPr>
        <w:pStyle w:val="TOC8"/>
        <w:rPr>
          <w:rFonts w:asciiTheme="minorHAnsi" w:eastAsiaTheme="minorEastAsia" w:hAnsiTheme="minorHAnsi" w:cstheme="minorBidi"/>
          <w:szCs w:val="22"/>
        </w:rPr>
      </w:pPr>
      <w:r>
        <w:t>5A.</w:t>
      </w:r>
      <w:r>
        <w:tab/>
        <w:t>Disputes regarding fees</w:t>
      </w:r>
      <w:r>
        <w:tab/>
      </w:r>
      <w:r>
        <w:fldChar w:fldCharType="begin"/>
      </w:r>
      <w:r>
        <w:instrText xml:space="preserve"> PAGEREF _Toc516819520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r>
      <w:r>
        <w:t>F</w:t>
      </w:r>
      <w:r>
        <w:rPr>
          <w:snapToGrid w:val="0"/>
        </w:rPr>
        <w:t>ees to be paid before documents etc. filed</w:t>
      </w:r>
      <w:r>
        <w:tab/>
      </w:r>
      <w:r>
        <w:fldChar w:fldCharType="begin"/>
      </w:r>
      <w:r>
        <w:instrText xml:space="preserve"> PAGEREF _Toc516819521 \h </w:instrText>
      </w:r>
      <w:r>
        <w:fldChar w:fldCharType="separate"/>
      </w:r>
      <w:r>
        <w:t>5</w:t>
      </w:r>
      <w:r>
        <w:fldChar w:fldCharType="end"/>
      </w:r>
    </w:p>
    <w:p>
      <w:pPr>
        <w:pStyle w:val="TOC8"/>
        <w:rPr>
          <w:rFonts w:asciiTheme="minorHAnsi" w:eastAsiaTheme="minorEastAsia" w:hAnsiTheme="minorHAnsi" w:cstheme="minorBidi"/>
          <w:szCs w:val="22"/>
        </w:rPr>
      </w:pPr>
      <w:r>
        <w:t>7.</w:t>
      </w:r>
      <w:r>
        <w:tab/>
        <w:t>Who is an eligible individual or eligible entity</w:t>
      </w:r>
      <w:r>
        <w:tab/>
      </w:r>
      <w:r>
        <w:fldChar w:fldCharType="begin"/>
      </w:r>
      <w:r>
        <w:instrText xml:space="preserve"> PAGEREF _Toc516819522 \h </w:instrText>
      </w:r>
      <w:r>
        <w:fldChar w:fldCharType="separate"/>
      </w:r>
      <w:r>
        <w:t>6</w:t>
      </w:r>
      <w:r>
        <w:fldChar w:fldCharType="end"/>
      </w:r>
    </w:p>
    <w:p>
      <w:pPr>
        <w:pStyle w:val="TOC8"/>
        <w:rPr>
          <w:rFonts w:asciiTheme="minorHAnsi" w:eastAsiaTheme="minorEastAsia" w:hAnsiTheme="minorHAnsi" w:cstheme="minorBidi"/>
          <w:szCs w:val="22"/>
        </w:rPr>
      </w:pPr>
      <w:r>
        <w:t>8.</w:t>
      </w:r>
      <w:r>
        <w:tab/>
        <w:t>Application to be recognised as eligible individual or eligible entity</w:t>
      </w:r>
      <w:r>
        <w:tab/>
      </w:r>
      <w:r>
        <w:fldChar w:fldCharType="begin"/>
      </w:r>
      <w:r>
        <w:instrText xml:space="preserve"> PAGEREF _Toc516819523 \h </w:instrText>
      </w:r>
      <w:r>
        <w:fldChar w:fldCharType="separate"/>
      </w:r>
      <w:r>
        <w:t>7</w:t>
      </w:r>
      <w:r>
        <w:fldChar w:fldCharType="end"/>
      </w:r>
    </w:p>
    <w:p>
      <w:pPr>
        <w:pStyle w:val="TOC8"/>
        <w:rPr>
          <w:rFonts w:asciiTheme="minorHAnsi" w:eastAsiaTheme="minorEastAsia" w:hAnsiTheme="minorHAnsi" w:cstheme="minorBidi"/>
          <w:szCs w:val="22"/>
        </w:rPr>
      </w:pPr>
      <w:r>
        <w:t>8A.</w:t>
      </w:r>
      <w:r>
        <w:tab/>
        <w:t>Recognition as eligible individual or eligible entity</w:t>
      </w:r>
      <w:r>
        <w:tab/>
      </w:r>
      <w:r>
        <w:fldChar w:fldCharType="begin"/>
      </w:r>
      <w:r>
        <w:instrText xml:space="preserve"> PAGEREF _Toc516819524 \h </w:instrText>
      </w:r>
      <w:r>
        <w:fldChar w:fldCharType="separate"/>
      </w:r>
      <w:r>
        <w:t>8</w:t>
      </w:r>
      <w:r>
        <w:fldChar w:fldCharType="end"/>
      </w:r>
    </w:p>
    <w:p>
      <w:pPr>
        <w:pStyle w:val="TOC8"/>
        <w:rPr>
          <w:rFonts w:asciiTheme="minorHAnsi" w:eastAsiaTheme="minorEastAsia" w:hAnsiTheme="minorHAnsi" w:cstheme="minorBidi"/>
          <w:szCs w:val="22"/>
        </w:rPr>
      </w:pPr>
      <w:r>
        <w:t>8B.</w:t>
      </w:r>
      <w:r>
        <w:tab/>
        <w:t>False or misleading statements</w:t>
      </w:r>
      <w:r>
        <w:tab/>
      </w:r>
      <w:r>
        <w:fldChar w:fldCharType="begin"/>
      </w:r>
      <w:r>
        <w:instrText xml:space="preserve"> PAGEREF _Toc516819525 \h </w:instrText>
      </w:r>
      <w:r>
        <w:fldChar w:fldCharType="separate"/>
      </w:r>
      <w:r>
        <w:t>9</w:t>
      </w:r>
      <w:r>
        <w:fldChar w:fldCharType="end"/>
      </w:r>
    </w:p>
    <w:p>
      <w:pPr>
        <w:pStyle w:val="TOC8"/>
        <w:rPr>
          <w:rFonts w:asciiTheme="minorHAnsi" w:eastAsiaTheme="minorEastAsia" w:hAnsiTheme="minorHAnsi" w:cstheme="minorBidi"/>
          <w:szCs w:val="22"/>
        </w:rPr>
      </w:pPr>
      <w:r>
        <w:t>8C.</w:t>
      </w:r>
      <w:r>
        <w:tab/>
        <w:t>Refunds</w:t>
      </w:r>
      <w:r>
        <w:tab/>
      </w:r>
      <w:r>
        <w:fldChar w:fldCharType="begin"/>
      </w:r>
      <w:r>
        <w:instrText xml:space="preserve"> PAGEREF _Toc516819526 \h </w:instrText>
      </w:r>
      <w:r>
        <w:fldChar w:fldCharType="separate"/>
      </w:r>
      <w:r>
        <w:t>10</w:t>
      </w:r>
      <w:r>
        <w:fldChar w:fldCharType="end"/>
      </w:r>
    </w:p>
    <w:p>
      <w:pPr>
        <w:pStyle w:val="TOC8"/>
        <w:rPr>
          <w:rFonts w:asciiTheme="minorHAnsi" w:eastAsiaTheme="minorEastAsia" w:hAnsiTheme="minorHAnsi" w:cstheme="minorBidi"/>
          <w:szCs w:val="22"/>
        </w:rPr>
      </w:pPr>
      <w:r>
        <w:t>8D.</w:t>
      </w:r>
      <w:r>
        <w:tab/>
        <w:t>Waiving fee for copy of document or transcript</w:t>
      </w:r>
      <w:r>
        <w:tab/>
      </w:r>
      <w:r>
        <w:fldChar w:fldCharType="begin"/>
      </w:r>
      <w:r>
        <w:instrText xml:space="preserve"> PAGEREF _Toc516819527 \h </w:instrText>
      </w:r>
      <w:r>
        <w:fldChar w:fldCharType="separate"/>
      </w:r>
      <w:r>
        <w:t>10</w:t>
      </w:r>
      <w:r>
        <w:fldChar w:fldCharType="end"/>
      </w:r>
    </w:p>
    <w:p>
      <w:pPr>
        <w:pStyle w:val="TOC8"/>
        <w:rPr>
          <w:rFonts w:asciiTheme="minorHAnsi" w:eastAsiaTheme="minorEastAsia" w:hAnsiTheme="minorHAnsi" w:cstheme="minorBidi"/>
          <w:szCs w:val="22"/>
        </w:rPr>
      </w:pPr>
      <w:r>
        <w:t>8E.</w:t>
      </w:r>
      <w:r>
        <w:tab/>
        <w:t>Conventions</w:t>
      </w:r>
      <w:r>
        <w:tab/>
      </w:r>
      <w:r>
        <w:fldChar w:fldCharType="begin"/>
      </w:r>
      <w:r>
        <w:instrText xml:space="preserve"> PAGEREF _Toc516819528 \h </w:instrText>
      </w:r>
      <w:r>
        <w:fldChar w:fldCharType="separate"/>
      </w:r>
      <w:r>
        <w:t>10</w:t>
      </w:r>
      <w:r>
        <w:fldChar w:fldCharType="end"/>
      </w:r>
    </w:p>
    <w:p>
      <w:pPr>
        <w:pStyle w:val="TOC8"/>
        <w:rPr>
          <w:rFonts w:asciiTheme="minorHAnsi" w:eastAsiaTheme="minorEastAsia" w:hAnsiTheme="minorHAnsi" w:cstheme="minorBidi"/>
          <w:szCs w:val="22"/>
        </w:rPr>
      </w:pPr>
      <w:r>
        <w:t>9.</w:t>
      </w:r>
      <w:r>
        <w:tab/>
        <w:t>Allocation of hearing date — Schedule 1 item 6</w:t>
      </w:r>
      <w:r>
        <w:tab/>
      </w:r>
      <w:r>
        <w:fldChar w:fldCharType="begin"/>
      </w:r>
      <w:r>
        <w:instrText xml:space="preserve"> PAGEREF _Toc516819529 \h </w:instrText>
      </w:r>
      <w:r>
        <w:fldChar w:fldCharType="separate"/>
      </w:r>
      <w:r>
        <w:t>11</w:t>
      </w:r>
      <w:r>
        <w:fldChar w:fldCharType="end"/>
      </w:r>
    </w:p>
    <w:p>
      <w:pPr>
        <w:pStyle w:val="TOC8"/>
        <w:rPr>
          <w:rFonts w:asciiTheme="minorHAnsi" w:eastAsiaTheme="minorEastAsia" w:hAnsiTheme="minorHAnsi" w:cstheme="minorBidi"/>
          <w:szCs w:val="22"/>
        </w:rPr>
      </w:pPr>
      <w:r>
        <w:t>10.</w:t>
      </w:r>
      <w:r>
        <w:tab/>
        <w:t>Schedule 1 item 7 fee</w:t>
      </w:r>
      <w:r>
        <w:tab/>
      </w:r>
      <w:r>
        <w:fldChar w:fldCharType="begin"/>
      </w:r>
      <w:r>
        <w:instrText xml:space="preserve"> PAGEREF _Toc516819530 \h </w:instrText>
      </w:r>
      <w:r>
        <w:fldChar w:fldCharType="separate"/>
      </w:r>
      <w:r>
        <w:t>12</w:t>
      </w:r>
      <w:r>
        <w:fldChar w:fldCharType="end"/>
      </w:r>
    </w:p>
    <w:p>
      <w:pPr>
        <w:pStyle w:val="TOC8"/>
        <w:rPr>
          <w:rFonts w:asciiTheme="minorHAnsi" w:eastAsiaTheme="minorEastAsia" w:hAnsiTheme="minorHAnsi" w:cstheme="minorBidi"/>
          <w:szCs w:val="22"/>
        </w:rPr>
      </w:pPr>
      <w:r>
        <w:t>11.</w:t>
      </w:r>
      <w:r>
        <w:tab/>
        <w:t>Recovery of unpaid fees</w:t>
      </w:r>
      <w:r>
        <w:tab/>
      </w:r>
      <w:r>
        <w:fldChar w:fldCharType="begin"/>
      </w:r>
      <w:r>
        <w:instrText xml:space="preserve"> PAGEREF _Toc516819531 \h </w:instrText>
      </w:r>
      <w:r>
        <w:fldChar w:fldCharType="separate"/>
      </w:r>
      <w:r>
        <w:t>12</w:t>
      </w:r>
      <w:r>
        <w:fldChar w:fldCharType="end"/>
      </w:r>
    </w:p>
    <w:p>
      <w:pPr>
        <w:pStyle w:val="TOC8"/>
        <w:rPr>
          <w:rFonts w:asciiTheme="minorHAnsi" w:eastAsiaTheme="minorEastAsia" w:hAnsiTheme="minorHAnsi" w:cstheme="minorBidi"/>
          <w:szCs w:val="22"/>
        </w:rPr>
      </w:pPr>
      <w:r>
        <w:t>11A.</w:t>
      </w:r>
      <w:r>
        <w:tab/>
        <w:t>Searchable information</w:t>
      </w:r>
      <w:r>
        <w:tab/>
      </w:r>
      <w:r>
        <w:fldChar w:fldCharType="begin"/>
      </w:r>
      <w:r>
        <w:instrText xml:space="preserve"> PAGEREF _Toc516819532 \h </w:instrText>
      </w:r>
      <w:r>
        <w:fldChar w:fldCharType="separate"/>
      </w:r>
      <w:r>
        <w:t>12</w:t>
      </w:r>
      <w:r>
        <w:fldChar w:fldCharType="end"/>
      </w:r>
    </w:p>
    <w:p>
      <w:pPr>
        <w:pStyle w:val="TOC8"/>
        <w:rPr>
          <w:rFonts w:asciiTheme="minorHAnsi" w:eastAsiaTheme="minorEastAsia" w:hAnsiTheme="minorHAnsi" w:cstheme="minorBidi"/>
          <w:szCs w:val="22"/>
        </w:rPr>
      </w:pPr>
      <w:r>
        <w:t>12.</w:t>
      </w:r>
      <w:r>
        <w:tab/>
        <w:t>Transitional</w:t>
      </w:r>
      <w:r>
        <w:tab/>
      </w:r>
      <w:r>
        <w:fldChar w:fldCharType="begin"/>
      </w:r>
      <w:r>
        <w:instrText xml:space="preserve"> PAGEREF _Toc516819533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Schedule 1 — Registry fees</w:t>
      </w:r>
    </w:p>
    <w:p>
      <w:pPr>
        <w:pStyle w:val="TOC2"/>
        <w:tabs>
          <w:tab w:val="right" w:leader="dot" w:pos="7077"/>
        </w:tabs>
        <w:rPr>
          <w:rFonts w:asciiTheme="minorHAnsi" w:eastAsiaTheme="minorEastAsia" w:hAnsiTheme="minorHAnsi" w:cstheme="minorBidi"/>
          <w:b w:val="0"/>
          <w:sz w:val="22"/>
          <w:szCs w:val="22"/>
        </w:rPr>
      </w:pPr>
      <w:r>
        <w:t>Schedule 2 — Sheriff’s fees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_Toc516819538 \h </w:instrText>
      </w:r>
      <w:r>
        <w:fldChar w:fldCharType="separate"/>
      </w:r>
      <w:r>
        <w:t>34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_Toc516819539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District Court of Western Australia Act 1969</w:t>
      </w:r>
    </w:p>
    <w:p>
      <w:pPr>
        <w:pStyle w:val="NameofActReg"/>
      </w:pPr>
      <w:r>
        <w:t>District Court (Fees) Regulations 2002</w:t>
      </w:r>
    </w:p>
    <w:p>
      <w:pPr>
        <w:pStyle w:val="Heading5"/>
      </w:pPr>
      <w:bookmarkStart w:id="3" w:name="_Toc516819514"/>
      <w:r>
        <w:rPr>
          <w:rStyle w:val="CharSectno"/>
        </w:rPr>
        <w:t>1</w:t>
      </w:r>
      <w:r>
        <w:t>.</w:t>
      </w:r>
      <w:r>
        <w:tab/>
        <w:t>Citation</w:t>
      </w:r>
      <w:bookmarkEnd w:id="3"/>
    </w:p>
    <w:p>
      <w:pPr>
        <w:pStyle w:val="Subsection"/>
      </w:pPr>
      <w:r>
        <w:tab/>
      </w:r>
      <w:r>
        <w:tab/>
        <w:t xml:space="preserve">These regulations may be cited as the </w:t>
      </w:r>
      <w:r>
        <w:rPr>
          <w:i/>
        </w:rPr>
        <w:t>District Court (Fees) Regulations 2002</w:t>
      </w:r>
      <w:r>
        <w:rPr>
          <w:iCs/>
          <w:vertAlign w:val="superscript"/>
        </w:rPr>
        <w:t> 1</w:t>
      </w:r>
      <w:r>
        <w:t>.</w:t>
      </w:r>
    </w:p>
    <w:p>
      <w:pPr>
        <w:pStyle w:val="Heading5"/>
      </w:pPr>
      <w:bookmarkStart w:id="4" w:name="_Toc516819515"/>
      <w:r>
        <w:rPr>
          <w:rStyle w:val="CharSectno"/>
        </w:rPr>
        <w:t>2</w:t>
      </w:r>
      <w:r>
        <w:t>.</w:t>
      </w:r>
      <w:r>
        <w:tab/>
        <w:t>Commencement</w:t>
      </w:r>
      <w:bookmarkEnd w:id="4"/>
    </w:p>
    <w:p>
      <w:pPr>
        <w:pStyle w:val="Subsection"/>
      </w:pPr>
      <w:r>
        <w:tab/>
      </w:r>
      <w:r>
        <w:tab/>
        <w:t>These regulations come into operation on 1 January 2002.</w:t>
      </w:r>
    </w:p>
    <w:p>
      <w:pPr>
        <w:pStyle w:val="Heading5"/>
      </w:pPr>
      <w:bookmarkStart w:id="5" w:name="_Toc516819516"/>
      <w:r>
        <w:rPr>
          <w:rStyle w:val="CharSectno"/>
        </w:rPr>
        <w:t>3</w:t>
      </w:r>
      <w:r>
        <w:rPr>
          <w:snapToGrid w:val="0"/>
        </w:rPr>
        <w:t>.</w:t>
      </w:r>
      <w:r>
        <w:rPr>
          <w:snapToGrid w:val="0"/>
        </w:rPr>
        <w:tab/>
      </w:r>
      <w:r>
        <w:t>Terms used</w:t>
      </w:r>
      <w:bookmarkEnd w:id="5"/>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tab/>
      </w:r>
      <w:r>
        <w:rPr>
          <w:rStyle w:val="CharDefText"/>
        </w:rPr>
        <w:t>eligible entity</w:t>
      </w:r>
      <w:r>
        <w:t xml:space="preserve"> means an entity referred to in regulation 7(3);</w:t>
      </w:r>
    </w:p>
    <w:p>
      <w:pPr>
        <w:pStyle w:val="Defstart"/>
      </w:pPr>
      <w:r>
        <w:tab/>
      </w:r>
      <w:r>
        <w:rPr>
          <w:rStyle w:val="CharDefText"/>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7(2);</w:t>
      </w:r>
    </w:p>
    <w:p>
      <w:pPr>
        <w:pStyle w:val="Defstart"/>
      </w:pPr>
      <w:r>
        <w:tab/>
      </w:r>
      <w:r>
        <w:rPr>
          <w:rStyle w:val="CharDefText"/>
        </w:rPr>
        <w:t>eligible individual fee</w:t>
      </w:r>
      <w:r>
        <w:t>, in relation to a matter specified in an item in Schedule 1, means the fee, if any, shown in column C for that item;</w:t>
      </w:r>
    </w:p>
    <w:p>
      <w:pPr>
        <w:pStyle w:val="Defstart"/>
      </w:pPr>
      <w:r>
        <w:tab/>
      </w:r>
      <w:r>
        <w:rPr>
          <w:rStyle w:val="CharDefText"/>
        </w:rPr>
        <w:t>entity</w:t>
      </w:r>
      <w:r>
        <w:t xml:space="preserve"> does not include an individual;</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person</w:t>
      </w:r>
      <w:r>
        <w:t xml:space="preserve"> means an individual or an entity;</w:t>
      </w:r>
    </w:p>
    <w:p>
      <w:pPr>
        <w:pStyle w:val="Defstart"/>
      </w:pPr>
      <w:r>
        <w:tab/>
      </w:r>
      <w:r>
        <w:rPr>
          <w:rStyle w:val="CharDefText"/>
        </w:rPr>
        <w:t>Rules</w:t>
      </w:r>
      <w:r>
        <w:t xml:space="preserve"> means the </w:t>
      </w:r>
      <w:r>
        <w:rPr>
          <w:i/>
        </w:rPr>
        <w:t>District Court Rules 1996</w:t>
      </w:r>
      <w:r>
        <w:rPr>
          <w:iCs/>
          <w:vertAlign w:val="superscript"/>
        </w:rPr>
        <w:t> 2</w:t>
      </w:r>
      <w:r>
        <w:t xml:space="preserve"> or the rules applicable to the District Court under section 87 of the Act;</w:t>
      </w:r>
    </w:p>
    <w:p>
      <w:pPr>
        <w:pStyle w:val="Defstart"/>
        <w:keepNext/>
      </w:pPr>
      <w:r>
        <w:tab/>
      </w:r>
      <w:r>
        <w:rPr>
          <w:rStyle w:val="CharDefText"/>
        </w:rPr>
        <w:t>small business</w:t>
      </w:r>
      <w:r>
        <w:t xml:space="preserve"> means — </w:t>
      </w:r>
    </w:p>
    <w:p>
      <w:pPr>
        <w:pStyle w:val="Ednotedefpara"/>
        <w:tabs>
          <w:tab w:val="clear" w:pos="1332"/>
          <w:tab w:val="right" w:pos="1320"/>
        </w:tabs>
      </w:pPr>
      <w:r>
        <w:tab/>
        <w:t>[(a)</w:t>
      </w:r>
      <w:r>
        <w:tab/>
        <w:t>deleted]</w:t>
      </w:r>
    </w:p>
    <w:p>
      <w:pPr>
        <w:pStyle w:val="Defpara"/>
      </w:pPr>
      <w:r>
        <w:tab/>
        <w:t>(b)</w:t>
      </w:r>
      <w:r>
        <w:tab/>
        <w:t>a business undertaking that is wholly owned and operated by an individual or individuals in partnership and has less than 20 full</w:t>
      </w:r>
      <w:r>
        <w:noBreakHyphen/>
        <w:t>time equivalent employees or partners;</w:t>
      </w:r>
    </w:p>
    <w:p>
      <w:pPr>
        <w:pStyle w:val="Defpara"/>
      </w:pPr>
      <w:r>
        <w:tab/>
        <w:t>(c)</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(d)</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w:t>
      </w:r>
    </w:p>
    <w:p>
      <w:pPr>
        <w:pStyle w:val="Defpara"/>
      </w:pPr>
      <w:r>
        <w:tab/>
        <w:t>(e)</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same meaning as it has in the </w:t>
      </w:r>
      <w:r>
        <w:rPr>
          <w:i/>
        </w:rPr>
        <w:t>Corporations Act 2001</w:t>
      </w:r>
      <w:r>
        <w:t xml:space="preserve"> of the Commonwealth.</w:t>
      </w:r>
    </w:p>
    <w:p>
      <w:pPr>
        <w:pStyle w:val="Footnotesection"/>
      </w:pPr>
      <w:r>
        <w:tab/>
        <w:t>[Regulation 3 amended in Gazette 30 Dec 2003 p. 5702; 14 Jun 2016 p. 1879</w:t>
      </w:r>
      <w:r>
        <w:noBreakHyphen/>
        <w:t>80.]</w:t>
      </w:r>
    </w:p>
    <w:p>
      <w:pPr>
        <w:pStyle w:val="Heading5"/>
        <w:keepNext w:val="0"/>
        <w:keepLines w:val="0"/>
        <w:rPr>
          <w:snapToGrid w:val="0"/>
        </w:rPr>
      </w:pPr>
      <w:bookmarkStart w:id="6" w:name="_Toc516819517"/>
      <w:r>
        <w:rPr>
          <w:rStyle w:val="CharSectno"/>
        </w:rPr>
        <w:t>4</w:t>
      </w:r>
      <w:r>
        <w:rPr>
          <w:snapToGrid w:val="0"/>
        </w:rPr>
        <w:t>.</w:t>
      </w:r>
      <w:r>
        <w:rPr>
          <w:snapToGrid w:val="0"/>
        </w:rPr>
        <w:tab/>
        <w:t>Fees to be charged</w:t>
      </w:r>
      <w:bookmarkEnd w:id="6"/>
    </w:p>
    <w:p>
      <w:pPr>
        <w:pStyle w:val="Subsection"/>
        <w:rPr>
          <w:snapToGrid w:val="0"/>
        </w:rPr>
      </w:pPr>
      <w:r>
        <w:rPr>
          <w:snapToGrid w:val="0"/>
        </w:rPr>
        <w:tab/>
        <w:t>(1)</w:t>
      </w:r>
      <w:r>
        <w:rPr>
          <w:snapToGrid w:val="0"/>
        </w:rPr>
        <w:tab/>
        <w:t>Subject to the provisions of these regulations, the fees specified in Schedules 1 and 2 are to be charged in respect of the matters referred to in section 89A of the Act in relation to which they are applicable.</w:t>
      </w:r>
    </w:p>
    <w:p>
      <w:pPr>
        <w:pStyle w:val="Subsection"/>
      </w:pPr>
      <w:r>
        <w:tab/>
        <w:t>(2)</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for that item; or</w:t>
      </w:r>
    </w:p>
    <w:p>
      <w:pPr>
        <w:pStyle w:val="Indenta"/>
        <w:rPr>
          <w:snapToGrid w:val="0"/>
        </w:rPr>
      </w:pPr>
      <w:r>
        <w:tab/>
        <w:t>(d)</w:t>
      </w:r>
      <w:r>
        <w:tab/>
        <w:t>the fee payable by an eligible entity is the eligible entity fee for that item.</w:t>
      </w:r>
    </w:p>
    <w:p>
      <w:pPr>
        <w:pStyle w:val="Subsection"/>
        <w:rPr>
          <w:snapToGrid w:val="0"/>
        </w:rPr>
      </w:pPr>
      <w:r>
        <w:rPr>
          <w:snapToGrid w:val="0"/>
        </w:rPr>
        <w:tab/>
        <w:t>(3)</w:t>
      </w:r>
      <w:r>
        <w:rPr>
          <w:snapToGrid w:val="0"/>
        </w:rPr>
        <w:tab/>
        <w:t>A note to an item in Schedule 1 or 2 has effect according to its tenor as if it were a provision of these regulations.</w:t>
      </w:r>
    </w:p>
    <w:p>
      <w:pPr>
        <w:pStyle w:val="Subsection"/>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District Court.</w:t>
      </w:r>
    </w:p>
    <w:p>
      <w:pPr>
        <w:pStyle w:val="Subsection"/>
        <w:rPr>
          <w:snapToGrid w:val="0"/>
        </w:rPr>
      </w:pPr>
      <w:r>
        <w:rPr>
          <w:snapToGrid w:val="0"/>
        </w:rPr>
        <w:tab/>
        <w:t>(5)</w:t>
      </w:r>
      <w:r>
        <w:rPr>
          <w:snapToGrid w:val="0"/>
        </w:rPr>
        <w:tab/>
      </w:r>
      <w:r>
        <w:t>No fee is to be charged in respect of any attendance in chambers if the attendance is required by an order of the District Court made on its own motion.</w:t>
      </w:r>
    </w:p>
    <w:p>
      <w:pPr>
        <w:pStyle w:val="Ednotesubsection"/>
      </w:pPr>
      <w:r>
        <w:tab/>
        <w:t>[(6)-(12)</w:t>
      </w:r>
      <w:r>
        <w:tab/>
        <w:t>deleted]</w:t>
      </w:r>
    </w:p>
    <w:p>
      <w:pPr>
        <w:pStyle w:val="Footnotesection"/>
      </w:pPr>
      <w:r>
        <w:tab/>
        <w:t>[Regulation 4 amended in Gazette 30 Dec 2003 p. 5702</w:t>
      </w:r>
      <w:r>
        <w:noBreakHyphen/>
        <w:t>3; 28 Apr 2005 p. 1751; 14 Jun 2016 p. 1880.]</w:t>
      </w:r>
    </w:p>
    <w:p>
      <w:pPr>
        <w:pStyle w:val="Heading5"/>
      </w:pPr>
      <w:bookmarkStart w:id="7" w:name="_Toc516819518"/>
      <w:r>
        <w:rPr>
          <w:rStyle w:val="CharSectno"/>
        </w:rPr>
        <w:t>4A</w:t>
      </w:r>
      <w:r>
        <w:t>.</w:t>
      </w:r>
      <w:r>
        <w:tab/>
        <w:t>Fees for small businesses and non</w:t>
      </w:r>
      <w:r>
        <w:noBreakHyphen/>
        <w:t>profit associations</w:t>
      </w:r>
      <w:bookmarkEnd w:id="7"/>
    </w:p>
    <w:p>
      <w:pPr>
        <w:pStyle w:val="Subsection"/>
      </w:pPr>
      <w:r>
        <w:tab/>
        <w:t>(1)</w:t>
      </w:r>
      <w:r>
        <w:tab/>
        <w:t>An entity that is a small business or a non</w:t>
      </w:r>
      <w:r>
        <w:noBreakHyphen/>
        <w:t>profit association may lodge a declaration in the form of Schedule 3 Form 1.</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 xml:space="preserve">profit association, the Court may — </w:t>
      </w:r>
    </w:p>
    <w:p>
      <w:pPr>
        <w:pStyle w:val="Indenta"/>
      </w:pPr>
      <w:r>
        <w:tab/>
        <w:t>(a)</w:t>
      </w:r>
      <w:r>
        <w:tab/>
        <w:t>order that the entity pay the difference between the amount of the fee the entity paid and the amount of the fee that would otherwise have been payable by the entity; and</w:t>
      </w:r>
    </w:p>
    <w:p>
      <w:pPr>
        <w:pStyle w:val="Indenta"/>
      </w:pPr>
      <w:r>
        <w:tab/>
        <w:t>(b)</w:t>
      </w:r>
      <w:r>
        <w:tab/>
        <w:t>make orders to enforce the order for the payment.</w:t>
      </w:r>
    </w:p>
    <w:p>
      <w:pPr>
        <w:pStyle w:val="Subsection"/>
      </w:pPr>
      <w:r>
        <w:tab/>
        <w:t>(6)</w:t>
      </w:r>
      <w:r>
        <w:tab/>
        <w:t xml:space="preserve">An order under subregulation (5)(b) may include orders relating to the future conduct of the proceedings to which the fees relate or the effect of anything that has been done in respect of the proceedings until the sum ordered to be paid has been paid. </w:t>
      </w:r>
    </w:p>
    <w:p>
      <w:pPr>
        <w:pStyle w:val="Footnotesection"/>
      </w:pPr>
      <w:r>
        <w:tab/>
        <w:t>[Regulation 4A inserted in Gazette 14 Jun 2016 p. 1881</w:t>
      </w:r>
      <w:r>
        <w:noBreakHyphen/>
        <w:t>2.]</w:t>
      </w:r>
    </w:p>
    <w:p>
      <w:pPr>
        <w:pStyle w:val="Heading5"/>
        <w:rPr>
          <w:snapToGrid w:val="0"/>
        </w:rPr>
      </w:pPr>
      <w:bookmarkStart w:id="8" w:name="_Toc516819519"/>
      <w:r>
        <w:rPr>
          <w:rStyle w:val="CharSectno"/>
        </w:rPr>
        <w:t>5</w:t>
      </w:r>
      <w:r>
        <w:rPr>
          <w:snapToGrid w:val="0"/>
        </w:rPr>
        <w:t>.</w:t>
      </w:r>
      <w:r>
        <w:rPr>
          <w:snapToGrid w:val="0"/>
        </w:rPr>
        <w:tab/>
        <w:t>Exemptions</w:t>
      </w:r>
      <w:bookmarkEnd w:id="8"/>
      <w:r>
        <w:rPr>
          <w:snapToGrid w:val="0"/>
        </w:rPr>
        <w:t xml:space="preserve"> </w:t>
      </w:r>
    </w:p>
    <w:p>
      <w:pPr>
        <w:pStyle w:val="Subsection"/>
      </w:pPr>
      <w:r>
        <w:tab/>
        <w:t>(1)</w:t>
      </w:r>
      <w:r>
        <w:tab/>
        <w:t>The</w:t>
      </w:r>
      <w:r>
        <w:rPr>
          <w:snapToGrid w:val="0"/>
        </w:rPr>
        <w:t xml:space="preserve"> provisions of these regulations apply to all proceedings in the District Court in any jurisdiction conferred on the Court or a judge </w:t>
      </w:r>
      <w:r>
        <w:t xml:space="preserve">other than — </w:t>
      </w:r>
    </w:p>
    <w:p>
      <w:pPr>
        <w:pStyle w:val="Indenta"/>
      </w:pPr>
      <w:r>
        <w:tab/>
        <w:t>(a)</w:t>
      </w:r>
      <w:r>
        <w:tab/>
        <w:t>criminal proceedings;</w:t>
      </w:r>
    </w:p>
    <w:p>
      <w:pPr>
        <w:pStyle w:val="Indenta"/>
      </w:pPr>
      <w:r>
        <w:tab/>
        <w:t>(b)</w:t>
      </w:r>
      <w:r>
        <w:tab/>
        <w:t xml:space="preserve">proceedings under the </w:t>
      </w:r>
      <w:r>
        <w:rPr>
          <w:i/>
        </w:rPr>
        <w:t>Civil Judgments Enforcement Act 2004</w:t>
      </w:r>
      <w:r>
        <w:t>;</w:t>
      </w:r>
    </w:p>
    <w:p>
      <w:pPr>
        <w:pStyle w:val="Indenta"/>
      </w:pPr>
      <w:r>
        <w:tab/>
        <w:t>(c)</w:t>
      </w:r>
      <w:r>
        <w:tab/>
        <w:t xml:space="preserve">an application under the </w:t>
      </w:r>
      <w:r>
        <w:rPr>
          <w:i/>
        </w:rPr>
        <w:t>Prohibited Behaviour Orders Act 2010</w:t>
      </w:r>
      <w:r>
        <w:t xml:space="preserve"> for a prohibited behaviour order or to vary or cancel a prohibited behaviour order.</w:t>
      </w:r>
    </w:p>
    <w:p>
      <w:pPr>
        <w:pStyle w:val="Subsection"/>
      </w:pPr>
      <w:r>
        <w:tab/>
        <w:t>(2)</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rPr>
          <w:snapToGrid w:val="0"/>
        </w:rPr>
      </w:pPr>
      <w:r>
        <w:tab/>
        <w:t>(b)</w:t>
      </w:r>
      <w:r>
        <w:tab/>
        <w:t>the person has not reached 18 years of age on the day the fee would otherwise be payable.</w:t>
      </w:r>
    </w:p>
    <w:p>
      <w:pPr>
        <w:pStyle w:val="Footnotesection"/>
      </w:pPr>
      <w:r>
        <w:tab/>
        <w:t>[Regulation 5 amended in Gazette 28 Apr 2005 p. 1751; 27 Mar 2012 p. 1506; 14 Jun 2016 p. 1882.]</w:t>
      </w:r>
    </w:p>
    <w:p>
      <w:pPr>
        <w:pStyle w:val="Heading5"/>
      </w:pPr>
      <w:bookmarkStart w:id="9" w:name="_Toc516819520"/>
      <w:r>
        <w:t>5A.</w:t>
      </w:r>
      <w:r>
        <w:tab/>
        <w:t>Disputes regarding fees</w:t>
      </w:r>
      <w:bookmarkEnd w:id="9"/>
    </w:p>
    <w:p>
      <w:pPr>
        <w:pStyle w:val="Subsection"/>
      </w:pPr>
      <w:r>
        <w:tab/>
        <w:t>(1)</w:t>
      </w:r>
      <w:r>
        <w:tab/>
        <w:t>An application for a determination under section 89A(3) of the Act is to be in the form of Schedule 3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in Gazette 28 Apr 2005 p. 1751</w:t>
      </w:r>
      <w:r>
        <w:noBreakHyphen/>
        <w:t>2.]</w:t>
      </w:r>
    </w:p>
    <w:p>
      <w:pPr>
        <w:pStyle w:val="Heading5"/>
        <w:rPr>
          <w:snapToGrid w:val="0"/>
        </w:rPr>
      </w:pPr>
      <w:bookmarkStart w:id="10" w:name="_Toc516819521"/>
      <w:r>
        <w:rPr>
          <w:rStyle w:val="CharSectno"/>
        </w:rPr>
        <w:t>6</w:t>
      </w:r>
      <w:r>
        <w:rPr>
          <w:snapToGrid w:val="0"/>
        </w:rPr>
        <w:t>.</w:t>
      </w:r>
      <w:r>
        <w:rPr>
          <w:snapToGrid w:val="0"/>
        </w:rPr>
        <w:tab/>
      </w:r>
      <w:r>
        <w:rPr>
          <w:rStyle w:val="CharSectno"/>
        </w:rPr>
        <w:t>F</w:t>
      </w:r>
      <w:r>
        <w:rPr>
          <w:snapToGrid w:val="0"/>
        </w:rPr>
        <w:t>ees to be paid before documents etc. filed</w:t>
      </w:r>
      <w:bookmarkEnd w:id="10"/>
    </w:p>
    <w:p>
      <w:pPr>
        <w:pStyle w:val="Subsection"/>
        <w:rPr>
          <w:snapToGrid w:val="0"/>
        </w:rPr>
      </w:pPr>
      <w:r>
        <w:tab/>
        <w:t>(1)</w:t>
      </w:r>
      <w:r>
        <w:tab/>
        <w:t>Subject</w:t>
      </w:r>
      <w:r>
        <w:rPr>
          <w:snapToGrid w:val="0"/>
        </w:rPr>
        <w:t xml:space="preserve">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District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Subsection"/>
      </w:pPr>
      <w:r>
        <w:tab/>
        <w:t>(2)</w:t>
      </w:r>
      <w:r>
        <w:tab/>
        <w:t xml:space="preserve">The Court or a registrar may direct that the payment of the whole or a part of a fee or fees in respect of a claim for personal injuries be deferred — </w:t>
      </w:r>
    </w:p>
    <w:p>
      <w:pPr>
        <w:pStyle w:val="Indenta"/>
      </w:pPr>
      <w:r>
        <w:tab/>
        <w:t>(a)</w:t>
      </w:r>
      <w:r>
        <w:tab/>
        <w:t>to a time specified by the Court or registrar; and</w:t>
      </w:r>
    </w:p>
    <w:p>
      <w:pPr>
        <w:pStyle w:val="Indenta"/>
      </w:pPr>
      <w:r>
        <w:tab/>
        <w:t>(b)</w:t>
      </w:r>
      <w:r>
        <w:tab/>
        <w:t>on any conditions specified by the Court or registrar.</w:t>
      </w:r>
    </w:p>
    <w:p>
      <w:pPr>
        <w:pStyle w:val="Footnotesection"/>
      </w:pPr>
      <w:r>
        <w:tab/>
        <w:t>[Regulation 6 amended in Gazette 14 Jun 2016 p. 1882</w:t>
      </w:r>
      <w:r>
        <w:noBreakHyphen/>
        <w:t>3.]</w:t>
      </w:r>
    </w:p>
    <w:p>
      <w:pPr>
        <w:pStyle w:val="Heading5"/>
      </w:pPr>
      <w:bookmarkStart w:id="11" w:name="_Toc516819522"/>
      <w:r>
        <w:rPr>
          <w:rStyle w:val="CharSectno"/>
        </w:rPr>
        <w:t>7</w:t>
      </w:r>
      <w:r>
        <w:t>.</w:t>
      </w:r>
      <w:r>
        <w:tab/>
        <w:t>Who is an eligible individual or eligible entity</w:t>
      </w:r>
      <w:bookmarkEnd w:id="11"/>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8A(1)(b).</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has directed is an eligible entity under regulation 8A(2)(b).</w:t>
      </w:r>
    </w:p>
    <w:p>
      <w:pPr>
        <w:pStyle w:val="Footnotesection"/>
      </w:pPr>
      <w:r>
        <w:tab/>
        <w:t>[Regulation 7 inserted in Gazette 14 Jun 2016 p. 1883</w:t>
      </w:r>
      <w:r>
        <w:noBreakHyphen/>
        <w:t>4.]</w:t>
      </w:r>
    </w:p>
    <w:p>
      <w:pPr>
        <w:pStyle w:val="Heading5"/>
      </w:pPr>
      <w:bookmarkStart w:id="12" w:name="_Toc516819523"/>
      <w:r>
        <w:rPr>
          <w:rStyle w:val="CharSectno"/>
        </w:rPr>
        <w:t>8</w:t>
      </w:r>
      <w:r>
        <w:t>.</w:t>
      </w:r>
      <w:r>
        <w:tab/>
        <w:t>Application to be recognised as eligible individual or eligible entity</w:t>
      </w:r>
      <w:bookmarkEnd w:id="12"/>
    </w:p>
    <w:p>
      <w:pPr>
        <w:pStyle w:val="Subsection"/>
      </w:pPr>
      <w:r>
        <w:tab/>
        <w:t>(1)</w:t>
      </w:r>
      <w:r>
        <w:tab/>
        <w:t xml:space="preserve">A person may apply for — </w:t>
      </w:r>
    </w:p>
    <w:p>
      <w:pPr>
        <w:pStyle w:val="Indenta"/>
      </w:pPr>
      <w:r>
        <w:tab/>
        <w:t>(a)</w:t>
      </w:r>
      <w:r>
        <w:tab/>
        <w:t>a direction under regulation 8A(1) that the person is an eligible individual in respect of a matter referred to in Schedule 1; or</w:t>
      </w:r>
    </w:p>
    <w:p>
      <w:pPr>
        <w:pStyle w:val="Indenta"/>
      </w:pPr>
      <w:r>
        <w:tab/>
        <w:t>(b)</w:t>
      </w:r>
      <w:r>
        <w:tab/>
        <w:t>a direction under regulation 8A(2) that the person is an eligible entity in respect of a matter referred to in Schedule 1.</w:t>
      </w:r>
    </w:p>
    <w:p>
      <w:pPr>
        <w:pStyle w:val="Subsection"/>
      </w:pPr>
      <w:r>
        <w:tab/>
        <w:t>(2)</w:t>
      </w:r>
      <w:r>
        <w:tab/>
        <w:t xml:space="preserve">An application is to be in the form of Schedule 3 Form 2 and is to specify — </w:t>
      </w:r>
    </w:p>
    <w:p>
      <w:pPr>
        <w:pStyle w:val="Indenta"/>
      </w:pPr>
      <w:r>
        <w:tab/>
        <w:t>(a)</w:t>
      </w:r>
      <w:r>
        <w:tab/>
        <w:t>for an individual — the item or the matter in respect of which the individual is seeking to pay the eligible individual fee; or</w:t>
      </w:r>
    </w:p>
    <w:p>
      <w:pPr>
        <w:pStyle w:val="Indenta"/>
      </w:pPr>
      <w:r>
        <w:tab/>
        <w:t>(b)</w:t>
      </w:r>
      <w:r>
        <w:tab/>
        <w:t>for an entity — the item or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8 inserted in Gazette 14 Jun 2016 p. 1884</w:t>
      </w:r>
      <w:r>
        <w:noBreakHyphen/>
        <w:t>5.]</w:t>
      </w:r>
    </w:p>
    <w:p>
      <w:pPr>
        <w:pStyle w:val="Heading5"/>
      </w:pPr>
      <w:bookmarkStart w:id="13" w:name="_Toc516819524"/>
      <w:r>
        <w:rPr>
          <w:rStyle w:val="CharSectno"/>
        </w:rPr>
        <w:t>8A</w:t>
      </w:r>
      <w:r>
        <w:t>.</w:t>
      </w:r>
      <w:r>
        <w:tab/>
        <w:t>Recognition as eligible individual or eligible entity</w:t>
      </w:r>
      <w:bookmarkEnd w:id="13"/>
    </w:p>
    <w:p>
      <w:pPr>
        <w:pStyle w:val="Subsection"/>
      </w:pPr>
      <w:r>
        <w:tab/>
        <w:t>(1)</w:t>
      </w:r>
      <w:r>
        <w:tab/>
        <w:t xml:space="preserve">The Court or a registrar may, on an application under regulation 8(1)(a) — </w:t>
      </w:r>
    </w:p>
    <w:p>
      <w:pPr>
        <w:pStyle w:val="Indenta"/>
      </w:pPr>
      <w:r>
        <w:tab/>
        <w:t>(a)</w:t>
      </w:r>
      <w:r>
        <w:tab/>
        <w:t>direct that a person is an eligible individual described in regulation 7(2)(a) to (e) in respect of the matter if satisfied that the person meets one or more of the requirements set out in those paragraphs; or</w:t>
      </w:r>
    </w:p>
    <w:p>
      <w:pPr>
        <w:pStyle w:val="Indenta"/>
      </w:pPr>
      <w:r>
        <w:tab/>
        <w:t>(b)</w:t>
      </w:r>
      <w:r>
        <w:tab/>
        <w:t xml:space="preserve">direct that a person is an eligible individual described in regulation 7(2)(f) if satisfied that the person should be required to pay only an eligible individual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(2)</w:t>
      </w:r>
      <w:r>
        <w:tab/>
        <w:t xml:space="preserve">The Court or a registrar may, on an application under regulation 8(1)(b) — </w:t>
      </w:r>
    </w:p>
    <w:p>
      <w:pPr>
        <w:pStyle w:val="Indenta"/>
      </w:pPr>
      <w:r>
        <w:tab/>
        <w:t>(a)</w:t>
      </w:r>
      <w:r>
        <w:tab/>
        <w:t>direct that a person is an eligible entity described in regulation 7(3)(a) in respect of the matter if satisfied that the person meets the requirements set out in that paragraph; or</w:t>
      </w:r>
    </w:p>
    <w:p>
      <w:pPr>
        <w:pStyle w:val="Indenta"/>
      </w:pPr>
      <w:r>
        <w:tab/>
        <w:t>(b)</w:t>
      </w:r>
      <w:r>
        <w:tab/>
        <w:t xml:space="preserve">direct that a person is an eligible entity described in regulation 7(3)(b) if satisfied that the person should be required to pay only the eligible entity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(3)</w:t>
      </w:r>
      <w:r>
        <w:tab/>
        <w:t>A judge or a registrar may, before an application is determined, direct the applicant to provide to the judge, the registrar or the Court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8A inserted in Gazette 14 Jun 2016 p. 1885</w:t>
      </w:r>
      <w:r>
        <w:noBreakHyphen/>
        <w:t>6.]</w:t>
      </w:r>
    </w:p>
    <w:p>
      <w:pPr>
        <w:pStyle w:val="Heading5"/>
      </w:pPr>
      <w:bookmarkStart w:id="14" w:name="_Toc516819525"/>
      <w:r>
        <w:rPr>
          <w:rStyle w:val="CharSectno"/>
        </w:rPr>
        <w:t>8B</w:t>
      </w:r>
      <w:r>
        <w:t>.</w:t>
      </w:r>
      <w:r>
        <w:tab/>
        <w:t>False or misleading statements</w:t>
      </w:r>
      <w:bookmarkEnd w:id="14"/>
    </w:p>
    <w:p>
      <w:pPr>
        <w:pStyle w:val="Subsection"/>
      </w:pPr>
      <w:r>
        <w:tab/>
        <w:t>(1)</w:t>
      </w:r>
      <w:r>
        <w:tab/>
        <w:t>A person who makes a statement or representation in a declaration or application made under these regulations or provides further information in relation to a declaration or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make an order that the declaration lodged by a person under regulation 4A(1) is invalid if satisfied, having given the person an opportunity to make a written submission, that the person has contravened subregulation (1).</w:t>
      </w:r>
    </w:p>
    <w:p>
      <w:pPr>
        <w:pStyle w:val="Subsection"/>
      </w:pPr>
      <w:r>
        <w:tab/>
        <w:t>(3)</w:t>
      </w:r>
      <w:r>
        <w:tab/>
        <w:t>The Court or a registrar may revoke a direction made under regulation 8A(1) or (2) if satisfied, having given the person an opportunity to make a written submission, that the person has contravened subregulation (1).</w:t>
      </w:r>
    </w:p>
    <w:p>
      <w:pPr>
        <w:pStyle w:val="Subsection"/>
      </w:pPr>
      <w:r>
        <w:tab/>
        <w:t>(4)</w:t>
      </w:r>
      <w:r>
        <w:tab/>
        <w:t xml:space="preserve">If a declaration is declared invalid under subregulation (2) or a direction is revoked under subregulation (3), the Court may — </w:t>
      </w:r>
    </w:p>
    <w:p>
      <w:pPr>
        <w:pStyle w:val="Indenta"/>
      </w:pPr>
      <w:r>
        <w:tab/>
        <w:t>(a)</w:t>
      </w:r>
      <w:r>
        <w:tab/>
        <w:t>order that the person in respect of whom the declaration or direction was made pay the difference between the fee the person paid and the fee that would otherwise be payable by the person; and</w:t>
      </w:r>
    </w:p>
    <w:p>
      <w:pPr>
        <w:pStyle w:val="Indenta"/>
      </w:pPr>
      <w:r>
        <w:tab/>
        <w:t>(b)</w:t>
      </w:r>
      <w:r>
        <w:tab/>
        <w:t>make an order to enforce the order for the payment.</w:t>
      </w:r>
    </w:p>
    <w:p>
      <w:pPr>
        <w:pStyle w:val="Subsection"/>
      </w:pPr>
      <w:r>
        <w:tab/>
        <w:t>(5)</w:t>
      </w:r>
      <w:r>
        <w:tab/>
        <w:t xml:space="preserve">An order under subregulation (4)(b) may include orders relating to the future conduct of the proceedings to which the fees relate or the effect of anything that has been done in respect of the proceedings until the sum ordered to be paid has been paid. </w:t>
      </w:r>
    </w:p>
    <w:p>
      <w:pPr>
        <w:pStyle w:val="Footnotesection"/>
      </w:pPr>
      <w:r>
        <w:tab/>
        <w:t>[Regulation 8B inserted in Gazette 14 Jun 2016 p. 1886</w:t>
      </w:r>
      <w:r>
        <w:noBreakHyphen/>
        <w:t>7.]</w:t>
      </w:r>
    </w:p>
    <w:p>
      <w:pPr>
        <w:pStyle w:val="Heading5"/>
      </w:pPr>
      <w:bookmarkStart w:id="15" w:name="_Toc516819526"/>
      <w:r>
        <w:rPr>
          <w:rStyle w:val="CharSectno"/>
        </w:rPr>
        <w:t>8C</w:t>
      </w:r>
      <w:r>
        <w:t>.</w:t>
      </w:r>
      <w:r>
        <w:tab/>
        <w:t>Refunds</w:t>
      </w:r>
      <w:bookmarkEnd w:id="15"/>
    </w:p>
    <w:p>
      <w:pPr>
        <w:pStyle w:val="Subsection"/>
      </w:pPr>
      <w:r>
        <w:tab/>
        <w:t>(1)</w:t>
      </w:r>
      <w:r>
        <w:tab/>
        <w:t>A judicial officer or legally qualified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Principal Registrar may refund to a person the amount of a fee, or part of a fee, paid by the person if the amount was paid in error.</w:t>
      </w:r>
    </w:p>
    <w:p>
      <w:pPr>
        <w:pStyle w:val="Footnotesection"/>
      </w:pPr>
      <w:r>
        <w:tab/>
        <w:t>[Regulation 8C inserted in Gazette 14 Jun 2016 p. 1887.]</w:t>
      </w:r>
    </w:p>
    <w:p>
      <w:pPr>
        <w:pStyle w:val="Heading5"/>
      </w:pPr>
      <w:bookmarkStart w:id="16" w:name="_Toc516819527"/>
      <w:r>
        <w:rPr>
          <w:rStyle w:val="CharSectno"/>
        </w:rPr>
        <w:t>8D</w:t>
      </w:r>
      <w:r>
        <w:t>.</w:t>
      </w:r>
      <w:r>
        <w:tab/>
        <w:t>Waiving fee for copy of document or transcript</w:t>
      </w:r>
      <w:bookmarkEnd w:id="16"/>
      <w:r>
        <w:t xml:space="preserve"> </w:t>
      </w:r>
    </w:p>
    <w:p>
      <w:pPr>
        <w:pStyle w:val="Subsection"/>
      </w:pPr>
      <w:r>
        <w:tab/>
      </w:r>
      <w:r>
        <w:tab/>
        <w:t>The Court or a registrar may waive a fee referred to in Schedule 1 item 15(a) or 16 if the Court or registrar is satisfied that the waiving of the fee would assist in the efficient operation of the Court.</w:t>
      </w:r>
    </w:p>
    <w:p>
      <w:pPr>
        <w:pStyle w:val="Footnotesection"/>
      </w:pPr>
      <w:r>
        <w:tab/>
        <w:t>[Regulation 8D inserted in Gazette 14 Jun 2016 p. 1887</w:t>
      </w:r>
      <w:r>
        <w:noBreakHyphen/>
        <w:t>8.]</w:t>
      </w:r>
    </w:p>
    <w:p>
      <w:pPr>
        <w:pStyle w:val="Heading5"/>
      </w:pPr>
      <w:bookmarkStart w:id="17" w:name="_Toc516819528"/>
      <w:r>
        <w:rPr>
          <w:rStyle w:val="CharSectno"/>
        </w:rPr>
        <w:t>8E</w:t>
      </w:r>
      <w:r>
        <w:t>.</w:t>
      </w:r>
      <w:r>
        <w:tab/>
        <w:t>Conventions</w:t>
      </w:r>
      <w:bookmarkEnd w:id="17"/>
      <w:r>
        <w:t xml:space="preserve"> </w:t>
      </w:r>
    </w:p>
    <w:p>
      <w:pPr>
        <w:pStyle w:val="Subsection"/>
      </w:pPr>
      <w:r>
        <w:tab/>
      </w:r>
      <w:r>
        <w:tab/>
        <w:t>If, by a Convention that applies to the State, it is provided that a fee is not required to be paid in respect of specified proceedings, the fees referred to in regulation 4 are not to be taken in respect of those proceedings.</w:t>
      </w:r>
    </w:p>
    <w:p>
      <w:pPr>
        <w:pStyle w:val="Footnotesection"/>
      </w:pPr>
      <w:r>
        <w:tab/>
        <w:t>[Regulation 8E inserted in Gazette 14 Jul 2017 p. 3949.]</w:t>
      </w:r>
    </w:p>
    <w:p>
      <w:pPr>
        <w:pStyle w:val="Heading5"/>
      </w:pPr>
      <w:bookmarkStart w:id="18" w:name="_Toc516819529"/>
      <w:r>
        <w:t>9.</w:t>
      </w:r>
      <w:r>
        <w:tab/>
        <w:t>Allocation of hearing date — Schedule 1 item 6</w:t>
      </w:r>
      <w:bookmarkEnd w:id="18"/>
    </w:p>
    <w:p>
      <w:pPr>
        <w:pStyle w:val="Subsection"/>
        <w:spacing w:before="140"/>
      </w:pPr>
      <w:r>
        <w:tab/>
        <w:t>(1)</w:t>
      </w:r>
      <w:r>
        <w:tab/>
        <w:t xml:space="preserve">In this regulation — </w:t>
      </w:r>
    </w:p>
    <w:p>
      <w:pPr>
        <w:pStyle w:val="Defstart"/>
        <w:spacing w:before="100"/>
      </w:pPr>
      <w:r>
        <w:rPr>
          <w:b/>
        </w:rPr>
        <w:tab/>
      </w:r>
      <w:r>
        <w:rPr>
          <w:rStyle w:val="CharDefText"/>
        </w:rPr>
        <w:t>fee</w:t>
      </w:r>
      <w:r>
        <w:t xml:space="preserve"> means the fee referred to in Schedule 1 item 6.</w:t>
      </w:r>
    </w:p>
    <w:p>
      <w:pPr>
        <w:pStyle w:val="Subsection"/>
        <w:spacing w:before="140"/>
      </w:pPr>
      <w:r>
        <w:tab/>
        <w:t>(2)</w:t>
      </w:r>
      <w:r>
        <w:tab/>
        <w:t>The fee is not payable in relation to interlocutory proceedings.</w:t>
      </w:r>
    </w:p>
    <w:p>
      <w:pPr>
        <w:pStyle w:val="Subsection"/>
        <w:spacing w:before="140"/>
      </w:pPr>
      <w:r>
        <w:tab/>
        <w:t>(3)</w:t>
      </w:r>
      <w:r>
        <w:tab/>
        <w:t>The number of days for which the fee is payable is the number of days the District Court determines are to be allocated for the hearing.</w:t>
      </w:r>
    </w:p>
    <w:p>
      <w:pPr>
        <w:pStyle w:val="Subsection"/>
        <w:spacing w:before="140"/>
      </w:pPr>
      <w:r>
        <w:tab/>
        <w:t>(4)</w:t>
      </w:r>
      <w:r>
        <w:tab/>
        <w:t>If the Court determines that half a day or less is to be allocated for the hearing, the fee is reduced by half.</w:t>
      </w:r>
    </w:p>
    <w:p>
      <w:pPr>
        <w:pStyle w:val="Subsection"/>
        <w:spacing w:before="140"/>
      </w:pPr>
      <w:r>
        <w:tab/>
        <w:t>(5)</w:t>
      </w:r>
      <w:r>
        <w:tab/>
        <w:t>The proceeding is not to be listed for hearing until the fee has been paid or has been waived or deferred under regulation 8A.</w:t>
      </w:r>
    </w:p>
    <w:p>
      <w:pPr>
        <w:pStyle w:val="Subsection"/>
        <w:spacing w:before="140"/>
      </w:pPr>
      <w:r>
        <w:tab/>
        <w:t>(6)</w:t>
      </w:r>
      <w:r>
        <w:tab/>
        <w:t>The fee paid is not refundable except as provided in subregulations (7), (8) and (9).</w:t>
      </w:r>
    </w:p>
    <w:p>
      <w:pPr>
        <w:pStyle w:val="Subsection"/>
        <w:spacing w:before="140"/>
      </w:pPr>
      <w:r>
        <w:tab/>
        <w:t>(7)</w:t>
      </w:r>
      <w:r>
        <w:tab/>
        <w:t xml:space="preserve">If the matter is settled and the Court receives written notice of the settlement the following percentage of the fee paid is to be refunded — </w:t>
      </w:r>
    </w:p>
    <w:p>
      <w:pPr>
        <w:pStyle w:val="Indenta"/>
        <w:spacing w:before="60"/>
      </w:pPr>
      <w:r>
        <w:tab/>
        <w:t>(a)</w:t>
      </w:r>
      <w:r>
        <w:tab/>
        <w:t xml:space="preserve">if notice is received 42 days or more before the first date allocated for the hearing date, 75%; </w:t>
      </w:r>
    </w:p>
    <w:p>
      <w:pPr>
        <w:pStyle w:val="Indenta"/>
        <w:spacing w:before="60"/>
      </w:pPr>
      <w:r>
        <w:tab/>
        <w:t>(b)</w:t>
      </w:r>
      <w:r>
        <w:tab/>
        <w:t xml:space="preserve">if notice is received 28 days or more before that date, 50%. </w:t>
      </w:r>
    </w:p>
    <w:p>
      <w:pPr>
        <w:pStyle w:val="Subsection"/>
        <w:spacing w:before="140"/>
      </w:pPr>
      <w:r>
        <w:tab/>
        <w:t>(8)</w:t>
      </w:r>
      <w:r>
        <w:tab/>
        <w:t xml:space="preserve">If the hearing is adjourned before the first date allocated for the hearing the following percentage of the fee paid is to be refunded or transferred to the date or dates allocated for the adjourned hearing — </w:t>
      </w:r>
    </w:p>
    <w:p>
      <w:pPr>
        <w:pStyle w:val="Indenta"/>
        <w:spacing w:before="60"/>
      </w:pPr>
      <w:r>
        <w:tab/>
        <w:t>(a)</w:t>
      </w:r>
      <w:r>
        <w:tab/>
        <w:t xml:space="preserve">if the Court or registrar is satisfied the reason for the adjournment is beyond the control of the parties, 100%; </w:t>
      </w:r>
    </w:p>
    <w:p>
      <w:pPr>
        <w:pStyle w:val="Indenta"/>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pPr>
      <w:r>
        <w:tab/>
        <w:t>(9)</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in Gazette 28 Apr 2005 p. 1752</w:t>
      </w:r>
      <w:r>
        <w:noBreakHyphen/>
        <w:t>3; amended in Gazette 20 Dec 2011 p. 5380; 14 Jul 2017 p. 3950.]</w:t>
      </w:r>
    </w:p>
    <w:p>
      <w:pPr>
        <w:pStyle w:val="Heading5"/>
      </w:pPr>
      <w:bookmarkStart w:id="19" w:name="_Toc516819530"/>
      <w:r>
        <w:rPr>
          <w:rStyle w:val="CharSectno"/>
        </w:rPr>
        <w:t>10</w:t>
      </w:r>
      <w:r>
        <w:t>.</w:t>
      </w:r>
      <w:r>
        <w:tab/>
        <w:t>Schedule 1 item 7 fee</w:t>
      </w:r>
      <w:bookmarkEnd w:id="19"/>
    </w:p>
    <w:p>
      <w:pPr>
        <w:pStyle w:val="Subsection"/>
      </w:pPr>
      <w:r>
        <w:tab/>
      </w:r>
      <w:r>
        <w:tab/>
        <w:t>If a fee is to be paid under Schedule 1 item 7, the hearing or appeal is not to be reconvened until that fee has been paid or so much of it as has not been waived or reduced under regulation 7 has been paid.</w:t>
      </w:r>
    </w:p>
    <w:p>
      <w:pPr>
        <w:pStyle w:val="Heading5"/>
      </w:pPr>
      <w:bookmarkStart w:id="20" w:name="_Toc516819531"/>
      <w:r>
        <w:t>11.</w:t>
      </w:r>
      <w:r>
        <w:tab/>
        <w:t>Recovery of unpaid fees</w:t>
      </w:r>
      <w:bookmarkEnd w:id="20"/>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in Gazette 28 Apr 2005 p. 1753.]</w:t>
      </w:r>
    </w:p>
    <w:p>
      <w:pPr>
        <w:pStyle w:val="Heading5"/>
      </w:pPr>
      <w:bookmarkStart w:id="21" w:name="_Toc516819532"/>
      <w:r>
        <w:t>11A.</w:t>
      </w:r>
      <w:r>
        <w:tab/>
        <w:t>Searchable information</w:t>
      </w:r>
      <w:bookmarkEnd w:id="21"/>
      <w:r>
        <w:t xml:space="preserve"> </w:t>
      </w:r>
    </w:p>
    <w:p>
      <w:pPr>
        <w:pStyle w:val="Subsection"/>
        <w:keepNext/>
        <w:rPr>
          <w:rFonts w:eastAsia="MS Mincho"/>
        </w:rPr>
      </w:pPr>
      <w:r>
        <w:rPr>
          <w:rFonts w:eastAsia="MS Mincho"/>
        </w:rPr>
        <w:tab/>
        <w:t>(1)</w:t>
      </w:r>
      <w:r>
        <w:rPr>
          <w:rFonts w:eastAsia="MS Mincho"/>
        </w:rPr>
        <w:tab/>
        <w:t xml:space="preserve">In this regulation and Schedule 1 items 11 and </w:t>
      </w:r>
      <w:r>
        <w:t xml:space="preserve">13 — </w:t>
      </w:r>
    </w:p>
    <w:p>
      <w:pPr>
        <w:pStyle w:val="Defstart"/>
      </w:pPr>
      <w:r>
        <w:rPr>
          <w:rFonts w:eastAsia="MS Mincho"/>
          <w:b/>
        </w:rPr>
        <w:tab/>
      </w:r>
      <w:r>
        <w:rPr>
          <w:rStyle w:val="CharDefText"/>
          <w:rFonts w:eastAsia="MS Mincho"/>
        </w:rPr>
        <w:t>approved recipient</w:t>
      </w:r>
      <w:r>
        <w:rPr>
          <w:rFonts w:eastAsia="MS Mincho"/>
        </w:rPr>
        <w:t xml:space="preserve"> </w:t>
      </w:r>
      <w:r>
        <w:t>means a person who is approved in writing by the Attorney General as a person entitled to receive searchable information;</w:t>
      </w:r>
    </w:p>
    <w:p>
      <w:pPr>
        <w:pStyle w:val="Defstart"/>
        <w:keepNext/>
      </w:pPr>
      <w:r>
        <w:rPr>
          <w:rFonts w:eastAsia="MS Mincho"/>
          <w:b/>
        </w:rPr>
        <w:tab/>
      </w:r>
      <w:r>
        <w:rPr>
          <w:rStyle w:val="CharDefText"/>
          <w:rFonts w:eastAsia="MS Mincho"/>
        </w:rPr>
        <w:t>searchable information</w:t>
      </w:r>
      <w:r>
        <w:rPr>
          <w:rFonts w:eastAsia="MS Mincho"/>
        </w:rPr>
        <w:t xml:space="preserve">, </w:t>
      </w:r>
      <w:r>
        <w:t>in relation to an action or matter, means —</w:t>
      </w:r>
    </w:p>
    <w:p>
      <w:pPr>
        <w:pStyle w:val="Defpara"/>
        <w:rPr>
          <w:rFonts w:eastAsia="MS Mincho"/>
        </w:rPr>
      </w:pPr>
      <w:r>
        <w:rPr>
          <w:rFonts w:eastAsia="MS Mincho"/>
        </w:rPr>
        <w:tab/>
        <w:t>(a)</w:t>
      </w:r>
      <w:r>
        <w:rPr>
          <w:rFonts w:eastAsia="MS Mincho"/>
        </w:rPr>
        <w:tab/>
        <w:t>the names and addresses of the parties; and</w:t>
      </w:r>
    </w:p>
    <w:p>
      <w:pPr>
        <w:pStyle w:val="Defpara"/>
        <w:rPr>
          <w:rFonts w:eastAsia="MS Mincho"/>
        </w:rPr>
      </w:pPr>
      <w:r>
        <w:rPr>
          <w:rFonts w:eastAsia="MS Mincho"/>
        </w:rPr>
        <w:tab/>
        <w:t>(b)</w:t>
      </w:r>
      <w:r>
        <w:rPr>
          <w:rFonts w:eastAsia="MS Mincho"/>
        </w:rPr>
        <w:tab/>
        <w:t>the amount and nature of the claim; and</w:t>
      </w:r>
    </w:p>
    <w:p>
      <w:pPr>
        <w:pStyle w:val="Defpara"/>
        <w:rPr>
          <w:rFonts w:eastAsia="MS Mincho"/>
        </w:rPr>
      </w:pPr>
      <w:r>
        <w:rPr>
          <w:rFonts w:eastAsia="MS Mincho"/>
        </w:rPr>
        <w:tab/>
        <w:t>(c)</w:t>
      </w:r>
      <w:r>
        <w:rPr>
          <w:rFonts w:eastAsia="MS Mincho"/>
        </w:rPr>
        <w:tab/>
        <w:t>the amount of any judgment entered; and</w:t>
      </w:r>
    </w:p>
    <w:p>
      <w:pPr>
        <w:pStyle w:val="Defpara"/>
        <w:rPr>
          <w:rFonts w:eastAsia="MS Mincho"/>
        </w:rPr>
      </w:pPr>
      <w:r>
        <w:rPr>
          <w:rFonts w:eastAsia="MS Mincho"/>
        </w:rPr>
        <w:tab/>
        <w:t>(d)</w:t>
      </w:r>
      <w:r>
        <w:rPr>
          <w:rFonts w:eastAsia="MS Mincho"/>
        </w:rPr>
        <w:tab/>
        <w:t>whether the</w:t>
      </w:r>
      <w:r>
        <w:t xml:space="preserve"> action or matter</w:t>
      </w:r>
      <w:r>
        <w:rPr>
          <w:rFonts w:eastAsia="MS Mincho"/>
        </w:rPr>
        <w:t xml:space="preserve"> has been discontinued.</w:t>
      </w:r>
    </w:p>
    <w:p>
      <w:pPr>
        <w:pStyle w:val="Subsection"/>
        <w:rPr>
          <w:rFonts w:eastAsia="MS Mincho"/>
        </w:rPr>
      </w:pPr>
      <w:r>
        <w:rPr>
          <w:rFonts w:eastAsia="MS Mincho"/>
        </w:rPr>
        <w:tab/>
        <w:t>(2)</w:t>
      </w:r>
      <w:r>
        <w:rPr>
          <w:rFonts w:eastAsia="MS Mincho"/>
        </w:rPr>
        <w:tab/>
        <w:t>Except as provided in subregulation (4), the Principal Registrar must on each working day provide an approved recipient with such searchable information that has not already been provided to the recipient in relation to each action or matter in the District Court.</w:t>
      </w:r>
    </w:p>
    <w:p>
      <w:pPr>
        <w:pStyle w:val="Subsection"/>
        <w:rPr>
          <w:rFonts w:eastAsia="MS Mincho"/>
        </w:rPr>
      </w:pPr>
      <w:r>
        <w:rPr>
          <w:rFonts w:eastAsia="MS Mincho"/>
        </w:rPr>
        <w:tab/>
        <w:t>(3)</w:t>
      </w:r>
      <w:r>
        <w:rPr>
          <w:rFonts w:eastAsia="MS Mincho"/>
        </w:rPr>
        <w:tab/>
        <w:t>An approved recipient to whom information has been provided under subregulation (2) is liable to a fee in the amount referred to in Schedule 1 item </w:t>
      </w:r>
      <w:r>
        <w:t>13(a)</w:t>
      </w:r>
      <w:r>
        <w:rPr>
          <w:rFonts w:eastAsia="MS Mincho"/>
        </w:rPr>
        <w:t xml:space="preserve"> for each action or matter specified in the information.</w:t>
      </w:r>
    </w:p>
    <w:p>
      <w:pPr>
        <w:pStyle w:val="Subsection"/>
        <w:rPr>
          <w:rFonts w:eastAsia="MS Mincho"/>
        </w:rPr>
      </w:pPr>
      <w:r>
        <w:rPr>
          <w:rFonts w:eastAsia="MS Mincho"/>
        </w:rPr>
        <w:tab/>
        <w:t>(4)</w:t>
      </w:r>
      <w:r>
        <w:rPr>
          <w:rFonts w:eastAsia="MS Mincho"/>
        </w:rPr>
        <w:tab/>
        <w:t>If suitable facilities exist at the Court to enable searchable information to be provided by email, then the information must not be provided except by email to an approved recipient who has paid the annual fee referred to in Schedule 1 item 13(b).</w:t>
      </w:r>
    </w:p>
    <w:p>
      <w:pPr>
        <w:pStyle w:val="Footnotesection"/>
      </w:pPr>
      <w:r>
        <w:tab/>
        <w:t>[Regulation 11A inserted in Gazette 28 Apr 2005 p. 1754; amended in Gazette 14 Jun 2016 p. 1888; 9 Sep 2016 p. 3886.]</w:t>
      </w:r>
    </w:p>
    <w:p>
      <w:pPr>
        <w:pStyle w:val="Heading5"/>
      </w:pPr>
      <w:bookmarkStart w:id="22" w:name="_Toc516819533"/>
      <w:r>
        <w:rPr>
          <w:rStyle w:val="CharSectno"/>
        </w:rPr>
        <w:t>12</w:t>
      </w:r>
      <w:r>
        <w:t>.</w:t>
      </w:r>
      <w:r>
        <w:tab/>
        <w:t>Transitional</w:t>
      </w:r>
      <w:bookmarkEnd w:id="22"/>
    </w:p>
    <w:p>
      <w:pPr>
        <w:pStyle w:val="Subsection"/>
      </w:pPr>
      <w:r>
        <w:tab/>
      </w:r>
      <w:r>
        <w:tab/>
        <w:t xml:space="preserve">A fee is not to be charged under Schedule 1 item 6 or item 7 in respect of days allocated for a hearing or appeal or hearing days if — </w:t>
      </w:r>
    </w:p>
    <w:p>
      <w:pPr>
        <w:pStyle w:val="Indenta"/>
      </w:pPr>
      <w:r>
        <w:tab/>
        <w:t>(a)</w:t>
      </w:r>
      <w:r>
        <w:tab/>
        <w:t>the matter was part heard before 1 January 2002; or</w:t>
      </w:r>
    </w:p>
    <w:p>
      <w:pPr>
        <w:pStyle w:val="Indenta"/>
      </w:pPr>
      <w:r>
        <w:tab/>
        <w:t>(b)</w:t>
      </w:r>
      <w:r>
        <w:tab/>
        <w:t>the matter is one for which hearing days had been allocated before 1 January 2002; or</w:t>
      </w:r>
    </w:p>
    <w:p>
      <w:pPr>
        <w:pStyle w:val="Indenta"/>
      </w:pPr>
      <w:r>
        <w:tab/>
        <w:t>(c)</w:t>
      </w:r>
      <w:r>
        <w:tab/>
        <w:t>dates for a hearing were allocated before 1 January 2002, the hearing did not proceed on those dates on the District Court’s own motion, and the Court has allocated other hearing dates on or after 1 January 2002.</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3" w:name="_Toc516819534"/>
      <w:r>
        <w:rPr>
          <w:rStyle w:val="CharSchNo"/>
        </w:rPr>
        <w:t>Schedule 1</w:t>
      </w:r>
      <w:r>
        <w:t> — </w:t>
      </w:r>
      <w:r>
        <w:rPr>
          <w:rStyle w:val="CharSchText"/>
        </w:rPr>
        <w:t>Registry fees</w:t>
      </w:r>
      <w:bookmarkEnd w:id="23"/>
    </w:p>
    <w:p>
      <w:pPr>
        <w:pStyle w:val="zyShoulderClause"/>
      </w:pPr>
      <w:r>
        <w:t>[r. 4]</w:t>
      </w:r>
    </w:p>
    <w:p>
      <w:pPr>
        <w:pStyle w:val="yFootnoteheading"/>
        <w:spacing w:after="60"/>
      </w:pPr>
      <w:r>
        <w:tab/>
        <w:t>[Heading inserted in Gazette 7 Jul 2017 p. 3740.]</w:t>
      </w:r>
    </w:p>
    <w:p>
      <w:pPr>
        <w:pStyle w:val="zyShoulderClause"/>
      </w:pPr>
    </w:p>
    <w:tbl>
      <w:tblPr>
        <w:tblW w:w="7088" w:type="dxa"/>
        <w:tblInd w:w="108" w:type="dxa"/>
        <w:tblLayout w:type="fixed"/>
        <w:tblLook w:val="0000" w:firstRow="0" w:lastRow="0" w:firstColumn="0" w:lastColumn="0" w:noHBand="0" w:noVBand="0"/>
      </w:tblPr>
      <w:tblGrid>
        <w:gridCol w:w="673"/>
        <w:gridCol w:w="2588"/>
        <w:gridCol w:w="1275"/>
        <w:gridCol w:w="1276"/>
        <w:gridCol w:w="1276"/>
      </w:tblGrid>
      <w:tr>
        <w:trPr>
          <w:cantSplit/>
          <w:tblHeader/>
        </w:trPr>
        <w:tc>
          <w:tcPr>
            <w:tcW w:w="673" w:type="dxa"/>
            <w:tcBorders>
              <w:top w:val="single" w:sz="4" w:space="0" w:color="auto"/>
              <w:bottom w:val="single" w:sz="4" w:space="0" w:color="auto"/>
            </w:tcBorders>
          </w:tcPr>
          <w:p>
            <w:pPr>
              <w:pStyle w:val="yTableNAm"/>
              <w:keepNext/>
              <w:keepLines/>
              <w:jc w:val="center"/>
              <w:rPr>
                <w:b/>
              </w:rPr>
            </w:pPr>
            <w:r>
              <w:rPr>
                <w:b/>
              </w:rPr>
              <w:t>Item</w:t>
            </w:r>
          </w:p>
        </w:tc>
        <w:tc>
          <w:tcPr>
            <w:tcW w:w="2588" w:type="dxa"/>
            <w:tcBorders>
              <w:top w:val="single" w:sz="4" w:space="0" w:color="auto"/>
              <w:bottom w:val="single" w:sz="4" w:space="0" w:color="auto"/>
            </w:tcBorders>
          </w:tcPr>
          <w:p>
            <w:pPr>
              <w:pStyle w:val="yTableNAm"/>
              <w:keepNext/>
              <w:keepLines/>
              <w:jc w:val="center"/>
              <w:rPr>
                <w:b/>
              </w:rPr>
            </w:pPr>
            <w:r>
              <w:rPr>
                <w:b/>
              </w:rPr>
              <w:t>Matter</w:t>
            </w:r>
          </w:p>
        </w:tc>
        <w:tc>
          <w:tcPr>
            <w:tcW w:w="1275" w:type="dxa"/>
            <w:tcBorders>
              <w:top w:val="single" w:sz="4" w:space="0" w:color="auto"/>
              <w:bottom w:val="single" w:sz="4" w:space="0" w:color="auto"/>
            </w:tcBorders>
          </w:tcPr>
          <w:p>
            <w:pPr>
              <w:pStyle w:val="yTableNAm"/>
              <w:keepNext/>
              <w:keepLines/>
              <w:jc w:val="center"/>
              <w:rPr>
                <w:b/>
              </w:rPr>
            </w:pPr>
            <w:r>
              <w:rPr>
                <w:b/>
              </w:rPr>
              <w:t>Column A</w:t>
            </w:r>
          </w:p>
          <w:p>
            <w:pPr>
              <w:pStyle w:val="yTableNAm"/>
              <w:keepNext/>
              <w:keepLines/>
              <w:jc w:val="center"/>
              <w:rPr>
                <w:b/>
              </w:rPr>
            </w:pPr>
            <w:r>
              <w:rPr>
                <w:b/>
              </w:rPr>
              <w:t>Fee for individual or eligible entity</w:t>
            </w:r>
            <w:r>
              <w:rPr>
                <w:b/>
              </w:rPr>
              <w:br/>
              <w:t>$</w:t>
            </w:r>
          </w:p>
        </w:tc>
        <w:tc>
          <w:tcPr>
            <w:tcW w:w="1276" w:type="dxa"/>
            <w:tcBorders>
              <w:top w:val="single" w:sz="4" w:space="0" w:color="auto"/>
              <w:bottom w:val="single" w:sz="4" w:space="0" w:color="auto"/>
            </w:tcBorders>
          </w:tcPr>
          <w:p>
            <w:pPr>
              <w:pStyle w:val="yTableNAm"/>
              <w:keepNext/>
              <w:keepLines/>
              <w:jc w:val="center"/>
              <w:rPr>
                <w:b/>
              </w:rPr>
            </w:pPr>
            <w:r>
              <w:rPr>
                <w:b/>
              </w:rPr>
              <w:t>Column B</w:t>
            </w:r>
          </w:p>
          <w:p>
            <w:pPr>
              <w:pStyle w:val="yTableNAm"/>
              <w:keepNext/>
              <w:keepLines/>
              <w:jc w:val="center"/>
              <w:rPr>
                <w:b/>
              </w:rPr>
            </w:pPr>
            <w:r>
              <w:rPr>
                <w:b/>
              </w:rPr>
              <w:t>Fee for entity</w:t>
            </w:r>
            <w:r>
              <w:rPr>
                <w:b/>
              </w:rPr>
              <w:br/>
            </w:r>
            <w:r>
              <w:rPr>
                <w:b/>
              </w:rPr>
              <w:br/>
            </w:r>
            <w:r>
              <w:rPr>
                <w:b/>
              </w:rPr>
              <w:br/>
              <w:t>$</w:t>
            </w:r>
          </w:p>
        </w:tc>
        <w:tc>
          <w:tcPr>
            <w:tcW w:w="1276" w:type="dxa"/>
            <w:tcBorders>
              <w:top w:val="single" w:sz="4" w:space="0" w:color="auto"/>
              <w:bottom w:val="single" w:sz="4" w:space="0" w:color="auto"/>
            </w:tcBorders>
          </w:tcPr>
          <w:p>
            <w:pPr>
              <w:pStyle w:val="yTableNAm"/>
              <w:keepNext/>
              <w:keepLines/>
              <w:jc w:val="center"/>
              <w:rPr>
                <w:b/>
              </w:rPr>
            </w:pPr>
            <w:r>
              <w:rPr>
                <w:b/>
              </w:rPr>
              <w:t>Column C</w:t>
            </w:r>
          </w:p>
          <w:p>
            <w:pPr>
              <w:pStyle w:val="yTableNAm"/>
              <w:keepNext/>
              <w:keepLines/>
              <w:jc w:val="center"/>
              <w:rPr>
                <w:b/>
              </w:rPr>
            </w:pPr>
            <w:r>
              <w:rPr>
                <w:b/>
              </w:rPr>
              <w:t>Fee for eligible individual</w:t>
            </w:r>
            <w:r>
              <w:rPr>
                <w:b/>
              </w:rPr>
              <w:br/>
            </w:r>
            <w:r>
              <w:rPr>
                <w:b/>
              </w:rPr>
              <w:br/>
              <w:t>$</w:t>
            </w:r>
          </w:p>
        </w:tc>
      </w:tr>
      <w:tr>
        <w:trPr>
          <w:cantSplit/>
        </w:trPr>
        <w:tc>
          <w:tcPr>
            <w:tcW w:w="673" w:type="dxa"/>
            <w:tcBorders>
              <w:top w:val="single" w:sz="4" w:space="0" w:color="auto"/>
            </w:tcBorders>
          </w:tcPr>
          <w:p>
            <w:pPr>
              <w:pStyle w:val="yTableNAm"/>
              <w:keepNext/>
              <w:keepLines/>
              <w:rPr>
                <w:szCs w:val="22"/>
              </w:rPr>
            </w:pPr>
            <w:r>
              <w:rPr>
                <w:szCs w:val="22"/>
              </w:rPr>
              <w:t>1.</w:t>
            </w:r>
          </w:p>
        </w:tc>
        <w:tc>
          <w:tcPr>
            <w:tcW w:w="2588" w:type="dxa"/>
            <w:tcBorders>
              <w:top w:val="single" w:sz="4" w:space="0" w:color="auto"/>
            </w:tcBorders>
          </w:tcPr>
          <w:p>
            <w:pPr>
              <w:pStyle w:val="yTableNAm"/>
              <w:keepNext/>
              <w:keepLines/>
              <w:rPr>
                <w:szCs w:val="22"/>
              </w:rPr>
            </w:pPr>
            <w:r>
              <w:rPr>
                <w:szCs w:val="22"/>
              </w:rPr>
              <w:t>On filing any originating process by which a cause, matter or other proceeding in the court is commenced, other than proceedings of the kind referred to in item 2, 3, 4, 5 or 9</w:t>
            </w:r>
          </w:p>
        </w:tc>
        <w:tc>
          <w:tcPr>
            <w:tcW w:w="1275" w:type="dxa"/>
            <w:tcBorders>
              <w:top w:val="single" w:sz="4" w:space="0" w:color="auto"/>
            </w:tcBorders>
            <w:vAlign w:val="bottom"/>
          </w:tcPr>
          <w:p>
            <w:pPr>
              <w:pStyle w:val="yTableNAm"/>
              <w:keepNext/>
              <w:keepLines/>
              <w:rPr>
                <w:szCs w:val="22"/>
              </w:rPr>
            </w:pPr>
            <w:r>
              <w:rPr>
                <w:szCs w:val="22"/>
              </w:rPr>
              <w:t>816.00</w:t>
            </w:r>
          </w:p>
        </w:tc>
        <w:tc>
          <w:tcPr>
            <w:tcW w:w="1276" w:type="dxa"/>
            <w:tcBorders>
              <w:top w:val="single" w:sz="4" w:space="0" w:color="auto"/>
            </w:tcBorders>
            <w:vAlign w:val="bottom"/>
          </w:tcPr>
          <w:p>
            <w:pPr>
              <w:pStyle w:val="yTableNAm"/>
              <w:keepNext/>
              <w:keepLines/>
              <w:rPr>
                <w:szCs w:val="22"/>
              </w:rPr>
            </w:pPr>
            <w:r>
              <w:rPr>
                <w:szCs w:val="22"/>
              </w:rPr>
              <w:t>1 592.00</w:t>
            </w:r>
          </w:p>
        </w:tc>
        <w:tc>
          <w:tcPr>
            <w:tcW w:w="1276" w:type="dxa"/>
            <w:tcBorders>
              <w:top w:val="single" w:sz="4" w:space="0" w:color="auto"/>
            </w:tcBorders>
            <w:vAlign w:val="bottom"/>
          </w:tcPr>
          <w:p>
            <w:pPr>
              <w:pStyle w:val="yTableNAm"/>
              <w:keepNext/>
              <w:keepLines/>
              <w:rPr>
                <w:szCs w:val="22"/>
              </w:rPr>
            </w:pPr>
            <w:r>
              <w:rPr>
                <w:szCs w:val="22"/>
              </w:rPr>
              <w:t>100.00</w:t>
            </w:r>
          </w:p>
        </w:tc>
      </w:tr>
      <w:tr>
        <w:trPr>
          <w:cantSplit/>
        </w:trPr>
        <w:tc>
          <w:tcPr>
            <w:tcW w:w="673" w:type="dxa"/>
          </w:tcPr>
          <w:p>
            <w:pPr>
              <w:pStyle w:val="yTableNAm"/>
              <w:rPr>
                <w:szCs w:val="22"/>
              </w:rPr>
            </w:pPr>
            <w:r>
              <w:rPr>
                <w:szCs w:val="22"/>
              </w:rPr>
              <w:t>2.</w:t>
            </w:r>
          </w:p>
        </w:tc>
        <w:tc>
          <w:tcPr>
            <w:tcW w:w="2588" w:type="dxa"/>
          </w:tcPr>
          <w:p>
            <w:pPr>
              <w:pStyle w:val="yTableNAm"/>
              <w:rPr>
                <w:szCs w:val="22"/>
              </w:rPr>
            </w:pPr>
            <w:r>
              <w:rPr>
                <w:szCs w:val="22"/>
              </w:rPr>
              <w:t xml:space="preserve">On filing an application for an extraordinary licence under the </w:t>
            </w:r>
            <w:r>
              <w:rPr>
                <w:i/>
                <w:szCs w:val="22"/>
              </w:rPr>
              <w:t>Road Traffic (Authorisation to Drive) Act 2008</w:t>
            </w:r>
            <w:r>
              <w:rPr>
                <w:iCs/>
                <w:szCs w:val="22"/>
              </w:rPr>
              <w:t xml:space="preserve"> section 27</w:t>
            </w:r>
          </w:p>
        </w:tc>
        <w:tc>
          <w:tcPr>
            <w:tcW w:w="1275" w:type="dxa"/>
            <w:vAlign w:val="bottom"/>
          </w:tcPr>
          <w:p>
            <w:pPr>
              <w:pStyle w:val="yTableNAm"/>
              <w:rPr>
                <w:szCs w:val="22"/>
              </w:rPr>
            </w:pPr>
            <w:r>
              <w:t>196.50</w:t>
            </w:r>
          </w:p>
        </w:tc>
        <w:tc>
          <w:tcPr>
            <w:tcW w:w="1276" w:type="dxa"/>
            <w:vAlign w:val="bottom"/>
          </w:tcPr>
          <w:p>
            <w:pPr>
              <w:pStyle w:val="yTableNAm"/>
              <w:rPr>
                <w:szCs w:val="22"/>
              </w:rPr>
            </w:pPr>
            <w:r>
              <w:rPr>
                <w:szCs w:val="22"/>
              </w:rPr>
              <w:t>N/A</w:t>
            </w:r>
          </w:p>
        </w:tc>
        <w:tc>
          <w:tcPr>
            <w:tcW w:w="1276" w:type="dxa"/>
            <w:vAlign w:val="bottom"/>
          </w:tcPr>
          <w:p>
            <w:pPr>
              <w:pStyle w:val="yTableNAm"/>
              <w:rPr>
                <w:szCs w:val="22"/>
              </w:rPr>
            </w:pPr>
            <w:r>
              <w:rPr>
                <w:szCs w:val="22"/>
              </w:rPr>
              <w:t>59.00</w:t>
            </w:r>
          </w:p>
        </w:tc>
      </w:tr>
      <w:tr>
        <w:trPr>
          <w:cantSplit/>
        </w:trPr>
        <w:tc>
          <w:tcPr>
            <w:tcW w:w="673" w:type="dxa"/>
          </w:tcPr>
          <w:p>
            <w:pPr>
              <w:pStyle w:val="yTableNAm"/>
              <w:rPr>
                <w:szCs w:val="22"/>
              </w:rPr>
            </w:pPr>
            <w:r>
              <w:rPr>
                <w:szCs w:val="22"/>
              </w:rPr>
              <w:t>3.</w:t>
            </w:r>
          </w:p>
        </w:tc>
        <w:tc>
          <w:tcPr>
            <w:tcW w:w="2588" w:type="dxa"/>
          </w:tcPr>
          <w:p>
            <w:pPr>
              <w:pStyle w:val="yTableNAm"/>
              <w:rPr>
                <w:szCs w:val="22"/>
              </w:rPr>
            </w:pPr>
            <w:r>
              <w:rPr>
                <w:szCs w:val="22"/>
              </w:rPr>
              <w:t xml:space="preserve">On filing an application for an order made under the </w:t>
            </w:r>
            <w:r>
              <w:rPr>
                <w:i/>
                <w:szCs w:val="22"/>
              </w:rPr>
              <w:t>Spent Convictions Act 1988</w:t>
            </w:r>
            <w:r>
              <w:rPr>
                <w:szCs w:val="22"/>
              </w:rPr>
              <w:t xml:space="preserve"> section 6(1)</w:t>
            </w:r>
          </w:p>
        </w:tc>
        <w:tc>
          <w:tcPr>
            <w:tcW w:w="1275" w:type="dxa"/>
            <w:vAlign w:val="bottom"/>
          </w:tcPr>
          <w:p>
            <w:pPr>
              <w:pStyle w:val="yTableNAm"/>
              <w:rPr>
                <w:szCs w:val="22"/>
              </w:rPr>
            </w:pPr>
            <w:r>
              <w:t>119.00</w:t>
            </w:r>
          </w:p>
        </w:tc>
        <w:tc>
          <w:tcPr>
            <w:tcW w:w="1276" w:type="dxa"/>
            <w:vAlign w:val="bottom"/>
          </w:tcPr>
          <w:p>
            <w:pPr>
              <w:pStyle w:val="yTableNAm"/>
              <w:rPr>
                <w:szCs w:val="22"/>
              </w:rPr>
            </w:pPr>
            <w:r>
              <w:rPr>
                <w:szCs w:val="22"/>
              </w:rPr>
              <w:t>N/A</w:t>
            </w:r>
          </w:p>
        </w:tc>
        <w:tc>
          <w:tcPr>
            <w:tcW w:w="1276" w:type="dxa"/>
            <w:vAlign w:val="bottom"/>
          </w:tcPr>
          <w:p>
            <w:pPr>
              <w:pStyle w:val="yTableNAm"/>
              <w:rPr>
                <w:szCs w:val="22"/>
              </w:rPr>
            </w:pPr>
            <w:r>
              <w:rPr>
                <w:szCs w:val="22"/>
              </w:rPr>
              <w:t>35.70</w:t>
            </w:r>
          </w:p>
        </w:tc>
      </w:tr>
      <w:tr>
        <w:trPr>
          <w:cantSplit/>
        </w:trPr>
        <w:tc>
          <w:tcPr>
            <w:tcW w:w="673" w:type="dxa"/>
          </w:tcPr>
          <w:p>
            <w:pPr>
              <w:pStyle w:val="yTableNAm"/>
              <w:rPr>
                <w:szCs w:val="22"/>
              </w:rPr>
            </w:pPr>
            <w:r>
              <w:rPr>
                <w:szCs w:val="22"/>
              </w:rPr>
              <w:t>4.</w:t>
            </w:r>
          </w:p>
        </w:tc>
        <w:tc>
          <w:tcPr>
            <w:tcW w:w="2588" w:type="dxa"/>
          </w:tcPr>
          <w:p>
            <w:pPr>
              <w:pStyle w:val="yTableNAm"/>
              <w:rPr>
                <w:szCs w:val="22"/>
              </w:rPr>
            </w:pPr>
            <w:r>
              <w:rPr>
                <w:szCs w:val="22"/>
              </w:rPr>
              <w:t xml:space="preserve">On filing — </w:t>
            </w:r>
          </w:p>
        </w:tc>
        <w:tc>
          <w:tcPr>
            <w:tcW w:w="1275" w:type="dxa"/>
            <w:vAlign w:val="bottom"/>
          </w:tcPr>
          <w:p>
            <w:pPr>
              <w:pStyle w:val="yTableNAm"/>
              <w:rPr>
                <w:szCs w:val="22"/>
              </w:rPr>
            </w:pPr>
          </w:p>
        </w:tc>
        <w:tc>
          <w:tcPr>
            <w:tcW w:w="1276" w:type="dxa"/>
            <w:vAlign w:val="bottom"/>
          </w:tcPr>
          <w:p>
            <w:pPr>
              <w:pStyle w:val="yTableNAm"/>
              <w:rPr>
                <w:szCs w:val="22"/>
              </w:rPr>
            </w:pPr>
          </w:p>
        </w:tc>
        <w:tc>
          <w:tcPr>
            <w:tcW w:w="1276" w:type="dxa"/>
            <w:vAlign w:val="bottom"/>
          </w:tcPr>
          <w:p>
            <w:pPr>
              <w:pStyle w:val="yTableNAm"/>
              <w:rPr>
                <w:szCs w:val="22"/>
              </w:rPr>
            </w:pPr>
          </w:p>
        </w:tc>
      </w:tr>
      <w:tr>
        <w:trPr>
          <w:cantSplit/>
        </w:trPr>
        <w:tc>
          <w:tcPr>
            <w:tcW w:w="673" w:type="dxa"/>
          </w:tcPr>
          <w:p>
            <w:pPr>
              <w:pStyle w:val="yTableNAm"/>
              <w:rPr>
                <w:szCs w:val="22"/>
              </w:rPr>
            </w:pPr>
          </w:p>
        </w:tc>
        <w:tc>
          <w:tcPr>
            <w:tcW w:w="2588" w:type="dxa"/>
          </w:tcPr>
          <w:p>
            <w:pPr>
              <w:pStyle w:val="yTableNAm"/>
              <w:tabs>
                <w:tab w:val="left" w:pos="495"/>
              </w:tabs>
              <w:rPr>
                <w:szCs w:val="22"/>
              </w:rPr>
            </w:pPr>
            <w:r>
              <w:rPr>
                <w:szCs w:val="22"/>
              </w:rPr>
              <w:t>(a)</w:t>
            </w:r>
            <w:r>
              <w:rPr>
                <w:szCs w:val="22"/>
              </w:rPr>
              <w:tab/>
              <w:t>a counterclaim</w:t>
            </w:r>
          </w:p>
        </w:tc>
        <w:tc>
          <w:tcPr>
            <w:tcW w:w="1275" w:type="dxa"/>
            <w:vAlign w:val="bottom"/>
          </w:tcPr>
          <w:p>
            <w:pPr>
              <w:pStyle w:val="yTableNAm"/>
              <w:rPr>
                <w:szCs w:val="22"/>
              </w:rPr>
            </w:pPr>
            <w:r>
              <w:rPr>
                <w:szCs w:val="22"/>
              </w:rPr>
              <w:t>816.00</w:t>
            </w:r>
          </w:p>
        </w:tc>
        <w:tc>
          <w:tcPr>
            <w:tcW w:w="1276" w:type="dxa"/>
            <w:vAlign w:val="bottom"/>
          </w:tcPr>
          <w:p>
            <w:pPr>
              <w:pStyle w:val="yTableNAm"/>
              <w:rPr>
                <w:szCs w:val="22"/>
              </w:rPr>
            </w:pPr>
            <w:r>
              <w:rPr>
                <w:szCs w:val="22"/>
              </w:rPr>
              <w:t>1 592.00</w:t>
            </w:r>
          </w:p>
        </w:tc>
        <w:tc>
          <w:tcPr>
            <w:tcW w:w="1276" w:type="dxa"/>
            <w:vAlign w:val="bottom"/>
          </w:tcPr>
          <w:p>
            <w:pPr>
              <w:pStyle w:val="yTableNAm"/>
              <w:rPr>
                <w:szCs w:val="22"/>
              </w:rPr>
            </w:pPr>
            <w:r>
              <w:rPr>
                <w:szCs w:val="22"/>
              </w:rPr>
              <w:t>100.00</w:t>
            </w:r>
          </w:p>
        </w:tc>
      </w:tr>
      <w:tr>
        <w:trPr>
          <w:cantSplit/>
        </w:trPr>
        <w:tc>
          <w:tcPr>
            <w:tcW w:w="673" w:type="dxa"/>
          </w:tcPr>
          <w:p>
            <w:pPr>
              <w:pStyle w:val="yTableNAm"/>
              <w:rPr>
                <w:szCs w:val="22"/>
              </w:rPr>
            </w:pPr>
          </w:p>
        </w:tc>
        <w:tc>
          <w:tcPr>
            <w:tcW w:w="2588" w:type="dxa"/>
          </w:tcPr>
          <w:p>
            <w:pPr>
              <w:pStyle w:val="yTableNAm"/>
              <w:tabs>
                <w:tab w:val="left" w:pos="495"/>
              </w:tabs>
              <w:rPr>
                <w:szCs w:val="22"/>
              </w:rPr>
            </w:pPr>
            <w:r>
              <w:rPr>
                <w:szCs w:val="22"/>
              </w:rPr>
              <w:t>(b)</w:t>
            </w:r>
            <w:r>
              <w:rPr>
                <w:szCs w:val="22"/>
              </w:rPr>
              <w:tab/>
              <w:t xml:space="preserve">a third party notice </w:t>
            </w:r>
          </w:p>
        </w:tc>
        <w:tc>
          <w:tcPr>
            <w:tcW w:w="1275" w:type="dxa"/>
            <w:vAlign w:val="bottom"/>
          </w:tcPr>
          <w:p>
            <w:pPr>
              <w:pStyle w:val="yTableNAm"/>
              <w:rPr>
                <w:szCs w:val="22"/>
              </w:rPr>
            </w:pPr>
            <w:r>
              <w:rPr>
                <w:szCs w:val="22"/>
              </w:rPr>
              <w:t>816.00</w:t>
            </w:r>
          </w:p>
        </w:tc>
        <w:tc>
          <w:tcPr>
            <w:tcW w:w="1276" w:type="dxa"/>
            <w:vAlign w:val="bottom"/>
          </w:tcPr>
          <w:p>
            <w:pPr>
              <w:pStyle w:val="yTableNAm"/>
              <w:rPr>
                <w:szCs w:val="22"/>
              </w:rPr>
            </w:pPr>
            <w:r>
              <w:rPr>
                <w:szCs w:val="22"/>
              </w:rPr>
              <w:t>1 592.00</w:t>
            </w:r>
          </w:p>
        </w:tc>
        <w:tc>
          <w:tcPr>
            <w:tcW w:w="1276" w:type="dxa"/>
            <w:vAlign w:val="bottom"/>
          </w:tcPr>
          <w:p>
            <w:pPr>
              <w:pStyle w:val="yTableNAm"/>
              <w:rPr>
                <w:szCs w:val="22"/>
              </w:rPr>
            </w:pPr>
            <w:r>
              <w:rPr>
                <w:szCs w:val="22"/>
              </w:rPr>
              <w:t>100.00</w:t>
            </w:r>
          </w:p>
        </w:tc>
      </w:tr>
      <w:tr>
        <w:trPr>
          <w:cantSplit/>
        </w:trPr>
        <w:tc>
          <w:tcPr>
            <w:tcW w:w="673" w:type="dxa"/>
          </w:tcPr>
          <w:p>
            <w:pPr>
              <w:pStyle w:val="yTableNAm"/>
              <w:rPr>
                <w:szCs w:val="22"/>
              </w:rPr>
            </w:pPr>
          </w:p>
        </w:tc>
        <w:tc>
          <w:tcPr>
            <w:tcW w:w="2588" w:type="dxa"/>
          </w:tcPr>
          <w:p>
            <w:pPr>
              <w:pStyle w:val="yTableNAm"/>
              <w:tabs>
                <w:tab w:val="left" w:pos="495"/>
              </w:tabs>
              <w:rPr>
                <w:szCs w:val="22"/>
              </w:rPr>
            </w:pPr>
            <w:r>
              <w:rPr>
                <w:szCs w:val="22"/>
              </w:rPr>
              <w:t>(c)</w:t>
            </w:r>
            <w:r>
              <w:rPr>
                <w:szCs w:val="22"/>
              </w:rPr>
              <w:tab/>
              <w:t>an application — </w:t>
            </w:r>
          </w:p>
          <w:p>
            <w:pPr>
              <w:pStyle w:val="yTableNAm"/>
              <w:tabs>
                <w:tab w:val="clear" w:pos="567"/>
                <w:tab w:val="left" w:pos="212"/>
                <w:tab w:val="left" w:pos="637"/>
              </w:tabs>
              <w:ind w:left="637" w:hanging="637"/>
              <w:rPr>
                <w:szCs w:val="22"/>
              </w:rPr>
            </w:pPr>
            <w:r>
              <w:rPr>
                <w:szCs w:val="22"/>
              </w:rPr>
              <w:tab/>
              <w:t>(i)</w:t>
            </w:r>
            <w:r>
              <w:rPr>
                <w:szCs w:val="22"/>
              </w:rPr>
              <w:tab/>
              <w:t>to extend a period of time fixed by law, including an application to extend time before proceedings are commenced</w:t>
            </w:r>
          </w:p>
        </w:tc>
        <w:tc>
          <w:tcPr>
            <w:tcW w:w="1275" w:type="dxa"/>
            <w:vAlign w:val="bottom"/>
          </w:tcPr>
          <w:p>
            <w:pPr>
              <w:pStyle w:val="yTableNAm"/>
              <w:rPr>
                <w:szCs w:val="22"/>
              </w:rPr>
            </w:pPr>
          </w:p>
        </w:tc>
        <w:tc>
          <w:tcPr>
            <w:tcW w:w="1276" w:type="dxa"/>
            <w:vAlign w:val="bottom"/>
          </w:tcPr>
          <w:p>
            <w:pPr>
              <w:pStyle w:val="yTableNAm"/>
              <w:rPr>
                <w:szCs w:val="22"/>
              </w:rPr>
            </w:pPr>
          </w:p>
        </w:tc>
        <w:tc>
          <w:tcPr>
            <w:tcW w:w="1276" w:type="dxa"/>
            <w:vAlign w:val="bottom"/>
          </w:tcPr>
          <w:p>
            <w:pPr>
              <w:pStyle w:val="yTableNAm"/>
              <w:rPr>
                <w:szCs w:val="22"/>
              </w:rPr>
            </w:pPr>
          </w:p>
        </w:tc>
      </w:tr>
      <w:tr>
        <w:trPr>
          <w:cantSplit/>
        </w:trPr>
        <w:tc>
          <w:tcPr>
            <w:tcW w:w="673" w:type="dxa"/>
          </w:tcPr>
          <w:p>
            <w:pPr>
              <w:pStyle w:val="yTableNAm"/>
              <w:rPr>
                <w:szCs w:val="22"/>
              </w:rPr>
            </w:pPr>
          </w:p>
        </w:tc>
        <w:tc>
          <w:tcPr>
            <w:tcW w:w="2588" w:type="dxa"/>
          </w:tcPr>
          <w:p>
            <w:pPr>
              <w:pStyle w:val="yTableNAm"/>
              <w:tabs>
                <w:tab w:val="clear" w:pos="567"/>
                <w:tab w:val="left" w:pos="212"/>
                <w:tab w:val="left" w:pos="637"/>
              </w:tabs>
              <w:ind w:left="637" w:hanging="637"/>
              <w:rPr>
                <w:szCs w:val="22"/>
              </w:rPr>
            </w:pPr>
            <w:r>
              <w:rPr>
                <w:szCs w:val="22"/>
              </w:rPr>
              <w:tab/>
              <w:t>(ii)</w:t>
            </w:r>
            <w:r>
              <w:rPr>
                <w:szCs w:val="22"/>
              </w:rPr>
              <w:tab/>
              <w:t>to limit a period of time within which proceedings may be taken</w:t>
            </w:r>
          </w:p>
          <w:p>
            <w:pPr>
              <w:pStyle w:val="yTableNAm"/>
              <w:tabs>
                <w:tab w:val="clear" w:pos="567"/>
                <w:tab w:val="left" w:pos="212"/>
                <w:tab w:val="left" w:pos="637"/>
              </w:tabs>
              <w:ind w:left="637" w:hanging="637"/>
              <w:rPr>
                <w:szCs w:val="22"/>
              </w:rPr>
            </w:pPr>
            <w:r>
              <w:rPr>
                <w:szCs w:val="22"/>
              </w:rPr>
              <w:tab/>
              <w:t>(iii)</w:t>
            </w:r>
            <w:r>
              <w:rPr>
                <w:szCs w:val="22"/>
              </w:rPr>
              <w:tab/>
              <w:t>for leave to serve a writ or notice of a writ out of jurisdiction</w:t>
            </w:r>
          </w:p>
        </w:tc>
        <w:tc>
          <w:tcPr>
            <w:tcW w:w="1275" w:type="dxa"/>
            <w:vAlign w:val="bottom"/>
          </w:tcPr>
          <w:p>
            <w:pPr>
              <w:pStyle w:val="yTableNAm"/>
              <w:rPr>
                <w:szCs w:val="22"/>
              </w:rPr>
            </w:pPr>
            <w:r>
              <w:t>307.00</w:t>
            </w:r>
          </w:p>
        </w:tc>
        <w:tc>
          <w:tcPr>
            <w:tcW w:w="1276" w:type="dxa"/>
            <w:vAlign w:val="bottom"/>
          </w:tcPr>
          <w:p>
            <w:pPr>
              <w:pStyle w:val="yTableNAm"/>
            </w:pPr>
            <w:r>
              <w:t>529.00</w:t>
            </w:r>
          </w:p>
        </w:tc>
        <w:tc>
          <w:tcPr>
            <w:tcW w:w="1276" w:type="dxa"/>
            <w:vAlign w:val="bottom"/>
          </w:tcPr>
          <w:p>
            <w:pPr>
              <w:pStyle w:val="yTableNAm"/>
              <w:rPr>
                <w:szCs w:val="22"/>
              </w:rPr>
            </w:pPr>
            <w:r>
              <w:t>92.00</w:t>
            </w: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(d)</w:t>
            </w:r>
            <w:r>
              <w:rPr>
                <w:szCs w:val="22"/>
              </w:rPr>
              <w:tab/>
              <w:t>an application for leave to appeal</w:t>
            </w:r>
          </w:p>
        </w:tc>
        <w:tc>
          <w:tcPr>
            <w:tcW w:w="1275" w:type="dxa"/>
            <w:vAlign w:val="bottom"/>
          </w:tcPr>
          <w:p>
            <w:pPr>
              <w:pStyle w:val="yTableNAm"/>
            </w:pPr>
            <w:r>
              <w:t>0.00</w:t>
            </w:r>
          </w:p>
        </w:tc>
        <w:tc>
          <w:tcPr>
            <w:tcW w:w="1276" w:type="dxa"/>
            <w:vAlign w:val="bottom"/>
          </w:tcPr>
          <w:p>
            <w:pPr>
              <w:pStyle w:val="yTableNAm"/>
            </w:pPr>
            <w:r>
              <w:t>0.00</w:t>
            </w:r>
          </w:p>
        </w:tc>
        <w:tc>
          <w:tcPr>
            <w:tcW w:w="1276" w:type="dxa"/>
            <w:vAlign w:val="bottom"/>
          </w:tcPr>
          <w:p>
            <w:pPr>
              <w:pStyle w:val="yTableNAm"/>
            </w:pPr>
            <w:r>
              <w:t>0.00</w:t>
            </w: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(e)</w:t>
            </w:r>
            <w:r>
              <w:rPr>
                <w:szCs w:val="22"/>
              </w:rPr>
              <w:tab/>
              <w:t>any other application for which no fee has been provided in this Schedule</w:t>
            </w:r>
          </w:p>
        </w:tc>
        <w:tc>
          <w:tcPr>
            <w:tcW w:w="1275" w:type="dxa"/>
            <w:vAlign w:val="bottom"/>
          </w:tcPr>
          <w:p>
            <w:pPr>
              <w:pStyle w:val="yTableNAm"/>
              <w:rPr>
                <w:szCs w:val="22"/>
              </w:rPr>
            </w:pPr>
            <w:r>
              <w:t>307.00</w:t>
            </w:r>
          </w:p>
        </w:tc>
        <w:tc>
          <w:tcPr>
            <w:tcW w:w="1276" w:type="dxa"/>
            <w:vAlign w:val="bottom"/>
          </w:tcPr>
          <w:p>
            <w:pPr>
              <w:pStyle w:val="yTableNAm"/>
            </w:pPr>
            <w:r>
              <w:t>529.00</w:t>
            </w:r>
          </w:p>
        </w:tc>
        <w:tc>
          <w:tcPr>
            <w:tcW w:w="1276" w:type="dxa"/>
            <w:vAlign w:val="bottom"/>
          </w:tcPr>
          <w:p>
            <w:pPr>
              <w:pStyle w:val="yTableNAm"/>
              <w:rPr>
                <w:szCs w:val="22"/>
              </w:rPr>
            </w:pPr>
            <w:r>
              <w:t>92.00</w:t>
            </w:r>
          </w:p>
        </w:tc>
      </w:tr>
      <w:tr>
        <w:tblPrEx>
          <w:tblCellMar>
            <w:bottom w:w="113" w:type="dxa"/>
          </w:tblCellMar>
        </w:tblPrEx>
        <w:trPr>
          <w:cantSplit/>
        </w:trPr>
        <w:tc>
          <w:tcPr>
            <w:tcW w:w="673" w:type="dxa"/>
          </w:tcPr>
          <w:p>
            <w:pPr>
              <w:pStyle w:val="yTableNAm"/>
              <w:rPr>
                <w:szCs w:val="22"/>
              </w:rPr>
            </w:pPr>
            <w:r>
              <w:rPr>
                <w:szCs w:val="22"/>
              </w:rPr>
              <w:t>5.</w:t>
            </w:r>
          </w:p>
        </w:tc>
        <w:tc>
          <w:tcPr>
            <w:tcW w:w="2588" w:type="dxa"/>
          </w:tcPr>
          <w:p>
            <w:pPr>
              <w:pStyle w:val="yTableNAm"/>
              <w:tabs>
                <w:tab w:val="left" w:pos="495"/>
              </w:tabs>
              <w:ind w:left="495" w:hanging="495"/>
              <w:rPr>
                <w:szCs w:val="22"/>
              </w:rPr>
            </w:pPr>
            <w:r>
              <w:rPr>
                <w:szCs w:val="22"/>
              </w:rPr>
              <w:t xml:space="preserve">On filing — </w:t>
            </w:r>
          </w:p>
          <w:p>
            <w:pPr>
              <w:pStyle w:val="yTableNAm"/>
              <w:tabs>
                <w:tab w:val="left" w:pos="495"/>
              </w:tabs>
              <w:ind w:left="495" w:hanging="495"/>
              <w:rPr>
                <w:szCs w:val="22"/>
              </w:rPr>
            </w:pPr>
            <w:r>
              <w:rPr>
                <w:szCs w:val="22"/>
              </w:rPr>
              <w:t>(a)</w:t>
            </w:r>
            <w:r>
              <w:rPr>
                <w:szCs w:val="22"/>
              </w:rPr>
              <w:tab/>
              <w:t>an appeal notice</w:t>
            </w:r>
          </w:p>
        </w:tc>
        <w:tc>
          <w:tcPr>
            <w:tcW w:w="1275" w:type="dxa"/>
            <w:vAlign w:val="bottom"/>
          </w:tcPr>
          <w:p>
            <w:pPr>
              <w:pStyle w:val="yTableNAm"/>
              <w:rPr>
                <w:szCs w:val="22"/>
              </w:rPr>
            </w:pPr>
            <w:r>
              <w:t>462.00</w:t>
            </w:r>
          </w:p>
        </w:tc>
        <w:tc>
          <w:tcPr>
            <w:tcW w:w="1276" w:type="dxa"/>
            <w:vAlign w:val="bottom"/>
          </w:tcPr>
          <w:p>
            <w:pPr>
              <w:pStyle w:val="yTableNAm"/>
            </w:pPr>
            <w:r>
              <w:t>1 196.00</w:t>
            </w:r>
          </w:p>
        </w:tc>
        <w:tc>
          <w:tcPr>
            <w:tcW w:w="1276" w:type="dxa"/>
            <w:vAlign w:val="bottom"/>
          </w:tcPr>
          <w:p>
            <w:pPr>
              <w:pStyle w:val="yTableNAm"/>
              <w:rPr>
                <w:szCs w:val="22"/>
              </w:rPr>
            </w:pPr>
            <w:r>
              <w:t>100.00</w:t>
            </w:r>
          </w:p>
        </w:tc>
      </w:tr>
      <w:tr>
        <w:tblPrEx>
          <w:tblCellMar>
            <w:bottom w:w="113" w:type="dxa"/>
          </w:tblCellMar>
        </w:tblPrEx>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(b)</w:t>
            </w:r>
            <w:r>
              <w:rPr>
                <w:szCs w:val="22"/>
              </w:rPr>
              <w:tab/>
              <w:t>for each additional half day allocated for the hearing of the appeal</w:t>
            </w:r>
          </w:p>
        </w:tc>
        <w:tc>
          <w:tcPr>
            <w:tcW w:w="1275" w:type="dxa"/>
            <w:vAlign w:val="bottom"/>
          </w:tcPr>
          <w:p>
            <w:pPr>
              <w:pStyle w:val="yTableNAm"/>
              <w:rPr>
                <w:szCs w:val="22"/>
              </w:rPr>
            </w:pPr>
            <w:r>
              <w:rPr>
                <w:szCs w:val="22"/>
              </w:rPr>
              <w:br/>
            </w:r>
            <w:r>
              <w:rPr>
                <w:szCs w:val="22"/>
              </w:rPr>
              <w:br/>
            </w:r>
            <w:r>
              <w:t>358.00</w:t>
            </w:r>
          </w:p>
        </w:tc>
        <w:tc>
          <w:tcPr>
            <w:tcW w:w="1276" w:type="dxa"/>
            <w:vAlign w:val="bottom"/>
          </w:tcPr>
          <w:p>
            <w:pPr>
              <w:pStyle w:val="yTableNAm"/>
              <w:rPr>
                <w:szCs w:val="22"/>
              </w:rPr>
            </w:pPr>
            <w:r>
              <w:rPr>
                <w:szCs w:val="22"/>
              </w:rPr>
              <w:t>933.00</w:t>
            </w:r>
          </w:p>
        </w:tc>
        <w:tc>
          <w:tcPr>
            <w:tcW w:w="1276" w:type="dxa"/>
            <w:vAlign w:val="bottom"/>
          </w:tcPr>
          <w:p>
            <w:pPr>
              <w:pStyle w:val="yTableNAm"/>
              <w:rPr>
                <w:szCs w:val="22"/>
              </w:rPr>
            </w:pPr>
            <w:r>
              <w:rPr>
                <w:szCs w:val="22"/>
              </w:rPr>
              <w:br/>
            </w:r>
            <w:r>
              <w:rPr>
                <w:szCs w:val="22"/>
              </w:rPr>
              <w:br/>
            </w:r>
            <w:r>
              <w:t>100.00</w:t>
            </w:r>
          </w:p>
        </w:tc>
      </w:tr>
      <w:tr>
        <w:tblPrEx>
          <w:tblCellMar>
            <w:bottom w:w="113" w:type="dxa"/>
          </w:tblCellMar>
        </w:tblPrEx>
        <w:trPr>
          <w:cantSplit/>
          <w:trHeight w:val="999"/>
        </w:trPr>
        <w:tc>
          <w:tcPr>
            <w:tcW w:w="673" w:type="dxa"/>
          </w:tcPr>
          <w:p>
            <w:pPr>
              <w:pStyle w:val="yTableNAm"/>
              <w:rPr>
                <w:szCs w:val="22"/>
              </w:rPr>
            </w:pPr>
          </w:p>
        </w:tc>
        <w:tc>
          <w:tcPr>
            <w:tcW w:w="6415" w:type="dxa"/>
            <w:gridSpan w:val="4"/>
          </w:tcPr>
          <w:p>
            <w:pPr>
              <w:pStyle w:val="yTableNAm"/>
              <w:rPr>
                <w:sz w:val="20"/>
              </w:rPr>
            </w:pPr>
            <w:r>
              <w:rPr>
                <w:sz w:val="20"/>
              </w:rPr>
              <w:t>Note 1:</w:t>
            </w:r>
          </w:p>
          <w:p>
            <w:pPr>
              <w:pStyle w:val="yTableNAm"/>
              <w:rPr>
                <w:sz w:val="20"/>
              </w:rPr>
            </w:pPr>
            <w:r>
              <w:rPr>
                <w:sz w:val="20"/>
              </w:rPr>
              <w:t>The fee in item 5(a) includes any directions hearings and the first half day allocated by the District Court for the hearing of the appeal.</w:t>
            </w:r>
          </w:p>
        </w:tc>
      </w:tr>
      <w:tr>
        <w:tblPrEx>
          <w:tblCellMar>
            <w:bottom w:w="113" w:type="dxa"/>
          </w:tblCellMar>
        </w:tblPrEx>
        <w:trPr>
          <w:cantSplit/>
          <w:trHeight w:val="1252"/>
        </w:trPr>
        <w:tc>
          <w:tcPr>
            <w:tcW w:w="673" w:type="dxa"/>
          </w:tcPr>
          <w:p>
            <w:pPr>
              <w:pStyle w:val="yTableNAm"/>
              <w:rPr>
                <w:szCs w:val="22"/>
              </w:rPr>
            </w:pPr>
          </w:p>
        </w:tc>
        <w:tc>
          <w:tcPr>
            <w:tcW w:w="6415" w:type="dxa"/>
            <w:gridSpan w:val="4"/>
          </w:tcPr>
          <w:p>
            <w:pPr>
              <w:pStyle w:val="yTableNAm"/>
              <w:rPr>
                <w:sz w:val="20"/>
              </w:rPr>
            </w:pPr>
            <w:r>
              <w:rPr>
                <w:sz w:val="20"/>
              </w:rPr>
              <w:t>Note 2:</w:t>
            </w:r>
          </w:p>
          <w:p>
            <w:pPr>
              <w:pStyle w:val="yTableNAm"/>
              <w:rPr>
                <w:sz w:val="20"/>
              </w:rPr>
            </w:pPr>
            <w:r>
              <w:rPr>
                <w:sz w:val="20"/>
              </w:rPr>
              <w:t>The fee in item 5(b) is payable for each half day, allocated by the District Court for the hearing of the appeal, that is additional to the first half day of hearing.</w:t>
            </w:r>
          </w:p>
        </w:tc>
      </w:tr>
      <w:tr>
        <w:tblPrEx>
          <w:tblCellMar>
            <w:bottom w:w="113" w:type="dxa"/>
          </w:tblCellMar>
        </w:tblPrEx>
        <w:trPr>
          <w:cantSplit/>
          <w:trHeight w:val="1252"/>
        </w:trPr>
        <w:tc>
          <w:tcPr>
            <w:tcW w:w="673" w:type="dxa"/>
          </w:tcPr>
          <w:p>
            <w:pPr>
              <w:pStyle w:val="yTableNAm"/>
              <w:rPr>
                <w:szCs w:val="22"/>
              </w:rPr>
            </w:pPr>
          </w:p>
        </w:tc>
        <w:tc>
          <w:tcPr>
            <w:tcW w:w="6415" w:type="dxa"/>
            <w:gridSpan w:val="4"/>
          </w:tcPr>
          <w:p>
            <w:pPr>
              <w:pStyle w:val="yTableNAm"/>
              <w:rPr>
                <w:sz w:val="20"/>
              </w:rPr>
            </w:pPr>
            <w:r>
              <w:rPr>
                <w:sz w:val="20"/>
              </w:rPr>
              <w:t>Note 3:</w:t>
            </w:r>
          </w:p>
          <w:p>
            <w:pPr>
              <w:pStyle w:val="yTableNAm"/>
              <w:rPr>
                <w:sz w:val="20"/>
              </w:rPr>
            </w:pPr>
            <w:r>
              <w:rPr>
                <w:sz w:val="20"/>
              </w:rPr>
              <w:t xml:space="preserve">Under the </w:t>
            </w:r>
            <w:r>
              <w:rPr>
                <w:i/>
                <w:sz w:val="20"/>
              </w:rPr>
              <w:t>District Court Rules 2005</w:t>
            </w:r>
            <w:r>
              <w:rPr>
                <w:sz w:val="20"/>
              </w:rPr>
              <w:t xml:space="preserve"> rule 56A, if the fee payable under item 5(b) is not paid or waived within 14 days after the date on which the hearing date is set, the appeal may be dismissed for want of prosecution.</w:t>
            </w:r>
          </w:p>
        </w:tc>
      </w:tr>
      <w:tr>
        <w:trPr>
          <w:cantSplit/>
        </w:trPr>
        <w:tc>
          <w:tcPr>
            <w:tcW w:w="673" w:type="dxa"/>
          </w:tcPr>
          <w:p>
            <w:pPr>
              <w:pStyle w:val="yTableNAm"/>
              <w:rPr>
                <w:szCs w:val="22"/>
              </w:rPr>
            </w:pPr>
            <w:r>
              <w:rPr>
                <w:szCs w:val="22"/>
              </w:rPr>
              <w:t>6.</w:t>
            </w:r>
          </w:p>
        </w:tc>
        <w:tc>
          <w:tcPr>
            <w:tcW w:w="2588" w:type="dxa"/>
          </w:tcPr>
          <w:p>
            <w:pPr>
              <w:pStyle w:val="yTableNAm"/>
              <w:rPr>
                <w:szCs w:val="22"/>
              </w:rPr>
            </w:pPr>
            <w:r>
              <w:rPr>
                <w:szCs w:val="22"/>
              </w:rPr>
              <w:t>Entry for hearing a cause or matter (including the assessment of damages in an action for personal injury) or notice of an appointment to hear an originating summons</w:t>
            </w:r>
          </w:p>
        </w:tc>
        <w:tc>
          <w:tcPr>
            <w:tcW w:w="1275" w:type="dxa"/>
            <w:vAlign w:val="bottom"/>
          </w:tcPr>
          <w:p>
            <w:pPr>
              <w:pStyle w:val="yTableNAm"/>
              <w:rPr>
                <w:szCs w:val="22"/>
              </w:rPr>
            </w:pPr>
            <w:r>
              <w:rPr>
                <w:szCs w:val="22"/>
              </w:rPr>
              <w:t>816.00</w:t>
            </w:r>
          </w:p>
        </w:tc>
        <w:tc>
          <w:tcPr>
            <w:tcW w:w="1276" w:type="dxa"/>
            <w:vAlign w:val="bottom"/>
          </w:tcPr>
          <w:p>
            <w:pPr>
              <w:pStyle w:val="yTableNAm"/>
              <w:rPr>
                <w:szCs w:val="22"/>
              </w:rPr>
            </w:pPr>
            <w:r>
              <w:rPr>
                <w:szCs w:val="22"/>
              </w:rPr>
              <w:t>1 592.00</w:t>
            </w:r>
          </w:p>
        </w:tc>
        <w:tc>
          <w:tcPr>
            <w:tcW w:w="1276" w:type="dxa"/>
            <w:vAlign w:val="bottom"/>
          </w:tcPr>
          <w:p>
            <w:pPr>
              <w:pStyle w:val="yTableNAm"/>
              <w:rPr>
                <w:szCs w:val="22"/>
              </w:rPr>
            </w:pPr>
            <w:r>
              <w:rPr>
                <w:szCs w:val="22"/>
              </w:rPr>
              <w:t>100.00</w:t>
            </w:r>
          </w:p>
        </w:tc>
      </w:tr>
      <w:tr>
        <w:trPr>
          <w:cantSplit/>
          <w:trHeight w:val="746"/>
        </w:trPr>
        <w:tc>
          <w:tcPr>
            <w:tcW w:w="673" w:type="dxa"/>
          </w:tcPr>
          <w:p>
            <w:pPr>
              <w:pStyle w:val="yTableNAm"/>
              <w:rPr>
                <w:szCs w:val="22"/>
              </w:rPr>
            </w:pPr>
          </w:p>
        </w:tc>
        <w:tc>
          <w:tcPr>
            <w:tcW w:w="6415" w:type="dxa"/>
            <w:gridSpan w:val="4"/>
          </w:tcPr>
          <w:p>
            <w:pPr>
              <w:pStyle w:val="yTableNAm"/>
              <w:rPr>
                <w:sz w:val="20"/>
              </w:rPr>
            </w:pPr>
            <w:r>
              <w:rPr>
                <w:sz w:val="20"/>
              </w:rPr>
              <w:t>Note:</w:t>
            </w:r>
          </w:p>
          <w:p>
            <w:pPr>
              <w:pStyle w:val="yTableNAm"/>
              <w:rPr>
                <w:szCs w:val="22"/>
              </w:rPr>
            </w:pPr>
            <w:r>
              <w:rPr>
                <w:sz w:val="20"/>
              </w:rPr>
              <w:t>This item does not apply to entering an appeal for hearing.</w:t>
            </w:r>
          </w:p>
        </w:tc>
      </w:tr>
      <w:tr>
        <w:tblPrEx>
          <w:tblCellMar>
            <w:bottom w:w="113" w:type="dxa"/>
          </w:tblCellMar>
        </w:tblPrEx>
        <w:trPr>
          <w:cantSplit/>
        </w:trPr>
        <w:tc>
          <w:tcPr>
            <w:tcW w:w="673" w:type="dxa"/>
          </w:tcPr>
          <w:p>
            <w:pPr>
              <w:pStyle w:val="yTableNAm"/>
              <w:rPr>
                <w:szCs w:val="22"/>
              </w:rPr>
            </w:pPr>
            <w:r>
              <w:rPr>
                <w:szCs w:val="22"/>
              </w:rPr>
              <w:t>7.</w:t>
            </w:r>
          </w:p>
        </w:tc>
        <w:tc>
          <w:tcPr>
            <w:tcW w:w="2588" w:type="dxa"/>
          </w:tcPr>
          <w:p>
            <w:pPr>
              <w:pStyle w:val="yTableNAm"/>
              <w:rPr>
                <w:szCs w:val="22"/>
              </w:rPr>
            </w:pPr>
            <w:r>
              <w:rPr>
                <w:szCs w:val="22"/>
              </w:rPr>
              <w:t>Allocation of hearing date, for each day allocated</w:t>
            </w:r>
          </w:p>
        </w:tc>
        <w:tc>
          <w:tcPr>
            <w:tcW w:w="1275" w:type="dxa"/>
            <w:vAlign w:val="bottom"/>
          </w:tcPr>
          <w:p>
            <w:pPr>
              <w:pStyle w:val="yTableNAm"/>
              <w:rPr>
                <w:szCs w:val="22"/>
              </w:rPr>
            </w:pPr>
            <w:r>
              <w:rPr>
                <w:szCs w:val="22"/>
              </w:rPr>
              <w:br/>
            </w:r>
            <w:r>
              <w:t>716.00</w:t>
            </w:r>
          </w:p>
        </w:tc>
        <w:tc>
          <w:tcPr>
            <w:tcW w:w="1276" w:type="dxa"/>
            <w:vAlign w:val="bottom"/>
          </w:tcPr>
          <w:p>
            <w:pPr>
              <w:pStyle w:val="yTableNAm"/>
              <w:rPr>
                <w:szCs w:val="22"/>
              </w:rPr>
            </w:pPr>
            <w:r>
              <w:rPr>
                <w:szCs w:val="22"/>
              </w:rPr>
              <w:t>1 865.00</w:t>
            </w:r>
          </w:p>
        </w:tc>
        <w:tc>
          <w:tcPr>
            <w:tcW w:w="1276" w:type="dxa"/>
            <w:vAlign w:val="bottom"/>
          </w:tcPr>
          <w:p>
            <w:pPr>
              <w:pStyle w:val="yTableNAm"/>
              <w:rPr>
                <w:szCs w:val="22"/>
              </w:rPr>
            </w:pPr>
            <w:r>
              <w:rPr>
                <w:szCs w:val="22"/>
              </w:rPr>
              <w:br/>
            </w:r>
            <w:r>
              <w:t>100.00</w:t>
            </w:r>
          </w:p>
        </w:tc>
      </w:tr>
      <w:tr>
        <w:tblPrEx>
          <w:tblCellMar>
            <w:bottom w:w="113" w:type="dxa"/>
          </w:tblCellMar>
        </w:tblPrEx>
        <w:trPr>
          <w:cantSplit/>
        </w:trPr>
        <w:tc>
          <w:tcPr>
            <w:tcW w:w="673" w:type="dxa"/>
          </w:tcPr>
          <w:p>
            <w:pPr>
              <w:pStyle w:val="yTableNAm"/>
              <w:rPr>
                <w:szCs w:val="22"/>
              </w:rPr>
            </w:pPr>
          </w:p>
        </w:tc>
        <w:tc>
          <w:tcPr>
            <w:tcW w:w="6415" w:type="dxa"/>
            <w:gridSpan w:val="4"/>
          </w:tcPr>
          <w:p>
            <w:pPr>
              <w:pStyle w:val="yTableNAm"/>
              <w:rPr>
                <w:sz w:val="20"/>
              </w:rPr>
            </w:pPr>
            <w:r>
              <w:rPr>
                <w:sz w:val="20"/>
              </w:rPr>
              <w:t>Note 1:</w:t>
            </w:r>
          </w:p>
          <w:p>
            <w:pPr>
              <w:pStyle w:val="yTableNAm"/>
              <w:rPr>
                <w:szCs w:val="22"/>
              </w:rPr>
            </w:pPr>
            <w:r>
              <w:rPr>
                <w:sz w:val="20"/>
              </w:rPr>
              <w:t>See regulation 10.</w:t>
            </w:r>
          </w:p>
        </w:tc>
      </w:tr>
      <w:tr>
        <w:tblPrEx>
          <w:tblCellMar>
            <w:bottom w:w="113" w:type="dxa"/>
          </w:tblCellMar>
        </w:tblPrEx>
        <w:trPr>
          <w:cantSplit/>
        </w:trPr>
        <w:tc>
          <w:tcPr>
            <w:tcW w:w="673" w:type="dxa"/>
          </w:tcPr>
          <w:p>
            <w:pPr>
              <w:pStyle w:val="yTableNAm"/>
              <w:rPr>
                <w:szCs w:val="22"/>
              </w:rPr>
            </w:pPr>
          </w:p>
        </w:tc>
        <w:tc>
          <w:tcPr>
            <w:tcW w:w="6415" w:type="dxa"/>
            <w:gridSpan w:val="4"/>
          </w:tcPr>
          <w:p>
            <w:pPr>
              <w:pStyle w:val="yTableNAm"/>
              <w:rPr>
                <w:sz w:val="20"/>
              </w:rPr>
            </w:pPr>
            <w:r>
              <w:rPr>
                <w:sz w:val="20"/>
              </w:rPr>
              <w:t>Note 2:</w:t>
            </w:r>
          </w:p>
          <w:p>
            <w:pPr>
              <w:pStyle w:val="yTableNAm"/>
              <w:rPr>
                <w:sz w:val="20"/>
              </w:rPr>
            </w:pPr>
            <w:r>
              <w:rPr>
                <w:sz w:val="20"/>
              </w:rPr>
              <w:t>This item does not apply to the allocation of a hearing date for an appeal.</w:t>
            </w:r>
          </w:p>
        </w:tc>
      </w:tr>
      <w:tr>
        <w:trPr>
          <w:cantSplit/>
        </w:trPr>
        <w:tc>
          <w:tcPr>
            <w:tcW w:w="673" w:type="dxa"/>
          </w:tcPr>
          <w:p>
            <w:pPr>
              <w:pStyle w:val="yTableNAm"/>
              <w:rPr>
                <w:szCs w:val="22"/>
              </w:rPr>
            </w:pPr>
            <w:r>
              <w:rPr>
                <w:szCs w:val="22"/>
              </w:rPr>
              <w:t>8.</w:t>
            </w:r>
          </w:p>
        </w:tc>
        <w:tc>
          <w:tcPr>
            <w:tcW w:w="2588" w:type="dxa"/>
          </w:tcPr>
          <w:p>
            <w:pPr>
              <w:pStyle w:val="yTableNAm"/>
              <w:rPr>
                <w:szCs w:val="22"/>
              </w:rPr>
            </w:pPr>
            <w:r>
              <w:rPr>
                <w:szCs w:val="22"/>
              </w:rPr>
              <w:t>Daily hearing fee before a court constituted by a judge</w:t>
            </w:r>
          </w:p>
        </w:tc>
        <w:tc>
          <w:tcPr>
            <w:tcW w:w="1275" w:type="dxa"/>
            <w:vAlign w:val="bottom"/>
          </w:tcPr>
          <w:p>
            <w:pPr>
              <w:pStyle w:val="yTableNAm"/>
              <w:rPr>
                <w:szCs w:val="22"/>
              </w:rPr>
            </w:pPr>
            <w:r>
              <w:t>716.00</w:t>
            </w:r>
          </w:p>
        </w:tc>
        <w:tc>
          <w:tcPr>
            <w:tcW w:w="1276" w:type="dxa"/>
            <w:vAlign w:val="bottom"/>
          </w:tcPr>
          <w:p>
            <w:pPr>
              <w:pStyle w:val="yTableNAm"/>
            </w:pPr>
            <w:r>
              <w:t>1 865.00</w:t>
            </w:r>
          </w:p>
        </w:tc>
        <w:tc>
          <w:tcPr>
            <w:tcW w:w="1276" w:type="dxa"/>
            <w:vAlign w:val="bottom"/>
          </w:tcPr>
          <w:p>
            <w:pPr>
              <w:pStyle w:val="yTableNAm"/>
              <w:rPr>
                <w:szCs w:val="22"/>
              </w:rPr>
            </w:pPr>
            <w:r>
              <w:t>100.00</w:t>
            </w:r>
          </w:p>
        </w:tc>
      </w:tr>
      <w:tr>
        <w:trPr>
          <w:cantSplit/>
          <w:trHeight w:val="746"/>
        </w:trPr>
        <w:tc>
          <w:tcPr>
            <w:tcW w:w="673" w:type="dxa"/>
          </w:tcPr>
          <w:p>
            <w:pPr>
              <w:pStyle w:val="yTableNAm"/>
              <w:rPr>
                <w:szCs w:val="22"/>
              </w:rPr>
            </w:pPr>
          </w:p>
        </w:tc>
        <w:tc>
          <w:tcPr>
            <w:tcW w:w="6415" w:type="dxa"/>
            <w:gridSpan w:val="4"/>
          </w:tcPr>
          <w:p>
            <w:pPr>
              <w:pStyle w:val="yTableNAm"/>
              <w:rPr>
                <w:sz w:val="20"/>
              </w:rPr>
            </w:pPr>
            <w:r>
              <w:rPr>
                <w:sz w:val="20"/>
              </w:rPr>
              <w:t>Note 1:</w:t>
            </w:r>
          </w:p>
          <w:p>
            <w:pPr>
              <w:pStyle w:val="yTableNAm"/>
              <w:rPr>
                <w:szCs w:val="22"/>
              </w:rPr>
            </w:pPr>
            <w:r>
              <w:rPr>
                <w:sz w:val="20"/>
              </w:rPr>
              <w:t>No fee is payable if the proceedings are of an interlocutory nature only.</w:t>
            </w:r>
          </w:p>
        </w:tc>
      </w:tr>
      <w:tr>
        <w:trPr>
          <w:cantSplit/>
          <w:trHeight w:val="1252"/>
        </w:trPr>
        <w:tc>
          <w:tcPr>
            <w:tcW w:w="673" w:type="dxa"/>
          </w:tcPr>
          <w:p>
            <w:pPr>
              <w:pStyle w:val="yTableNAm"/>
              <w:rPr>
                <w:szCs w:val="22"/>
              </w:rPr>
            </w:pPr>
          </w:p>
        </w:tc>
        <w:tc>
          <w:tcPr>
            <w:tcW w:w="6415" w:type="dxa"/>
            <w:gridSpan w:val="4"/>
          </w:tcPr>
          <w:p>
            <w:pPr>
              <w:pStyle w:val="yTableNAm"/>
              <w:rPr>
                <w:sz w:val="20"/>
              </w:rPr>
            </w:pPr>
            <w:r>
              <w:rPr>
                <w:sz w:val="20"/>
              </w:rPr>
              <w:t>Note 2:</w:t>
            </w:r>
          </w:p>
          <w:p>
            <w:pPr>
              <w:pStyle w:val="yTableNAm"/>
              <w:rPr>
                <w:szCs w:val="22"/>
              </w:rPr>
            </w:pPr>
            <w:r>
              <w:rPr>
                <w:sz w:val="20"/>
              </w:rPr>
              <w:t>The fee to be charged is to be paid in respect of any number of hearing days greater than the number of hearing days for which a fee has been paid under item 5 or 7.</w:t>
            </w:r>
          </w:p>
        </w:tc>
      </w:tr>
      <w:tr>
        <w:trPr>
          <w:cantSplit/>
          <w:trHeight w:val="999"/>
        </w:trPr>
        <w:tc>
          <w:tcPr>
            <w:tcW w:w="673" w:type="dxa"/>
          </w:tcPr>
          <w:p>
            <w:pPr>
              <w:pStyle w:val="yTableNAm"/>
              <w:rPr>
                <w:szCs w:val="22"/>
              </w:rPr>
            </w:pPr>
          </w:p>
        </w:tc>
        <w:tc>
          <w:tcPr>
            <w:tcW w:w="6415" w:type="dxa"/>
            <w:gridSpan w:val="4"/>
          </w:tcPr>
          <w:p>
            <w:pPr>
              <w:pStyle w:val="yTableNAm"/>
              <w:rPr>
                <w:sz w:val="20"/>
              </w:rPr>
            </w:pPr>
            <w:r>
              <w:rPr>
                <w:sz w:val="20"/>
              </w:rPr>
              <w:t>Note 3:</w:t>
            </w:r>
          </w:p>
          <w:p>
            <w:pPr>
              <w:pStyle w:val="yTableNAm"/>
              <w:rPr>
                <w:sz w:val="20"/>
              </w:rPr>
            </w:pPr>
            <w:r>
              <w:rPr>
                <w:sz w:val="20"/>
              </w:rPr>
              <w:t>This fee is payable for each additional day or part day that a hearing proceeds beyond the date or dates allocated in item 5 or 7.</w:t>
            </w:r>
          </w:p>
        </w:tc>
      </w:tr>
      <w:tr>
        <w:trPr>
          <w:cantSplit/>
          <w:trHeight w:val="1252"/>
        </w:trPr>
        <w:tc>
          <w:tcPr>
            <w:tcW w:w="673" w:type="dxa"/>
          </w:tcPr>
          <w:p>
            <w:pPr>
              <w:pStyle w:val="yTableNAm"/>
              <w:rPr>
                <w:szCs w:val="22"/>
              </w:rPr>
            </w:pPr>
          </w:p>
        </w:tc>
        <w:tc>
          <w:tcPr>
            <w:tcW w:w="6415" w:type="dxa"/>
            <w:gridSpan w:val="4"/>
          </w:tcPr>
          <w:p>
            <w:pPr>
              <w:pStyle w:val="yTableNAm"/>
              <w:rPr>
                <w:sz w:val="20"/>
              </w:rPr>
            </w:pPr>
            <w:r>
              <w:rPr>
                <w:sz w:val="20"/>
              </w:rPr>
              <w:t>Note 4:</w:t>
            </w:r>
          </w:p>
          <w:p>
            <w:pPr>
              <w:pStyle w:val="yTableNAm"/>
              <w:rPr>
                <w:sz w:val="20"/>
              </w:rPr>
            </w:pPr>
            <w:r>
              <w:rPr>
                <w:sz w:val="20"/>
              </w:rPr>
              <w:t>If the Court only allocates a half day or less for the continuation of the hearing then a fee equal to half the prescribed amount is payable for that period.</w:t>
            </w:r>
          </w:p>
        </w:tc>
      </w:tr>
      <w:tr>
        <w:trPr>
          <w:cantSplit/>
          <w:trHeight w:val="999"/>
        </w:trPr>
        <w:tc>
          <w:tcPr>
            <w:tcW w:w="673" w:type="dxa"/>
          </w:tcPr>
          <w:p>
            <w:pPr>
              <w:pStyle w:val="yTableNAm"/>
              <w:rPr>
                <w:szCs w:val="22"/>
              </w:rPr>
            </w:pPr>
          </w:p>
        </w:tc>
        <w:tc>
          <w:tcPr>
            <w:tcW w:w="6415" w:type="dxa"/>
            <w:gridSpan w:val="4"/>
          </w:tcPr>
          <w:p>
            <w:pPr>
              <w:pStyle w:val="yTableNAm"/>
              <w:rPr>
                <w:sz w:val="20"/>
              </w:rPr>
            </w:pPr>
            <w:r>
              <w:rPr>
                <w:sz w:val="20"/>
              </w:rPr>
              <w:t>Note 5:</w:t>
            </w:r>
          </w:p>
          <w:p>
            <w:pPr>
              <w:pStyle w:val="yTableNAm"/>
              <w:rPr>
                <w:sz w:val="20"/>
              </w:rPr>
            </w:pPr>
            <w:r>
              <w:rPr>
                <w:sz w:val="20"/>
              </w:rPr>
              <w:t>The daily fee becomes payable on a day to day basis and is payable prior to the daily reconvening of the hearing.</w:t>
            </w:r>
          </w:p>
        </w:tc>
      </w:tr>
      <w:tr>
        <w:trPr>
          <w:cantSplit/>
        </w:trPr>
        <w:tc>
          <w:tcPr>
            <w:tcW w:w="673" w:type="dxa"/>
          </w:tcPr>
          <w:p>
            <w:pPr>
              <w:pStyle w:val="yTableNAm"/>
              <w:keepNext/>
              <w:rPr>
                <w:szCs w:val="22"/>
              </w:rPr>
            </w:pPr>
            <w:r>
              <w:rPr>
                <w:szCs w:val="22"/>
              </w:rPr>
              <w:t>9.</w:t>
            </w:r>
          </w:p>
        </w:tc>
        <w:tc>
          <w:tcPr>
            <w:tcW w:w="2588" w:type="dxa"/>
          </w:tcPr>
          <w:p>
            <w:pPr>
              <w:pStyle w:val="yTableNAm"/>
              <w:keepNext/>
              <w:rPr>
                <w:szCs w:val="22"/>
              </w:rPr>
            </w:pPr>
            <w:r>
              <w:rPr>
                <w:szCs w:val="22"/>
              </w:rPr>
              <w:t xml:space="preserve">On filing, before a judge or registrar in chambers — </w:t>
            </w:r>
          </w:p>
        </w:tc>
        <w:tc>
          <w:tcPr>
            <w:tcW w:w="1275" w:type="dxa"/>
            <w:vAlign w:val="bottom"/>
          </w:tcPr>
          <w:p>
            <w:pPr>
              <w:pStyle w:val="yTableNAm"/>
              <w:keepNext/>
              <w:rPr>
                <w:szCs w:val="22"/>
              </w:rPr>
            </w:pPr>
          </w:p>
        </w:tc>
        <w:tc>
          <w:tcPr>
            <w:tcW w:w="1276" w:type="dxa"/>
            <w:vAlign w:val="bottom"/>
          </w:tcPr>
          <w:p>
            <w:pPr>
              <w:pStyle w:val="yTableNAm"/>
              <w:keepNext/>
              <w:rPr>
                <w:szCs w:val="22"/>
              </w:rPr>
            </w:pPr>
          </w:p>
        </w:tc>
        <w:tc>
          <w:tcPr>
            <w:tcW w:w="1276" w:type="dxa"/>
            <w:vAlign w:val="bottom"/>
          </w:tcPr>
          <w:p>
            <w:pPr>
              <w:pStyle w:val="yTableNAm"/>
              <w:keepNext/>
              <w:rPr>
                <w:szCs w:val="22"/>
              </w:rPr>
            </w:pP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(a)</w:t>
            </w:r>
            <w:r>
              <w:rPr>
                <w:szCs w:val="22"/>
              </w:rPr>
              <w:tab/>
              <w:t>an interlocutory application or summons or motion returnable</w:t>
            </w:r>
          </w:p>
        </w:tc>
        <w:tc>
          <w:tcPr>
            <w:tcW w:w="1275" w:type="dxa"/>
            <w:vAlign w:val="bottom"/>
          </w:tcPr>
          <w:p>
            <w:pPr>
              <w:pStyle w:val="yTableNAm"/>
              <w:rPr>
                <w:szCs w:val="22"/>
              </w:rPr>
            </w:pPr>
            <w:r>
              <w:t>205.00</w:t>
            </w:r>
          </w:p>
        </w:tc>
        <w:tc>
          <w:tcPr>
            <w:tcW w:w="1276" w:type="dxa"/>
            <w:vAlign w:val="bottom"/>
          </w:tcPr>
          <w:p>
            <w:pPr>
              <w:pStyle w:val="yTableNAm"/>
              <w:rPr>
                <w:szCs w:val="22"/>
              </w:rPr>
            </w:pPr>
            <w:r>
              <w:t>399.00</w:t>
            </w:r>
          </w:p>
        </w:tc>
        <w:tc>
          <w:tcPr>
            <w:tcW w:w="1276" w:type="dxa"/>
            <w:vAlign w:val="bottom"/>
          </w:tcPr>
          <w:p>
            <w:pPr>
              <w:pStyle w:val="yTableNAm"/>
              <w:rPr>
                <w:szCs w:val="22"/>
              </w:rPr>
            </w:pPr>
            <w:r>
              <w:t>61.50</w:t>
            </w:r>
          </w:p>
        </w:tc>
      </w:tr>
      <w:tr>
        <w:trPr>
          <w:cantSplit/>
        </w:trPr>
        <w:tc>
          <w:tcPr>
            <w:tcW w:w="673" w:type="dxa"/>
          </w:tcPr>
          <w:p>
            <w:pPr>
              <w:pStyle w:val="yTableNAm"/>
              <w:rPr>
                <w:rStyle w:val="CommentReference"/>
                <w:rFonts w:ascii="Times" w:hAnsi="Times"/>
                <w:szCs w:val="22"/>
              </w:rPr>
            </w:pPr>
          </w:p>
        </w:tc>
        <w:tc>
          <w:tcPr>
            <w:tcW w:w="2588" w:type="dxa"/>
          </w:tcPr>
          <w:p>
            <w:pPr>
              <w:pStyle w:val="yTableNAm"/>
              <w:tabs>
                <w:tab w:val="left" w:pos="495"/>
              </w:tabs>
              <w:ind w:left="495" w:hanging="495"/>
              <w:rPr>
                <w:szCs w:val="22"/>
              </w:rPr>
            </w:pPr>
            <w:r>
              <w:rPr>
                <w:szCs w:val="22"/>
              </w:rPr>
              <w:t>(b)</w:t>
            </w:r>
            <w:r>
              <w:rPr>
                <w:szCs w:val="22"/>
              </w:rPr>
              <w:tab/>
              <w:t>an application for assessment of damages other than in an action for personal injury</w:t>
            </w:r>
          </w:p>
        </w:tc>
        <w:tc>
          <w:tcPr>
            <w:tcW w:w="1275" w:type="dxa"/>
            <w:vAlign w:val="bottom"/>
          </w:tcPr>
          <w:p>
            <w:pPr>
              <w:pStyle w:val="yTableNAm"/>
              <w:rPr>
                <w:szCs w:val="22"/>
              </w:rPr>
            </w:pPr>
            <w:r>
              <w:t>205.00</w:t>
            </w:r>
          </w:p>
        </w:tc>
        <w:tc>
          <w:tcPr>
            <w:tcW w:w="1276" w:type="dxa"/>
            <w:vAlign w:val="bottom"/>
          </w:tcPr>
          <w:p>
            <w:pPr>
              <w:pStyle w:val="yTableNAm"/>
              <w:rPr>
                <w:szCs w:val="22"/>
              </w:rPr>
            </w:pPr>
            <w:r>
              <w:t>399.00</w:t>
            </w:r>
          </w:p>
        </w:tc>
        <w:tc>
          <w:tcPr>
            <w:tcW w:w="1276" w:type="dxa"/>
            <w:vAlign w:val="bottom"/>
          </w:tcPr>
          <w:p>
            <w:pPr>
              <w:pStyle w:val="yTableNAm"/>
              <w:rPr>
                <w:szCs w:val="22"/>
              </w:rPr>
            </w:pPr>
            <w:r>
              <w:t>61.50</w:t>
            </w: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(c)</w:t>
            </w:r>
            <w:r>
              <w:rPr>
                <w:szCs w:val="22"/>
              </w:rPr>
              <w:tab/>
              <w:t>an application for summary judgment</w:t>
            </w:r>
          </w:p>
        </w:tc>
        <w:tc>
          <w:tcPr>
            <w:tcW w:w="1275" w:type="dxa"/>
            <w:vAlign w:val="bottom"/>
          </w:tcPr>
          <w:p>
            <w:pPr>
              <w:pStyle w:val="yTableNAm"/>
              <w:rPr>
                <w:szCs w:val="22"/>
              </w:rPr>
            </w:pPr>
            <w:r>
              <w:t>205.00</w:t>
            </w:r>
          </w:p>
        </w:tc>
        <w:tc>
          <w:tcPr>
            <w:tcW w:w="1276" w:type="dxa"/>
            <w:vAlign w:val="bottom"/>
          </w:tcPr>
          <w:p>
            <w:pPr>
              <w:pStyle w:val="yTableNAm"/>
            </w:pPr>
            <w:r>
              <w:t>399.00</w:t>
            </w:r>
          </w:p>
        </w:tc>
        <w:tc>
          <w:tcPr>
            <w:tcW w:w="1276" w:type="dxa"/>
            <w:vAlign w:val="bottom"/>
          </w:tcPr>
          <w:p>
            <w:pPr>
              <w:pStyle w:val="yTableNAm"/>
              <w:rPr>
                <w:szCs w:val="22"/>
              </w:rPr>
            </w:pPr>
            <w:r>
              <w:t>61.50</w:t>
            </w:r>
          </w:p>
        </w:tc>
      </w:tr>
      <w:tr>
        <w:trPr>
          <w:cantSplit/>
          <w:trHeight w:val="999"/>
        </w:trPr>
        <w:tc>
          <w:tcPr>
            <w:tcW w:w="673" w:type="dxa"/>
          </w:tcPr>
          <w:p>
            <w:pPr>
              <w:pStyle w:val="yTableNAm"/>
              <w:rPr>
                <w:szCs w:val="22"/>
              </w:rPr>
            </w:pPr>
          </w:p>
        </w:tc>
        <w:tc>
          <w:tcPr>
            <w:tcW w:w="6415" w:type="dxa"/>
            <w:gridSpan w:val="4"/>
          </w:tcPr>
          <w:p>
            <w:pPr>
              <w:pStyle w:val="yTableNAm"/>
              <w:rPr>
                <w:sz w:val="20"/>
              </w:rPr>
            </w:pPr>
            <w:r>
              <w:rPr>
                <w:sz w:val="20"/>
              </w:rPr>
              <w:t>Note 1:</w:t>
            </w:r>
          </w:p>
          <w:p>
            <w:pPr>
              <w:pStyle w:val="yTableNAm"/>
              <w:rPr>
                <w:sz w:val="20"/>
              </w:rPr>
            </w:pPr>
            <w:r>
              <w:rPr>
                <w:sz w:val="20"/>
              </w:rPr>
              <w:t>This fee includes the first day of hearing of the application or summons and includes any adjournment of the hearing.</w:t>
            </w:r>
          </w:p>
        </w:tc>
      </w:tr>
      <w:tr>
        <w:trPr>
          <w:cantSplit/>
          <w:trHeight w:val="999"/>
        </w:trPr>
        <w:tc>
          <w:tcPr>
            <w:tcW w:w="673" w:type="dxa"/>
          </w:tcPr>
          <w:p>
            <w:pPr>
              <w:pStyle w:val="yTableNAm"/>
              <w:rPr>
                <w:szCs w:val="22"/>
              </w:rPr>
            </w:pPr>
          </w:p>
        </w:tc>
        <w:tc>
          <w:tcPr>
            <w:tcW w:w="6415" w:type="dxa"/>
            <w:gridSpan w:val="4"/>
          </w:tcPr>
          <w:p>
            <w:pPr>
              <w:pStyle w:val="yTableNAm"/>
              <w:rPr>
                <w:sz w:val="20"/>
              </w:rPr>
            </w:pPr>
            <w:r>
              <w:rPr>
                <w:sz w:val="20"/>
              </w:rPr>
              <w:t>Note 2:</w:t>
            </w:r>
          </w:p>
          <w:p>
            <w:pPr>
              <w:pStyle w:val="yTableNAm"/>
              <w:rPr>
                <w:sz w:val="20"/>
              </w:rPr>
            </w:pPr>
            <w:r>
              <w:rPr>
                <w:sz w:val="20"/>
              </w:rPr>
              <w:t>This fee is payable in respect of any application exercising liberty to apply to relist.</w:t>
            </w:r>
          </w:p>
        </w:tc>
      </w:tr>
      <w:tr>
        <w:trPr>
          <w:cantSplit/>
        </w:trPr>
        <w:tc>
          <w:tcPr>
            <w:tcW w:w="673" w:type="dxa"/>
          </w:tcPr>
          <w:p>
            <w:pPr>
              <w:pStyle w:val="yTableNAm"/>
              <w:rPr>
                <w:szCs w:val="22"/>
              </w:rPr>
            </w:pPr>
            <w:r>
              <w:rPr>
                <w:szCs w:val="22"/>
              </w:rPr>
              <w:t>10.</w:t>
            </w:r>
          </w:p>
        </w:tc>
        <w:tc>
          <w:tcPr>
            <w:tcW w:w="2588" w:type="dxa"/>
          </w:tcPr>
          <w:p>
            <w:pPr>
              <w:pStyle w:val="yTableNAm"/>
              <w:rPr>
                <w:szCs w:val="22"/>
              </w:rPr>
            </w:pPr>
            <w:r>
              <w:rPr>
                <w:szCs w:val="22"/>
              </w:rPr>
              <w:t>If the hearing of a matter to which item 8 applies is listed for more than 1 day and proceeds for more than the number of days listed, the fee prescribed in item 9 is payable for each additional day or part day of hearing.</w:t>
            </w:r>
          </w:p>
        </w:tc>
        <w:tc>
          <w:tcPr>
            <w:tcW w:w="1275" w:type="dxa"/>
            <w:vAlign w:val="bottom"/>
          </w:tcPr>
          <w:p>
            <w:pPr>
              <w:pStyle w:val="yTableNAm"/>
              <w:rPr>
                <w:szCs w:val="22"/>
              </w:rPr>
            </w:pPr>
          </w:p>
        </w:tc>
        <w:tc>
          <w:tcPr>
            <w:tcW w:w="1276" w:type="dxa"/>
            <w:vAlign w:val="bottom"/>
          </w:tcPr>
          <w:p>
            <w:pPr>
              <w:pStyle w:val="yTableNAm"/>
              <w:rPr>
                <w:szCs w:val="22"/>
              </w:rPr>
            </w:pPr>
          </w:p>
        </w:tc>
        <w:tc>
          <w:tcPr>
            <w:tcW w:w="1276" w:type="dxa"/>
            <w:vAlign w:val="bottom"/>
          </w:tcPr>
          <w:p>
            <w:pPr>
              <w:pStyle w:val="yTableNAm"/>
              <w:rPr>
                <w:szCs w:val="22"/>
              </w:rPr>
            </w:pPr>
          </w:p>
        </w:tc>
      </w:tr>
      <w:tr>
        <w:trPr>
          <w:cantSplit/>
          <w:trHeight w:val="999"/>
        </w:trPr>
        <w:tc>
          <w:tcPr>
            <w:tcW w:w="673" w:type="dxa"/>
          </w:tcPr>
          <w:p>
            <w:pPr>
              <w:pStyle w:val="yTableNAm"/>
              <w:rPr>
                <w:szCs w:val="22"/>
              </w:rPr>
            </w:pPr>
          </w:p>
        </w:tc>
        <w:tc>
          <w:tcPr>
            <w:tcW w:w="6415" w:type="dxa"/>
            <w:gridSpan w:val="4"/>
          </w:tcPr>
          <w:p>
            <w:pPr>
              <w:pStyle w:val="yTableNAm"/>
              <w:rPr>
                <w:sz w:val="20"/>
              </w:rPr>
            </w:pPr>
            <w:r>
              <w:rPr>
                <w:sz w:val="20"/>
              </w:rPr>
              <w:t>Note:</w:t>
            </w:r>
          </w:p>
          <w:p>
            <w:pPr>
              <w:pStyle w:val="yTableNAm"/>
              <w:rPr>
                <w:szCs w:val="22"/>
              </w:rPr>
            </w:pPr>
            <w:r>
              <w:rPr>
                <w:sz w:val="20"/>
              </w:rPr>
              <w:t>The daily fee becomes payable on a day to day basis and is payable prior to the daily reconvening of the hearing.</w:t>
            </w:r>
          </w:p>
        </w:tc>
      </w:tr>
      <w:tr>
        <w:trPr>
          <w:cantSplit/>
        </w:trPr>
        <w:tc>
          <w:tcPr>
            <w:tcW w:w="673" w:type="dxa"/>
          </w:tcPr>
          <w:p>
            <w:pPr>
              <w:pStyle w:val="yTableNAm"/>
              <w:rPr>
                <w:szCs w:val="22"/>
              </w:rPr>
            </w:pPr>
            <w:r>
              <w:rPr>
                <w:szCs w:val="22"/>
              </w:rPr>
              <w:t>11.</w:t>
            </w:r>
          </w:p>
        </w:tc>
        <w:tc>
          <w:tcPr>
            <w:tcW w:w="2588" w:type="dxa"/>
          </w:tcPr>
          <w:p>
            <w:pPr>
              <w:pStyle w:val="yTableNAm"/>
              <w:rPr>
                <w:szCs w:val="22"/>
              </w:rPr>
            </w:pPr>
            <w:r>
              <w:rPr>
                <w:szCs w:val="22"/>
              </w:rPr>
              <w:t xml:space="preserve">On an appointment to tax a bill of costs in a cause or matter or under the </w:t>
            </w:r>
            <w:r>
              <w:rPr>
                <w:i/>
                <w:szCs w:val="22"/>
              </w:rPr>
              <w:t>Commercial Arbitration Act 2012</w:t>
            </w:r>
            <w:r>
              <w:rPr>
                <w:szCs w:val="22"/>
              </w:rPr>
              <w:t> —</w:t>
            </w:r>
          </w:p>
        </w:tc>
        <w:tc>
          <w:tcPr>
            <w:tcW w:w="1275" w:type="dxa"/>
            <w:vAlign w:val="bottom"/>
          </w:tcPr>
          <w:p>
            <w:pPr>
              <w:pStyle w:val="yTableNAm"/>
              <w:rPr>
                <w:szCs w:val="22"/>
              </w:rPr>
            </w:pPr>
          </w:p>
        </w:tc>
        <w:tc>
          <w:tcPr>
            <w:tcW w:w="1276" w:type="dxa"/>
            <w:vAlign w:val="bottom"/>
          </w:tcPr>
          <w:p>
            <w:pPr>
              <w:pStyle w:val="yTableNAm"/>
              <w:rPr>
                <w:szCs w:val="22"/>
              </w:rPr>
            </w:pPr>
          </w:p>
        </w:tc>
        <w:tc>
          <w:tcPr>
            <w:tcW w:w="1276" w:type="dxa"/>
            <w:vAlign w:val="bottom"/>
          </w:tcPr>
          <w:p>
            <w:pPr>
              <w:pStyle w:val="yTableNAm"/>
              <w:rPr>
                <w:szCs w:val="22"/>
              </w:rPr>
            </w:pP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(a)</w:t>
            </w:r>
            <w:r>
              <w:rPr>
                <w:szCs w:val="22"/>
              </w:rPr>
              <w:tab/>
              <w:t>lodgment fee</w:t>
            </w:r>
          </w:p>
        </w:tc>
        <w:tc>
          <w:tcPr>
            <w:tcW w:w="1275" w:type="dxa"/>
            <w:vAlign w:val="bottom"/>
          </w:tcPr>
          <w:p>
            <w:pPr>
              <w:pStyle w:val="yTableNAm"/>
              <w:rPr>
                <w:szCs w:val="22"/>
              </w:rPr>
            </w:pPr>
            <w:r>
              <w:t>205.00</w:t>
            </w:r>
          </w:p>
        </w:tc>
        <w:tc>
          <w:tcPr>
            <w:tcW w:w="1276" w:type="dxa"/>
            <w:vAlign w:val="bottom"/>
          </w:tcPr>
          <w:p>
            <w:pPr>
              <w:pStyle w:val="yTableNAm"/>
            </w:pPr>
            <w:r>
              <w:t>399.00</w:t>
            </w:r>
          </w:p>
        </w:tc>
        <w:tc>
          <w:tcPr>
            <w:tcW w:w="1276" w:type="dxa"/>
            <w:vAlign w:val="bottom"/>
          </w:tcPr>
          <w:p>
            <w:pPr>
              <w:pStyle w:val="yTableNAm"/>
              <w:rPr>
                <w:szCs w:val="22"/>
              </w:rPr>
            </w:pPr>
            <w:r>
              <w:t>61.50</w:t>
            </w: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(b)</w:t>
            </w:r>
            <w:r>
              <w:rPr>
                <w:szCs w:val="22"/>
              </w:rPr>
              <w:tab/>
              <w:t>in addition to the lodgment fee, a taxing fee at the rate of</w:t>
            </w:r>
          </w:p>
        </w:tc>
        <w:tc>
          <w:tcPr>
            <w:tcW w:w="1275" w:type="dxa"/>
            <w:vAlign w:val="bottom"/>
          </w:tcPr>
          <w:p>
            <w:pPr>
              <w:pStyle w:val="yTableNAm"/>
              <w:rPr>
                <w:szCs w:val="22"/>
              </w:rPr>
            </w:pPr>
            <w:r>
              <w:rPr>
                <w:szCs w:val="22"/>
              </w:rPr>
              <w:t>2.5%</w:t>
            </w:r>
          </w:p>
        </w:tc>
        <w:tc>
          <w:tcPr>
            <w:tcW w:w="1276" w:type="dxa"/>
            <w:vAlign w:val="bottom"/>
          </w:tcPr>
          <w:p>
            <w:pPr>
              <w:pStyle w:val="yTableNAm"/>
              <w:rPr>
                <w:szCs w:val="22"/>
              </w:rPr>
            </w:pPr>
            <w:r>
              <w:rPr>
                <w:szCs w:val="22"/>
              </w:rPr>
              <w:t>2.5%</w:t>
            </w:r>
          </w:p>
        </w:tc>
        <w:tc>
          <w:tcPr>
            <w:tcW w:w="1276" w:type="dxa"/>
            <w:vAlign w:val="bottom"/>
          </w:tcPr>
          <w:p>
            <w:pPr>
              <w:pStyle w:val="yTableNAm"/>
              <w:rPr>
                <w:szCs w:val="22"/>
              </w:rPr>
            </w:pPr>
            <w:r>
              <w:rPr>
                <w:szCs w:val="22"/>
              </w:rPr>
              <w:t>0.0%</w:t>
            </w:r>
          </w:p>
        </w:tc>
      </w:tr>
      <w:tr>
        <w:trPr>
          <w:cantSplit/>
          <w:trHeight w:val="746"/>
        </w:trPr>
        <w:tc>
          <w:tcPr>
            <w:tcW w:w="673" w:type="dxa"/>
          </w:tcPr>
          <w:p>
            <w:pPr>
              <w:pStyle w:val="yTableNAm"/>
              <w:rPr>
                <w:szCs w:val="22"/>
              </w:rPr>
            </w:pPr>
          </w:p>
        </w:tc>
        <w:tc>
          <w:tcPr>
            <w:tcW w:w="6415" w:type="dxa"/>
            <w:gridSpan w:val="4"/>
          </w:tcPr>
          <w:p>
            <w:pPr>
              <w:pStyle w:val="yTableNAm"/>
              <w:rPr>
                <w:sz w:val="20"/>
              </w:rPr>
            </w:pPr>
            <w:r>
              <w:rPr>
                <w:sz w:val="20"/>
              </w:rPr>
              <w:t>Note 1:</w:t>
            </w:r>
          </w:p>
          <w:p>
            <w:pPr>
              <w:pStyle w:val="yTableNAm"/>
              <w:rPr>
                <w:sz w:val="20"/>
              </w:rPr>
            </w:pPr>
            <w:r>
              <w:rPr>
                <w:sz w:val="20"/>
              </w:rPr>
              <w:t>The % rate is to be applied to the amount at which the bill is drawn.</w:t>
            </w:r>
          </w:p>
        </w:tc>
      </w:tr>
      <w:tr>
        <w:trPr>
          <w:cantSplit/>
          <w:trHeight w:val="1252"/>
        </w:trPr>
        <w:tc>
          <w:tcPr>
            <w:tcW w:w="673" w:type="dxa"/>
          </w:tcPr>
          <w:p>
            <w:pPr>
              <w:pStyle w:val="yTableNAm"/>
              <w:rPr>
                <w:szCs w:val="22"/>
              </w:rPr>
            </w:pPr>
          </w:p>
        </w:tc>
        <w:tc>
          <w:tcPr>
            <w:tcW w:w="6415" w:type="dxa"/>
            <w:gridSpan w:val="4"/>
          </w:tcPr>
          <w:p>
            <w:pPr>
              <w:pStyle w:val="yTableNAm"/>
              <w:rPr>
                <w:sz w:val="20"/>
              </w:rPr>
            </w:pPr>
            <w:r>
              <w:rPr>
                <w:sz w:val="20"/>
              </w:rPr>
              <w:t>Note 2:</w:t>
            </w:r>
          </w:p>
          <w:p>
            <w:pPr>
              <w:pStyle w:val="yTableNAm"/>
              <w:rPr>
                <w:sz w:val="20"/>
              </w:rPr>
            </w:pPr>
            <w:r>
              <w:rPr>
                <w:sz w:val="20"/>
              </w:rPr>
              <w:t>The taxing officer must allow, against the person chargeable with the costs as taxed, taxing fees at the rate indicated in item 11(b) of the amount found to be due on taxation.</w:t>
            </w:r>
          </w:p>
        </w:tc>
      </w:tr>
      <w:tr>
        <w:trPr>
          <w:cantSplit/>
          <w:trHeight w:val="1252"/>
        </w:trPr>
        <w:tc>
          <w:tcPr>
            <w:tcW w:w="673" w:type="dxa"/>
          </w:tcPr>
          <w:p>
            <w:pPr>
              <w:pStyle w:val="yTableNAm"/>
              <w:rPr>
                <w:szCs w:val="22"/>
              </w:rPr>
            </w:pPr>
          </w:p>
        </w:tc>
        <w:tc>
          <w:tcPr>
            <w:tcW w:w="6415" w:type="dxa"/>
            <w:gridSpan w:val="4"/>
          </w:tcPr>
          <w:p>
            <w:pPr>
              <w:pStyle w:val="yTableNAm"/>
              <w:rPr>
                <w:sz w:val="20"/>
              </w:rPr>
            </w:pPr>
            <w:r>
              <w:rPr>
                <w:sz w:val="20"/>
              </w:rPr>
              <w:t>Note 3:</w:t>
            </w:r>
          </w:p>
          <w:p>
            <w:pPr>
              <w:pStyle w:val="yTableNAm"/>
              <w:rPr>
                <w:sz w:val="20"/>
              </w:rPr>
            </w:pPr>
            <w:r>
              <w:rPr>
                <w:sz w:val="20"/>
              </w:rPr>
              <w:t xml:space="preserve">If the parties agree on the bill of costs in a cause or matter or under the </w:t>
            </w:r>
            <w:r>
              <w:rPr>
                <w:i/>
                <w:sz w:val="20"/>
              </w:rPr>
              <w:t>Commercial Arbitration Act 2012</w:t>
            </w:r>
            <w:r>
              <w:rPr>
                <w:sz w:val="20"/>
              </w:rPr>
              <w:t xml:space="preserve"> and the appointment is cancelled, the following percentage of the fee paid is to be refunded — </w:t>
            </w:r>
          </w:p>
          <w:p>
            <w:pPr>
              <w:pStyle w:val="yTableNAm"/>
              <w:ind w:left="495" w:hanging="495"/>
              <w:rPr>
                <w:sz w:val="20"/>
              </w:rPr>
            </w:pPr>
            <w:r>
              <w:rPr>
                <w:sz w:val="20"/>
              </w:rPr>
              <w:t>(a)</w:t>
            </w:r>
            <w:r>
              <w:rPr>
                <w:sz w:val="20"/>
              </w:rPr>
              <w:tab/>
              <w:t>if the appointment is cancelled less than 3 days before the day of the appointment, nil;</w:t>
            </w:r>
          </w:p>
          <w:p>
            <w:pPr>
              <w:pStyle w:val="yTableNAm"/>
              <w:ind w:left="495" w:hanging="495"/>
              <w:rPr>
                <w:sz w:val="20"/>
              </w:rPr>
            </w:pPr>
            <w:r>
              <w:rPr>
                <w:sz w:val="20"/>
              </w:rPr>
              <w:t>(b)</w:t>
            </w:r>
            <w:r>
              <w:rPr>
                <w:sz w:val="20"/>
              </w:rPr>
              <w:tab/>
              <w:t>if the appointment is cancelled 3 days or more and less than 10 days before the day of the appointment, 50%;</w:t>
            </w:r>
          </w:p>
          <w:p>
            <w:pPr>
              <w:pStyle w:val="yTableNAm"/>
              <w:ind w:left="495" w:hanging="495"/>
              <w:rPr>
                <w:sz w:val="20"/>
              </w:rPr>
            </w:pPr>
            <w:r>
              <w:rPr>
                <w:sz w:val="20"/>
              </w:rPr>
              <w:t>(c)</w:t>
            </w:r>
            <w:r>
              <w:rPr>
                <w:sz w:val="20"/>
              </w:rPr>
              <w:tab/>
              <w:t>if the appointment is cancelled 10 or more days before the day of the appointment, 80%.</w:t>
            </w:r>
          </w:p>
        </w:tc>
      </w:tr>
      <w:tr>
        <w:trPr>
          <w:cantSplit/>
        </w:trPr>
        <w:tc>
          <w:tcPr>
            <w:tcW w:w="673" w:type="dxa"/>
          </w:tcPr>
          <w:p>
            <w:pPr>
              <w:pStyle w:val="yTableNAm"/>
              <w:rPr>
                <w:szCs w:val="22"/>
              </w:rPr>
            </w:pPr>
            <w:r>
              <w:rPr>
                <w:szCs w:val="22"/>
              </w:rPr>
              <w:t>12.</w:t>
            </w:r>
          </w:p>
        </w:tc>
        <w:tc>
          <w:tcPr>
            <w:tcW w:w="2588" w:type="dxa"/>
          </w:tcPr>
          <w:p>
            <w:pPr>
              <w:pStyle w:val="yTableNAm"/>
              <w:rPr>
                <w:szCs w:val="22"/>
              </w:rPr>
            </w:pPr>
            <w:r>
              <w:rPr>
                <w:szCs w:val="22"/>
              </w:rPr>
              <w:t>For searching any record or proceeding</w:t>
            </w:r>
          </w:p>
        </w:tc>
        <w:tc>
          <w:tcPr>
            <w:tcW w:w="1275" w:type="dxa"/>
            <w:vAlign w:val="bottom"/>
          </w:tcPr>
          <w:p>
            <w:pPr>
              <w:pStyle w:val="yTableNAm"/>
              <w:rPr>
                <w:szCs w:val="22"/>
              </w:rPr>
            </w:pPr>
            <w:r>
              <w:t>41.40</w:t>
            </w:r>
          </w:p>
        </w:tc>
        <w:tc>
          <w:tcPr>
            <w:tcW w:w="1276" w:type="dxa"/>
            <w:vAlign w:val="bottom"/>
          </w:tcPr>
          <w:p>
            <w:pPr>
              <w:pStyle w:val="yTableNAm"/>
            </w:pPr>
            <w:r>
              <w:t>41.40</w:t>
            </w:r>
          </w:p>
        </w:tc>
        <w:tc>
          <w:tcPr>
            <w:tcW w:w="1276" w:type="dxa"/>
            <w:vAlign w:val="bottom"/>
          </w:tcPr>
          <w:p>
            <w:pPr>
              <w:pStyle w:val="yTableNAm"/>
              <w:rPr>
                <w:szCs w:val="22"/>
              </w:rPr>
            </w:pPr>
            <w:r>
              <w:t>12.40</w:t>
            </w:r>
          </w:p>
        </w:tc>
      </w:tr>
      <w:tr>
        <w:trPr>
          <w:cantSplit/>
        </w:trPr>
        <w:tc>
          <w:tcPr>
            <w:tcW w:w="673" w:type="dxa"/>
          </w:tcPr>
          <w:p>
            <w:pPr>
              <w:pStyle w:val="yTableNAm"/>
              <w:rPr>
                <w:szCs w:val="22"/>
              </w:rPr>
            </w:pPr>
          </w:p>
        </w:tc>
        <w:tc>
          <w:tcPr>
            <w:tcW w:w="6415" w:type="dxa"/>
            <w:gridSpan w:val="4"/>
          </w:tcPr>
          <w:p>
            <w:pPr>
              <w:pStyle w:val="yTableNAm"/>
              <w:rPr>
                <w:sz w:val="20"/>
              </w:rPr>
            </w:pPr>
            <w:r>
              <w:rPr>
                <w:sz w:val="20"/>
              </w:rPr>
              <w:t>Note:</w:t>
            </w:r>
          </w:p>
          <w:p>
            <w:pPr>
              <w:pStyle w:val="yTableNAm"/>
              <w:rPr>
                <w:sz w:val="20"/>
              </w:rPr>
            </w:pPr>
            <w:r>
              <w:rPr>
                <w:sz w:val="20"/>
              </w:rPr>
              <w:t xml:space="preserve">No fee is payable under item 12 for a search made — </w:t>
            </w:r>
          </w:p>
          <w:p>
            <w:pPr>
              <w:pStyle w:val="yTableNAm"/>
              <w:ind w:left="495" w:hanging="495"/>
              <w:rPr>
                <w:sz w:val="20"/>
              </w:rPr>
            </w:pPr>
            <w:r>
              <w:rPr>
                <w:sz w:val="20"/>
              </w:rPr>
              <w:t>(a)</w:t>
            </w:r>
            <w:r>
              <w:rPr>
                <w:sz w:val="20"/>
              </w:rPr>
              <w:tab/>
              <w:t>by or on behalf of a party to the proceedings; or</w:t>
            </w:r>
          </w:p>
          <w:p>
            <w:pPr>
              <w:pStyle w:val="yTableNAm"/>
              <w:ind w:left="495" w:hanging="495"/>
            </w:pPr>
            <w:r>
              <w:rPr>
                <w:sz w:val="20"/>
              </w:rPr>
              <w:t>(b)</w:t>
            </w:r>
            <w:r>
              <w:rPr>
                <w:sz w:val="20"/>
              </w:rPr>
              <w:tab/>
              <w:t>by an approved recipient of searchable information provided to it under regulation 11A.</w:t>
            </w:r>
          </w:p>
        </w:tc>
      </w:tr>
      <w:tr>
        <w:trPr>
          <w:cantSplit/>
        </w:trPr>
        <w:tc>
          <w:tcPr>
            <w:tcW w:w="673" w:type="dxa"/>
          </w:tcPr>
          <w:p>
            <w:pPr>
              <w:pStyle w:val="yTableNAm"/>
              <w:rPr>
                <w:rFonts w:ascii="Times" w:hAnsi="Times"/>
                <w:spacing w:val="-6"/>
                <w:szCs w:val="22"/>
              </w:rPr>
            </w:pPr>
            <w:r>
              <w:rPr>
                <w:rFonts w:ascii="Times" w:hAnsi="Times"/>
                <w:spacing w:val="-6"/>
                <w:szCs w:val="22"/>
              </w:rPr>
              <w:t>13.</w:t>
            </w:r>
          </w:p>
        </w:tc>
        <w:tc>
          <w:tcPr>
            <w:tcW w:w="2588" w:type="dxa"/>
          </w:tcPr>
          <w:p>
            <w:pPr>
              <w:pStyle w:val="yTableNAm"/>
              <w:rPr>
                <w:szCs w:val="22"/>
              </w:rPr>
            </w:pPr>
            <w:r>
              <w:rPr>
                <w:szCs w:val="22"/>
              </w:rPr>
              <w:t xml:space="preserve">For provision of searchable information to approved recipients under regulation 11A — </w:t>
            </w:r>
          </w:p>
        </w:tc>
        <w:tc>
          <w:tcPr>
            <w:tcW w:w="1275" w:type="dxa"/>
            <w:vAlign w:val="bottom"/>
          </w:tcPr>
          <w:p>
            <w:pPr>
              <w:pStyle w:val="yTableNAm"/>
              <w:rPr>
                <w:szCs w:val="22"/>
              </w:rPr>
            </w:pPr>
          </w:p>
        </w:tc>
        <w:tc>
          <w:tcPr>
            <w:tcW w:w="1276" w:type="dxa"/>
            <w:vAlign w:val="bottom"/>
          </w:tcPr>
          <w:p>
            <w:pPr>
              <w:pStyle w:val="yTableNAm"/>
              <w:rPr>
                <w:szCs w:val="22"/>
              </w:rPr>
            </w:pPr>
          </w:p>
        </w:tc>
        <w:tc>
          <w:tcPr>
            <w:tcW w:w="1276" w:type="dxa"/>
            <w:vAlign w:val="bottom"/>
          </w:tcPr>
          <w:p>
            <w:pPr>
              <w:pStyle w:val="yTableNAm"/>
              <w:rPr>
                <w:szCs w:val="22"/>
              </w:rPr>
            </w:pP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(a)</w:t>
            </w:r>
            <w:r>
              <w:rPr>
                <w:szCs w:val="22"/>
              </w:rPr>
              <w:tab/>
              <w:t xml:space="preserve">fee per </w:t>
            </w:r>
            <w:r>
              <w:rPr>
                <w:rFonts w:eastAsia="MS Mincho"/>
                <w:szCs w:val="22"/>
              </w:rPr>
              <w:t xml:space="preserve">action or matter provided to </w:t>
            </w:r>
            <w:r>
              <w:rPr>
                <w:szCs w:val="22"/>
              </w:rPr>
              <w:t>recipient</w:t>
            </w:r>
          </w:p>
        </w:tc>
        <w:tc>
          <w:tcPr>
            <w:tcW w:w="1275" w:type="dxa"/>
            <w:vAlign w:val="bottom"/>
          </w:tcPr>
          <w:p>
            <w:pPr>
              <w:pStyle w:val="yTableNAm"/>
              <w:rPr>
                <w:szCs w:val="22"/>
              </w:rPr>
            </w:pPr>
            <w:r>
              <w:t>1.85</w:t>
            </w:r>
          </w:p>
        </w:tc>
        <w:tc>
          <w:tcPr>
            <w:tcW w:w="1276" w:type="dxa"/>
            <w:vAlign w:val="bottom"/>
          </w:tcPr>
          <w:p>
            <w:pPr>
              <w:pStyle w:val="yTableNAm"/>
            </w:pPr>
            <w:r>
              <w:t>1.85</w:t>
            </w:r>
          </w:p>
        </w:tc>
        <w:tc>
          <w:tcPr>
            <w:tcW w:w="1276" w:type="dxa"/>
            <w:vAlign w:val="bottom"/>
          </w:tcPr>
          <w:p>
            <w:pPr>
              <w:pStyle w:val="yTableNAm"/>
              <w:rPr>
                <w:szCs w:val="22"/>
              </w:rPr>
            </w:pPr>
            <w:r>
              <w:t>0.55</w:t>
            </w: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(b)</w:t>
            </w:r>
            <w:r>
              <w:rPr>
                <w:szCs w:val="22"/>
              </w:rPr>
              <w:tab/>
              <w:t>annual fee for information provided by email to approved recipient</w:t>
            </w:r>
          </w:p>
        </w:tc>
        <w:tc>
          <w:tcPr>
            <w:tcW w:w="1275" w:type="dxa"/>
            <w:vAlign w:val="bottom"/>
          </w:tcPr>
          <w:p>
            <w:pPr>
              <w:pStyle w:val="yTableNAm"/>
              <w:rPr>
                <w:szCs w:val="22"/>
              </w:rPr>
            </w:pPr>
            <w:r>
              <w:t>1 877.00</w:t>
            </w:r>
          </w:p>
        </w:tc>
        <w:tc>
          <w:tcPr>
            <w:tcW w:w="1276" w:type="dxa"/>
            <w:vAlign w:val="bottom"/>
          </w:tcPr>
          <w:p>
            <w:pPr>
              <w:pStyle w:val="yTableNAm"/>
            </w:pPr>
            <w:r>
              <w:t>1 877.00</w:t>
            </w:r>
          </w:p>
        </w:tc>
        <w:tc>
          <w:tcPr>
            <w:tcW w:w="1276" w:type="dxa"/>
            <w:vAlign w:val="bottom"/>
          </w:tcPr>
          <w:p>
            <w:pPr>
              <w:pStyle w:val="yTableNAm"/>
              <w:rPr>
                <w:szCs w:val="22"/>
              </w:rPr>
            </w:pPr>
            <w:r>
              <w:t>100.00</w:t>
            </w:r>
          </w:p>
        </w:tc>
      </w:tr>
      <w:tr>
        <w:trPr>
          <w:cantSplit/>
          <w:trHeight w:val="999"/>
        </w:trPr>
        <w:tc>
          <w:tcPr>
            <w:tcW w:w="673" w:type="dxa"/>
          </w:tcPr>
          <w:p>
            <w:pPr>
              <w:pStyle w:val="yTableNAm"/>
              <w:rPr>
                <w:szCs w:val="22"/>
              </w:rPr>
            </w:pPr>
          </w:p>
        </w:tc>
        <w:tc>
          <w:tcPr>
            <w:tcW w:w="6415" w:type="dxa"/>
            <w:gridSpan w:val="4"/>
          </w:tcPr>
          <w:p>
            <w:pPr>
              <w:pStyle w:val="yTableNAm"/>
              <w:rPr>
                <w:sz w:val="20"/>
              </w:rPr>
            </w:pPr>
            <w:r>
              <w:rPr>
                <w:sz w:val="20"/>
              </w:rPr>
              <w:t>Note:</w:t>
            </w:r>
          </w:p>
          <w:p>
            <w:pPr>
              <w:pStyle w:val="yTableNAm"/>
              <w:rPr>
                <w:szCs w:val="22"/>
              </w:rPr>
            </w:pPr>
            <w:r>
              <w:rPr>
                <w:sz w:val="20"/>
              </w:rPr>
              <w:t>The fee under item 13(b) is payable on the date on which the recipient is approved by the Attorney General and on each anniversary of that date.</w:t>
            </w:r>
          </w:p>
        </w:tc>
      </w:tr>
      <w:tr>
        <w:trPr>
          <w:cantSplit/>
        </w:trPr>
        <w:tc>
          <w:tcPr>
            <w:tcW w:w="673" w:type="dxa"/>
          </w:tcPr>
          <w:p>
            <w:pPr>
              <w:pStyle w:val="yTableNAm"/>
              <w:rPr>
                <w:szCs w:val="22"/>
              </w:rPr>
            </w:pPr>
            <w:r>
              <w:rPr>
                <w:szCs w:val="22"/>
              </w:rPr>
              <w:t>14.</w:t>
            </w:r>
          </w:p>
        </w:tc>
        <w:tc>
          <w:tcPr>
            <w:tcW w:w="2588" w:type="dxa"/>
          </w:tcPr>
          <w:p>
            <w:pPr>
              <w:pStyle w:val="yTableNAm"/>
              <w:tabs>
                <w:tab w:val="left" w:pos="495"/>
              </w:tabs>
              <w:ind w:left="495" w:hanging="495"/>
              <w:rPr>
                <w:szCs w:val="22"/>
              </w:rPr>
            </w:pPr>
            <w:r>
              <w:rPr>
                <w:szCs w:val="22"/>
              </w:rPr>
              <w:t>(a)</w:t>
            </w:r>
            <w:r>
              <w:rPr>
                <w:szCs w:val="22"/>
              </w:rPr>
              <w:tab/>
              <w:t xml:space="preserve">On an application for the production of records or documents that are required to be produced to any court, tribunal, arbitrator or umpire </w:t>
            </w:r>
          </w:p>
        </w:tc>
        <w:tc>
          <w:tcPr>
            <w:tcW w:w="1275" w:type="dxa"/>
            <w:vAlign w:val="bottom"/>
          </w:tcPr>
          <w:p>
            <w:pPr>
              <w:pStyle w:val="yTableNAm"/>
              <w:rPr>
                <w:szCs w:val="22"/>
              </w:rPr>
            </w:pPr>
            <w:r>
              <w:t>61.00</w:t>
            </w:r>
          </w:p>
        </w:tc>
        <w:tc>
          <w:tcPr>
            <w:tcW w:w="1276" w:type="dxa"/>
            <w:vAlign w:val="bottom"/>
          </w:tcPr>
          <w:p>
            <w:pPr>
              <w:pStyle w:val="yTableNAm"/>
            </w:pPr>
            <w:r>
              <w:t>61.00</w:t>
            </w:r>
          </w:p>
        </w:tc>
        <w:tc>
          <w:tcPr>
            <w:tcW w:w="1276" w:type="dxa"/>
            <w:vAlign w:val="bottom"/>
          </w:tcPr>
          <w:p>
            <w:pPr>
              <w:pStyle w:val="yTableNAm"/>
              <w:rPr>
                <w:szCs w:val="22"/>
              </w:rPr>
            </w:pPr>
            <w:r>
              <w:t>18.30</w:t>
            </w: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(b)</w:t>
            </w:r>
            <w:r>
              <w:rPr>
                <w:szCs w:val="22"/>
              </w:rPr>
              <w:tab/>
              <w:t>if an officer is required to attend at any court or place out of the District Court building, the officer’s reasonable expenses and, in addition for each hour when the officer is necessarily absent from the officer’s office</w:t>
            </w:r>
          </w:p>
        </w:tc>
        <w:tc>
          <w:tcPr>
            <w:tcW w:w="1275" w:type="dxa"/>
            <w:vAlign w:val="bottom"/>
          </w:tcPr>
          <w:p>
            <w:pPr>
              <w:pStyle w:val="yTableNAm"/>
              <w:rPr>
                <w:szCs w:val="22"/>
              </w:rPr>
            </w:pPr>
            <w:r>
              <w:t>91.00</w:t>
            </w:r>
          </w:p>
        </w:tc>
        <w:tc>
          <w:tcPr>
            <w:tcW w:w="1276" w:type="dxa"/>
            <w:vAlign w:val="bottom"/>
          </w:tcPr>
          <w:p>
            <w:pPr>
              <w:pStyle w:val="yTableNAm"/>
            </w:pPr>
            <w:r>
              <w:t>91.00</w:t>
            </w:r>
          </w:p>
        </w:tc>
        <w:tc>
          <w:tcPr>
            <w:tcW w:w="1276" w:type="dxa"/>
            <w:vAlign w:val="bottom"/>
          </w:tcPr>
          <w:p>
            <w:pPr>
              <w:pStyle w:val="yTableNAm"/>
              <w:rPr>
                <w:szCs w:val="22"/>
              </w:rPr>
            </w:pPr>
            <w:r>
              <w:t>27.30</w:t>
            </w:r>
          </w:p>
        </w:tc>
      </w:tr>
      <w:tr>
        <w:trPr>
          <w:cantSplit/>
        </w:trPr>
        <w:tc>
          <w:tcPr>
            <w:tcW w:w="673" w:type="dxa"/>
          </w:tcPr>
          <w:p>
            <w:pPr>
              <w:pStyle w:val="yTableNAm"/>
              <w:rPr>
                <w:szCs w:val="22"/>
              </w:rPr>
            </w:pPr>
            <w:r>
              <w:rPr>
                <w:szCs w:val="22"/>
              </w:rPr>
              <w:t>15.</w:t>
            </w:r>
          </w:p>
        </w:tc>
        <w:tc>
          <w:tcPr>
            <w:tcW w:w="2588" w:type="dxa"/>
          </w:tcPr>
          <w:p>
            <w:pPr>
              <w:pStyle w:val="yTableNAm"/>
              <w:tabs>
                <w:tab w:val="left" w:pos="495"/>
              </w:tabs>
              <w:ind w:left="495" w:hanging="495"/>
              <w:rPr>
                <w:szCs w:val="22"/>
              </w:rPr>
            </w:pPr>
            <w:r>
              <w:rPr>
                <w:szCs w:val="22"/>
              </w:rPr>
              <w:t>(a)</w:t>
            </w:r>
            <w:r>
              <w:rPr>
                <w:szCs w:val="22"/>
              </w:rPr>
              <w:tab/>
              <w:t xml:space="preserve">For a copy of a document of any kind or an exhibit, including marking as an office copy if required, for each page or part thereof </w:t>
            </w:r>
          </w:p>
        </w:tc>
        <w:tc>
          <w:tcPr>
            <w:tcW w:w="1275" w:type="dxa"/>
            <w:vAlign w:val="bottom"/>
          </w:tcPr>
          <w:p>
            <w:pPr>
              <w:pStyle w:val="yTableNAm"/>
              <w:rPr>
                <w:szCs w:val="22"/>
              </w:rPr>
            </w:pPr>
            <w:r>
              <w:rPr>
                <w:szCs w:val="22"/>
              </w:rPr>
              <w:t>1.70</w:t>
            </w:r>
          </w:p>
        </w:tc>
        <w:tc>
          <w:tcPr>
            <w:tcW w:w="1276" w:type="dxa"/>
            <w:vAlign w:val="bottom"/>
          </w:tcPr>
          <w:p>
            <w:pPr>
              <w:pStyle w:val="yTableNAm"/>
              <w:rPr>
                <w:szCs w:val="22"/>
              </w:rPr>
            </w:pPr>
            <w:r>
              <w:rPr>
                <w:szCs w:val="22"/>
              </w:rPr>
              <w:t>1.70</w:t>
            </w:r>
          </w:p>
        </w:tc>
        <w:tc>
          <w:tcPr>
            <w:tcW w:w="1276" w:type="dxa"/>
            <w:vAlign w:val="bottom"/>
          </w:tcPr>
          <w:p>
            <w:pPr>
              <w:pStyle w:val="yTableNAm"/>
              <w:rPr>
                <w:szCs w:val="22"/>
              </w:rPr>
            </w:pPr>
            <w:r>
              <w:rPr>
                <w:szCs w:val="22"/>
              </w:rPr>
              <w:t>0.50</w:t>
            </w: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(b)</w:t>
            </w:r>
            <w:r>
              <w:rPr>
                <w:szCs w:val="22"/>
              </w:rPr>
              <w:tab/>
              <w:t>for a copy of reasons for judgment —</w:t>
            </w:r>
          </w:p>
        </w:tc>
        <w:tc>
          <w:tcPr>
            <w:tcW w:w="1275" w:type="dxa"/>
            <w:vAlign w:val="bottom"/>
          </w:tcPr>
          <w:p>
            <w:pPr>
              <w:pStyle w:val="yTableNAm"/>
              <w:rPr>
                <w:szCs w:val="22"/>
              </w:rPr>
            </w:pPr>
          </w:p>
        </w:tc>
        <w:tc>
          <w:tcPr>
            <w:tcW w:w="1276" w:type="dxa"/>
            <w:vAlign w:val="bottom"/>
          </w:tcPr>
          <w:p>
            <w:pPr>
              <w:pStyle w:val="yTableNAm"/>
              <w:rPr>
                <w:szCs w:val="22"/>
              </w:rPr>
            </w:pPr>
          </w:p>
        </w:tc>
        <w:tc>
          <w:tcPr>
            <w:tcW w:w="1276" w:type="dxa"/>
            <w:vAlign w:val="bottom"/>
          </w:tcPr>
          <w:p>
            <w:pPr>
              <w:pStyle w:val="yTableNAm"/>
              <w:rPr>
                <w:szCs w:val="22"/>
              </w:rPr>
            </w:pPr>
          </w:p>
        </w:tc>
      </w:tr>
      <w:tr>
        <w:trPr>
          <w:cantSplit/>
        </w:trPr>
        <w:tc>
          <w:tcPr>
            <w:tcW w:w="673" w:type="dxa"/>
          </w:tcPr>
          <w:p>
            <w:pPr>
              <w:pStyle w:val="yTableNAm"/>
              <w:rPr>
                <w:szCs w:val="22"/>
              </w:rPr>
            </w:pPr>
          </w:p>
        </w:tc>
        <w:tc>
          <w:tcPr>
            <w:tcW w:w="2588" w:type="dxa"/>
          </w:tcPr>
          <w:p>
            <w:pPr>
              <w:pStyle w:val="yTableNAm"/>
              <w:tabs>
                <w:tab w:val="clear" w:pos="567"/>
                <w:tab w:val="left" w:pos="212"/>
                <w:tab w:val="left" w:pos="637"/>
              </w:tabs>
              <w:ind w:left="637" w:hanging="637"/>
              <w:rPr>
                <w:szCs w:val="22"/>
              </w:rPr>
            </w:pPr>
            <w:r>
              <w:rPr>
                <w:szCs w:val="22"/>
              </w:rPr>
              <w:tab/>
              <w:t>(i)</w:t>
            </w:r>
            <w:r>
              <w:rPr>
                <w:szCs w:val="22"/>
              </w:rPr>
              <w:tab/>
              <w:t>for each copy consisting of not more than 10 pages issued to a person not a party to the proceedings and for each copy in excess of 1 copy issued to a party to the proceedings</w:t>
            </w:r>
          </w:p>
          <w:p>
            <w:pPr>
              <w:pStyle w:val="yTableNAm"/>
              <w:tabs>
                <w:tab w:val="clear" w:pos="567"/>
                <w:tab w:val="left" w:pos="212"/>
                <w:tab w:val="left" w:pos="637"/>
              </w:tabs>
              <w:ind w:left="637" w:hanging="637"/>
              <w:rPr>
                <w:spacing w:val="-4"/>
                <w:szCs w:val="22"/>
              </w:rPr>
            </w:pPr>
            <w:r>
              <w:rPr>
                <w:szCs w:val="22"/>
              </w:rPr>
              <w:tab/>
            </w:r>
            <w:r>
              <w:rPr>
                <w:spacing w:val="-4"/>
                <w:szCs w:val="22"/>
              </w:rPr>
              <w:t>(ii)</w:t>
            </w:r>
            <w:r>
              <w:rPr>
                <w:spacing w:val="-4"/>
                <w:szCs w:val="22"/>
              </w:rPr>
              <w:tab/>
              <w:t>for each copy consisting of 10 or more pages an additional fee per page of</w:t>
            </w:r>
          </w:p>
        </w:tc>
        <w:tc>
          <w:tcPr>
            <w:tcW w:w="1275" w:type="dxa"/>
            <w:vAlign w:val="bottom"/>
          </w:tcPr>
          <w:p>
            <w:pPr>
              <w:pStyle w:val="yTableNAm"/>
              <w:rPr>
                <w:szCs w:val="22"/>
              </w:rPr>
            </w:pPr>
          </w:p>
          <w:p>
            <w:pPr>
              <w:pStyle w:val="yTableNAm"/>
              <w:rPr>
                <w:szCs w:val="22"/>
              </w:rPr>
            </w:pPr>
            <w:r>
              <w:rPr>
                <w:szCs w:val="22"/>
              </w:rPr>
              <w:br/>
            </w:r>
            <w:r>
              <w:rPr>
                <w:szCs w:val="22"/>
              </w:rPr>
              <w:br/>
            </w:r>
            <w:r>
              <w:rPr>
                <w:szCs w:val="22"/>
              </w:rPr>
              <w:br/>
            </w:r>
            <w:r>
              <w:rPr>
                <w:szCs w:val="22"/>
              </w:rPr>
              <w:br/>
            </w:r>
            <w:r>
              <w:t>14.40</w:t>
            </w:r>
          </w:p>
          <w:p>
            <w:pPr>
              <w:pStyle w:val="yTableNAm"/>
              <w:rPr>
                <w:szCs w:val="22"/>
              </w:rPr>
            </w:pPr>
            <w:r>
              <w:rPr>
                <w:szCs w:val="22"/>
              </w:rPr>
              <w:br/>
            </w:r>
            <w:r>
              <w:rPr>
                <w:szCs w:val="22"/>
              </w:rPr>
              <w:br/>
            </w:r>
            <w:r>
              <w:rPr>
                <w:szCs w:val="22"/>
              </w:rPr>
              <w:br/>
            </w:r>
            <w:r>
              <w:rPr>
                <w:szCs w:val="22"/>
              </w:rPr>
              <w:br/>
            </w:r>
            <w:r>
              <w:t>1.85</w:t>
            </w:r>
          </w:p>
        </w:tc>
        <w:tc>
          <w:tcPr>
            <w:tcW w:w="1276" w:type="dxa"/>
            <w:vAlign w:val="bottom"/>
          </w:tcPr>
          <w:p>
            <w:pPr>
              <w:pStyle w:val="yTableNAm"/>
              <w:rPr>
                <w:szCs w:val="22"/>
              </w:rPr>
            </w:pPr>
          </w:p>
          <w:p>
            <w:pPr>
              <w:pStyle w:val="yTableNAm"/>
              <w:rPr>
                <w:szCs w:val="22"/>
              </w:rPr>
            </w:pPr>
            <w:r>
              <w:rPr>
                <w:szCs w:val="22"/>
              </w:rPr>
              <w:br/>
            </w:r>
            <w:r>
              <w:rPr>
                <w:szCs w:val="22"/>
              </w:rPr>
              <w:br/>
            </w:r>
            <w:r>
              <w:rPr>
                <w:szCs w:val="22"/>
              </w:rPr>
              <w:br/>
            </w:r>
            <w:r>
              <w:rPr>
                <w:szCs w:val="22"/>
              </w:rPr>
              <w:br/>
            </w:r>
            <w:r>
              <w:rPr>
                <w:szCs w:val="22"/>
              </w:rPr>
              <w:br/>
            </w:r>
            <w:r>
              <w:rPr>
                <w:szCs w:val="22"/>
              </w:rPr>
              <w:br/>
            </w:r>
            <w:r>
              <w:t>14.40</w:t>
            </w:r>
          </w:p>
          <w:p>
            <w:pPr>
              <w:pStyle w:val="yTableNAm"/>
              <w:rPr>
                <w:szCs w:val="22"/>
              </w:rPr>
            </w:pPr>
            <w:r>
              <w:rPr>
                <w:szCs w:val="22"/>
              </w:rPr>
              <w:br/>
            </w:r>
            <w:r>
              <w:rPr>
                <w:szCs w:val="22"/>
              </w:rPr>
              <w:br/>
            </w:r>
            <w:r>
              <w:rPr>
                <w:szCs w:val="22"/>
              </w:rPr>
              <w:br/>
            </w:r>
            <w:r>
              <w:rPr>
                <w:szCs w:val="22"/>
              </w:rPr>
              <w:br/>
            </w:r>
            <w:r>
              <w:t>1.85</w:t>
            </w:r>
          </w:p>
        </w:tc>
        <w:tc>
          <w:tcPr>
            <w:tcW w:w="1276" w:type="dxa"/>
            <w:vAlign w:val="bottom"/>
          </w:tcPr>
          <w:p>
            <w:pPr>
              <w:pStyle w:val="yTableNAm"/>
              <w:rPr>
                <w:szCs w:val="22"/>
              </w:rPr>
            </w:pPr>
          </w:p>
          <w:p>
            <w:pPr>
              <w:pStyle w:val="yTableNAm"/>
              <w:rPr>
                <w:szCs w:val="22"/>
              </w:rPr>
            </w:pPr>
            <w:r>
              <w:rPr>
                <w:szCs w:val="22"/>
              </w:rPr>
              <w:br/>
            </w:r>
            <w:r>
              <w:rPr>
                <w:szCs w:val="22"/>
              </w:rPr>
              <w:br/>
            </w:r>
            <w:r>
              <w:rPr>
                <w:szCs w:val="22"/>
              </w:rPr>
              <w:br/>
            </w:r>
            <w:r>
              <w:rPr>
                <w:szCs w:val="22"/>
              </w:rPr>
              <w:br/>
            </w:r>
            <w:r>
              <w:rPr>
                <w:szCs w:val="22"/>
              </w:rPr>
              <w:br/>
            </w:r>
            <w:r>
              <w:rPr>
                <w:szCs w:val="22"/>
              </w:rPr>
              <w:br/>
            </w:r>
            <w:r>
              <w:t>4.25</w:t>
            </w:r>
          </w:p>
          <w:p>
            <w:pPr>
              <w:pStyle w:val="yTableNAm"/>
              <w:rPr>
                <w:szCs w:val="22"/>
              </w:rPr>
            </w:pPr>
            <w:r>
              <w:rPr>
                <w:szCs w:val="22"/>
              </w:rPr>
              <w:br/>
            </w:r>
            <w:r>
              <w:rPr>
                <w:szCs w:val="22"/>
              </w:rPr>
              <w:br/>
            </w:r>
            <w:r>
              <w:rPr>
                <w:szCs w:val="22"/>
              </w:rPr>
              <w:br/>
            </w:r>
            <w:r>
              <w:rPr>
                <w:szCs w:val="22"/>
              </w:rPr>
              <w:br/>
            </w:r>
            <w:r>
              <w:t>0.55</w:t>
            </w: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(c)</w:t>
            </w:r>
            <w:r>
              <w:rPr>
                <w:szCs w:val="22"/>
              </w:rPr>
              <w:tab/>
              <w:t>for certifying under seal that a document is a true copy, an additional fee of</w:t>
            </w:r>
          </w:p>
        </w:tc>
        <w:tc>
          <w:tcPr>
            <w:tcW w:w="1275" w:type="dxa"/>
            <w:vAlign w:val="bottom"/>
          </w:tcPr>
          <w:p>
            <w:pPr>
              <w:pStyle w:val="yTableNAm"/>
              <w:rPr>
                <w:szCs w:val="22"/>
              </w:rPr>
            </w:pPr>
            <w:r>
              <w:t>19.95</w:t>
            </w:r>
          </w:p>
        </w:tc>
        <w:tc>
          <w:tcPr>
            <w:tcW w:w="1276" w:type="dxa"/>
            <w:vAlign w:val="bottom"/>
          </w:tcPr>
          <w:p>
            <w:pPr>
              <w:pStyle w:val="yTableNAm"/>
            </w:pPr>
            <w:r>
              <w:t>19.95</w:t>
            </w:r>
          </w:p>
        </w:tc>
        <w:tc>
          <w:tcPr>
            <w:tcW w:w="1276" w:type="dxa"/>
            <w:vAlign w:val="bottom"/>
          </w:tcPr>
          <w:p>
            <w:pPr>
              <w:pStyle w:val="yTableNAm"/>
              <w:rPr>
                <w:szCs w:val="22"/>
              </w:rPr>
            </w:pPr>
            <w:r>
              <w:t>6.00</w:t>
            </w: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(d)</w:t>
            </w:r>
            <w:r>
              <w:rPr>
                <w:szCs w:val="22"/>
              </w:rPr>
              <w:tab/>
              <w:t>for a certificate under the hand of a registrar</w:t>
            </w:r>
          </w:p>
        </w:tc>
        <w:tc>
          <w:tcPr>
            <w:tcW w:w="1275" w:type="dxa"/>
            <w:vAlign w:val="bottom"/>
          </w:tcPr>
          <w:p>
            <w:pPr>
              <w:pStyle w:val="yTableNAm"/>
              <w:rPr>
                <w:szCs w:val="22"/>
              </w:rPr>
            </w:pPr>
            <w:r>
              <w:t>39.20</w:t>
            </w:r>
          </w:p>
        </w:tc>
        <w:tc>
          <w:tcPr>
            <w:tcW w:w="1276" w:type="dxa"/>
            <w:vAlign w:val="bottom"/>
          </w:tcPr>
          <w:p>
            <w:pPr>
              <w:pStyle w:val="yTableNAm"/>
            </w:pPr>
            <w:r>
              <w:t>39.20</w:t>
            </w:r>
          </w:p>
        </w:tc>
        <w:tc>
          <w:tcPr>
            <w:tcW w:w="1276" w:type="dxa"/>
            <w:vAlign w:val="bottom"/>
          </w:tcPr>
          <w:p>
            <w:pPr>
              <w:pStyle w:val="yTableNAm"/>
              <w:rPr>
                <w:szCs w:val="22"/>
              </w:rPr>
            </w:pPr>
            <w:r>
              <w:t>11.80</w:t>
            </w:r>
          </w:p>
        </w:tc>
      </w:tr>
      <w:tr>
        <w:trPr>
          <w:cantSplit/>
        </w:trPr>
        <w:tc>
          <w:tcPr>
            <w:tcW w:w="673" w:type="dxa"/>
          </w:tcPr>
          <w:p>
            <w:pPr>
              <w:pStyle w:val="yTableNAm"/>
              <w:keepNext/>
              <w:rPr>
                <w:szCs w:val="22"/>
              </w:rPr>
            </w:pPr>
            <w:r>
              <w:rPr>
                <w:szCs w:val="22"/>
              </w:rPr>
              <w:t>16.</w:t>
            </w:r>
          </w:p>
        </w:tc>
        <w:tc>
          <w:tcPr>
            <w:tcW w:w="2588" w:type="dxa"/>
          </w:tcPr>
          <w:p>
            <w:pPr>
              <w:pStyle w:val="yTableNAm"/>
              <w:keepNext/>
              <w:tabs>
                <w:tab w:val="left" w:pos="495"/>
              </w:tabs>
              <w:ind w:left="495" w:hanging="495"/>
              <w:rPr>
                <w:sz w:val="20"/>
              </w:rPr>
            </w:pPr>
            <w:r>
              <w:rPr>
                <w:sz w:val="20"/>
              </w:rPr>
              <w:t>(</w:t>
            </w:r>
            <w:r>
              <w:rPr>
                <w:szCs w:val="22"/>
              </w:rPr>
              <w:t>a)</w:t>
            </w:r>
            <w:r>
              <w:rPr>
                <w:szCs w:val="22"/>
              </w:rPr>
              <w:tab/>
              <w:t>For a copy of a transcript, or part of a transcript —</w:t>
            </w:r>
            <w:r>
              <w:rPr>
                <w:sz w:val="20"/>
              </w:rPr>
              <w:t xml:space="preserve"> </w:t>
            </w:r>
          </w:p>
        </w:tc>
        <w:tc>
          <w:tcPr>
            <w:tcW w:w="1275" w:type="dxa"/>
          </w:tcPr>
          <w:p>
            <w:pPr>
              <w:pStyle w:val="yTableNAm"/>
              <w:keepNext/>
              <w:rPr>
                <w:sz w:val="20"/>
              </w:rPr>
            </w:pPr>
          </w:p>
        </w:tc>
        <w:tc>
          <w:tcPr>
            <w:tcW w:w="1276" w:type="dxa"/>
          </w:tcPr>
          <w:p>
            <w:pPr>
              <w:pStyle w:val="yTableNAm"/>
              <w:keepNext/>
              <w:rPr>
                <w:sz w:val="20"/>
              </w:rPr>
            </w:pPr>
          </w:p>
        </w:tc>
        <w:tc>
          <w:tcPr>
            <w:tcW w:w="1276" w:type="dxa"/>
          </w:tcPr>
          <w:p>
            <w:pPr>
              <w:pStyle w:val="yTableNAm"/>
              <w:keepNext/>
              <w:rPr>
                <w:sz w:val="20"/>
              </w:rPr>
            </w:pPr>
          </w:p>
        </w:tc>
      </w:tr>
      <w:tr>
        <w:trPr>
          <w:cantSplit/>
        </w:trPr>
        <w:tc>
          <w:tcPr>
            <w:tcW w:w="673" w:type="dxa"/>
          </w:tcPr>
          <w:p>
            <w:pPr>
              <w:pStyle w:val="yTableNAm"/>
              <w:rPr>
                <w:szCs w:val="22"/>
              </w:rPr>
            </w:pPr>
          </w:p>
        </w:tc>
        <w:tc>
          <w:tcPr>
            <w:tcW w:w="2588" w:type="dxa"/>
          </w:tcPr>
          <w:p>
            <w:pPr>
              <w:pStyle w:val="yTableNAm"/>
              <w:tabs>
                <w:tab w:val="clear" w:pos="567"/>
                <w:tab w:val="left" w:pos="212"/>
                <w:tab w:val="left" w:pos="637"/>
              </w:tabs>
              <w:ind w:left="637" w:hanging="637"/>
              <w:rPr>
                <w:szCs w:val="22"/>
              </w:rPr>
            </w:pPr>
            <w:r>
              <w:rPr>
                <w:szCs w:val="22"/>
              </w:rPr>
              <w:tab/>
              <w:t>(i)</w:t>
            </w:r>
            <w:r>
              <w:rPr>
                <w:szCs w:val="22"/>
              </w:rPr>
              <w:tab/>
              <w:t>provided within 1 day after the day on which the fee is paid</w:t>
            </w:r>
          </w:p>
        </w:tc>
        <w:tc>
          <w:tcPr>
            <w:tcW w:w="1275" w:type="dxa"/>
          </w:tcPr>
          <w:p>
            <w:pPr>
              <w:pStyle w:val="yTableNAm"/>
              <w:rPr>
                <w:szCs w:val="22"/>
              </w:rPr>
            </w:pPr>
            <w:r>
              <w:rPr>
                <w:szCs w:val="22"/>
              </w:rPr>
              <w:br/>
              <w:t>19.10 plus 7.85 per page</w:t>
            </w:r>
          </w:p>
        </w:tc>
        <w:tc>
          <w:tcPr>
            <w:tcW w:w="1276" w:type="dxa"/>
          </w:tcPr>
          <w:p>
            <w:pPr>
              <w:pStyle w:val="yTableNAm"/>
              <w:rPr>
                <w:szCs w:val="22"/>
              </w:rPr>
            </w:pPr>
            <w:r>
              <w:rPr>
                <w:szCs w:val="22"/>
              </w:rPr>
              <w:br/>
              <w:t>19.10 plus 15.70 per page</w:t>
            </w:r>
          </w:p>
        </w:tc>
        <w:tc>
          <w:tcPr>
            <w:tcW w:w="1276" w:type="dxa"/>
          </w:tcPr>
          <w:p>
            <w:pPr>
              <w:pStyle w:val="yTableNAm"/>
              <w:rPr>
                <w:szCs w:val="22"/>
              </w:rPr>
            </w:pPr>
            <w:r>
              <w:rPr>
                <w:szCs w:val="22"/>
              </w:rPr>
              <w:br/>
              <w:t xml:space="preserve">5.70 plus </w:t>
            </w:r>
            <w:r>
              <w:rPr>
                <w:szCs w:val="22"/>
              </w:rPr>
              <w:br/>
              <w:t>2.35 per page</w:t>
            </w:r>
          </w:p>
        </w:tc>
      </w:tr>
      <w:tr>
        <w:trPr>
          <w:cantSplit/>
        </w:trPr>
        <w:tc>
          <w:tcPr>
            <w:tcW w:w="673" w:type="dxa"/>
          </w:tcPr>
          <w:p>
            <w:pPr>
              <w:pStyle w:val="yTableNAm"/>
              <w:rPr>
                <w:szCs w:val="22"/>
              </w:rPr>
            </w:pPr>
          </w:p>
        </w:tc>
        <w:tc>
          <w:tcPr>
            <w:tcW w:w="2588" w:type="dxa"/>
          </w:tcPr>
          <w:p>
            <w:pPr>
              <w:pStyle w:val="yTableNAm"/>
              <w:tabs>
                <w:tab w:val="clear" w:pos="567"/>
                <w:tab w:val="left" w:pos="212"/>
                <w:tab w:val="left" w:pos="637"/>
              </w:tabs>
              <w:ind w:left="637" w:hanging="637"/>
              <w:rPr>
                <w:szCs w:val="22"/>
              </w:rPr>
            </w:pPr>
            <w:r>
              <w:rPr>
                <w:szCs w:val="22"/>
              </w:rPr>
              <w:tab/>
              <w:t>(ii)</w:t>
            </w:r>
            <w:r>
              <w:rPr>
                <w:szCs w:val="22"/>
              </w:rPr>
              <w:tab/>
              <w:t>provided within 4 days after the day on which the fee is paid</w:t>
            </w:r>
          </w:p>
        </w:tc>
        <w:tc>
          <w:tcPr>
            <w:tcW w:w="1275" w:type="dxa"/>
          </w:tcPr>
          <w:p>
            <w:pPr>
              <w:pStyle w:val="yTableNAm"/>
              <w:rPr>
                <w:szCs w:val="22"/>
              </w:rPr>
            </w:pPr>
            <w:r>
              <w:rPr>
                <w:szCs w:val="22"/>
              </w:rPr>
              <w:br/>
              <w:t>19.10 plus 6.80 per page</w:t>
            </w:r>
          </w:p>
        </w:tc>
        <w:tc>
          <w:tcPr>
            <w:tcW w:w="1276" w:type="dxa"/>
          </w:tcPr>
          <w:p>
            <w:pPr>
              <w:pStyle w:val="yTableNAm"/>
              <w:rPr>
                <w:szCs w:val="22"/>
              </w:rPr>
            </w:pPr>
            <w:r>
              <w:rPr>
                <w:szCs w:val="22"/>
              </w:rPr>
              <w:br/>
              <w:t>19.10 plus 13.70 per page</w:t>
            </w:r>
          </w:p>
        </w:tc>
        <w:tc>
          <w:tcPr>
            <w:tcW w:w="1276" w:type="dxa"/>
          </w:tcPr>
          <w:p>
            <w:pPr>
              <w:pStyle w:val="yTableNAm"/>
              <w:rPr>
                <w:szCs w:val="22"/>
              </w:rPr>
            </w:pPr>
            <w:r>
              <w:rPr>
                <w:szCs w:val="22"/>
              </w:rPr>
              <w:br/>
              <w:t xml:space="preserve">5.70 plus </w:t>
            </w:r>
            <w:r>
              <w:rPr>
                <w:szCs w:val="22"/>
              </w:rPr>
              <w:br/>
              <w:t>2.05 per page</w:t>
            </w:r>
          </w:p>
        </w:tc>
      </w:tr>
      <w:tr>
        <w:trPr>
          <w:cantSplit/>
        </w:trPr>
        <w:tc>
          <w:tcPr>
            <w:tcW w:w="673" w:type="dxa"/>
          </w:tcPr>
          <w:p>
            <w:pPr>
              <w:pStyle w:val="yTableNAm"/>
              <w:rPr>
                <w:szCs w:val="22"/>
              </w:rPr>
            </w:pPr>
          </w:p>
        </w:tc>
        <w:tc>
          <w:tcPr>
            <w:tcW w:w="2588" w:type="dxa"/>
          </w:tcPr>
          <w:p>
            <w:pPr>
              <w:pStyle w:val="yTableNAm"/>
              <w:tabs>
                <w:tab w:val="clear" w:pos="567"/>
                <w:tab w:val="left" w:pos="212"/>
                <w:tab w:val="left" w:pos="637"/>
              </w:tabs>
              <w:ind w:left="637" w:hanging="637"/>
              <w:rPr>
                <w:szCs w:val="22"/>
              </w:rPr>
            </w:pPr>
            <w:r>
              <w:rPr>
                <w:szCs w:val="22"/>
              </w:rPr>
              <w:tab/>
              <w:t>(iii)</w:t>
            </w:r>
            <w:r>
              <w:rPr>
                <w:szCs w:val="22"/>
              </w:rPr>
              <w:tab/>
              <w:t>provided within 7 days after the day on which the fee is paid</w:t>
            </w:r>
          </w:p>
        </w:tc>
        <w:tc>
          <w:tcPr>
            <w:tcW w:w="1275" w:type="dxa"/>
          </w:tcPr>
          <w:p>
            <w:pPr>
              <w:pStyle w:val="yTableNAm"/>
              <w:rPr>
                <w:szCs w:val="22"/>
              </w:rPr>
            </w:pPr>
            <w:r>
              <w:rPr>
                <w:szCs w:val="22"/>
              </w:rPr>
              <w:br/>
              <w:t>19.10 plus 6.55 per page</w:t>
            </w:r>
          </w:p>
        </w:tc>
        <w:tc>
          <w:tcPr>
            <w:tcW w:w="1276" w:type="dxa"/>
          </w:tcPr>
          <w:p>
            <w:pPr>
              <w:pStyle w:val="yTableNAm"/>
              <w:rPr>
                <w:szCs w:val="22"/>
              </w:rPr>
            </w:pPr>
            <w:r>
              <w:rPr>
                <w:szCs w:val="22"/>
              </w:rPr>
              <w:br/>
              <w:t>19.10 plus</w:t>
            </w:r>
            <w:r>
              <w:rPr>
                <w:szCs w:val="22"/>
              </w:rPr>
              <w:br/>
              <w:t>13.05 per page</w:t>
            </w:r>
          </w:p>
        </w:tc>
        <w:tc>
          <w:tcPr>
            <w:tcW w:w="1276" w:type="dxa"/>
          </w:tcPr>
          <w:p>
            <w:pPr>
              <w:pStyle w:val="yTableNAm"/>
              <w:rPr>
                <w:szCs w:val="22"/>
              </w:rPr>
            </w:pPr>
            <w:r>
              <w:rPr>
                <w:szCs w:val="22"/>
              </w:rPr>
              <w:br/>
              <w:t xml:space="preserve">5.70 plus </w:t>
            </w:r>
            <w:r>
              <w:rPr>
                <w:szCs w:val="22"/>
              </w:rPr>
              <w:br/>
              <w:t>2.00 per page</w:t>
            </w: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(b)</w:t>
            </w:r>
            <w:r>
              <w:rPr>
                <w:szCs w:val="22"/>
              </w:rPr>
              <w:tab/>
              <w:t xml:space="preserve">for an additional copy of the transcript, or part of the transcript, provided under paragraph (a) — </w:t>
            </w:r>
          </w:p>
        </w:tc>
        <w:tc>
          <w:tcPr>
            <w:tcW w:w="1275" w:type="dxa"/>
          </w:tcPr>
          <w:p>
            <w:pPr>
              <w:pStyle w:val="yTableNAm"/>
              <w:rPr>
                <w:szCs w:val="22"/>
              </w:rPr>
            </w:pPr>
          </w:p>
        </w:tc>
        <w:tc>
          <w:tcPr>
            <w:tcW w:w="1276" w:type="dxa"/>
          </w:tcPr>
          <w:p>
            <w:pPr>
              <w:pStyle w:val="yTableNAm"/>
              <w:rPr>
                <w:szCs w:val="22"/>
              </w:rPr>
            </w:pPr>
          </w:p>
        </w:tc>
        <w:tc>
          <w:tcPr>
            <w:tcW w:w="1276" w:type="dxa"/>
          </w:tcPr>
          <w:p>
            <w:pPr>
              <w:pStyle w:val="yTableNAm"/>
              <w:rPr>
                <w:szCs w:val="22"/>
              </w:rPr>
            </w:pPr>
          </w:p>
        </w:tc>
      </w:tr>
      <w:tr>
        <w:trPr>
          <w:cantSplit/>
        </w:trPr>
        <w:tc>
          <w:tcPr>
            <w:tcW w:w="673" w:type="dxa"/>
          </w:tcPr>
          <w:p>
            <w:pPr>
              <w:pStyle w:val="yTableNAm"/>
              <w:rPr>
                <w:szCs w:val="22"/>
              </w:rPr>
            </w:pPr>
          </w:p>
        </w:tc>
        <w:tc>
          <w:tcPr>
            <w:tcW w:w="2588" w:type="dxa"/>
          </w:tcPr>
          <w:p>
            <w:pPr>
              <w:pStyle w:val="yTableNAm"/>
              <w:tabs>
                <w:tab w:val="clear" w:pos="567"/>
                <w:tab w:val="left" w:pos="212"/>
                <w:tab w:val="left" w:pos="637"/>
              </w:tabs>
              <w:ind w:left="637" w:hanging="637"/>
              <w:rPr>
                <w:szCs w:val="22"/>
              </w:rPr>
            </w:pPr>
            <w:r>
              <w:rPr>
                <w:szCs w:val="22"/>
              </w:rPr>
              <w:tab/>
              <w:t>(i)</w:t>
            </w:r>
            <w:r>
              <w:rPr>
                <w:szCs w:val="22"/>
              </w:rPr>
              <w:tab/>
              <w:t>in electronic format</w:t>
            </w:r>
          </w:p>
        </w:tc>
        <w:tc>
          <w:tcPr>
            <w:tcW w:w="1275" w:type="dxa"/>
          </w:tcPr>
          <w:p>
            <w:pPr>
              <w:pStyle w:val="yTableNAm"/>
              <w:rPr>
                <w:szCs w:val="22"/>
              </w:rPr>
            </w:pPr>
            <w:r>
              <w:rPr>
                <w:szCs w:val="22"/>
              </w:rPr>
              <w:t>19.95 per copy</w:t>
            </w:r>
          </w:p>
        </w:tc>
        <w:tc>
          <w:tcPr>
            <w:tcW w:w="1276" w:type="dxa"/>
          </w:tcPr>
          <w:p>
            <w:pPr>
              <w:pStyle w:val="yTableNAm"/>
              <w:rPr>
                <w:szCs w:val="22"/>
              </w:rPr>
            </w:pPr>
            <w:r>
              <w:rPr>
                <w:szCs w:val="22"/>
              </w:rPr>
              <w:t>19.95 per copy</w:t>
            </w:r>
          </w:p>
        </w:tc>
        <w:tc>
          <w:tcPr>
            <w:tcW w:w="1276" w:type="dxa"/>
          </w:tcPr>
          <w:p>
            <w:pPr>
              <w:pStyle w:val="yTableNAm"/>
              <w:rPr>
                <w:szCs w:val="22"/>
              </w:rPr>
            </w:pPr>
            <w:r>
              <w:rPr>
                <w:szCs w:val="22"/>
              </w:rPr>
              <w:t>6.00 per copy</w:t>
            </w:r>
          </w:p>
        </w:tc>
      </w:tr>
      <w:tr>
        <w:trPr>
          <w:cantSplit/>
        </w:trPr>
        <w:tc>
          <w:tcPr>
            <w:tcW w:w="673" w:type="dxa"/>
            <w:tcBorders>
              <w:bottom w:val="single" w:sz="4" w:space="0" w:color="auto"/>
            </w:tcBorders>
          </w:tcPr>
          <w:p>
            <w:pPr>
              <w:pStyle w:val="yTableNAm"/>
              <w:rPr>
                <w:szCs w:val="22"/>
              </w:rPr>
            </w:pPr>
          </w:p>
        </w:tc>
        <w:tc>
          <w:tcPr>
            <w:tcW w:w="2588" w:type="dxa"/>
            <w:tcBorders>
              <w:bottom w:val="single" w:sz="4" w:space="0" w:color="auto"/>
            </w:tcBorders>
          </w:tcPr>
          <w:p>
            <w:pPr>
              <w:pStyle w:val="yTableNAm"/>
              <w:tabs>
                <w:tab w:val="clear" w:pos="567"/>
                <w:tab w:val="left" w:pos="212"/>
                <w:tab w:val="left" w:pos="637"/>
              </w:tabs>
              <w:ind w:left="637" w:hanging="637"/>
              <w:rPr>
                <w:szCs w:val="22"/>
              </w:rPr>
            </w:pPr>
            <w:r>
              <w:rPr>
                <w:szCs w:val="22"/>
              </w:rPr>
              <w:tab/>
              <w:t>(ii)</w:t>
            </w:r>
            <w:r>
              <w:rPr>
                <w:szCs w:val="22"/>
              </w:rPr>
              <w:tab/>
              <w:t>paper copy</w:t>
            </w:r>
          </w:p>
        </w:tc>
        <w:tc>
          <w:tcPr>
            <w:tcW w:w="1275" w:type="dxa"/>
            <w:tcBorders>
              <w:bottom w:val="single" w:sz="4" w:space="0" w:color="auto"/>
            </w:tcBorders>
          </w:tcPr>
          <w:p>
            <w:pPr>
              <w:pStyle w:val="yTableNAm"/>
              <w:rPr>
                <w:szCs w:val="22"/>
              </w:rPr>
            </w:pPr>
            <w:r>
              <w:rPr>
                <w:szCs w:val="22"/>
              </w:rPr>
              <w:t>1.95 per page</w:t>
            </w:r>
          </w:p>
        </w:tc>
        <w:tc>
          <w:tcPr>
            <w:tcW w:w="1276" w:type="dxa"/>
            <w:tcBorders>
              <w:bottom w:val="single" w:sz="4" w:space="0" w:color="auto"/>
            </w:tcBorders>
          </w:tcPr>
          <w:p>
            <w:pPr>
              <w:pStyle w:val="yTableNAm"/>
              <w:rPr>
                <w:szCs w:val="22"/>
              </w:rPr>
            </w:pPr>
            <w:r>
              <w:rPr>
                <w:szCs w:val="22"/>
              </w:rPr>
              <w:t>1.95 per page</w:t>
            </w:r>
          </w:p>
        </w:tc>
        <w:tc>
          <w:tcPr>
            <w:tcW w:w="1276" w:type="dxa"/>
            <w:tcBorders>
              <w:bottom w:val="single" w:sz="4" w:space="0" w:color="auto"/>
            </w:tcBorders>
          </w:tcPr>
          <w:p>
            <w:pPr>
              <w:pStyle w:val="yTableNAm"/>
              <w:rPr>
                <w:szCs w:val="22"/>
              </w:rPr>
            </w:pPr>
            <w:r>
              <w:rPr>
                <w:szCs w:val="22"/>
              </w:rPr>
              <w:t>0.55 per page</w:t>
            </w:r>
          </w:p>
        </w:tc>
      </w:tr>
    </w:tbl>
    <w:p>
      <w:pPr>
        <w:pStyle w:val="yFootnotesection"/>
      </w:pPr>
      <w:r>
        <w:tab/>
        <w:t>[Schedule 1 inserted in Gazette 7 Jul 2017 p. 3740</w:t>
      </w:r>
      <w:r>
        <w:noBreakHyphen/>
        <w:t>9.]</w:t>
      </w:r>
    </w:p>
    <w:p>
      <w:pPr>
        <w:pStyle w:val="yScheduleHeading"/>
      </w:pPr>
      <w:bookmarkStart w:id="24" w:name="_Toc516819535"/>
      <w:r>
        <w:rPr>
          <w:rStyle w:val="CharSchNo"/>
        </w:rPr>
        <w:t>Schedule 2</w:t>
      </w:r>
      <w:r>
        <w:t> — </w:t>
      </w:r>
      <w:r>
        <w:rPr>
          <w:rStyle w:val="CharSchText"/>
        </w:rPr>
        <w:t>Sheriff’s fees</w:t>
      </w:r>
      <w:bookmarkEnd w:id="24"/>
    </w:p>
    <w:p>
      <w:pPr>
        <w:pStyle w:val="yShoulderClause"/>
        <w:spacing w:before="80"/>
      </w:pPr>
      <w:r>
        <w:t>[r. 4]</w:t>
      </w:r>
    </w:p>
    <w:p>
      <w:pPr>
        <w:pStyle w:val="yFootnoteheading"/>
        <w:spacing w:before="80" w:after="120"/>
      </w:pPr>
      <w:r>
        <w:tab/>
        <w:t>[Heading amended in Gazette 23 Jun 2005 p. 2691.]</w:t>
      </w:r>
    </w:p>
    <w:tbl>
      <w:tblPr>
        <w:tblW w:w="0" w:type="auto"/>
        <w:tblInd w:w="108" w:type="dxa"/>
        <w:tblLayout w:type="fixed"/>
        <w:tblLook w:val="0000" w:firstRow="0" w:lastRow="0" w:firstColumn="0" w:lastColumn="0" w:noHBand="0" w:noVBand="0"/>
      </w:tblPr>
      <w:tblGrid>
        <w:gridCol w:w="669"/>
        <w:gridCol w:w="5103"/>
        <w:gridCol w:w="1316"/>
      </w:tblGrid>
      <w:tr>
        <w:trPr>
          <w:tblHeader/>
        </w:trPr>
        <w:tc>
          <w:tcPr>
            <w:tcW w:w="669" w:type="dxa"/>
            <w:tcBorders>
              <w:top w:val="single" w:sz="4" w:space="0" w:color="auto"/>
              <w:bottom w:val="single" w:sz="4" w:space="0" w:color="auto"/>
            </w:tcBorders>
          </w:tcPr>
          <w:p>
            <w:pPr>
              <w:pStyle w:val="yTableNAm"/>
              <w:jc w:val="center"/>
              <w:rPr>
                <w:b/>
                <w:bCs/>
              </w:rPr>
            </w:pPr>
            <w:r>
              <w:rPr>
                <w:b/>
                <w:bCs/>
              </w:rPr>
              <w:t>Item</w:t>
            </w:r>
          </w:p>
        </w:tc>
        <w:tc>
          <w:tcPr>
            <w:tcW w:w="5103" w:type="dxa"/>
            <w:tcBorders>
              <w:top w:val="single" w:sz="4" w:space="0" w:color="auto"/>
              <w:bottom w:val="single" w:sz="4" w:space="0" w:color="auto"/>
            </w:tcBorders>
          </w:tcPr>
          <w:p>
            <w:pPr>
              <w:pStyle w:val="yTableNAm"/>
              <w:jc w:val="center"/>
              <w:rPr>
                <w:b/>
                <w:bCs/>
              </w:rPr>
            </w:pPr>
            <w:r>
              <w:rPr>
                <w:b/>
                <w:bCs/>
              </w:rPr>
              <w:t>Matter</w:t>
            </w:r>
          </w:p>
        </w:tc>
        <w:tc>
          <w:tcPr>
            <w:tcW w:w="1316" w:type="dxa"/>
            <w:tcBorders>
              <w:top w:val="single" w:sz="4" w:space="0" w:color="auto"/>
              <w:bottom w:val="single" w:sz="4" w:space="0" w:color="auto"/>
            </w:tcBorders>
          </w:tcPr>
          <w:p>
            <w:pPr>
              <w:pStyle w:val="yTableNAm"/>
              <w:jc w:val="center"/>
              <w:rPr>
                <w:b/>
                <w:bCs/>
              </w:rPr>
            </w:pPr>
            <w:r>
              <w:rPr>
                <w:b/>
                <w:bCs/>
              </w:rPr>
              <w:t>Fee</w:t>
            </w:r>
          </w:p>
          <w:p>
            <w:pPr>
              <w:pStyle w:val="yTableNAm"/>
              <w:jc w:val="center"/>
              <w:rPr>
                <w:b/>
                <w:bCs/>
              </w:rPr>
            </w:pPr>
            <w:r>
              <w:rPr>
                <w:b/>
                <w:bCs/>
              </w:rPr>
              <w:t>$</w:t>
            </w:r>
          </w:p>
        </w:tc>
      </w:tr>
      <w:tr>
        <w:tc>
          <w:tcPr>
            <w:tcW w:w="669" w:type="dxa"/>
          </w:tcPr>
          <w:p>
            <w:pPr>
              <w:pStyle w:val="yTableNAm"/>
            </w:pPr>
            <w:r>
              <w:t>1.</w:t>
            </w:r>
          </w:p>
        </w:tc>
        <w:tc>
          <w:tcPr>
            <w:tcW w:w="5103" w:type="dxa"/>
          </w:tcPr>
          <w:p>
            <w:pPr>
              <w:pStyle w:val="yTableNAm"/>
            </w:pPr>
            <w:r>
              <w:t xml:space="preserve">On the execution of an arrest warrant of any kind — </w:t>
            </w:r>
          </w:p>
        </w:tc>
        <w:tc>
          <w:tcPr>
            <w:tcW w:w="1316" w:type="dxa"/>
          </w:tcPr>
          <w:p>
            <w:pPr>
              <w:pStyle w:val="yTableNAm"/>
              <w:tabs>
                <w:tab w:val="clear" w:pos="567"/>
              </w:tabs>
              <w:ind w:right="220"/>
            </w:pPr>
          </w:p>
        </w:tc>
      </w:tr>
      <w:tr>
        <w:tc>
          <w:tcPr>
            <w:tcW w:w="669" w:type="dxa"/>
          </w:tcPr>
          <w:p>
            <w:pPr>
              <w:pStyle w:val="yTableNAm"/>
              <w:spacing w:before="100"/>
            </w:pPr>
          </w:p>
        </w:tc>
        <w:tc>
          <w:tcPr>
            <w:tcW w:w="5103" w:type="dxa"/>
          </w:tcPr>
          <w:p>
            <w:pPr>
              <w:pStyle w:val="yTableNAm"/>
              <w:tabs>
                <w:tab w:val="right" w:leader="dot" w:pos="4893"/>
              </w:tabs>
              <w:spacing w:before="100"/>
              <w:ind w:left="567" w:hanging="567"/>
            </w:pPr>
            <w:r>
              <w:t>(a)</w:t>
            </w:r>
            <w:r>
              <w:tab/>
              <w:t xml:space="preserve">for arresting the person </w:t>
            </w:r>
            <w:r>
              <w:tab/>
            </w:r>
          </w:p>
        </w:tc>
        <w:tc>
          <w:tcPr>
            <w:tcW w:w="1316" w:type="dxa"/>
          </w:tcPr>
          <w:p>
            <w:pPr>
              <w:pStyle w:val="yTableNAm"/>
              <w:tabs>
                <w:tab w:val="clear" w:pos="567"/>
              </w:tabs>
              <w:spacing w:before="100"/>
              <w:ind w:right="220"/>
              <w:jc w:val="right"/>
            </w:pPr>
            <w:r>
              <w:rPr>
                <w:szCs w:val="22"/>
              </w:rPr>
              <w:t>131.65</w:t>
            </w:r>
          </w:p>
        </w:tc>
      </w:tr>
      <w:tr>
        <w:tc>
          <w:tcPr>
            <w:tcW w:w="669" w:type="dxa"/>
          </w:tcPr>
          <w:p>
            <w:pPr>
              <w:pStyle w:val="yTableNAm"/>
              <w:spacing w:before="100"/>
            </w:pPr>
          </w:p>
        </w:tc>
        <w:tc>
          <w:tcPr>
            <w:tcW w:w="5103" w:type="dxa"/>
          </w:tcPr>
          <w:p>
            <w:pPr>
              <w:pStyle w:val="yTableNAm"/>
              <w:tabs>
                <w:tab w:val="right" w:leader="dot" w:pos="4893"/>
              </w:tabs>
              <w:spacing w:before="100"/>
              <w:ind w:left="567" w:hanging="567"/>
            </w:pPr>
            <w:r>
              <w:t>(b)</w:t>
            </w:r>
            <w:r>
              <w:tab/>
              <w:t xml:space="preserve">for conveying the person to a court or a custodial place and releasing the person from arrest or custody </w:t>
            </w:r>
            <w:r>
              <w:tab/>
            </w:r>
          </w:p>
        </w:tc>
        <w:tc>
          <w:tcPr>
            <w:tcW w:w="1316" w:type="dxa"/>
          </w:tcPr>
          <w:p>
            <w:pPr>
              <w:pStyle w:val="yTableNAm"/>
              <w:tabs>
                <w:tab w:val="clear" w:pos="567"/>
              </w:tabs>
              <w:spacing w:before="100"/>
              <w:ind w:right="220"/>
              <w:jc w:val="right"/>
            </w:pPr>
            <w:r>
              <w:br/>
            </w:r>
            <w:r>
              <w:br/>
              <w:t>130.00</w:t>
            </w:r>
          </w:p>
        </w:tc>
      </w:tr>
      <w:tr>
        <w:tc>
          <w:tcPr>
            <w:tcW w:w="669" w:type="dxa"/>
          </w:tcPr>
          <w:p>
            <w:pPr>
              <w:pStyle w:val="yTableNAm"/>
              <w:spacing w:before="100"/>
            </w:pPr>
          </w:p>
        </w:tc>
        <w:tc>
          <w:tcPr>
            <w:tcW w:w="5103" w:type="dxa"/>
          </w:tcPr>
          <w:p>
            <w:pPr>
              <w:pStyle w:val="yTableNAm"/>
              <w:tabs>
                <w:tab w:val="right" w:leader="dot" w:pos="4893"/>
              </w:tabs>
              <w:spacing w:before="100"/>
              <w:ind w:left="567" w:hanging="567"/>
            </w:pPr>
            <w:r>
              <w:t>(c)</w:t>
            </w:r>
            <w:r>
              <w:tab/>
              <w:t xml:space="preserve">for each 30 minutes after 2 hours and 30 minutes that an enforcement officer, as defined in the </w:t>
            </w:r>
            <w:r>
              <w:rPr>
                <w:i/>
              </w:rPr>
              <w:t>Civil Judgments Enforcement Act 2004</w:t>
            </w:r>
            <w:r>
              <w:t xml:space="preserve"> section 3, is required to keep the person in custody until he or she is conveyed to a court or a custodial place </w:t>
            </w:r>
            <w:r>
              <w:tab/>
            </w:r>
          </w:p>
        </w:tc>
        <w:tc>
          <w:tcPr>
            <w:tcW w:w="1316" w:type="dxa"/>
          </w:tcPr>
          <w:p>
            <w:pPr>
              <w:pStyle w:val="yTableNAm"/>
              <w:tabs>
                <w:tab w:val="clear" w:pos="567"/>
              </w:tabs>
              <w:spacing w:before="100"/>
              <w:ind w:right="220"/>
              <w:jc w:val="right"/>
            </w:pPr>
            <w:r>
              <w:br/>
            </w:r>
            <w:r>
              <w:br/>
            </w:r>
            <w:r>
              <w:br/>
            </w:r>
            <w:r>
              <w:br/>
            </w:r>
            <w:r>
              <w:br/>
              <w:t>34.50</w:t>
            </w:r>
          </w:p>
        </w:tc>
      </w:tr>
      <w:tr>
        <w:tc>
          <w:tcPr>
            <w:tcW w:w="7088" w:type="dxa"/>
            <w:gridSpan w:val="3"/>
          </w:tcPr>
          <w:p>
            <w:pPr>
              <w:pStyle w:val="yTableNAm"/>
            </w:pPr>
            <w:r>
              <w:t>NOTE 1:</w:t>
            </w:r>
          </w:p>
          <w:p>
            <w:pPr>
              <w:pStyle w:val="yTableNAm"/>
            </w:pPr>
            <w:r>
              <w:t>The fee under paragraph (a) is payable whether or not the sheriff’s functions under the warrant are performed and includes up to 3 attempts to perform the functions at the same address.</w:t>
            </w:r>
          </w:p>
        </w:tc>
      </w:tr>
      <w:tr>
        <w:tc>
          <w:tcPr>
            <w:tcW w:w="7088" w:type="dxa"/>
            <w:gridSpan w:val="3"/>
          </w:tcPr>
          <w:p>
            <w:pPr>
              <w:pStyle w:val="yTableNAm"/>
            </w:pPr>
            <w:r>
              <w:t>NOTE 2:</w:t>
            </w:r>
          </w:p>
          <w:p>
            <w:pPr>
              <w:pStyle w:val="yTableNAm"/>
            </w:pPr>
            <w:r>
              <w:t xml:space="preserve">The fee under paragraph (a) </w:t>
            </w:r>
            <w:r>
              <w:rPr>
                <w:szCs w:val="22"/>
              </w:rPr>
              <w:t>includes the costs of —</w:t>
            </w:r>
          </w:p>
          <w:p>
            <w:pPr>
              <w:pStyle w:val="yTableNAm"/>
              <w:spacing w:before="100"/>
            </w:pPr>
            <w:r>
              <w:t>(a)</w:t>
            </w:r>
            <w:r>
              <w:tab/>
            </w:r>
            <w:r>
              <w:rPr>
                <w:szCs w:val="22"/>
              </w:rPr>
              <w:t>receiving and printing</w:t>
            </w:r>
            <w:r>
              <w:t xml:space="preserve"> the warrant; and</w:t>
            </w:r>
          </w:p>
          <w:p>
            <w:pPr>
              <w:pStyle w:val="yTableNAm"/>
              <w:spacing w:before="100"/>
            </w:pPr>
            <w:r>
              <w:t>(b)</w:t>
            </w:r>
            <w:r>
              <w:tab/>
              <w:t>attendances and inquiries before attempting arrest; and</w:t>
            </w:r>
          </w:p>
          <w:p>
            <w:pPr>
              <w:pStyle w:val="yTableNAm"/>
              <w:spacing w:before="100"/>
            </w:pPr>
            <w:r>
              <w:t>(c)</w:t>
            </w:r>
            <w:r>
              <w:tab/>
              <w:t>giving any notice; and</w:t>
            </w:r>
          </w:p>
          <w:p>
            <w:pPr>
              <w:pStyle w:val="yTableNAm"/>
              <w:spacing w:before="100"/>
            </w:pPr>
            <w:r>
              <w:t>(d)</w:t>
            </w:r>
            <w:r>
              <w:tab/>
              <w:t>making any report.</w:t>
            </w:r>
          </w:p>
        </w:tc>
      </w:tr>
      <w:tr>
        <w:trPr>
          <w:cantSplit/>
        </w:trPr>
        <w:tc>
          <w:tcPr>
            <w:tcW w:w="669" w:type="dxa"/>
          </w:tcPr>
          <w:p>
            <w:pPr>
              <w:pStyle w:val="yTableNAm"/>
            </w:pPr>
            <w:r>
              <w:t>2.</w:t>
            </w:r>
          </w:p>
        </w:tc>
        <w:tc>
          <w:tcPr>
            <w:tcW w:w="5103" w:type="dxa"/>
          </w:tcPr>
          <w:p>
            <w:pPr>
              <w:pStyle w:val="yTableNAm"/>
              <w:tabs>
                <w:tab w:val="right" w:leader="dot" w:pos="4893"/>
              </w:tabs>
            </w:pPr>
            <w:r>
              <w:t xml:space="preserve">For the service of any writ, application, summons, originating process, notice or order of the Court or any other process requiring service </w:t>
            </w:r>
            <w:r>
              <w:tab/>
            </w:r>
          </w:p>
        </w:tc>
        <w:tc>
          <w:tcPr>
            <w:tcW w:w="1316" w:type="dxa"/>
          </w:tcPr>
          <w:p>
            <w:pPr>
              <w:pStyle w:val="yTableNAm"/>
              <w:tabs>
                <w:tab w:val="clear" w:pos="567"/>
              </w:tabs>
              <w:ind w:right="220"/>
              <w:jc w:val="right"/>
            </w:pPr>
            <w:r>
              <w:br/>
            </w:r>
            <w:r>
              <w:br/>
            </w:r>
            <w:r>
              <w:rPr>
                <w:szCs w:val="22"/>
              </w:rPr>
              <w:t>73.15</w:t>
            </w:r>
          </w:p>
        </w:tc>
      </w:tr>
      <w:tr>
        <w:tc>
          <w:tcPr>
            <w:tcW w:w="7088" w:type="dxa"/>
            <w:gridSpan w:val="3"/>
          </w:tcPr>
          <w:p>
            <w:pPr>
              <w:pStyle w:val="yTableNAm"/>
            </w:pPr>
            <w:r>
              <w:rPr>
                <w:szCs w:val="22"/>
              </w:rPr>
              <w:t>NOTE 1:</w:t>
            </w:r>
          </w:p>
          <w:p>
            <w:pPr>
              <w:pStyle w:val="yTableNAm"/>
              <w:keepNext/>
              <w:spacing w:before="100"/>
            </w:pPr>
            <w:r>
              <w:t>The fee is payable whether or not the service is successful and covers up to 3 attempts at service at the same address.</w:t>
            </w:r>
          </w:p>
        </w:tc>
      </w:tr>
      <w:tr>
        <w:tc>
          <w:tcPr>
            <w:tcW w:w="7088" w:type="dxa"/>
            <w:gridSpan w:val="3"/>
          </w:tcPr>
          <w:p>
            <w:pPr>
              <w:pStyle w:val="yTableNAm"/>
            </w:pPr>
            <w:r>
              <w:t>NOTE 2:</w:t>
            </w:r>
          </w:p>
        </w:tc>
      </w:tr>
      <w:tr>
        <w:tc>
          <w:tcPr>
            <w:tcW w:w="7088" w:type="dxa"/>
            <w:gridSpan w:val="3"/>
          </w:tcPr>
          <w:p>
            <w:pPr>
              <w:pStyle w:val="yTableNAm"/>
            </w:pPr>
            <w:r>
              <w:t>The fee includes the costs of receiving and printing the process.</w:t>
            </w:r>
          </w:p>
        </w:tc>
      </w:tr>
      <w:tr>
        <w:tc>
          <w:tcPr>
            <w:tcW w:w="669" w:type="dxa"/>
          </w:tcPr>
          <w:p>
            <w:pPr>
              <w:pStyle w:val="yTableNAm"/>
            </w:pPr>
            <w:r>
              <w:t>3.</w:t>
            </w:r>
          </w:p>
        </w:tc>
        <w:tc>
          <w:tcPr>
            <w:tcW w:w="5103" w:type="dxa"/>
          </w:tcPr>
          <w:p>
            <w:pPr>
              <w:pStyle w:val="yTableNAm"/>
            </w:pPr>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tc>
        <w:tc>
          <w:tcPr>
            <w:tcW w:w="1316" w:type="dxa"/>
          </w:tcPr>
          <w:p>
            <w:pPr>
              <w:pStyle w:val="yTableNAm"/>
            </w:pPr>
          </w:p>
        </w:tc>
      </w:tr>
      <w:tr>
        <w:tc>
          <w:tcPr>
            <w:tcW w:w="669" w:type="dxa"/>
          </w:tcPr>
          <w:p>
            <w:pPr>
              <w:pStyle w:val="yTableNAm"/>
            </w:pPr>
          </w:p>
        </w:tc>
        <w:tc>
          <w:tcPr>
            <w:tcW w:w="5103" w:type="dxa"/>
          </w:tcPr>
          <w:p>
            <w:pPr>
              <w:pStyle w:val="yTableNAm"/>
              <w:tabs>
                <w:tab w:val="right" w:leader="dot" w:pos="4893"/>
              </w:tabs>
              <w:ind w:left="567" w:hanging="567"/>
            </w:pPr>
            <w:r>
              <w:t>(a)</w:t>
            </w:r>
            <w:r>
              <w:tab/>
              <w:t xml:space="preserve">for each kilometre travelled (one way) in the metropolitan area </w:t>
            </w:r>
            <w:r>
              <w:tab/>
            </w:r>
          </w:p>
        </w:tc>
        <w:tc>
          <w:tcPr>
            <w:tcW w:w="1316" w:type="dxa"/>
          </w:tcPr>
          <w:p>
            <w:pPr>
              <w:pStyle w:val="yTableNAm"/>
              <w:tabs>
                <w:tab w:val="clear" w:pos="567"/>
              </w:tabs>
              <w:ind w:right="220"/>
              <w:jc w:val="right"/>
            </w:pPr>
            <w:r>
              <w:br/>
              <w:t>1.85</w:t>
            </w:r>
          </w:p>
        </w:tc>
      </w:tr>
      <w:tr>
        <w:tc>
          <w:tcPr>
            <w:tcW w:w="669" w:type="dxa"/>
          </w:tcPr>
          <w:p>
            <w:pPr>
              <w:pStyle w:val="yTableNAm"/>
            </w:pPr>
          </w:p>
        </w:tc>
        <w:tc>
          <w:tcPr>
            <w:tcW w:w="5103" w:type="dxa"/>
          </w:tcPr>
          <w:p>
            <w:pPr>
              <w:pStyle w:val="yTableNAm"/>
              <w:tabs>
                <w:tab w:val="right" w:leader="dot" w:pos="4893"/>
              </w:tabs>
              <w:ind w:left="567" w:hanging="567"/>
            </w:pPr>
            <w:r>
              <w:t>(b)</w:t>
            </w:r>
            <w:r>
              <w:tab/>
              <w:t xml:space="preserve">for each kilometre travelled (one way) outside the metropolitan area </w:t>
            </w:r>
            <w:r>
              <w:tab/>
            </w:r>
          </w:p>
        </w:tc>
        <w:tc>
          <w:tcPr>
            <w:tcW w:w="1316" w:type="dxa"/>
          </w:tcPr>
          <w:p>
            <w:pPr>
              <w:pStyle w:val="yTableNAm"/>
              <w:tabs>
                <w:tab w:val="clear" w:pos="567"/>
              </w:tabs>
              <w:ind w:right="220"/>
              <w:jc w:val="right"/>
            </w:pPr>
            <w:r>
              <w:br/>
              <w:t>2.05</w:t>
            </w:r>
          </w:p>
        </w:tc>
      </w:tr>
      <w:tr>
        <w:tc>
          <w:tcPr>
            <w:tcW w:w="7088" w:type="dxa"/>
            <w:gridSpan w:val="3"/>
          </w:tcPr>
          <w:p>
            <w:pPr>
              <w:pStyle w:val="yTableNAm"/>
            </w:pPr>
            <w:r>
              <w:t>NOTE:</w:t>
            </w:r>
          </w:p>
          <w:p>
            <w:pPr>
              <w:pStyle w:val="yTableNAm"/>
              <w:spacing w:before="100"/>
            </w:pPr>
            <w:r>
              <w:t>If more than one process or document is executed or served by the sheriff or a bailiff at the same time on the same person or on different persons at the same address, only one allowance for kilometres is chargeable.</w:t>
            </w:r>
          </w:p>
        </w:tc>
      </w:tr>
      <w:tr>
        <w:tc>
          <w:tcPr>
            <w:tcW w:w="669" w:type="dxa"/>
          </w:tcPr>
          <w:p>
            <w:pPr>
              <w:pStyle w:val="yTableNAm"/>
            </w:pPr>
            <w:r>
              <w:t>4.</w:t>
            </w:r>
          </w:p>
        </w:tc>
        <w:tc>
          <w:tcPr>
            <w:tcW w:w="5103" w:type="dxa"/>
          </w:tcPr>
          <w:p>
            <w:pPr>
              <w:pStyle w:val="yTableNAm"/>
              <w:tabs>
                <w:tab w:val="right" w:leader="dot" w:pos="4893"/>
              </w:tabs>
            </w:pPr>
            <w:r>
              <w:t xml:space="preserve">Fee to the sheriff for attending a view — per hour or part of an hour </w:t>
            </w:r>
            <w:r>
              <w:tab/>
            </w:r>
          </w:p>
        </w:tc>
        <w:tc>
          <w:tcPr>
            <w:tcW w:w="1316" w:type="dxa"/>
          </w:tcPr>
          <w:p>
            <w:pPr>
              <w:pStyle w:val="yTableNAm"/>
              <w:tabs>
                <w:tab w:val="clear" w:pos="567"/>
              </w:tabs>
              <w:ind w:right="220"/>
              <w:jc w:val="right"/>
            </w:pPr>
            <w:r>
              <w:br/>
              <w:t>69.00</w:t>
            </w:r>
          </w:p>
        </w:tc>
      </w:tr>
      <w:tr>
        <w:tc>
          <w:tcPr>
            <w:tcW w:w="669" w:type="dxa"/>
          </w:tcPr>
          <w:p>
            <w:pPr>
              <w:pStyle w:val="yTableNAm"/>
            </w:pPr>
            <w:r>
              <w:t>5.</w:t>
            </w:r>
          </w:p>
        </w:tc>
        <w:tc>
          <w:tcPr>
            <w:tcW w:w="5103" w:type="dxa"/>
          </w:tcPr>
          <w:p>
            <w:pPr>
              <w:pStyle w:val="yTableNAm"/>
              <w:tabs>
                <w:tab w:val="right" w:leader="dot" w:pos="4893"/>
              </w:tabs>
              <w:ind w:left="567" w:hanging="567"/>
            </w:pPr>
            <w:r>
              <w:t>(a)</w:t>
            </w:r>
            <w:r>
              <w:tab/>
              <w:t xml:space="preserve">For striking a jury and preparing jury panel </w:t>
            </w:r>
            <w:r>
              <w:tab/>
            </w:r>
          </w:p>
        </w:tc>
        <w:tc>
          <w:tcPr>
            <w:tcW w:w="1316" w:type="dxa"/>
          </w:tcPr>
          <w:p>
            <w:pPr>
              <w:pStyle w:val="yTableNAm"/>
              <w:tabs>
                <w:tab w:val="clear" w:pos="567"/>
              </w:tabs>
              <w:ind w:right="220"/>
              <w:jc w:val="right"/>
            </w:pPr>
            <w:r>
              <w:t>221.00</w:t>
            </w:r>
          </w:p>
        </w:tc>
      </w:tr>
      <w:tr>
        <w:tc>
          <w:tcPr>
            <w:tcW w:w="669" w:type="dxa"/>
            <w:tcBorders>
              <w:bottom w:val="single" w:sz="4" w:space="0" w:color="auto"/>
            </w:tcBorders>
          </w:tcPr>
          <w:p>
            <w:pPr>
              <w:pStyle w:val="yTableNAm"/>
            </w:pPr>
          </w:p>
        </w:tc>
        <w:tc>
          <w:tcPr>
            <w:tcW w:w="5103" w:type="dxa"/>
            <w:tcBorders>
              <w:bottom w:val="single" w:sz="4" w:space="0" w:color="auto"/>
            </w:tcBorders>
          </w:tcPr>
          <w:p>
            <w:pPr>
              <w:pStyle w:val="yTableNAm"/>
              <w:tabs>
                <w:tab w:val="right" w:leader="dot" w:pos="4893"/>
              </w:tabs>
              <w:ind w:left="567" w:hanging="567"/>
            </w:pPr>
            <w:r>
              <w:t>(b)</w:t>
            </w:r>
            <w:r>
              <w:tab/>
              <w:t>For attendance of sheriff’s officer at hearing (per day or part of a day)</w:t>
            </w:r>
          </w:p>
        </w:tc>
        <w:tc>
          <w:tcPr>
            <w:tcW w:w="1316" w:type="dxa"/>
            <w:tcBorders>
              <w:bottom w:val="single" w:sz="4" w:space="0" w:color="auto"/>
            </w:tcBorders>
          </w:tcPr>
          <w:p>
            <w:pPr>
              <w:pStyle w:val="yTableNAm"/>
            </w:pPr>
            <w:r>
              <w:t>The sum actually and reasonably paid.</w:t>
            </w:r>
          </w:p>
        </w:tc>
      </w:tr>
    </w:tbl>
    <w:p>
      <w:pPr>
        <w:pStyle w:val="yFootnotesection"/>
      </w:pPr>
      <w:r>
        <w:tab/>
        <w:t>[Schedule 2 inserted in Gazette 28 Apr 2005 p. 1756; amended in Gazette 23 Jun 2005 p. 2691</w:t>
      </w:r>
      <w:r>
        <w:noBreakHyphen/>
        <w:t>2; 23 Jun 2006 p. 2189; 26 Jun 2007 p. 3037; 27 Jun 2008 p. 3063</w:t>
      </w:r>
      <w:r>
        <w:noBreakHyphen/>
        <w:t>4; 4 Sep 2009 p. 3490; 8 Mar 2011 p. 787; 20 Dec 2011 p. 5383; 30 Nov 2012 p. 5790</w:t>
      </w:r>
      <w:r>
        <w:rPr>
          <w:szCs w:val="22"/>
        </w:rPr>
        <w:t>; 15 Nov 2013 p. 5245;</w:t>
      </w:r>
      <w:r>
        <w:t xml:space="preserve"> 27 Jun 2014 p. 2340; 19 Jun 2015 p. 2121</w:t>
      </w:r>
      <w:r>
        <w:noBreakHyphen/>
        <w:t>2; 14 Jun 2016 p. 1899; 7 Jul 2017 p. 3750; 9 Feb 2018 p. 403</w:t>
      </w:r>
      <w:r>
        <w:noBreakHyphen/>
        <w:t>4.]</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26" w:name="_Toc516819536"/>
      <w:r>
        <w:rPr>
          <w:rStyle w:val="CharSchNo"/>
        </w:rPr>
        <w:t>Schedule 3</w:t>
      </w:r>
      <w:r>
        <w:t xml:space="preserve"> — </w:t>
      </w:r>
      <w:r>
        <w:rPr>
          <w:rStyle w:val="CharSchText"/>
        </w:rPr>
        <w:t>Forms</w:t>
      </w:r>
      <w:bookmarkEnd w:id="26"/>
    </w:p>
    <w:p>
      <w:pPr>
        <w:pStyle w:val="yShoulderClause"/>
        <w:spacing w:after="60"/>
      </w:pPr>
      <w:r>
        <w:rPr>
          <w:szCs w:val="22"/>
        </w:rPr>
        <w:t>[r. 4A(1) and 8(2)]</w:t>
      </w:r>
    </w:p>
    <w:p>
      <w:pPr>
        <w:pStyle w:val="yFootnoteheading"/>
        <w:spacing w:after="120"/>
      </w:pPr>
      <w:r>
        <w:tab/>
        <w:t>[Heading amended in Gazette 14 Jun 2016 p. 1900.]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323"/>
      </w:tblGrid>
      <w:tr>
        <w:tc>
          <w:tcPr>
            <w:tcW w:w="7080" w:type="dxa"/>
            <w:gridSpan w:val="4"/>
            <w:tcBorders>
              <w:bottom w:val="nil"/>
            </w:tcBorders>
          </w:tcPr>
          <w:p>
            <w:pPr>
              <w:pStyle w:val="yTableNAm"/>
              <w:jc w:val="center"/>
              <w:rPr>
                <w:rStyle w:val="CharSClsNo"/>
                <w:b/>
              </w:rPr>
            </w:pPr>
            <w:r>
              <w:rPr>
                <w:rStyle w:val="CharSClsNo"/>
                <w:b/>
              </w:rPr>
              <w:t>Form 1</w:t>
            </w:r>
          </w:p>
        </w:tc>
      </w:tr>
      <w:tr>
        <w:tc>
          <w:tcPr>
            <w:tcW w:w="7080" w:type="dxa"/>
            <w:gridSpan w:val="4"/>
            <w:tcBorders>
              <w:top w:val="nil"/>
            </w:tcBorders>
          </w:tcPr>
          <w:p>
            <w:pPr>
              <w:pStyle w:val="yTableNAm"/>
              <w:spacing w:after="80"/>
              <w:jc w:val="center"/>
              <w:rPr>
                <w:b/>
                <w:bCs/>
              </w:rPr>
            </w:pPr>
            <w:r>
              <w:rPr>
                <w:b/>
                <w:bCs/>
              </w:rPr>
              <w:t>Declaration that a person is a small business or a non</w:t>
            </w:r>
            <w:r>
              <w:rPr>
                <w:b/>
                <w:bCs/>
              </w:rPr>
              <w:noBreakHyphen/>
              <w:t>profit association</w:t>
            </w:r>
          </w:p>
        </w:tc>
      </w:tr>
      <w:tr>
        <w:trPr>
          <w:cantSplit/>
        </w:trPr>
        <w:tc>
          <w:tcPr>
            <w:tcW w:w="3757" w:type="dxa"/>
            <w:gridSpan w:val="3"/>
          </w:tcPr>
          <w:p>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323" w:type="dxa"/>
          </w:tcPr>
          <w:p>
            <w:pPr>
              <w:pStyle w:val="yTableNAm"/>
            </w:pPr>
            <w:r>
              <w:t>No.         of  2   </w:t>
            </w:r>
          </w:p>
        </w:tc>
      </w:tr>
      <w:tr>
        <w:trPr>
          <w:cantSplit/>
        </w:trPr>
        <w:tc>
          <w:tcPr>
            <w:tcW w:w="7080" w:type="dxa"/>
            <w:gridSpan w:val="4"/>
          </w:tcPr>
          <w:p>
            <w:pPr>
              <w:pStyle w:val="yTableNAm"/>
            </w:pPr>
            <w:r>
              <w:rPr>
                <w:b/>
              </w:rPr>
              <w:t>Plaintiff:</w:t>
            </w:r>
            <w:r>
              <w:tab/>
              <w:t>........................................................................................................</w:t>
            </w:r>
          </w:p>
        </w:tc>
      </w:tr>
      <w:tr>
        <w:trPr>
          <w:cantSplit/>
        </w:trPr>
        <w:tc>
          <w:tcPr>
            <w:tcW w:w="7080" w:type="dxa"/>
            <w:gridSpan w:val="4"/>
          </w:tcPr>
          <w:p>
            <w:pPr>
              <w:pStyle w:val="yTableNAm"/>
            </w:pPr>
            <w:r>
              <w:rPr>
                <w:b/>
              </w:rPr>
              <w:t>Defendant:</w:t>
            </w:r>
            <w:r>
              <w:tab/>
              <w:t>........................................................................................................</w:t>
            </w:r>
          </w:p>
        </w:tc>
      </w:tr>
      <w:tr>
        <w:trPr>
          <w:cantSplit/>
          <w:trHeight w:val="433"/>
        </w:trPr>
        <w:tc>
          <w:tcPr>
            <w:tcW w:w="1843" w:type="dxa"/>
            <w:tcBorders>
              <w:bottom w:val="nil"/>
            </w:tcBorders>
          </w:tcPr>
          <w:p>
            <w:pPr>
              <w:pStyle w:val="yTableNAm"/>
              <w:rPr>
                <w:b/>
              </w:rPr>
            </w:pPr>
            <w:r>
              <w:rPr>
                <w:b/>
              </w:rPr>
              <w:t>Applicant:</w:t>
            </w:r>
          </w:p>
        </w:tc>
        <w:tc>
          <w:tcPr>
            <w:tcW w:w="5237" w:type="dxa"/>
            <w:gridSpan w:val="3"/>
            <w:tcBorders>
              <w:bottom w:val="single" w:sz="4" w:space="0" w:color="auto"/>
            </w:tcBorders>
          </w:tcPr>
          <w:p>
            <w:pPr>
              <w:pStyle w:val="yTableNAm"/>
            </w:pPr>
            <w:r>
              <w:t>...........................................................................................</w:t>
            </w:r>
          </w:p>
          <w:p>
            <w:pPr>
              <w:pStyle w:val="yTableNAm"/>
              <w:spacing w:before="0"/>
            </w:pPr>
            <w:r>
              <w:t>Full name</w:t>
            </w:r>
          </w:p>
        </w:tc>
      </w:tr>
      <w:tr>
        <w:trPr>
          <w:cantSplit/>
          <w:trHeight w:val="431"/>
        </w:trPr>
        <w:tc>
          <w:tcPr>
            <w:tcW w:w="1843" w:type="dxa"/>
            <w:tcBorders>
              <w:top w:val="nil"/>
              <w:bottom w:val="nil"/>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Address</w:t>
            </w:r>
          </w:p>
        </w:tc>
      </w:tr>
      <w:tr>
        <w:trPr>
          <w:cantSplit/>
          <w:trHeight w:val="431"/>
        </w:trPr>
        <w:tc>
          <w:tcPr>
            <w:tcW w:w="1843" w:type="dxa"/>
            <w:vMerge w:val="restart"/>
            <w:tcBorders>
              <w:top w:val="nil"/>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Name of small business</w:t>
            </w:r>
          </w:p>
        </w:tc>
      </w:tr>
      <w:tr>
        <w:trPr>
          <w:cantSplit/>
          <w:trHeight w:val="431"/>
        </w:trPr>
        <w:tc>
          <w:tcPr>
            <w:tcW w:w="1843" w:type="dxa"/>
            <w:vMerge/>
            <w:tcBorders>
              <w:top w:val="single" w:sz="4" w:space="0" w:color="auto"/>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Position held by applicant in the small business</w:t>
            </w:r>
          </w:p>
        </w:tc>
      </w:tr>
      <w:tr>
        <w:trPr>
          <w:cantSplit/>
        </w:trPr>
        <w:tc>
          <w:tcPr>
            <w:tcW w:w="7080"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t xml:space="preserve"> within the meaning of that term in the </w:t>
            </w:r>
            <w:r>
              <w:rPr>
                <w:i/>
              </w:rPr>
              <w:t>District Court (Fees) Regulations 2002</w:t>
            </w:r>
            <w:r>
              <w:t>.</w:t>
            </w:r>
          </w:p>
        </w:tc>
      </w:tr>
      <w:tr>
        <w:trPr>
          <w:cantSplit/>
          <w:trHeight w:val="429"/>
        </w:trPr>
        <w:tc>
          <w:tcPr>
            <w:tcW w:w="2694" w:type="dxa"/>
            <w:gridSpan w:val="2"/>
          </w:tcPr>
          <w:p>
            <w:pPr>
              <w:pStyle w:val="yTableNAm"/>
            </w:pPr>
            <w:r>
              <w:t>Signature of applicant:</w:t>
            </w:r>
          </w:p>
        </w:tc>
        <w:tc>
          <w:tcPr>
            <w:tcW w:w="4386" w:type="dxa"/>
            <w:gridSpan w:val="2"/>
          </w:tcPr>
          <w:p>
            <w:pPr>
              <w:pStyle w:val="yTableNAm"/>
            </w:pPr>
          </w:p>
        </w:tc>
      </w:tr>
      <w:tr>
        <w:trPr>
          <w:cantSplit/>
          <w:trHeight w:val="429"/>
        </w:trPr>
        <w:tc>
          <w:tcPr>
            <w:tcW w:w="2694" w:type="dxa"/>
            <w:gridSpan w:val="2"/>
            <w:tcBorders>
              <w:bottom w:val="single" w:sz="4" w:space="0" w:color="auto"/>
            </w:tcBorders>
          </w:tcPr>
          <w:p>
            <w:pPr>
              <w:pStyle w:val="yTableNAm"/>
            </w:pPr>
            <w:r>
              <w:t>Date:</w:t>
            </w:r>
          </w:p>
        </w:tc>
        <w:tc>
          <w:tcPr>
            <w:tcW w:w="4386" w:type="dxa"/>
            <w:gridSpan w:val="2"/>
            <w:tcBorders>
              <w:bottom w:val="single" w:sz="4" w:space="0" w:color="auto"/>
            </w:tcBorders>
          </w:tcPr>
          <w:p>
            <w:pPr>
              <w:pStyle w:val="yTableNAm"/>
            </w:pPr>
          </w:p>
        </w:tc>
      </w:tr>
      <w:tr>
        <w:trPr>
          <w:cantSplit/>
          <w:trHeight w:val="429"/>
        </w:trPr>
        <w:tc>
          <w:tcPr>
            <w:tcW w:w="7080" w:type="dxa"/>
            <w:gridSpan w:val="4"/>
            <w:tcBorders>
              <w:bottom w:val="single" w:sz="4" w:space="0" w:color="auto"/>
            </w:tcBorders>
          </w:tcPr>
          <w:p>
            <w:pPr>
              <w:pStyle w:val="yTableNAm"/>
            </w:pPr>
            <w:r>
              <w:rPr>
                <w:i/>
                <w:sz w:val="18"/>
                <w:szCs w:val="18"/>
              </w:rPr>
              <w:t>Note:  A person who makes a statement or representation in this application that the person knows or has reason to believe is false or misleading in a material particular commits an offence under the District Court (Fees) Regulations 2002 regulation 8B(1).</w:t>
            </w:r>
          </w:p>
        </w:tc>
      </w:tr>
      <w:tr>
        <w:trPr>
          <w:cantSplit/>
          <w:trHeight w:val="429"/>
        </w:trPr>
        <w:tc>
          <w:tcPr>
            <w:tcW w:w="7080" w:type="dxa"/>
            <w:gridSpan w:val="4"/>
            <w:tcBorders>
              <w:bottom w:val="single" w:sz="4" w:space="0" w:color="auto"/>
            </w:tcBorders>
          </w:tcPr>
          <w:p>
            <w:pPr>
              <w:pStyle w:val="yTableNAm"/>
              <w:rPr>
                <w:i/>
              </w:rPr>
            </w:pPr>
            <w:r>
              <w:rPr>
                <w:i/>
                <w:sz w:val="18"/>
                <w:szCs w:val="18"/>
                <w:vertAlign w:val="superscript"/>
              </w:rPr>
              <w:t>1</w:t>
            </w:r>
            <w:r>
              <w:rPr>
                <w:i/>
                <w:sz w:val="18"/>
                <w:szCs w:val="18"/>
              </w:rPr>
              <w:t xml:space="preserve"> Under the District Court (Fees) Regulations 2002 regulation 3 a small business is — </w:t>
            </w:r>
          </w:p>
          <w:p>
            <w:pPr>
              <w:pStyle w:val="yTableNAm"/>
              <w:rPr>
                <w:i/>
                <w:sz w:val="18"/>
                <w:szCs w:val="18"/>
              </w:rPr>
            </w:pPr>
            <w:r>
              <w:rPr>
                <w:i/>
                <w:sz w:val="18"/>
                <w:szCs w:val="18"/>
              </w:rPr>
              <w:t>a business undertaking that is wholly owned and operated by an individual or individuals in partnership and has less than 20 full</w:t>
            </w:r>
            <w:r>
              <w:rPr>
                <w:i/>
                <w:sz w:val="18"/>
                <w:szCs w:val="18"/>
              </w:rPr>
              <w:noBreakHyphen/>
              <w:t>time equivalent employees and partners;</w:t>
            </w:r>
          </w:p>
          <w:p>
            <w:pPr>
              <w:pStyle w:val="yTableNAm"/>
            </w:pPr>
            <w:r>
              <w:rPr>
                <w:i/>
                <w:sz w:val="18"/>
                <w:szCs w:val="18"/>
              </w:rPr>
              <w:t>a corporation that has less than 20 full</w:t>
            </w:r>
            <w:r>
              <w:rPr>
                <w:i/>
                <w:sz w:val="18"/>
                <w:szCs w:val="18"/>
              </w:rPr>
              <w:noBreakHyphen/>
              <w:t>time equivalent employees and that is not a subsidiary of a corporation that has 20 or more full</w:t>
            </w:r>
            <w:r>
              <w:rPr>
                <w:i/>
                <w:sz w:val="18"/>
                <w:szCs w:val="18"/>
              </w:rPr>
              <w:noBreakHyphen/>
              <w:t>time equivalent employees;</w:t>
            </w:r>
          </w:p>
        </w:tc>
      </w:tr>
      <w:tr>
        <w:trPr>
          <w:cantSplit/>
          <w:trHeight w:val="429"/>
        </w:trPr>
        <w:tc>
          <w:tcPr>
            <w:tcW w:w="7080" w:type="dxa"/>
            <w:gridSpan w:val="4"/>
            <w:tcBorders>
              <w:bottom w:val="single" w:sz="4" w:space="0" w:color="auto"/>
            </w:tcBorders>
          </w:tcPr>
          <w:p>
            <w:pPr>
              <w:pStyle w:val="yTableNAm"/>
            </w:pPr>
            <w:r>
              <w:rPr>
                <w:i/>
                <w:sz w:val="18"/>
                <w:szCs w:val="18"/>
              </w:rPr>
              <w:t>a co</w:t>
            </w:r>
            <w:r>
              <w:rPr>
                <w:i/>
                <w:sz w:val="18"/>
                <w:szCs w:val="18"/>
              </w:rPr>
              <w:noBreakHyphen/>
              <w:t>operative as defined in the Co</w:t>
            </w:r>
            <w:r>
              <w:rPr>
                <w:i/>
                <w:sz w:val="18"/>
                <w:szCs w:val="18"/>
              </w:rPr>
              <w:noBreakHyphen/>
              <w:t>operatives Act 2009 that has less than 20 full</w:t>
            </w:r>
            <w:r>
              <w:rPr>
                <w:i/>
                <w:sz w:val="18"/>
                <w:szCs w:val="18"/>
              </w:rPr>
              <w:noBreakHyphen/>
              <w:t>time equivalent employees and that is not a subsidiary of another co</w:t>
            </w:r>
            <w:r>
              <w:rPr>
                <w:i/>
                <w:sz w:val="18"/>
                <w:szCs w:val="18"/>
              </w:rPr>
              <w:noBreakHyphen/>
              <w:t>operative or corporation that has 20 or more full</w:t>
            </w:r>
            <w:r>
              <w:rPr>
                <w:i/>
                <w:sz w:val="18"/>
                <w:szCs w:val="18"/>
              </w:rPr>
              <w:noBreakHyphen/>
              <w:t>time equivalent employees; or</w:t>
            </w:r>
          </w:p>
          <w:p>
            <w:pPr>
              <w:pStyle w:val="yTableNAm"/>
              <w:rPr>
                <w:i/>
                <w:sz w:val="18"/>
                <w:szCs w:val="18"/>
              </w:rPr>
            </w:pPr>
            <w:r>
              <w:rPr>
                <w:i/>
                <w:sz w:val="18"/>
                <w:szCs w:val="18"/>
              </w:rPr>
              <w:t>a corporation within the meaning of the Statutory Corporations (Liability of Directors) Act 1996 that has less than 20 full</w:t>
            </w:r>
            <w:r>
              <w:rPr>
                <w:i/>
                <w:sz w:val="18"/>
                <w:szCs w:val="18"/>
              </w:rPr>
              <w:noBreakHyphen/>
              <w:t>time equivalent employees and that is not a body that would be a subsidiary, if the corporation were a corporation to which the Corporations Act 2001 (Commonwealth) applies, of a corporation within the meaning of the Corporations Act 2001 (Commonwealth) or the Statutory Corporations (Liability of Directors) Act 1996 that has 20 or more full</w:t>
            </w:r>
            <w:r>
              <w:rPr>
                <w:i/>
                <w:sz w:val="18"/>
                <w:szCs w:val="18"/>
              </w:rPr>
              <w:noBreakHyphen/>
              <w:t>time equivalent employees.</w:t>
            </w:r>
          </w:p>
        </w:tc>
      </w:tr>
      <w:tr>
        <w:trPr>
          <w:cantSplit/>
          <w:trHeight w:val="429"/>
        </w:trPr>
        <w:tc>
          <w:tcPr>
            <w:tcW w:w="7080" w:type="dxa"/>
            <w:gridSpan w:val="4"/>
            <w:tcBorders>
              <w:bottom w:val="single" w:sz="4" w:space="0" w:color="auto"/>
            </w:tcBorders>
          </w:tcPr>
          <w:p>
            <w:pPr>
              <w:pStyle w:val="yTableNAm"/>
            </w:pPr>
            <w:r>
              <w:rPr>
                <w:i/>
                <w:sz w:val="18"/>
                <w:szCs w:val="18"/>
                <w:vertAlign w:val="superscript"/>
              </w:rPr>
              <w:t>2</w:t>
            </w:r>
            <w:r>
              <w:rPr>
                <w:i/>
                <w:sz w:val="18"/>
                <w:szCs w:val="18"/>
              </w:rPr>
              <w:t xml:space="preserve"> Under the District Court (Fees) Regulations 2002 regulation 3 a non</w:t>
            </w:r>
            <w:r>
              <w:rPr>
                <w:i/>
                <w:sz w:val="18"/>
                <w:szCs w:val="18"/>
              </w:rPr>
              <w:noBreakHyphen/>
              <w:t>profit association is a society, club, institution, or body that is not for the purpose of trading or securing pecuniary profit for its members from its transactions.</w:t>
            </w:r>
          </w:p>
        </w:tc>
      </w:tr>
      <w:tr>
        <w:trPr>
          <w:cantSplit/>
          <w:trHeight w:val="429"/>
        </w:trPr>
        <w:tc>
          <w:tcPr>
            <w:tcW w:w="7080" w:type="dxa"/>
            <w:gridSpan w:val="4"/>
            <w:tcBorders>
              <w:bottom w:val="single" w:sz="4" w:space="0" w:color="auto"/>
            </w:tcBorders>
          </w:tcPr>
          <w:p>
            <w:pPr>
              <w:pStyle w:val="yTableNAm"/>
              <w:rPr>
                <w:i/>
                <w:sz w:val="16"/>
              </w:rPr>
            </w:pPr>
          </w:p>
        </w:tc>
      </w:tr>
    </w:tbl>
    <w:p>
      <w:pPr>
        <w:pStyle w:val="yFootnotesection"/>
        <w:spacing w:after="240"/>
      </w:pPr>
      <w:r>
        <w:tab/>
        <w:t>[Form 1 amended in Gazette 30 Dec 2003 p. 5707</w:t>
      </w:r>
      <w:r>
        <w:noBreakHyphen/>
        <w:t>8; 14 Jun 2016 p. 1900.]</w:t>
      </w:r>
    </w:p>
    <w:tbl>
      <w:tblPr>
        <w:tblStyle w:val="TableGrid"/>
        <w:tblW w:w="6487" w:type="dxa"/>
        <w:tblInd w:w="567" w:type="dxa"/>
        <w:tblLayout w:type="fixed"/>
        <w:tblLook w:val="04A0" w:firstRow="1" w:lastRow="0" w:firstColumn="1" w:lastColumn="0" w:noHBand="0" w:noVBand="1"/>
      </w:tblPr>
      <w:tblGrid>
        <w:gridCol w:w="1096"/>
        <w:gridCol w:w="281"/>
        <w:gridCol w:w="191"/>
        <w:gridCol w:w="228"/>
        <w:gridCol w:w="157"/>
        <w:gridCol w:w="283"/>
        <w:gridCol w:w="38"/>
        <w:gridCol w:w="36"/>
        <w:gridCol w:w="6"/>
        <w:gridCol w:w="9"/>
        <w:gridCol w:w="335"/>
        <w:gridCol w:w="86"/>
        <w:gridCol w:w="47"/>
        <w:gridCol w:w="301"/>
        <w:gridCol w:w="162"/>
        <w:gridCol w:w="44"/>
        <w:gridCol w:w="57"/>
        <w:gridCol w:w="12"/>
        <w:gridCol w:w="80"/>
        <w:gridCol w:w="585"/>
        <w:gridCol w:w="33"/>
        <w:gridCol w:w="294"/>
        <w:gridCol w:w="287"/>
        <w:gridCol w:w="138"/>
        <w:gridCol w:w="6"/>
        <w:gridCol w:w="502"/>
        <w:gridCol w:w="14"/>
        <w:gridCol w:w="19"/>
        <w:gridCol w:w="47"/>
        <w:gridCol w:w="221"/>
        <w:gridCol w:w="42"/>
        <w:gridCol w:w="850"/>
      </w:tblGrid>
      <w:tr>
        <w:tc>
          <w:tcPr>
            <w:tcW w:w="6487" w:type="dxa"/>
            <w:gridSpan w:val="32"/>
          </w:tcPr>
          <w:p>
            <w:pPr>
              <w:pStyle w:val="yTableNAm"/>
              <w:jc w:val="center"/>
              <w:rPr>
                <w:b/>
                <w:sz w:val="18"/>
                <w:szCs w:val="18"/>
              </w:rPr>
            </w:pPr>
            <w:r>
              <w:rPr>
                <w:b/>
                <w:bCs/>
                <w:sz w:val="18"/>
                <w:szCs w:val="18"/>
              </w:rPr>
              <w:t>Form 2</w:t>
            </w:r>
          </w:p>
          <w:p>
            <w:pPr>
              <w:pStyle w:val="yTableNAm"/>
              <w:jc w:val="center"/>
              <w:rPr>
                <w:b/>
                <w:sz w:val="18"/>
                <w:szCs w:val="18"/>
              </w:rPr>
            </w:pPr>
            <w:r>
              <w:rPr>
                <w:b/>
                <w:sz w:val="18"/>
                <w:szCs w:val="18"/>
              </w:rPr>
              <w:t>Application to reduce fee</w:t>
            </w:r>
          </w:p>
        </w:tc>
      </w:tr>
      <w:tr>
        <w:tc>
          <w:tcPr>
            <w:tcW w:w="3300" w:type="dxa"/>
            <w:gridSpan w:val="16"/>
          </w:tcPr>
          <w:p>
            <w:pPr>
              <w:pStyle w:val="yTableNAm"/>
              <w:rPr>
                <w:sz w:val="18"/>
                <w:szCs w:val="18"/>
              </w:rPr>
            </w:pPr>
            <w:r>
              <w:rPr>
                <w:bCs/>
                <w:sz w:val="18"/>
                <w:szCs w:val="18"/>
              </w:rPr>
              <w:t>In the District Court of Western Australia</w:t>
            </w:r>
          </w:p>
        </w:tc>
        <w:tc>
          <w:tcPr>
            <w:tcW w:w="3187" w:type="dxa"/>
            <w:gridSpan w:val="16"/>
          </w:tcPr>
          <w:p>
            <w:pPr>
              <w:pStyle w:val="yTableNAm"/>
              <w:rPr>
                <w:sz w:val="18"/>
                <w:szCs w:val="18"/>
              </w:rPr>
            </w:pPr>
            <w:r>
              <w:rPr>
                <w:bCs/>
                <w:sz w:val="18"/>
                <w:szCs w:val="18"/>
              </w:rPr>
              <w:t xml:space="preserve">No. </w:t>
            </w:r>
            <w:r>
              <w:rPr>
                <w:bCs/>
                <w:sz w:val="18"/>
                <w:szCs w:val="18"/>
              </w:rPr>
              <w:tab/>
            </w:r>
            <w:r>
              <w:rPr>
                <w:bCs/>
                <w:sz w:val="18"/>
                <w:szCs w:val="18"/>
              </w:rPr>
              <w:tab/>
              <w:t>of  2</w:t>
            </w:r>
          </w:p>
        </w:tc>
      </w:tr>
      <w:tr>
        <w:tc>
          <w:tcPr>
            <w:tcW w:w="6487" w:type="dxa"/>
            <w:gridSpan w:val="32"/>
          </w:tcPr>
          <w:p>
            <w:pPr>
              <w:pStyle w:val="yTableNAm"/>
              <w:rPr>
                <w:sz w:val="18"/>
                <w:szCs w:val="18"/>
              </w:rPr>
            </w:pPr>
            <w:r>
              <w:rPr>
                <w:b/>
                <w:sz w:val="18"/>
                <w:szCs w:val="18"/>
              </w:rPr>
              <w:t>Plaintiff/Appellant*:</w:t>
            </w:r>
          </w:p>
          <w:p>
            <w:pPr>
              <w:pStyle w:val="yTableNAm"/>
              <w:rPr>
                <w:sz w:val="18"/>
                <w:szCs w:val="18"/>
              </w:rPr>
            </w:pPr>
            <w:r>
              <w:rPr>
                <w:sz w:val="18"/>
                <w:szCs w:val="18"/>
              </w:rPr>
              <w:t>(*strike out word that is not applicable)</w:t>
            </w:r>
          </w:p>
        </w:tc>
      </w:tr>
      <w:tr>
        <w:tc>
          <w:tcPr>
            <w:tcW w:w="6487" w:type="dxa"/>
            <w:gridSpan w:val="32"/>
          </w:tcPr>
          <w:p>
            <w:pPr>
              <w:pStyle w:val="yTableNAm"/>
              <w:rPr>
                <w:sz w:val="18"/>
                <w:szCs w:val="18"/>
              </w:rPr>
            </w:pPr>
            <w:r>
              <w:rPr>
                <w:b/>
                <w:sz w:val="18"/>
                <w:szCs w:val="18"/>
              </w:rPr>
              <w:t>Defendant/Respondent*:</w:t>
            </w:r>
          </w:p>
          <w:p>
            <w:pPr>
              <w:pStyle w:val="yTableNAm"/>
              <w:rPr>
                <w:sz w:val="18"/>
                <w:szCs w:val="18"/>
              </w:rPr>
            </w:pPr>
            <w:r>
              <w:rPr>
                <w:sz w:val="18"/>
                <w:szCs w:val="18"/>
              </w:rPr>
              <w:t>(*strike out word that is not applicable)</w:t>
            </w:r>
          </w:p>
        </w:tc>
      </w:tr>
      <w:tr>
        <w:tc>
          <w:tcPr>
            <w:tcW w:w="6487" w:type="dxa"/>
            <w:gridSpan w:val="32"/>
          </w:tcPr>
          <w:p>
            <w:pPr>
              <w:pStyle w:val="yTableNAm"/>
              <w:rPr>
                <w:sz w:val="18"/>
                <w:szCs w:val="18"/>
              </w:rPr>
            </w:pPr>
            <w:r>
              <w:rPr>
                <w:sz w:val="18"/>
                <w:szCs w:val="18"/>
              </w:rPr>
              <w:t>Fee type for which request is made:</w:t>
            </w:r>
          </w:p>
        </w:tc>
      </w:tr>
      <w:tr>
        <w:tc>
          <w:tcPr>
            <w:tcW w:w="1568" w:type="dxa"/>
            <w:gridSpan w:val="3"/>
          </w:tcPr>
          <w:p>
            <w:pPr>
              <w:pStyle w:val="yTableNAm"/>
              <w:tabs>
                <w:tab w:val="clear" w:pos="567"/>
              </w:tabs>
              <w:ind w:left="231" w:hanging="231"/>
              <w:rPr>
                <w:sz w:val="18"/>
                <w:szCs w:val="18"/>
              </w:rPr>
            </w:pPr>
            <w:r>
              <w:rPr>
                <w:rFonts w:ascii="MS Mincho" w:eastAsia="MS Mincho" w:hAnsi="MS Mincho" w:cs="MS Mincho" w:hint="eastAsia"/>
                <w:sz w:val="18"/>
                <w:szCs w:val="18"/>
              </w:rPr>
              <w:t>❑</w:t>
            </w:r>
            <w:r>
              <w:rPr>
                <w:sz w:val="18"/>
                <w:szCs w:val="18"/>
              </w:rPr>
              <w:t xml:space="preserve"> Application fee</w:t>
            </w:r>
          </w:p>
        </w:tc>
        <w:tc>
          <w:tcPr>
            <w:tcW w:w="1526" w:type="dxa"/>
            <w:gridSpan w:val="11"/>
          </w:tcPr>
          <w:p>
            <w:pPr>
              <w:pStyle w:val="yTableNAm"/>
              <w:rPr>
                <w:sz w:val="18"/>
                <w:szCs w:val="18"/>
              </w:rPr>
            </w:pPr>
            <w:r>
              <w:rPr>
                <w:rFonts w:ascii="MS Mincho" w:eastAsia="MS Mincho" w:hAnsi="MS Mincho" w:cs="MS Mincho" w:hint="eastAsia"/>
                <w:sz w:val="18"/>
                <w:szCs w:val="18"/>
              </w:rPr>
              <w:t>❑</w:t>
            </w:r>
            <w:r>
              <w:rPr>
                <w:sz w:val="18"/>
                <w:szCs w:val="18"/>
              </w:rPr>
              <w:t xml:space="preserve"> Hearing fee</w:t>
            </w:r>
          </w:p>
        </w:tc>
        <w:tc>
          <w:tcPr>
            <w:tcW w:w="1698" w:type="dxa"/>
            <w:gridSpan w:val="11"/>
          </w:tcPr>
          <w:p>
            <w:pPr>
              <w:pStyle w:val="yTableNAm"/>
              <w:tabs>
                <w:tab w:val="clear" w:pos="567"/>
              </w:tabs>
              <w:ind w:left="245" w:hanging="245"/>
              <w:rPr>
                <w:sz w:val="18"/>
                <w:szCs w:val="18"/>
              </w:rPr>
            </w:pPr>
            <w:r>
              <w:rPr>
                <w:rFonts w:ascii="MS Mincho" w:eastAsia="MS Mincho" w:hAnsi="MS Mincho" w:cs="MS Mincho" w:hint="eastAsia"/>
                <w:sz w:val="18"/>
                <w:szCs w:val="18"/>
              </w:rPr>
              <w:t>❑</w:t>
            </w:r>
            <w:r>
              <w:rPr>
                <w:sz w:val="18"/>
                <w:szCs w:val="18"/>
              </w:rPr>
              <w:t xml:space="preserve"> Transcription fee</w:t>
            </w:r>
          </w:p>
        </w:tc>
        <w:tc>
          <w:tcPr>
            <w:tcW w:w="1695" w:type="dxa"/>
            <w:gridSpan w:val="7"/>
          </w:tcPr>
          <w:p>
            <w:pPr>
              <w:pStyle w:val="yTableNAm"/>
              <w:tabs>
                <w:tab w:val="clear" w:pos="567"/>
              </w:tabs>
              <w:ind w:left="255" w:hanging="227"/>
              <w:rPr>
                <w:sz w:val="18"/>
                <w:szCs w:val="18"/>
              </w:rPr>
            </w:pPr>
            <w:r>
              <w:rPr>
                <w:rFonts w:ascii="MS Mincho" w:eastAsia="MS Mincho" w:hAnsi="MS Mincho" w:cs="MS Mincho" w:hint="eastAsia"/>
                <w:sz w:val="18"/>
                <w:szCs w:val="18"/>
              </w:rPr>
              <w:t>❑</w:t>
            </w:r>
            <w:r>
              <w:rPr>
                <w:sz w:val="18"/>
                <w:szCs w:val="18"/>
              </w:rPr>
              <w:t xml:space="preserve"> Other (please describe below)</w:t>
            </w:r>
          </w:p>
          <w:p>
            <w:pPr>
              <w:pStyle w:val="yTableNAm"/>
              <w:tabs>
                <w:tab w:val="clear" w:pos="567"/>
              </w:tabs>
              <w:ind w:left="311" w:hanging="283"/>
              <w:rPr>
                <w:sz w:val="18"/>
                <w:szCs w:val="18"/>
              </w:rPr>
            </w:pPr>
          </w:p>
        </w:tc>
      </w:tr>
      <w:tr>
        <w:trPr>
          <w:trHeight w:val="742"/>
        </w:trPr>
        <w:tc>
          <w:tcPr>
            <w:tcW w:w="2660" w:type="dxa"/>
            <w:gridSpan w:val="11"/>
            <w:vMerge w:val="restart"/>
          </w:tcPr>
          <w:p>
            <w:pPr>
              <w:pStyle w:val="yTableNAm"/>
              <w:rPr>
                <w:sz w:val="18"/>
                <w:szCs w:val="18"/>
              </w:rPr>
            </w:pPr>
            <w:r>
              <w:rPr>
                <w:sz w:val="18"/>
                <w:szCs w:val="18"/>
              </w:rPr>
              <w:t xml:space="preserve">Concession Card Holder:  </w:t>
            </w:r>
            <w:r>
              <w:rPr>
                <w:rFonts w:ascii="MS Mincho" w:eastAsia="MS Mincho" w:hAnsi="MS Mincho" w:cs="MS Mincho" w:hint="eastAsia"/>
                <w:sz w:val="18"/>
                <w:szCs w:val="18"/>
              </w:rPr>
              <w:t>❑</w:t>
            </w:r>
            <w:r>
              <w:rPr>
                <w:sz w:val="18"/>
                <w:szCs w:val="18"/>
              </w:rPr>
              <w:t xml:space="preserve">  Yes    </w:t>
            </w:r>
            <w:r>
              <w:rPr>
                <w:rFonts w:ascii="MS Mincho" w:eastAsia="MS Mincho" w:hAnsi="MS Mincho" w:cs="MS Mincho" w:hint="eastAsia"/>
                <w:sz w:val="18"/>
                <w:szCs w:val="18"/>
              </w:rPr>
              <w:t>❑</w:t>
            </w:r>
            <w:r>
              <w:rPr>
                <w:sz w:val="18"/>
                <w:szCs w:val="18"/>
              </w:rPr>
              <w:t xml:space="preserve">  No</w:t>
            </w:r>
          </w:p>
        </w:tc>
        <w:tc>
          <w:tcPr>
            <w:tcW w:w="2126" w:type="dxa"/>
            <w:gridSpan w:val="13"/>
          </w:tcPr>
          <w:p>
            <w:pPr>
              <w:pStyle w:val="yTableNAm"/>
              <w:rPr>
                <w:sz w:val="18"/>
                <w:szCs w:val="18"/>
              </w:rPr>
            </w:pPr>
            <w:r>
              <w:rPr>
                <w:sz w:val="18"/>
                <w:szCs w:val="18"/>
              </w:rPr>
              <w:t>Pension Concession Card No:</w:t>
            </w:r>
          </w:p>
        </w:tc>
        <w:tc>
          <w:tcPr>
            <w:tcW w:w="1701" w:type="dxa"/>
            <w:gridSpan w:val="8"/>
          </w:tcPr>
          <w:p>
            <w:pPr>
              <w:pStyle w:val="yTableNAm"/>
              <w:rPr>
                <w:sz w:val="18"/>
                <w:szCs w:val="18"/>
              </w:rPr>
            </w:pPr>
            <w:r>
              <w:rPr>
                <w:sz w:val="18"/>
                <w:szCs w:val="18"/>
              </w:rPr>
              <w:br/>
            </w:r>
          </w:p>
        </w:tc>
      </w:tr>
      <w:tr>
        <w:trPr>
          <w:trHeight w:val="187"/>
        </w:trPr>
        <w:tc>
          <w:tcPr>
            <w:tcW w:w="2660" w:type="dxa"/>
            <w:gridSpan w:val="11"/>
            <w:vMerge/>
          </w:tcPr>
          <w:p>
            <w:pPr>
              <w:pStyle w:val="zyTableNAm"/>
              <w:rPr>
                <w:sz w:val="18"/>
                <w:szCs w:val="18"/>
              </w:rPr>
            </w:pPr>
          </w:p>
        </w:tc>
        <w:tc>
          <w:tcPr>
            <w:tcW w:w="2126" w:type="dxa"/>
            <w:gridSpan w:val="13"/>
          </w:tcPr>
          <w:p>
            <w:pPr>
              <w:pStyle w:val="yTableNAm"/>
              <w:rPr>
                <w:sz w:val="18"/>
                <w:szCs w:val="18"/>
              </w:rPr>
            </w:pPr>
            <w:r>
              <w:rPr>
                <w:sz w:val="18"/>
                <w:szCs w:val="18"/>
              </w:rPr>
              <w:t>Health Care Card No:</w:t>
            </w:r>
          </w:p>
        </w:tc>
        <w:tc>
          <w:tcPr>
            <w:tcW w:w="1701" w:type="dxa"/>
            <w:gridSpan w:val="8"/>
          </w:tcPr>
          <w:p>
            <w:pPr>
              <w:pStyle w:val="yTableNAm"/>
              <w:rPr>
                <w:sz w:val="18"/>
                <w:szCs w:val="18"/>
              </w:rPr>
            </w:pPr>
            <w:r>
              <w:rPr>
                <w:sz w:val="18"/>
                <w:szCs w:val="18"/>
              </w:rPr>
              <w:br/>
            </w:r>
          </w:p>
        </w:tc>
      </w:tr>
      <w:tr>
        <w:tc>
          <w:tcPr>
            <w:tcW w:w="2660" w:type="dxa"/>
            <w:gridSpan w:val="11"/>
          </w:tcPr>
          <w:p>
            <w:pPr>
              <w:pStyle w:val="yTableNAm"/>
              <w:rPr>
                <w:sz w:val="18"/>
                <w:szCs w:val="18"/>
              </w:rPr>
            </w:pPr>
            <w:r>
              <w:rPr>
                <w:sz w:val="18"/>
                <w:szCs w:val="18"/>
              </w:rPr>
              <w:t>Grant of Legal Aid under a legal aid scheme or service</w:t>
            </w:r>
          </w:p>
          <w:p>
            <w:pPr>
              <w:pStyle w:val="yTableNAm"/>
              <w:rPr>
                <w:sz w:val="18"/>
                <w:szCs w:val="18"/>
              </w:rPr>
            </w:pPr>
            <w:r>
              <w:rPr>
                <w:rFonts w:ascii="MS Mincho" w:eastAsia="MS Mincho" w:hAnsi="MS Mincho" w:cs="MS Mincho" w:hint="eastAsia"/>
                <w:sz w:val="18"/>
                <w:szCs w:val="18"/>
              </w:rPr>
              <w:t>❑</w:t>
            </w:r>
            <w:r>
              <w:rPr>
                <w:sz w:val="18"/>
                <w:szCs w:val="18"/>
              </w:rPr>
              <w:t xml:space="preserve">  Yes    </w:t>
            </w:r>
            <w:r>
              <w:rPr>
                <w:rFonts w:ascii="MS Mincho" w:eastAsia="MS Mincho" w:hAnsi="MS Mincho" w:cs="MS Mincho" w:hint="eastAsia"/>
                <w:sz w:val="18"/>
                <w:szCs w:val="18"/>
              </w:rPr>
              <w:t>❑</w:t>
            </w:r>
            <w:r>
              <w:rPr>
                <w:sz w:val="18"/>
                <w:szCs w:val="18"/>
              </w:rPr>
              <w:t xml:space="preserve">  No</w:t>
            </w:r>
          </w:p>
        </w:tc>
        <w:tc>
          <w:tcPr>
            <w:tcW w:w="3827" w:type="dxa"/>
            <w:gridSpan w:val="21"/>
          </w:tcPr>
          <w:p>
            <w:pPr>
              <w:pStyle w:val="yTableNAm"/>
              <w:rPr>
                <w:sz w:val="18"/>
                <w:szCs w:val="18"/>
              </w:rPr>
            </w:pPr>
          </w:p>
        </w:tc>
      </w:tr>
      <w:tr>
        <w:tc>
          <w:tcPr>
            <w:tcW w:w="1953" w:type="dxa"/>
            <w:gridSpan w:val="5"/>
            <w:vMerge w:val="restart"/>
            <w:vAlign w:val="center"/>
          </w:tcPr>
          <w:p>
            <w:pPr>
              <w:pStyle w:val="yTableNAm"/>
              <w:rPr>
                <w:sz w:val="18"/>
                <w:szCs w:val="18"/>
              </w:rPr>
            </w:pPr>
            <w:r>
              <w:rPr>
                <w:b/>
                <w:sz w:val="18"/>
                <w:szCs w:val="18"/>
              </w:rPr>
              <w:t>Applicant Details:</w:t>
            </w:r>
          </w:p>
        </w:tc>
        <w:tc>
          <w:tcPr>
            <w:tcW w:w="1303" w:type="dxa"/>
            <w:gridSpan w:val="10"/>
          </w:tcPr>
          <w:p>
            <w:pPr>
              <w:pStyle w:val="yTableNAm"/>
              <w:rPr>
                <w:sz w:val="18"/>
                <w:szCs w:val="18"/>
              </w:rPr>
            </w:pPr>
            <w:r>
              <w:rPr>
                <w:b/>
                <w:sz w:val="18"/>
                <w:szCs w:val="18"/>
              </w:rPr>
              <w:t>Full Name:</w:t>
            </w:r>
          </w:p>
        </w:tc>
        <w:tc>
          <w:tcPr>
            <w:tcW w:w="3231" w:type="dxa"/>
            <w:gridSpan w:val="17"/>
          </w:tcPr>
          <w:p>
            <w:pPr>
              <w:pStyle w:val="yTableNAm"/>
              <w:rPr>
                <w:sz w:val="18"/>
                <w:szCs w:val="18"/>
              </w:rPr>
            </w:pPr>
          </w:p>
        </w:tc>
      </w:tr>
      <w:tr>
        <w:tc>
          <w:tcPr>
            <w:tcW w:w="1953" w:type="dxa"/>
            <w:gridSpan w:val="5"/>
            <w:vMerge/>
            <w:vAlign w:val="center"/>
          </w:tcPr>
          <w:p>
            <w:pPr>
              <w:pStyle w:val="zyTableNAm"/>
              <w:rPr>
                <w:sz w:val="18"/>
                <w:szCs w:val="18"/>
              </w:rPr>
            </w:pPr>
          </w:p>
        </w:tc>
        <w:tc>
          <w:tcPr>
            <w:tcW w:w="4534" w:type="dxa"/>
            <w:gridSpan w:val="27"/>
          </w:tcPr>
          <w:p>
            <w:pPr>
              <w:pStyle w:val="yTableNAm"/>
              <w:rPr>
                <w:sz w:val="18"/>
                <w:szCs w:val="18"/>
              </w:rPr>
            </w:pPr>
            <w:r>
              <w:rPr>
                <w:sz w:val="18"/>
                <w:szCs w:val="18"/>
              </w:rPr>
              <w:t>Please indicate your party type:</w:t>
            </w:r>
          </w:p>
          <w:p>
            <w:pPr>
              <w:pStyle w:val="yTableNAm"/>
              <w:rPr>
                <w:sz w:val="18"/>
                <w:szCs w:val="18"/>
              </w:rPr>
            </w:pPr>
            <w:r>
              <w:rPr>
                <w:rFonts w:ascii="MS Mincho" w:eastAsia="MS Mincho" w:hAnsi="MS Mincho" w:cs="MS Mincho" w:hint="eastAsia"/>
                <w:sz w:val="18"/>
                <w:szCs w:val="18"/>
              </w:rPr>
              <w:t>❑</w:t>
            </w:r>
            <w:r>
              <w:rPr>
                <w:sz w:val="18"/>
                <w:szCs w:val="18"/>
              </w:rPr>
              <w:t xml:space="preserve">  Individual    </w:t>
            </w:r>
            <w:r>
              <w:rPr>
                <w:rFonts w:ascii="MS Mincho" w:eastAsia="MS Mincho" w:hAnsi="MS Mincho" w:cs="MS Mincho" w:hint="eastAsia"/>
                <w:sz w:val="18"/>
                <w:szCs w:val="18"/>
              </w:rPr>
              <w:t>❑</w:t>
            </w:r>
            <w:r>
              <w:rPr>
                <w:sz w:val="18"/>
                <w:szCs w:val="18"/>
              </w:rPr>
              <w:t xml:space="preserve">  Entity</w:t>
            </w:r>
          </w:p>
        </w:tc>
      </w:tr>
      <w:tr>
        <w:tc>
          <w:tcPr>
            <w:tcW w:w="1953" w:type="dxa"/>
            <w:gridSpan w:val="5"/>
            <w:vMerge/>
            <w:vAlign w:val="center"/>
          </w:tcPr>
          <w:p>
            <w:pPr>
              <w:pStyle w:val="zyTableNAm"/>
              <w:rPr>
                <w:sz w:val="18"/>
                <w:szCs w:val="18"/>
              </w:rPr>
            </w:pPr>
          </w:p>
        </w:tc>
        <w:tc>
          <w:tcPr>
            <w:tcW w:w="1303" w:type="dxa"/>
            <w:gridSpan w:val="10"/>
          </w:tcPr>
          <w:p>
            <w:pPr>
              <w:pStyle w:val="yTableNAm"/>
              <w:rPr>
                <w:sz w:val="18"/>
                <w:szCs w:val="18"/>
              </w:rPr>
            </w:pPr>
            <w:r>
              <w:rPr>
                <w:b/>
                <w:sz w:val="18"/>
                <w:szCs w:val="18"/>
              </w:rPr>
              <w:t>Address:</w:t>
            </w:r>
          </w:p>
        </w:tc>
        <w:tc>
          <w:tcPr>
            <w:tcW w:w="3231" w:type="dxa"/>
            <w:gridSpan w:val="17"/>
          </w:tcPr>
          <w:p>
            <w:pPr>
              <w:pStyle w:val="yTableNAm"/>
              <w:rPr>
                <w:sz w:val="18"/>
                <w:szCs w:val="18"/>
              </w:rPr>
            </w:pPr>
          </w:p>
        </w:tc>
      </w:tr>
      <w:tr>
        <w:tc>
          <w:tcPr>
            <w:tcW w:w="1953" w:type="dxa"/>
            <w:gridSpan w:val="5"/>
            <w:vMerge/>
            <w:vAlign w:val="center"/>
          </w:tcPr>
          <w:p>
            <w:pPr>
              <w:pStyle w:val="zyTableNAm"/>
              <w:rPr>
                <w:sz w:val="18"/>
                <w:szCs w:val="18"/>
              </w:rPr>
            </w:pPr>
          </w:p>
        </w:tc>
        <w:tc>
          <w:tcPr>
            <w:tcW w:w="1303" w:type="dxa"/>
            <w:gridSpan w:val="10"/>
          </w:tcPr>
          <w:p>
            <w:pPr>
              <w:pStyle w:val="yTableNAm"/>
              <w:rPr>
                <w:sz w:val="18"/>
                <w:szCs w:val="18"/>
              </w:rPr>
            </w:pPr>
            <w:r>
              <w:rPr>
                <w:b/>
                <w:sz w:val="18"/>
                <w:szCs w:val="18"/>
              </w:rPr>
              <w:t>Date of Birth:</w:t>
            </w:r>
          </w:p>
        </w:tc>
        <w:tc>
          <w:tcPr>
            <w:tcW w:w="3231" w:type="dxa"/>
            <w:gridSpan w:val="17"/>
          </w:tcPr>
          <w:p>
            <w:pPr>
              <w:pStyle w:val="yTableNAm"/>
              <w:rPr>
                <w:sz w:val="18"/>
                <w:szCs w:val="18"/>
              </w:rPr>
            </w:pPr>
          </w:p>
        </w:tc>
      </w:tr>
      <w:tr>
        <w:tc>
          <w:tcPr>
            <w:tcW w:w="6487" w:type="dxa"/>
            <w:gridSpan w:val="32"/>
          </w:tcPr>
          <w:p>
            <w:pPr>
              <w:pStyle w:val="yTableNAm"/>
              <w:rPr>
                <w:sz w:val="18"/>
                <w:szCs w:val="18"/>
              </w:rPr>
            </w:pPr>
            <w:r>
              <w:rPr>
                <w:sz w:val="18"/>
                <w:szCs w:val="18"/>
              </w:rPr>
              <w:t xml:space="preserve">If you are applying for a fee reduction because of financial hardship or in the interests of justice, please give supporting reasons for your request (attach a separate page if required).  </w:t>
            </w:r>
            <w:r>
              <w:rPr>
                <w:sz w:val="18"/>
                <w:szCs w:val="18"/>
                <w:u w:val="single"/>
              </w:rPr>
              <w:t>If the reasons include financial hardship you must complete the information on the following pages</w:t>
            </w:r>
            <w:r>
              <w:rPr>
                <w:sz w:val="18"/>
                <w:szCs w:val="18"/>
              </w:rPr>
              <w:t>.</w:t>
            </w:r>
          </w:p>
        </w:tc>
      </w:tr>
      <w:tr>
        <w:tc>
          <w:tcPr>
            <w:tcW w:w="6487" w:type="dxa"/>
            <w:gridSpan w:val="32"/>
          </w:tcPr>
          <w:p>
            <w:pPr>
              <w:pStyle w:val="yTableNAm"/>
              <w:rPr>
                <w:sz w:val="18"/>
                <w:szCs w:val="18"/>
              </w:rPr>
            </w:pPr>
          </w:p>
        </w:tc>
      </w:tr>
      <w:tr>
        <w:tc>
          <w:tcPr>
            <w:tcW w:w="6487" w:type="dxa"/>
            <w:gridSpan w:val="32"/>
          </w:tcPr>
          <w:p>
            <w:pPr>
              <w:pStyle w:val="yTableNAm"/>
              <w:rPr>
                <w:sz w:val="18"/>
                <w:szCs w:val="18"/>
              </w:rPr>
            </w:pPr>
            <w:r>
              <w:rPr>
                <w:b/>
                <w:sz w:val="18"/>
                <w:szCs w:val="18"/>
              </w:rPr>
              <w:t>I certify that the above information and disclosures in this form are true and correct.</w:t>
            </w:r>
          </w:p>
        </w:tc>
      </w:tr>
      <w:tr>
        <w:tc>
          <w:tcPr>
            <w:tcW w:w="3449" w:type="dxa"/>
            <w:gridSpan w:val="19"/>
          </w:tcPr>
          <w:p>
            <w:pPr>
              <w:pStyle w:val="yTableNAm"/>
              <w:rPr>
                <w:sz w:val="18"/>
                <w:szCs w:val="18"/>
              </w:rPr>
            </w:pPr>
          </w:p>
          <w:p>
            <w:pPr>
              <w:pStyle w:val="yTableNAm"/>
              <w:rPr>
                <w:sz w:val="18"/>
                <w:szCs w:val="18"/>
              </w:rPr>
            </w:pPr>
          </w:p>
          <w:p>
            <w:pPr>
              <w:pStyle w:val="yTableNAm"/>
              <w:rPr>
                <w:sz w:val="18"/>
                <w:szCs w:val="18"/>
              </w:rPr>
            </w:pPr>
          </w:p>
          <w:p>
            <w:pPr>
              <w:pStyle w:val="yTableNAm"/>
              <w:rPr>
                <w:i/>
                <w:sz w:val="18"/>
                <w:szCs w:val="18"/>
              </w:rPr>
            </w:pPr>
            <w:r>
              <w:rPr>
                <w:i/>
                <w:sz w:val="18"/>
                <w:szCs w:val="18"/>
              </w:rPr>
              <w:t>Applicant’s Signature</w:t>
            </w:r>
          </w:p>
        </w:tc>
        <w:tc>
          <w:tcPr>
            <w:tcW w:w="3038" w:type="dxa"/>
            <w:gridSpan w:val="13"/>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Dated:</w:t>
            </w:r>
          </w:p>
        </w:tc>
      </w:tr>
      <w:tr>
        <w:tc>
          <w:tcPr>
            <w:tcW w:w="6487" w:type="dxa"/>
            <w:gridSpan w:val="32"/>
            <w:tcBorders>
              <w:bottom w:val="single" w:sz="4" w:space="0" w:color="auto"/>
            </w:tcBorders>
          </w:tcPr>
          <w:p>
            <w:pPr>
              <w:pStyle w:val="yTableNAm"/>
              <w:rPr>
                <w:sz w:val="18"/>
                <w:szCs w:val="18"/>
              </w:rPr>
            </w:pPr>
            <w:r>
              <w:rPr>
                <w:i/>
                <w:sz w:val="18"/>
                <w:szCs w:val="18"/>
              </w:rPr>
              <w:t>*</w:t>
            </w:r>
            <w:r>
              <w:rPr>
                <w:b/>
                <w:i/>
                <w:sz w:val="18"/>
                <w:szCs w:val="18"/>
              </w:rPr>
              <w:t>Note:</w:t>
            </w:r>
            <w:r>
              <w:rPr>
                <w:i/>
                <w:sz w:val="18"/>
                <w:szCs w:val="18"/>
              </w:rPr>
              <w:t xml:space="preserve">  A person who makes a statement or representation in this application that the person knows or has reason to believe is false or misleading in a material particular commits an offence under the District Court (Fees) Regulations 2002 regulation 8B(1).</w:t>
            </w:r>
          </w:p>
        </w:tc>
      </w:tr>
      <w:tr>
        <w:trPr>
          <w:trHeight w:val="188"/>
        </w:trPr>
        <w:tc>
          <w:tcPr>
            <w:tcW w:w="2310" w:type="dxa"/>
            <w:gridSpan w:val="8"/>
            <w:tcBorders>
              <w:top w:val="single" w:sz="4" w:space="0" w:color="auto"/>
              <w:left w:val="single" w:sz="4" w:space="0" w:color="auto"/>
              <w:bottom w:val="nil"/>
              <w:right w:val="nil"/>
            </w:tcBorders>
          </w:tcPr>
          <w:p>
            <w:pPr>
              <w:pStyle w:val="zyTableNAm"/>
              <w:rPr>
                <w:i/>
                <w:sz w:val="18"/>
                <w:szCs w:val="18"/>
              </w:rPr>
            </w:pPr>
          </w:p>
        </w:tc>
        <w:tc>
          <w:tcPr>
            <w:tcW w:w="2338" w:type="dxa"/>
            <w:gridSpan w:val="15"/>
            <w:tcBorders>
              <w:top w:val="single" w:sz="4" w:space="0" w:color="auto"/>
              <w:left w:val="nil"/>
              <w:bottom w:val="nil"/>
              <w:right w:val="nil"/>
            </w:tcBorders>
          </w:tcPr>
          <w:p>
            <w:pPr>
              <w:pStyle w:val="zyTableNAm"/>
              <w:rPr>
                <w:sz w:val="18"/>
                <w:szCs w:val="18"/>
              </w:rPr>
            </w:pPr>
          </w:p>
        </w:tc>
        <w:tc>
          <w:tcPr>
            <w:tcW w:w="1839" w:type="dxa"/>
            <w:gridSpan w:val="9"/>
            <w:tcBorders>
              <w:top w:val="single" w:sz="4" w:space="0" w:color="auto"/>
              <w:left w:val="nil"/>
              <w:bottom w:val="nil"/>
              <w:right w:val="single" w:sz="4" w:space="0" w:color="auto"/>
            </w:tcBorders>
          </w:tcPr>
          <w:p>
            <w:pPr>
              <w:pStyle w:val="yTableNAm"/>
              <w:rPr>
                <w:sz w:val="18"/>
                <w:szCs w:val="18"/>
              </w:rPr>
            </w:pPr>
            <w:r>
              <w:rPr>
                <w:sz w:val="18"/>
                <w:szCs w:val="18"/>
              </w:rPr>
              <w:t>COURT SEAL</w:t>
            </w:r>
          </w:p>
        </w:tc>
      </w:tr>
      <w:tr>
        <w:trPr>
          <w:trHeight w:val="188"/>
        </w:trPr>
        <w:tc>
          <w:tcPr>
            <w:tcW w:w="6487" w:type="dxa"/>
            <w:gridSpan w:val="32"/>
            <w:tcBorders>
              <w:top w:val="single" w:sz="4" w:space="0" w:color="auto"/>
              <w:left w:val="single" w:sz="4" w:space="0" w:color="auto"/>
              <w:bottom w:val="nil"/>
              <w:right w:val="single" w:sz="4" w:space="0" w:color="auto"/>
            </w:tcBorders>
            <w:shd w:val="clear" w:color="auto" w:fill="D9D9D9" w:themeFill="background1" w:themeFillShade="D9"/>
          </w:tcPr>
          <w:p>
            <w:pPr>
              <w:pStyle w:val="yTableNAm"/>
              <w:rPr>
                <w:sz w:val="18"/>
                <w:szCs w:val="18"/>
              </w:rPr>
            </w:pPr>
            <w:r>
              <w:rPr>
                <w:b/>
                <w:sz w:val="18"/>
                <w:szCs w:val="18"/>
              </w:rPr>
              <w:t>FINANCIAL</w:t>
            </w:r>
            <w:r>
              <w:rPr>
                <w:sz w:val="18"/>
                <w:szCs w:val="18"/>
              </w:rPr>
              <w:t xml:space="preserve"> </w:t>
            </w:r>
            <w:r>
              <w:rPr>
                <w:b/>
                <w:sz w:val="18"/>
                <w:szCs w:val="18"/>
              </w:rPr>
              <w:t>DETAILS</w:t>
            </w:r>
            <w:r>
              <w:rPr>
                <w:sz w:val="18"/>
                <w:szCs w:val="18"/>
              </w:rPr>
              <w:t xml:space="preserve">: </w:t>
            </w:r>
            <w:r>
              <w:rPr>
                <w:b/>
                <w:sz w:val="18"/>
                <w:szCs w:val="18"/>
              </w:rPr>
              <w:t>APPLICANT WHO IS</w:t>
            </w:r>
            <w:r>
              <w:rPr>
                <w:sz w:val="18"/>
                <w:szCs w:val="18"/>
              </w:rPr>
              <w:t xml:space="preserve"> </w:t>
            </w:r>
            <w:r>
              <w:rPr>
                <w:b/>
                <w:sz w:val="18"/>
                <w:szCs w:val="18"/>
              </w:rPr>
              <w:t>AN</w:t>
            </w:r>
            <w:r>
              <w:rPr>
                <w:sz w:val="18"/>
                <w:szCs w:val="18"/>
              </w:rPr>
              <w:t xml:space="preserve"> </w:t>
            </w:r>
            <w:r>
              <w:rPr>
                <w:b/>
                <w:sz w:val="18"/>
                <w:szCs w:val="18"/>
              </w:rPr>
              <w:t>INDIVIDUAL</w:t>
            </w:r>
          </w:p>
        </w:tc>
      </w:tr>
      <w:tr>
        <w:trPr>
          <w:trHeight w:val="187"/>
        </w:trPr>
        <w:tc>
          <w:tcPr>
            <w:tcW w:w="6487" w:type="dxa"/>
            <w:gridSpan w:val="3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If the reasons for application include financial hardship, the following sections of the form must be completed by the applicant if the applicant is an individual.</w:t>
            </w:r>
          </w:p>
        </w:tc>
      </w:tr>
      <w:tr>
        <w:trPr>
          <w:trHeight w:val="380"/>
        </w:trPr>
        <w:tc>
          <w:tcPr>
            <w:tcW w:w="2316"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Occupation:</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2316"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Employer:</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2316"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Employer’s Address:</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6487" w:type="dxa"/>
            <w:gridSpan w:val="32"/>
            <w:tcBorders>
              <w:top w:val="single" w:sz="4" w:space="0" w:color="auto"/>
              <w:left w:val="single" w:sz="4" w:space="0" w:color="auto"/>
              <w:bottom w:val="single" w:sz="4" w:space="0" w:color="auto"/>
              <w:right w:val="single" w:sz="4" w:space="0" w:color="auto"/>
            </w:tcBorders>
          </w:tcPr>
          <w:p>
            <w:pPr>
              <w:pStyle w:val="yTableNAm"/>
              <w:tabs>
                <w:tab w:val="clear" w:pos="567"/>
                <w:tab w:val="left" w:pos="1560"/>
              </w:tabs>
              <w:rPr>
                <w:sz w:val="18"/>
                <w:szCs w:val="18"/>
              </w:rPr>
            </w:pPr>
            <w:r>
              <w:rPr>
                <w:b/>
                <w:sz w:val="18"/>
                <w:szCs w:val="18"/>
              </w:rPr>
              <w:t>Marital Status:</w:t>
            </w:r>
            <w:r>
              <w:rPr>
                <w:sz w:val="18"/>
                <w:szCs w:val="18"/>
              </w:rPr>
              <w:tab/>
            </w:r>
            <w:r>
              <w:rPr>
                <w:rFonts w:ascii="MS Mincho" w:eastAsia="MS Mincho" w:hAnsi="MS Mincho" w:cs="MS Mincho" w:hint="eastAsia"/>
                <w:sz w:val="18"/>
                <w:szCs w:val="18"/>
              </w:rPr>
              <w:t>❑</w:t>
            </w:r>
            <w:r>
              <w:rPr>
                <w:sz w:val="18"/>
                <w:szCs w:val="18"/>
              </w:rPr>
              <w:t xml:space="preserve">   single      </w:t>
            </w:r>
            <w:r>
              <w:rPr>
                <w:rFonts w:ascii="MS Mincho" w:eastAsia="MS Mincho" w:hAnsi="MS Mincho" w:cs="MS Mincho" w:hint="eastAsia"/>
                <w:sz w:val="18"/>
                <w:szCs w:val="18"/>
              </w:rPr>
              <w:t>❑</w:t>
            </w:r>
            <w:r>
              <w:rPr>
                <w:sz w:val="18"/>
                <w:szCs w:val="18"/>
              </w:rPr>
              <w:t xml:space="preserve">   married      </w:t>
            </w:r>
            <w:r>
              <w:rPr>
                <w:rFonts w:ascii="MS Mincho" w:eastAsia="MS Mincho" w:hAnsi="MS Mincho" w:cs="MS Mincho" w:hint="eastAsia"/>
                <w:sz w:val="18"/>
                <w:szCs w:val="18"/>
              </w:rPr>
              <w:t>❑</w:t>
            </w:r>
            <w:r>
              <w:rPr>
                <w:sz w:val="18"/>
                <w:szCs w:val="18"/>
              </w:rPr>
              <w:t xml:space="preserve">   partner </w:t>
            </w:r>
            <w:r>
              <w:rPr>
                <w:sz w:val="18"/>
                <w:szCs w:val="18"/>
              </w:rPr>
              <w:br/>
            </w:r>
            <w:r>
              <w:rPr>
                <w:rFonts w:ascii="MS Mincho" w:eastAsia="MS Mincho" w:hAnsi="MS Mincho" w:cs="MS Mincho"/>
                <w:sz w:val="18"/>
                <w:szCs w:val="18"/>
              </w:rPr>
              <w:tab/>
            </w:r>
            <w:r>
              <w:rPr>
                <w:rFonts w:ascii="MS Mincho" w:eastAsia="MS Mincho" w:hAnsi="MS Mincho" w:cs="MS Mincho" w:hint="eastAsia"/>
                <w:sz w:val="18"/>
                <w:szCs w:val="18"/>
              </w:rPr>
              <w:t>❑</w:t>
            </w:r>
            <w:r>
              <w:rPr>
                <w:sz w:val="18"/>
                <w:szCs w:val="18"/>
              </w:rPr>
              <w:t xml:space="preserve">   de facto   </w:t>
            </w:r>
            <w:r>
              <w:rPr>
                <w:rFonts w:ascii="MS Mincho" w:eastAsia="MS Mincho" w:hAnsi="MS Mincho" w:cs="MS Mincho" w:hint="eastAsia"/>
                <w:sz w:val="18"/>
                <w:szCs w:val="18"/>
              </w:rPr>
              <w:t>❑</w:t>
            </w:r>
            <w:r>
              <w:rPr>
                <w:sz w:val="18"/>
                <w:szCs w:val="18"/>
              </w:rPr>
              <w:t xml:space="preserve">   separated</w:t>
            </w:r>
          </w:p>
        </w:tc>
      </w:tr>
      <w:tr>
        <w:trPr>
          <w:trHeight w:val="380"/>
        </w:trPr>
        <w:tc>
          <w:tcPr>
            <w:tcW w:w="6487" w:type="dxa"/>
            <w:gridSpan w:val="32"/>
            <w:tcBorders>
              <w:top w:val="single" w:sz="4" w:space="0" w:color="auto"/>
              <w:left w:val="single" w:sz="4" w:space="0" w:color="auto"/>
              <w:bottom w:val="single" w:sz="4" w:space="0" w:color="auto"/>
              <w:right w:val="single" w:sz="4" w:space="0" w:color="auto"/>
            </w:tcBorders>
          </w:tcPr>
          <w:p>
            <w:pPr>
              <w:pStyle w:val="yTableNAm"/>
              <w:tabs>
                <w:tab w:val="clear" w:pos="567"/>
                <w:tab w:val="left" w:pos="1560"/>
              </w:tabs>
              <w:rPr>
                <w:sz w:val="18"/>
                <w:szCs w:val="18"/>
              </w:rPr>
            </w:pPr>
            <w:r>
              <w:rPr>
                <w:b/>
                <w:sz w:val="18"/>
                <w:szCs w:val="18"/>
              </w:rPr>
              <w:t>Dependants:</w:t>
            </w:r>
            <w:r>
              <w:rPr>
                <w:sz w:val="18"/>
                <w:szCs w:val="18"/>
              </w:rPr>
              <w:tab/>
            </w:r>
            <w:r>
              <w:rPr>
                <w:rFonts w:ascii="MS Mincho" w:eastAsia="MS Mincho" w:hAnsi="MS Mincho" w:cs="MS Mincho" w:hint="eastAsia"/>
                <w:sz w:val="18"/>
                <w:szCs w:val="18"/>
              </w:rPr>
              <w:t>❑</w:t>
            </w:r>
            <w:r>
              <w:rPr>
                <w:sz w:val="18"/>
                <w:szCs w:val="18"/>
              </w:rPr>
              <w:t xml:space="preserve">   dependant wife/husband/partner/de facto</w:t>
            </w:r>
            <w:r>
              <w:rPr>
                <w:sz w:val="18"/>
                <w:szCs w:val="18"/>
              </w:rPr>
              <w:br/>
            </w:r>
            <w:r>
              <w:rPr>
                <w:sz w:val="18"/>
                <w:szCs w:val="18"/>
              </w:rPr>
              <w:tab/>
              <w:t>____ (number of) dependant children</w:t>
            </w:r>
          </w:p>
        </w:tc>
      </w:tr>
      <w:tr>
        <w:trPr>
          <w:trHeight w:val="567"/>
        </w:trPr>
        <w:tc>
          <w:tcPr>
            <w:tcW w:w="6487"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INCOME AND FINANCIAL ASSETS DETAILS</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Income / financial assets (net)</w:t>
            </w:r>
          </w:p>
        </w:tc>
        <w:tc>
          <w:tcPr>
            <w:tcW w:w="12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Self</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Partner</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Total</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Wage / salary / benefit</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Money in financial institution</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Cash</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Income from investments</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Other income</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Money loaned and to be repaid</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w:t>
            </w:r>
          </w:p>
        </w:tc>
        <w:tc>
          <w:tcPr>
            <w:tcW w:w="12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r>
      <w:tr>
        <w:trPr>
          <w:trHeight w:val="567"/>
        </w:trPr>
        <w:tc>
          <w:tcPr>
            <w:tcW w:w="6487"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EXPENDITURE DETAILS</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Expenditure</w:t>
            </w:r>
          </w:p>
        </w:tc>
        <w:tc>
          <w:tcPr>
            <w:tcW w:w="132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Self</w:t>
            </w:r>
          </w:p>
        </w:tc>
        <w:tc>
          <w:tcPr>
            <w:tcW w:w="152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Partner</w:t>
            </w:r>
          </w:p>
        </w:tc>
        <w:tc>
          <w:tcPr>
            <w:tcW w:w="8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Total</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Rent / board</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Mortgage payment</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Maintenance for dependants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Food</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Utilities (gas / electricity)</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Telephone</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Water</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Rates and taxes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Court orders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Credit card/s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Other debts (provide details)</w:t>
            </w:r>
          </w:p>
          <w:p>
            <w:pPr>
              <w:pStyle w:val="yTableNAm"/>
              <w:rPr>
                <w:sz w:val="18"/>
                <w:szCs w:val="18"/>
              </w:rPr>
            </w:pPr>
            <w:r>
              <w:rPr>
                <w:sz w:val="18"/>
                <w:szCs w:val="18"/>
              </w:rPr>
              <w:t>______________________</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w:t>
            </w:r>
          </w:p>
        </w:tc>
        <w:tc>
          <w:tcPr>
            <w:tcW w:w="132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r>
      <w:tr>
        <w:trPr>
          <w:trHeight w:val="567"/>
        </w:trPr>
        <w:tc>
          <w:tcPr>
            <w:tcW w:w="195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 INCOME</w:t>
            </w:r>
          </w:p>
        </w:tc>
        <w:tc>
          <w:tcPr>
            <w:tcW w:w="1416"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br/>
              <w:t xml:space="preserve">$  </w:t>
            </w:r>
          </w:p>
        </w:tc>
        <w:tc>
          <w:tcPr>
            <w:tcW w:w="19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 EXPENDITURE</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br/>
              <w:t xml:space="preserve">$  </w:t>
            </w:r>
          </w:p>
        </w:tc>
      </w:tr>
      <w:tr>
        <w:trPr>
          <w:trHeight w:val="490"/>
        </w:trPr>
        <w:tc>
          <w:tcPr>
            <w:tcW w:w="5308"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ASSETS</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VALUE</w:t>
            </w:r>
          </w:p>
        </w:tc>
      </w:tr>
      <w:tr>
        <w:trPr>
          <w:trHeight w:val="20"/>
        </w:trPr>
        <w:tc>
          <w:tcPr>
            <w:tcW w:w="5308" w:type="dxa"/>
            <w:gridSpan w:val="27"/>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House or other property (provide addresses)</w:t>
            </w:r>
          </w:p>
          <w:p>
            <w:pPr>
              <w:pStyle w:val="yTableNAm"/>
              <w:rPr>
                <w:sz w:val="18"/>
                <w:szCs w:val="18"/>
              </w:rPr>
            </w:pPr>
          </w:p>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cantSplit/>
          <w:trHeight w:val="20"/>
        </w:trPr>
        <w:tc>
          <w:tcPr>
            <w:tcW w:w="1796" w:type="dxa"/>
            <w:gridSpan w:val="4"/>
            <w:vMerge w:val="restart"/>
            <w:tcBorders>
              <w:top w:val="single" w:sz="4" w:space="0" w:color="auto"/>
              <w:left w:val="single" w:sz="4" w:space="0" w:color="auto"/>
              <w:right w:val="single" w:sz="4" w:space="0" w:color="auto"/>
            </w:tcBorders>
            <w:shd w:val="clear" w:color="auto" w:fill="auto"/>
          </w:tcPr>
          <w:p>
            <w:pPr>
              <w:pStyle w:val="yTableNAm"/>
              <w:rPr>
                <w:sz w:val="18"/>
                <w:szCs w:val="18"/>
              </w:rPr>
            </w:pPr>
            <w:r>
              <w:rPr>
                <w:sz w:val="18"/>
                <w:szCs w:val="18"/>
              </w:rPr>
              <w:t>Motor Vehicles (car, utility, motorcycle, truck etc.)</w:t>
            </w: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1</w:t>
            </w:r>
          </w:p>
        </w:tc>
        <w:tc>
          <w:tcPr>
            <w:tcW w:w="3072"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Year: </w:t>
            </w:r>
          </w:p>
          <w:p>
            <w:pPr>
              <w:pStyle w:val="yTableNAm"/>
              <w:rPr>
                <w:sz w:val="18"/>
                <w:szCs w:val="18"/>
              </w:rPr>
            </w:pPr>
            <w:r>
              <w:rPr>
                <w:sz w:val="18"/>
                <w:szCs w:val="18"/>
              </w:rPr>
              <w:t xml:space="preserve">Make: </w:t>
            </w:r>
          </w:p>
          <w:p>
            <w:pPr>
              <w:pStyle w:val="yTableNAm"/>
              <w:rPr>
                <w:sz w:val="18"/>
                <w:szCs w:val="18"/>
              </w:rPr>
            </w:pPr>
            <w:r>
              <w:rPr>
                <w:sz w:val="18"/>
                <w:szCs w:val="18"/>
              </w:rPr>
              <w:t xml:space="preserve">Model: </w:t>
            </w:r>
          </w:p>
          <w:p>
            <w:pPr>
              <w:pStyle w:val="yTableNAm"/>
              <w:rPr>
                <w:sz w:val="18"/>
                <w:szCs w:val="18"/>
              </w:rPr>
            </w:pPr>
            <w:r>
              <w:rPr>
                <w:sz w:val="18"/>
                <w:szCs w:val="18"/>
              </w:rPr>
              <w:t xml:space="preserve">Registration Number: </w:t>
            </w: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20"/>
        </w:trPr>
        <w:tc>
          <w:tcPr>
            <w:tcW w:w="1796" w:type="dxa"/>
            <w:gridSpan w:val="4"/>
            <w:vMerge/>
            <w:tcBorders>
              <w:left w:val="single" w:sz="4" w:space="0" w:color="auto"/>
              <w:bottom w:val="single" w:sz="4" w:space="0" w:color="auto"/>
              <w:right w:val="single" w:sz="4" w:space="0" w:color="auto"/>
            </w:tcBorders>
            <w:shd w:val="clear" w:color="auto" w:fill="auto"/>
          </w:tcPr>
          <w:p>
            <w:pPr>
              <w:pStyle w:val="zyTableNAm"/>
              <w:rPr>
                <w:sz w:val="18"/>
                <w:szCs w:val="18"/>
              </w:rPr>
            </w:pP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2</w:t>
            </w:r>
          </w:p>
        </w:tc>
        <w:tc>
          <w:tcPr>
            <w:tcW w:w="3072"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Year: </w:t>
            </w:r>
          </w:p>
          <w:p>
            <w:pPr>
              <w:pStyle w:val="yTableNAm"/>
              <w:rPr>
                <w:sz w:val="18"/>
                <w:szCs w:val="18"/>
              </w:rPr>
            </w:pPr>
            <w:r>
              <w:rPr>
                <w:sz w:val="18"/>
                <w:szCs w:val="18"/>
              </w:rPr>
              <w:t xml:space="preserve">Make: </w:t>
            </w:r>
          </w:p>
          <w:p>
            <w:pPr>
              <w:pStyle w:val="yTableNAm"/>
              <w:rPr>
                <w:sz w:val="18"/>
                <w:szCs w:val="18"/>
              </w:rPr>
            </w:pPr>
            <w:r>
              <w:rPr>
                <w:sz w:val="18"/>
                <w:szCs w:val="18"/>
              </w:rPr>
              <w:t xml:space="preserve">Model: </w:t>
            </w:r>
          </w:p>
          <w:p>
            <w:pPr>
              <w:pStyle w:val="yTableNAm"/>
              <w:rPr>
                <w:sz w:val="18"/>
                <w:szCs w:val="18"/>
              </w:rPr>
            </w:pPr>
            <w:r>
              <w:rPr>
                <w:sz w:val="18"/>
                <w:szCs w:val="18"/>
              </w:rPr>
              <w:t xml:space="preserve">Registration Number: </w:t>
            </w: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20"/>
        </w:trPr>
        <w:tc>
          <w:tcPr>
            <w:tcW w:w="5308" w:type="dxa"/>
            <w:gridSpan w:val="27"/>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assets (provide details)</w:t>
            </w:r>
          </w:p>
          <w:p>
            <w:pPr>
              <w:pStyle w:val="yTableNAm"/>
              <w:rPr>
                <w:sz w:val="18"/>
                <w:szCs w:val="18"/>
              </w:rPr>
            </w:pPr>
          </w:p>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715"/>
        </w:trPr>
        <w:tc>
          <w:tcPr>
            <w:tcW w:w="5308"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 ASSET VALUE</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r>
        <w:trPr>
          <w:trHeight w:val="715"/>
        </w:trPr>
        <w:tc>
          <w:tcPr>
            <w:tcW w:w="6487"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HOME CONTENTS</w:t>
            </w:r>
            <w:r>
              <w:rPr>
                <w:sz w:val="18"/>
                <w:szCs w:val="18"/>
              </w:rPr>
              <w:t xml:space="preserve"> (please complete appropriate box where applicable)</w:t>
            </w:r>
          </w:p>
        </w:tc>
      </w:tr>
      <w:tr>
        <w:trPr>
          <w:trHeight w:val="715"/>
        </w:trPr>
        <w:tc>
          <w:tcPr>
            <w:tcW w:w="1096" w:type="dxa"/>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Television</w:t>
            </w:r>
            <w:r>
              <w:rPr>
                <w:sz w:val="18"/>
                <w:szCs w:val="18"/>
              </w:rPr>
              <w:br/>
            </w:r>
            <w:r>
              <w:rPr>
                <w:sz w:val="18"/>
                <w:szCs w:val="18"/>
              </w:rPr>
              <w:br/>
            </w:r>
          </w:p>
          <w:p>
            <w:pPr>
              <w:pStyle w:val="yTableNAm"/>
              <w:rPr>
                <w:sz w:val="18"/>
                <w:szCs w:val="18"/>
              </w:rPr>
            </w:pPr>
            <w:r>
              <w:rPr>
                <w:sz w:val="18"/>
                <w:szCs w:val="18"/>
              </w:rPr>
              <w:t xml:space="preserve">$ </w:t>
            </w:r>
          </w:p>
        </w:tc>
        <w:tc>
          <w:tcPr>
            <w:tcW w:w="1178" w:type="dxa"/>
            <w:gridSpan w:val="6"/>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DVD player</w:t>
            </w:r>
            <w:r>
              <w:rPr>
                <w:sz w:val="18"/>
                <w:szCs w:val="18"/>
              </w:rPr>
              <w:br/>
            </w:r>
            <w:r>
              <w:rPr>
                <w:sz w:val="18"/>
                <w:szCs w:val="18"/>
              </w:rPr>
              <w:br/>
            </w:r>
          </w:p>
          <w:p>
            <w:pPr>
              <w:pStyle w:val="yTableNAm"/>
              <w:rPr>
                <w:sz w:val="18"/>
                <w:szCs w:val="18"/>
              </w:rPr>
            </w:pPr>
            <w:r>
              <w:rPr>
                <w:sz w:val="18"/>
                <w:szCs w:val="18"/>
              </w:rPr>
              <w:t xml:space="preserve">$ </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Computers</w:t>
            </w:r>
            <w:r>
              <w:rPr>
                <w:sz w:val="18"/>
                <w:szCs w:val="18"/>
              </w:rPr>
              <w:br/>
            </w:r>
            <w:r>
              <w:rPr>
                <w:sz w:val="18"/>
                <w:szCs w:val="18"/>
              </w:rPr>
              <w:br/>
            </w:r>
          </w:p>
          <w:p>
            <w:pPr>
              <w:pStyle w:val="yTableNAm"/>
              <w:rPr>
                <w:sz w:val="18"/>
                <w:szCs w:val="18"/>
              </w:rPr>
            </w:pPr>
            <w:r>
              <w:rPr>
                <w:sz w:val="18"/>
                <w:szCs w:val="18"/>
              </w:rPr>
              <w:t xml:space="preserve">$ </w:t>
            </w:r>
          </w:p>
        </w:tc>
        <w:tc>
          <w:tcPr>
            <w:tcW w:w="1004"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Other </w:t>
            </w:r>
            <w:r>
              <w:rPr>
                <w:sz w:val="18"/>
                <w:szCs w:val="18"/>
              </w:rPr>
              <w:br/>
              <w:t>electronic</w:t>
            </w:r>
            <w:r>
              <w:rPr>
                <w:sz w:val="18"/>
                <w:szCs w:val="18"/>
              </w:rPr>
              <w:br/>
              <w:t>devices</w:t>
            </w:r>
          </w:p>
          <w:p>
            <w:pPr>
              <w:pStyle w:val="yTableNAm"/>
              <w:rPr>
                <w:sz w:val="18"/>
                <w:szCs w:val="18"/>
              </w:rPr>
            </w:pPr>
            <w:r>
              <w:rPr>
                <w:sz w:val="18"/>
                <w:szCs w:val="18"/>
              </w:rPr>
              <w:t xml:space="preserve">$ </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Dishwasher</w:t>
            </w:r>
            <w:r>
              <w:rPr>
                <w:sz w:val="18"/>
                <w:szCs w:val="18"/>
              </w:rPr>
              <w:br/>
            </w:r>
            <w:r>
              <w:rPr>
                <w:sz w:val="18"/>
                <w:szCs w:val="18"/>
              </w:rPr>
              <w:br/>
            </w:r>
          </w:p>
          <w:p>
            <w:pPr>
              <w:pStyle w:val="yTableNAm"/>
              <w:rPr>
                <w:sz w:val="18"/>
                <w:szCs w:val="18"/>
              </w:rPr>
            </w:pPr>
            <w:r>
              <w:rPr>
                <w:sz w:val="18"/>
                <w:szCs w:val="18"/>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Micro</w:t>
            </w:r>
            <w:r>
              <w:rPr>
                <w:sz w:val="18"/>
                <w:szCs w:val="18"/>
              </w:rPr>
              <w:br/>
              <w:t>wave</w:t>
            </w:r>
            <w:r>
              <w:rPr>
                <w:sz w:val="18"/>
                <w:szCs w:val="18"/>
              </w:rPr>
              <w:br/>
            </w:r>
          </w:p>
          <w:p>
            <w:pPr>
              <w:pStyle w:val="yTableNAm"/>
              <w:rPr>
                <w:sz w:val="18"/>
                <w:szCs w:val="18"/>
              </w:rPr>
            </w:pPr>
            <w:r>
              <w:rPr>
                <w:sz w:val="18"/>
                <w:szCs w:val="18"/>
              </w:rPr>
              <w:t>$ ____</w:t>
            </w:r>
          </w:p>
        </w:tc>
      </w:tr>
      <w:tr>
        <w:trPr>
          <w:trHeight w:val="715"/>
        </w:trPr>
        <w:tc>
          <w:tcPr>
            <w:tcW w:w="1377"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Furniture</w:t>
            </w:r>
            <w:r>
              <w:rPr>
                <w:sz w:val="18"/>
                <w:szCs w:val="18"/>
              </w:rPr>
              <w:br/>
            </w:r>
            <w:r>
              <w:rPr>
                <w:sz w:val="18"/>
                <w:szCs w:val="18"/>
              </w:rPr>
              <w:br/>
            </w:r>
            <w:r>
              <w:rPr>
                <w:sz w:val="18"/>
                <w:szCs w:val="18"/>
              </w:rPr>
              <w:br/>
            </w:r>
          </w:p>
          <w:p>
            <w:pPr>
              <w:pStyle w:val="yTableNAm"/>
              <w:rPr>
                <w:sz w:val="18"/>
                <w:szCs w:val="18"/>
              </w:rPr>
            </w:pPr>
            <w:r>
              <w:rPr>
                <w:sz w:val="18"/>
                <w:szCs w:val="18"/>
              </w:rPr>
              <w:t xml:space="preserve">$ </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Collection of coins, stamps etc.</w:t>
            </w:r>
            <w:r>
              <w:rPr>
                <w:sz w:val="18"/>
                <w:szCs w:val="18"/>
              </w:rPr>
              <w:br/>
            </w:r>
          </w:p>
          <w:p>
            <w:pPr>
              <w:pStyle w:val="yTableNAm"/>
              <w:rPr>
                <w:sz w:val="18"/>
                <w:szCs w:val="18"/>
              </w:rPr>
            </w:pPr>
            <w:r>
              <w:rPr>
                <w:sz w:val="18"/>
                <w:szCs w:val="18"/>
              </w:rPr>
              <w:t xml:space="preserve">$ </w:t>
            </w:r>
          </w:p>
        </w:tc>
        <w:tc>
          <w:tcPr>
            <w:tcW w:w="1274"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collectables</w:t>
            </w:r>
            <w:r>
              <w:rPr>
                <w:sz w:val="18"/>
                <w:szCs w:val="18"/>
              </w:rPr>
              <w:br/>
            </w:r>
            <w:r>
              <w:rPr>
                <w:sz w:val="18"/>
                <w:szCs w:val="18"/>
              </w:rPr>
              <w:br/>
            </w:r>
          </w:p>
          <w:p>
            <w:pPr>
              <w:pStyle w:val="yTableNAm"/>
              <w:rPr>
                <w:sz w:val="18"/>
                <w:szCs w:val="18"/>
              </w:rPr>
            </w:pPr>
            <w:r>
              <w:rPr>
                <w:sz w:val="18"/>
                <w:szCs w:val="18"/>
              </w:rPr>
              <w:t xml:space="preserve">$ </w:t>
            </w:r>
          </w:p>
        </w:tc>
        <w:tc>
          <w:tcPr>
            <w:tcW w:w="1307"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assets</w:t>
            </w:r>
            <w:r>
              <w:rPr>
                <w:sz w:val="18"/>
                <w:szCs w:val="18"/>
              </w:rPr>
              <w:br/>
            </w:r>
            <w:r>
              <w:rPr>
                <w:sz w:val="18"/>
                <w:szCs w:val="18"/>
              </w:rPr>
              <w:br/>
            </w:r>
            <w:r>
              <w:rPr>
                <w:sz w:val="18"/>
                <w:szCs w:val="18"/>
              </w:rPr>
              <w:br/>
            </w:r>
          </w:p>
          <w:p>
            <w:pPr>
              <w:pStyle w:val="yTableNAm"/>
              <w:rPr>
                <w:sz w:val="18"/>
                <w:szCs w:val="18"/>
              </w:rPr>
            </w:pPr>
            <w:r>
              <w:rPr>
                <w:sz w:val="18"/>
                <w:szCs w:val="18"/>
              </w:rPr>
              <w:t xml:space="preserve">$ </w:t>
            </w:r>
          </w:p>
        </w:tc>
        <w:tc>
          <w:tcPr>
            <w:tcW w:w="1113"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Interests in business or company</w:t>
            </w:r>
            <w:r>
              <w:rPr>
                <w:sz w:val="18"/>
                <w:szCs w:val="18"/>
              </w:rPr>
              <w:br/>
            </w:r>
          </w:p>
          <w:p>
            <w:pPr>
              <w:pStyle w:val="yTableNAm"/>
              <w:rPr>
                <w:sz w:val="18"/>
                <w:szCs w:val="18"/>
              </w:rPr>
            </w:pPr>
            <w:r>
              <w:rPr>
                <w:sz w:val="18"/>
                <w:szCs w:val="18"/>
              </w:rPr>
              <w:t xml:space="preserve">$ </w:t>
            </w:r>
          </w:p>
        </w:tc>
      </w:tr>
      <w:tr>
        <w:trPr>
          <w:trHeight w:val="723"/>
        </w:trPr>
        <w:tc>
          <w:tcPr>
            <w:tcW w:w="5308"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LIABILITIES</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Mortgage to:</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Other to:</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Time to Pay Order:</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5308" w:type="dxa"/>
            <w:gridSpan w:val="27"/>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 LIABILITIES</w:t>
            </w:r>
          </w:p>
        </w:tc>
        <w:tc>
          <w:tcPr>
            <w:tcW w:w="1179" w:type="dxa"/>
            <w:gridSpan w:val="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r>
        <w:trPr>
          <w:trHeight w:val="188"/>
        </w:trPr>
        <w:tc>
          <w:tcPr>
            <w:tcW w:w="6487" w:type="dxa"/>
            <w:gridSpan w:val="32"/>
            <w:tcBorders>
              <w:top w:val="single" w:sz="4" w:space="0" w:color="auto"/>
              <w:left w:val="single" w:sz="4" w:space="0" w:color="auto"/>
              <w:bottom w:val="nil"/>
              <w:right w:val="single" w:sz="4" w:space="0" w:color="auto"/>
            </w:tcBorders>
            <w:shd w:val="clear" w:color="auto" w:fill="D9D9D9" w:themeFill="background1" w:themeFillShade="D9"/>
          </w:tcPr>
          <w:p>
            <w:pPr>
              <w:pStyle w:val="yTableNAm"/>
              <w:rPr>
                <w:sz w:val="18"/>
                <w:szCs w:val="18"/>
              </w:rPr>
            </w:pPr>
            <w:r>
              <w:rPr>
                <w:b/>
                <w:sz w:val="18"/>
                <w:szCs w:val="18"/>
              </w:rPr>
              <w:t>FINANCIAL</w:t>
            </w:r>
            <w:r>
              <w:rPr>
                <w:sz w:val="18"/>
                <w:szCs w:val="18"/>
              </w:rPr>
              <w:t xml:space="preserve"> </w:t>
            </w:r>
            <w:r>
              <w:rPr>
                <w:b/>
                <w:sz w:val="18"/>
                <w:szCs w:val="18"/>
              </w:rPr>
              <w:t>DETAIL: APPLICANT WHO IS NOT AN</w:t>
            </w:r>
            <w:r>
              <w:rPr>
                <w:sz w:val="18"/>
                <w:szCs w:val="18"/>
              </w:rPr>
              <w:t xml:space="preserve"> </w:t>
            </w:r>
            <w:r>
              <w:rPr>
                <w:b/>
                <w:sz w:val="18"/>
                <w:szCs w:val="18"/>
              </w:rPr>
              <w:t>INDIVIDUAL</w:t>
            </w:r>
          </w:p>
        </w:tc>
      </w:tr>
      <w:tr>
        <w:trPr>
          <w:cantSplit/>
          <w:trHeight w:val="187"/>
        </w:trPr>
        <w:tc>
          <w:tcPr>
            <w:tcW w:w="6487" w:type="dxa"/>
            <w:gridSpan w:val="3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If the reasons for application include financial hardship, the following sections of the form must be completed by the applicant if the applicant is an entity.</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Income</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Assets</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Liabilities</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5294" w:type="dxa"/>
            <w:gridSpan w:val="2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w:t>
            </w:r>
          </w:p>
        </w:tc>
        <w:tc>
          <w:tcPr>
            <w:tcW w:w="1193" w:type="dxa"/>
            <w:gridSpan w:val="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bl>
    <w:p>
      <w:pPr>
        <w:pStyle w:val="yFootnotesection"/>
        <w:spacing w:after="240"/>
      </w:pPr>
      <w:r>
        <w:tab/>
        <w:t>[Form 2 inserted in Gazette 14 Jun 2016 p. 1900</w:t>
      </w:r>
      <w:r>
        <w:noBreakHyphen/>
        <w:t>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14"/>
        <w:gridCol w:w="708"/>
        <w:gridCol w:w="2623"/>
      </w:tblGrid>
      <w:tr>
        <w:trPr>
          <w:cantSplit/>
        </w:trPr>
        <w:tc>
          <w:tcPr>
            <w:tcW w:w="7088" w:type="dxa"/>
            <w:gridSpan w:val="4"/>
          </w:tcPr>
          <w:p>
            <w:pPr>
              <w:pStyle w:val="yTableNAm"/>
              <w:pageBreakBefore/>
              <w:jc w:val="center"/>
              <w:rPr>
                <w:b/>
                <w:bCs/>
              </w:rPr>
            </w:pPr>
            <w:r>
              <w:rPr>
                <w:rStyle w:val="CharSClsNo"/>
                <w:b/>
              </w:rPr>
              <w:t>Form 3</w:t>
            </w:r>
          </w:p>
          <w:p>
            <w:pPr>
              <w:pStyle w:val="yTableNAm"/>
              <w:spacing w:after="80"/>
              <w:jc w:val="center"/>
              <w:rPr>
                <w:b/>
                <w:bCs/>
              </w:rPr>
            </w:pPr>
            <w:r>
              <w:rPr>
                <w:b/>
                <w:bCs/>
              </w:rPr>
              <w:t>Application for determination of dispute about fees</w:t>
            </w:r>
          </w:p>
        </w:tc>
      </w:tr>
      <w:tr>
        <w:trPr>
          <w:cantSplit/>
        </w:trPr>
        <w:tc>
          <w:tcPr>
            <w:tcW w:w="3757" w:type="dxa"/>
            <w:gridSpan w:val="2"/>
          </w:tcPr>
          <w:p>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331" w:type="dxa"/>
            <w:gridSpan w:val="2"/>
          </w:tcPr>
          <w:p>
            <w:pPr>
              <w:pStyle w:val="yTableNAm"/>
            </w:pPr>
            <w:r>
              <w:t xml:space="preserve">No.        of        20          </w:t>
            </w:r>
          </w:p>
        </w:tc>
      </w:tr>
      <w:tr>
        <w:trPr>
          <w:cantSplit/>
        </w:trPr>
        <w:tc>
          <w:tcPr>
            <w:tcW w:w="7088" w:type="dxa"/>
            <w:gridSpan w:val="4"/>
          </w:tcPr>
          <w:p>
            <w:pPr>
              <w:pStyle w:val="yTableNAm"/>
            </w:pPr>
            <w:r>
              <w:rPr>
                <w:b/>
                <w:bCs/>
              </w:rPr>
              <w:t>Plaintiff:</w:t>
            </w:r>
            <w:r>
              <w:tab/>
              <w:t>........................................................................................................</w:t>
            </w:r>
          </w:p>
        </w:tc>
      </w:tr>
      <w:tr>
        <w:trPr>
          <w:cantSplit/>
        </w:trPr>
        <w:tc>
          <w:tcPr>
            <w:tcW w:w="7088" w:type="dxa"/>
            <w:gridSpan w:val="4"/>
          </w:tcPr>
          <w:p>
            <w:pPr>
              <w:pStyle w:val="yTableNAm"/>
            </w:pPr>
            <w:r>
              <w:rPr>
                <w:b/>
                <w:bCs/>
              </w:rPr>
              <w:t>Defendant:</w:t>
            </w:r>
            <w:r>
              <w:tab/>
              <w:t>........................................................................................................</w:t>
            </w:r>
          </w:p>
        </w:tc>
      </w:tr>
      <w:tr>
        <w:trPr>
          <w:cantSplit/>
        </w:trPr>
        <w:tc>
          <w:tcPr>
            <w:tcW w:w="1843" w:type="dxa"/>
          </w:tcPr>
          <w:p>
            <w:pPr>
              <w:pStyle w:val="yTableNAm"/>
              <w:rPr>
                <w:b/>
                <w:bCs/>
              </w:rPr>
            </w:pPr>
            <w:r>
              <w:rPr>
                <w:b/>
                <w:bCs/>
              </w:rPr>
              <w:t>Application:</w:t>
            </w:r>
          </w:p>
        </w:tc>
        <w:tc>
          <w:tcPr>
            <w:tcW w:w="5245" w:type="dxa"/>
            <w:gridSpan w:val="3"/>
          </w:tcPr>
          <w:p>
            <w:pPr>
              <w:pStyle w:val="yTableNAm"/>
            </w:pPr>
            <w:r>
              <w:t xml:space="preserve">To the Principal Registrar for a determination under s. 89A(3) of the </w:t>
            </w:r>
            <w:r>
              <w:rPr>
                <w:i/>
                <w:iCs/>
              </w:rPr>
              <w:t>District Court of Western Australia Act 1969</w:t>
            </w:r>
            <w:r>
              <w:t xml:space="preserve"> of a question regarding fees. </w:t>
            </w:r>
          </w:p>
        </w:tc>
      </w:tr>
      <w:tr>
        <w:trPr>
          <w:cantSplit/>
        </w:trPr>
        <w:tc>
          <w:tcPr>
            <w:tcW w:w="1843" w:type="dxa"/>
            <w:vMerge w:val="restart"/>
          </w:tcPr>
          <w:p>
            <w:pPr>
              <w:pStyle w:val="yTableNAm"/>
              <w:rPr>
                <w:b/>
                <w:bCs/>
              </w:rPr>
            </w:pPr>
            <w:r>
              <w:rPr>
                <w:b/>
                <w:bCs/>
              </w:rPr>
              <w:t>Applicant:</w:t>
            </w:r>
          </w:p>
        </w:tc>
        <w:tc>
          <w:tcPr>
            <w:tcW w:w="5245" w:type="dxa"/>
            <w:gridSpan w:val="3"/>
          </w:tcPr>
          <w:p>
            <w:pPr>
              <w:pStyle w:val="yTableNAm"/>
            </w:pPr>
            <w:r>
              <w:t>...........................................................................................</w:t>
            </w:r>
            <w:r>
              <w:br/>
              <w:t>Full name</w:t>
            </w:r>
          </w:p>
        </w:tc>
      </w:tr>
      <w:tr>
        <w:trPr>
          <w:cantSplit/>
        </w:trPr>
        <w:tc>
          <w:tcPr>
            <w:tcW w:w="1843" w:type="dxa"/>
            <w:vMerge/>
          </w:tcPr>
          <w:p>
            <w:pPr>
              <w:pStyle w:val="yTableNAm"/>
            </w:pPr>
          </w:p>
        </w:tc>
        <w:tc>
          <w:tcPr>
            <w:tcW w:w="5245" w:type="dxa"/>
            <w:gridSpan w:val="3"/>
          </w:tcPr>
          <w:p>
            <w:pPr>
              <w:pStyle w:val="yTableNAm"/>
            </w:pPr>
            <w:r>
              <w:t>...........................................................................................</w:t>
            </w:r>
            <w:r>
              <w:br/>
              <w:t>Address</w:t>
            </w:r>
          </w:p>
        </w:tc>
      </w:tr>
      <w:tr>
        <w:trPr>
          <w:cantSplit/>
        </w:trPr>
        <w:tc>
          <w:tcPr>
            <w:tcW w:w="1843" w:type="dxa"/>
            <w:vMerge/>
          </w:tcPr>
          <w:p>
            <w:pPr>
              <w:pStyle w:val="yTableNAm"/>
            </w:pPr>
          </w:p>
        </w:tc>
        <w:tc>
          <w:tcPr>
            <w:tcW w:w="2622" w:type="dxa"/>
            <w:gridSpan w:val="2"/>
          </w:tcPr>
          <w:p>
            <w:pPr>
              <w:pStyle w:val="yTableNAm"/>
            </w:pPr>
            <w:r>
              <w:t>...........................................</w:t>
            </w:r>
            <w:r>
              <w:br/>
              <w:t>Date of birth</w:t>
            </w:r>
          </w:p>
        </w:tc>
        <w:tc>
          <w:tcPr>
            <w:tcW w:w="2623" w:type="dxa"/>
          </w:tcPr>
          <w:p>
            <w:pPr>
              <w:pStyle w:val="yTableNAm"/>
            </w:pPr>
            <w:r>
              <w:t>...........................................</w:t>
            </w:r>
            <w:r>
              <w:br/>
              <w:t>MDL No.</w:t>
            </w:r>
          </w:p>
        </w:tc>
      </w:tr>
      <w:tr>
        <w:trPr>
          <w:cantSplit/>
        </w:trPr>
        <w:tc>
          <w:tcPr>
            <w:tcW w:w="1843" w:type="dxa"/>
            <w:vMerge w:val="restart"/>
          </w:tcPr>
          <w:p>
            <w:pPr>
              <w:pStyle w:val="yTableNAm"/>
              <w:rPr>
                <w:b/>
                <w:bCs/>
              </w:rPr>
            </w:pPr>
            <w:r>
              <w:rPr>
                <w:b/>
                <w:bCs/>
              </w:rPr>
              <w:t>Disputed fee:</w:t>
            </w:r>
          </w:p>
        </w:tc>
        <w:tc>
          <w:tcPr>
            <w:tcW w:w="5245" w:type="dxa"/>
            <w:gridSpan w:val="3"/>
          </w:tcPr>
          <w:p>
            <w:pPr>
              <w:pStyle w:val="yTableNAm"/>
            </w:pPr>
            <w:r>
              <w:t>The disputed fee is for ......................................................</w:t>
            </w:r>
          </w:p>
          <w:p>
            <w:pPr>
              <w:pStyle w:val="yTableNAm"/>
            </w:pPr>
            <w:r>
              <w:t>...........................................................................................</w:t>
            </w:r>
          </w:p>
          <w:p>
            <w:pPr>
              <w:pStyle w:val="yTableNAm"/>
            </w:pPr>
            <w:r>
              <w:t>...........................................................................................</w:t>
            </w:r>
          </w:p>
        </w:tc>
      </w:tr>
      <w:tr>
        <w:trPr>
          <w:cantSplit/>
        </w:trPr>
        <w:tc>
          <w:tcPr>
            <w:tcW w:w="1843" w:type="dxa"/>
            <w:vMerge/>
          </w:tcPr>
          <w:p>
            <w:pPr>
              <w:pStyle w:val="yTableNAm"/>
            </w:pPr>
          </w:p>
        </w:tc>
        <w:tc>
          <w:tcPr>
            <w:tcW w:w="5245" w:type="dxa"/>
            <w:gridSpan w:val="3"/>
          </w:tcPr>
          <w:p>
            <w:pPr>
              <w:pStyle w:val="yTableNAm"/>
            </w:pPr>
            <w:r>
              <w:rPr>
                <w:iCs/>
              </w:rPr>
              <w:t xml:space="preserve">Payable under the </w:t>
            </w:r>
            <w:r>
              <w:rPr>
                <w:i/>
              </w:rPr>
              <w:t xml:space="preserve">District Court (Fees) Regulations 2002 </w:t>
            </w:r>
            <w:r>
              <w:rPr>
                <w:iCs/>
              </w:rPr>
              <w:t>Schedule 1 item ...................................</w:t>
            </w:r>
          </w:p>
        </w:tc>
      </w:tr>
      <w:tr>
        <w:trPr>
          <w:cantSplit/>
        </w:trPr>
        <w:tc>
          <w:tcPr>
            <w:tcW w:w="1843" w:type="dxa"/>
            <w:vMerge/>
          </w:tcPr>
          <w:p>
            <w:pPr>
              <w:pStyle w:val="yTableNAm"/>
            </w:pPr>
          </w:p>
        </w:tc>
        <w:tc>
          <w:tcPr>
            <w:tcW w:w="5245" w:type="dxa"/>
            <w:gridSpan w:val="3"/>
          </w:tcPr>
          <w:p>
            <w:pPr>
              <w:pStyle w:val="yTableNAm"/>
            </w:pPr>
            <w:r>
              <w:t xml:space="preserve">I dispute — </w:t>
            </w:r>
          </w:p>
          <w:p>
            <w:pPr>
              <w:pStyle w:val="yTableNAm"/>
            </w:pPr>
            <w:r>
              <w:rPr>
                <w:rFonts w:ascii="MS Mincho" w:eastAsia="MS Mincho" w:hAnsi="MS Mincho" w:cs="MS Mincho" w:hint="eastAsia"/>
              </w:rPr>
              <w:t>❑</w:t>
            </w:r>
            <w:r>
              <w:rPr>
                <w:rFonts w:eastAsia="MS Mincho"/>
              </w:rPr>
              <w:tab/>
            </w:r>
            <w:r>
              <w:t>that the fee is payable</w:t>
            </w:r>
          </w:p>
          <w:p>
            <w:pPr>
              <w:pStyle w:val="yTableNAm"/>
            </w:pPr>
            <w:r>
              <w:rPr>
                <w:rFonts w:ascii="MS Mincho" w:eastAsia="MS Mincho" w:hAnsi="MS Mincho" w:cs="MS Mincho" w:hint="eastAsia"/>
              </w:rPr>
              <w:t>❑</w:t>
            </w:r>
            <w:r>
              <w:tab/>
              <w:t>the amount of the fee</w:t>
            </w:r>
          </w:p>
          <w:p>
            <w:pPr>
              <w:pStyle w:val="yTableNAm"/>
            </w:pPr>
            <w:r>
              <w:rPr>
                <w:rFonts w:ascii="MS Mincho" w:eastAsia="MS Mincho" w:hAnsi="MS Mincho" w:cs="MS Mincho" w:hint="eastAsia"/>
              </w:rPr>
              <w:t>❑</w:t>
            </w:r>
            <w:r>
              <w:tab/>
              <w:t xml:space="preserve">other </w:t>
            </w:r>
            <w:r>
              <w:rPr>
                <w:i/>
                <w:iCs/>
                <w:sz w:val="16"/>
              </w:rPr>
              <w:t xml:space="preserve">[give details] </w:t>
            </w:r>
            <w:r>
              <w:t>.......................................................</w:t>
            </w:r>
          </w:p>
          <w:p>
            <w:pPr>
              <w:pStyle w:val="yTableNAm"/>
            </w:pPr>
            <w:r>
              <w:tab/>
              <w:t>.................................................................................</w:t>
            </w:r>
          </w:p>
        </w:tc>
      </w:tr>
      <w:tr>
        <w:trPr>
          <w:cantSplit/>
        </w:trPr>
        <w:tc>
          <w:tcPr>
            <w:tcW w:w="7088" w:type="dxa"/>
            <w:gridSpan w:val="4"/>
          </w:tcPr>
          <w:p>
            <w:pPr>
              <w:pStyle w:val="yTableNAm"/>
            </w:pPr>
            <w:r>
              <w:t>I dispute the fee because ....................................................................................</w:t>
            </w:r>
          </w:p>
          <w:p>
            <w:pPr>
              <w:pStyle w:val="yTableNAm"/>
            </w:pPr>
            <w:r>
              <w:t>............................................................................................................................</w:t>
            </w:r>
          </w:p>
          <w:p>
            <w:pPr>
              <w:pStyle w:val="yTableNAm"/>
            </w:pPr>
            <w:r>
              <w:t>............................................................................................................................</w:t>
            </w:r>
          </w:p>
          <w:p>
            <w:pPr>
              <w:pStyle w:val="yTableNAm"/>
            </w:pPr>
            <w:r>
              <w:t>............................................................................................................................</w:t>
            </w:r>
          </w:p>
        </w:tc>
      </w:tr>
      <w:tr>
        <w:trPr>
          <w:cantSplit/>
        </w:trPr>
        <w:tc>
          <w:tcPr>
            <w:tcW w:w="1843" w:type="dxa"/>
          </w:tcPr>
          <w:p>
            <w:pPr>
              <w:pStyle w:val="yTableNAm"/>
              <w:rPr>
                <w:b/>
                <w:bCs/>
              </w:rPr>
            </w:pPr>
            <w:r>
              <w:rPr>
                <w:b/>
                <w:bCs/>
              </w:rPr>
              <w:t>Signature of applicant:</w:t>
            </w:r>
          </w:p>
        </w:tc>
        <w:tc>
          <w:tcPr>
            <w:tcW w:w="5245" w:type="dxa"/>
            <w:gridSpan w:val="3"/>
          </w:tcPr>
          <w:p>
            <w:pPr>
              <w:pStyle w:val="yTableNAm"/>
            </w:pPr>
            <w:r>
              <w:br/>
            </w:r>
          </w:p>
        </w:tc>
      </w:tr>
      <w:tr>
        <w:trPr>
          <w:cantSplit/>
        </w:trPr>
        <w:tc>
          <w:tcPr>
            <w:tcW w:w="1843" w:type="dxa"/>
          </w:tcPr>
          <w:p>
            <w:pPr>
              <w:pStyle w:val="yTableNAm"/>
              <w:rPr>
                <w:b/>
                <w:bCs/>
              </w:rPr>
            </w:pPr>
            <w:r>
              <w:rPr>
                <w:b/>
                <w:bCs/>
              </w:rPr>
              <w:t>Date:</w:t>
            </w:r>
          </w:p>
        </w:tc>
        <w:tc>
          <w:tcPr>
            <w:tcW w:w="5245" w:type="dxa"/>
            <w:gridSpan w:val="3"/>
          </w:tcPr>
          <w:p>
            <w:pPr>
              <w:pStyle w:val="yTableNAm"/>
            </w:pPr>
            <w:r>
              <w:rPr>
                <w:rFonts w:eastAsia="MS Mincho"/>
              </w:rPr>
              <w:t xml:space="preserve">       /       /20</w:t>
            </w:r>
          </w:p>
        </w:tc>
      </w:tr>
    </w:tbl>
    <w:p>
      <w:pPr>
        <w:pStyle w:val="yFootnotesection"/>
      </w:pPr>
      <w:r>
        <w:tab/>
        <w:t>[Form 3 inserted in Gazette 28 Apr 2005 p. 1757.]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27" w:name="_Toc516819537"/>
      <w:r>
        <w:t>Notes</w:t>
      </w:r>
      <w:bookmarkEnd w:id="27"/>
    </w:p>
    <w:p>
      <w:pPr>
        <w:pStyle w:val="nSubsection"/>
        <w:rPr>
          <w:snapToGrid w:val="0"/>
        </w:rPr>
      </w:pPr>
      <w:r>
        <w:rPr>
          <w:snapToGrid w:val="0"/>
          <w:vertAlign w:val="superscript"/>
        </w:rPr>
        <w:t>1</w:t>
      </w:r>
      <w:r>
        <w:rPr>
          <w:snapToGrid w:val="0"/>
        </w:rPr>
        <w:tab/>
        <w:t xml:space="preserve">This is a compilation of the </w:t>
      </w:r>
      <w:r>
        <w:rPr>
          <w:i/>
          <w:noProof/>
          <w:snapToGrid w:val="0"/>
        </w:rPr>
        <w:t>District Court (Fees) Regulations 2002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8" w:name="_Toc516819538"/>
      <w:r>
        <w:t>Compilation table</w:t>
      </w:r>
      <w:bookmarkEnd w:id="28"/>
    </w:p>
    <w:tbl>
      <w:tblPr>
        <w:tblW w:w="0" w:type="auto"/>
        <w:tblInd w:w="56" w:type="dxa"/>
        <w:tblLayout w:type="fixed"/>
        <w:tblCellMar>
          <w:left w:w="56" w:type="dxa"/>
          <w:right w:w="56" w:type="dxa"/>
        </w:tblCellMar>
        <w:tblLook w:val="0000" w:firstRow="0" w:lastRow="0" w:firstColumn="0" w:lastColumn="0" w:noHBand="0" w:noVBand="0"/>
      </w:tblPr>
      <w:tblGrid>
        <w:gridCol w:w="3123"/>
        <w:gridCol w:w="1276"/>
        <w:gridCol w:w="2712"/>
        <w:gridCol w:w="10"/>
      </w:tblGrid>
      <w:tr>
        <w:trPr>
          <w:tblHeader/>
        </w:trPr>
        <w:tc>
          <w:tcPr>
            <w:tcW w:w="3123"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722"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23" w:type="dxa"/>
            <w:tcBorders>
              <w:top w:val="single" w:sz="8" w:space="0" w:color="auto"/>
            </w:tcBorders>
          </w:tcPr>
          <w:p>
            <w:pPr>
              <w:pStyle w:val="nTable"/>
              <w:spacing w:after="40"/>
            </w:pPr>
            <w:r>
              <w:rPr>
                <w:i/>
              </w:rPr>
              <w:t>District Court (Fees) Regulations 2002</w:t>
            </w:r>
          </w:p>
        </w:tc>
        <w:tc>
          <w:tcPr>
            <w:tcW w:w="1276" w:type="dxa"/>
            <w:tcBorders>
              <w:top w:val="single" w:sz="8" w:space="0" w:color="auto"/>
            </w:tcBorders>
          </w:tcPr>
          <w:p>
            <w:pPr>
              <w:pStyle w:val="nTable"/>
              <w:spacing w:after="40"/>
            </w:pPr>
            <w:r>
              <w:t>27 Dec 2001 p. 6617</w:t>
            </w:r>
            <w:r>
              <w:noBreakHyphen/>
              <w:t>43</w:t>
            </w:r>
          </w:p>
        </w:tc>
        <w:tc>
          <w:tcPr>
            <w:tcW w:w="2722" w:type="dxa"/>
            <w:gridSpan w:val="2"/>
            <w:tcBorders>
              <w:top w:val="single" w:sz="8" w:space="0" w:color="auto"/>
            </w:tcBorders>
          </w:tcPr>
          <w:p>
            <w:pPr>
              <w:pStyle w:val="nTable"/>
              <w:spacing w:after="40"/>
            </w:pPr>
            <w:r>
              <w:t>1 Jan 2002 (see r. 2)</w:t>
            </w:r>
          </w:p>
        </w:tc>
      </w:tr>
      <w:tr>
        <w:tc>
          <w:tcPr>
            <w:tcW w:w="3123" w:type="dxa"/>
          </w:tcPr>
          <w:p>
            <w:pPr>
              <w:pStyle w:val="nTable"/>
              <w:spacing w:after="40"/>
              <w:rPr>
                <w:i/>
              </w:rPr>
            </w:pPr>
            <w:r>
              <w:rPr>
                <w:i/>
              </w:rPr>
              <w:t>Equality of Status Subsidiary Legislation Amendment Regulations 2003</w:t>
            </w:r>
            <w:r>
              <w:t xml:space="preserve"> Pt. 11</w:t>
            </w:r>
          </w:p>
        </w:tc>
        <w:tc>
          <w:tcPr>
            <w:tcW w:w="1276" w:type="dxa"/>
          </w:tcPr>
          <w:p>
            <w:pPr>
              <w:pStyle w:val="nTable"/>
              <w:spacing w:after="40"/>
            </w:pPr>
            <w:r>
              <w:t>30 Jun 2003 p. 2581</w:t>
            </w:r>
            <w:r>
              <w:noBreakHyphen/>
              <w:t>638</w:t>
            </w:r>
          </w:p>
        </w:tc>
        <w:tc>
          <w:tcPr>
            <w:tcW w:w="2722" w:type="dxa"/>
            <w:gridSpan w:val="2"/>
          </w:tcPr>
          <w:p>
            <w:pPr>
              <w:pStyle w:val="nTable"/>
              <w:spacing w:after="40"/>
            </w:pPr>
            <w:r>
              <w:t xml:space="preserve">1 Jul 2003 (see r. 2 and </w:t>
            </w:r>
            <w:r>
              <w:rPr>
                <w:i/>
              </w:rPr>
              <w:t xml:space="preserve">Gazette </w:t>
            </w:r>
            <w:r>
              <w:t>30 Jun 2003 p. 2579</w:t>
            </w:r>
            <w:r>
              <w:rPr>
                <w:iCs/>
              </w:rPr>
              <w:t>)</w:t>
            </w:r>
          </w:p>
        </w:tc>
      </w:tr>
      <w:tr>
        <w:tc>
          <w:tcPr>
            <w:tcW w:w="3123" w:type="dxa"/>
          </w:tcPr>
          <w:p>
            <w:pPr>
              <w:pStyle w:val="nTable"/>
              <w:spacing w:after="40"/>
              <w:rPr>
                <w:i/>
              </w:rPr>
            </w:pPr>
            <w:r>
              <w:rPr>
                <w:i/>
              </w:rPr>
              <w:t>District Court (Fees) Amendment Regulations 2003</w:t>
            </w:r>
          </w:p>
        </w:tc>
        <w:tc>
          <w:tcPr>
            <w:tcW w:w="1276" w:type="dxa"/>
          </w:tcPr>
          <w:p>
            <w:pPr>
              <w:pStyle w:val="nTable"/>
              <w:spacing w:after="40"/>
            </w:pPr>
            <w:r>
              <w:t>30 Dec 2003 p. 5702</w:t>
            </w:r>
            <w:r>
              <w:noBreakHyphen/>
              <w:t>9</w:t>
            </w:r>
          </w:p>
        </w:tc>
        <w:tc>
          <w:tcPr>
            <w:tcW w:w="2722" w:type="dxa"/>
            <w:gridSpan w:val="2"/>
          </w:tcPr>
          <w:p>
            <w:pPr>
              <w:pStyle w:val="nTable"/>
              <w:spacing w:after="40"/>
            </w:pPr>
            <w:r>
              <w:t>1 Jan 2004 (see r. 2)</w:t>
            </w:r>
          </w:p>
        </w:tc>
      </w:tr>
      <w:tr>
        <w:tc>
          <w:tcPr>
            <w:tcW w:w="3123" w:type="dxa"/>
          </w:tcPr>
          <w:p>
            <w:pPr>
              <w:pStyle w:val="nTable"/>
              <w:spacing w:after="40"/>
              <w:rPr>
                <w:i/>
              </w:rPr>
            </w:pPr>
            <w:r>
              <w:rPr>
                <w:i/>
              </w:rPr>
              <w:t>District Court (Fees) Amendment Regulations 2005</w:t>
            </w:r>
            <w:r>
              <w:t> </w:t>
            </w:r>
            <w:r>
              <w:rPr>
                <w:iCs/>
                <w:vertAlign w:val="superscript"/>
              </w:rPr>
              <w:t>5</w:t>
            </w:r>
          </w:p>
        </w:tc>
        <w:tc>
          <w:tcPr>
            <w:tcW w:w="1276" w:type="dxa"/>
          </w:tcPr>
          <w:p>
            <w:pPr>
              <w:pStyle w:val="nTable"/>
              <w:spacing w:after="40"/>
            </w:pPr>
            <w:r>
              <w:t>28 Apr 2005 p. 1751</w:t>
            </w:r>
            <w:r>
              <w:noBreakHyphen/>
              <w:t>7</w:t>
            </w:r>
          </w:p>
        </w:tc>
        <w:tc>
          <w:tcPr>
            <w:tcW w:w="2722" w:type="dxa"/>
            <w:gridSpan w:val="2"/>
          </w:tcPr>
          <w:p>
            <w:pPr>
              <w:pStyle w:val="nTable"/>
              <w:spacing w:after="40"/>
            </w:pPr>
            <w:r>
              <w:t xml:space="preserve">1 May 2005 (see r. 2 and </w:t>
            </w:r>
            <w:r>
              <w:rPr>
                <w:i/>
                <w:iCs/>
              </w:rPr>
              <w:t>Gazette</w:t>
            </w:r>
            <w:r>
              <w:t xml:space="preserve"> 31 Dec 2004 p. 7128)</w:t>
            </w:r>
          </w:p>
        </w:tc>
      </w:tr>
      <w:tr>
        <w:tc>
          <w:tcPr>
            <w:tcW w:w="3123" w:type="dxa"/>
          </w:tcPr>
          <w:p>
            <w:pPr>
              <w:pStyle w:val="nTable"/>
              <w:spacing w:after="40"/>
              <w:rPr>
                <w:i/>
              </w:rPr>
            </w:pPr>
            <w:r>
              <w:rPr>
                <w:i/>
              </w:rPr>
              <w:t>District Court (Fees) Amendment Regulations (No. 2) 2005</w:t>
            </w:r>
          </w:p>
        </w:tc>
        <w:tc>
          <w:tcPr>
            <w:tcW w:w="1276" w:type="dxa"/>
          </w:tcPr>
          <w:p>
            <w:pPr>
              <w:pStyle w:val="nTable"/>
              <w:spacing w:after="40"/>
            </w:pPr>
            <w:r>
              <w:t>23 Jun 2005 p. 2690</w:t>
            </w:r>
            <w:r>
              <w:noBreakHyphen/>
              <w:t>2</w:t>
            </w:r>
          </w:p>
        </w:tc>
        <w:tc>
          <w:tcPr>
            <w:tcW w:w="2722" w:type="dxa"/>
            <w:gridSpan w:val="2"/>
          </w:tcPr>
          <w:p>
            <w:pPr>
              <w:pStyle w:val="nTable"/>
              <w:spacing w:after="40"/>
            </w:pPr>
            <w:r>
              <w:t>1 Jul 2005 (see r. 2)</w:t>
            </w:r>
          </w:p>
        </w:tc>
      </w:tr>
      <w:tr>
        <w:tc>
          <w:tcPr>
            <w:tcW w:w="3123" w:type="dxa"/>
          </w:tcPr>
          <w:p>
            <w:pPr>
              <w:pStyle w:val="nTable"/>
              <w:spacing w:after="40"/>
              <w:rPr>
                <w:i/>
              </w:rPr>
            </w:pPr>
            <w:r>
              <w:rPr>
                <w:i/>
              </w:rPr>
              <w:t>District Court (Fees) Amendment Regulations 2006</w:t>
            </w:r>
          </w:p>
        </w:tc>
        <w:tc>
          <w:tcPr>
            <w:tcW w:w="1276" w:type="dxa"/>
          </w:tcPr>
          <w:p>
            <w:pPr>
              <w:pStyle w:val="nTable"/>
              <w:spacing w:after="40"/>
            </w:pPr>
            <w:r>
              <w:t>23 Jun 2006 p. 2187</w:t>
            </w:r>
            <w:r>
              <w:noBreakHyphen/>
              <w:t>9</w:t>
            </w:r>
          </w:p>
        </w:tc>
        <w:tc>
          <w:tcPr>
            <w:tcW w:w="2722" w:type="dxa"/>
            <w:gridSpan w:val="2"/>
          </w:tcPr>
          <w:p>
            <w:pPr>
              <w:pStyle w:val="nTable"/>
              <w:spacing w:after="40"/>
            </w:pPr>
            <w:r>
              <w:t>1 Jul 2006 (see r. 2)</w:t>
            </w:r>
          </w:p>
        </w:tc>
      </w:tr>
      <w:tr>
        <w:trPr>
          <w:cantSplit/>
        </w:trPr>
        <w:tc>
          <w:tcPr>
            <w:tcW w:w="7121" w:type="dxa"/>
            <w:gridSpan w:val="4"/>
          </w:tcPr>
          <w:p>
            <w:pPr>
              <w:pStyle w:val="nTable"/>
              <w:spacing w:after="40"/>
            </w:pPr>
            <w:r>
              <w:rPr>
                <w:b/>
                <w:bCs/>
              </w:rPr>
              <w:t xml:space="preserve">Reprint 1: The </w:t>
            </w:r>
            <w:r>
              <w:rPr>
                <w:b/>
                <w:bCs/>
                <w:i/>
              </w:rPr>
              <w:t>District Court (Fees) Regulations 2002</w:t>
            </w:r>
            <w:r>
              <w:rPr>
                <w:b/>
                <w:bCs/>
              </w:rPr>
              <w:t xml:space="preserve"> as at 8 Dec 2006</w:t>
            </w:r>
            <w:r>
              <w:t xml:space="preserve"> (includes amendments listed above)</w:t>
            </w:r>
          </w:p>
        </w:tc>
      </w:tr>
      <w:tr>
        <w:tc>
          <w:tcPr>
            <w:tcW w:w="3123" w:type="dxa"/>
          </w:tcPr>
          <w:p>
            <w:pPr>
              <w:pStyle w:val="nTable"/>
              <w:spacing w:after="40"/>
              <w:rPr>
                <w:i/>
              </w:rPr>
            </w:pPr>
            <w:r>
              <w:rPr>
                <w:i/>
              </w:rPr>
              <w:t>District Court (Fees) Amendment Regulations 2007</w:t>
            </w:r>
          </w:p>
        </w:tc>
        <w:tc>
          <w:tcPr>
            <w:tcW w:w="1276" w:type="dxa"/>
          </w:tcPr>
          <w:p>
            <w:pPr>
              <w:pStyle w:val="nTable"/>
              <w:spacing w:after="40"/>
            </w:pPr>
            <w:r>
              <w:t>26 Jun 2007 p. 3035</w:t>
            </w:r>
            <w:r>
              <w:noBreakHyphen/>
              <w:t>7</w:t>
            </w:r>
          </w:p>
        </w:tc>
        <w:tc>
          <w:tcPr>
            <w:tcW w:w="2722" w:type="dxa"/>
            <w:gridSpan w:val="2"/>
          </w:tcPr>
          <w:p>
            <w:pPr>
              <w:pStyle w:val="nTable"/>
              <w:spacing w:after="40"/>
            </w:pPr>
            <w:r>
              <w:t>r. 1 and 2: 26 Jun 2007 (see r. 2(a));</w:t>
            </w:r>
            <w:r>
              <w:br/>
              <w:t>Regulations other than r. 1 and 2: 1 Jul 2007 (see r. 2(b))</w:t>
            </w:r>
          </w:p>
        </w:tc>
      </w:tr>
      <w:tr>
        <w:tc>
          <w:tcPr>
            <w:tcW w:w="3123" w:type="dxa"/>
          </w:tcPr>
          <w:p>
            <w:pPr>
              <w:pStyle w:val="nTable"/>
              <w:spacing w:after="40"/>
              <w:rPr>
                <w:i/>
              </w:rPr>
            </w:pPr>
            <w:r>
              <w:rPr>
                <w:i/>
              </w:rPr>
              <w:t>District Court (Fees) Amendment Regulations 2008</w:t>
            </w:r>
          </w:p>
        </w:tc>
        <w:tc>
          <w:tcPr>
            <w:tcW w:w="1276" w:type="dxa"/>
          </w:tcPr>
          <w:p>
            <w:pPr>
              <w:pStyle w:val="nTable"/>
              <w:spacing w:after="40"/>
            </w:pPr>
            <w:r>
              <w:t>27 Jun 2008 p. 3062</w:t>
            </w:r>
            <w:r>
              <w:noBreakHyphen/>
              <w:t>4</w:t>
            </w:r>
          </w:p>
        </w:tc>
        <w:tc>
          <w:tcPr>
            <w:tcW w:w="2722" w:type="dxa"/>
            <w:gridSpan w:val="2"/>
          </w:tcPr>
          <w:p>
            <w:pPr>
              <w:pStyle w:val="nTable"/>
              <w:spacing w:after="40"/>
            </w:pPr>
            <w:r>
              <w:t>r. 1 and 2: 27 Jun 2008 (see r. 2(a));</w:t>
            </w:r>
            <w:r>
              <w:br/>
              <w:t>Regulations other than r. 1 and 2: 1 Jul 2008 (see r. 2(b))</w:t>
            </w:r>
          </w:p>
        </w:tc>
      </w:tr>
      <w:tr>
        <w:tc>
          <w:tcPr>
            <w:tcW w:w="3123" w:type="dxa"/>
          </w:tcPr>
          <w:p>
            <w:pPr>
              <w:pStyle w:val="nTable"/>
              <w:spacing w:after="40"/>
              <w:rPr>
                <w:i/>
              </w:rPr>
            </w:pPr>
            <w:r>
              <w:rPr>
                <w:i/>
              </w:rPr>
              <w:t>District Court (Fees) Amendment Regulations 2009</w:t>
            </w:r>
          </w:p>
        </w:tc>
        <w:tc>
          <w:tcPr>
            <w:tcW w:w="1276" w:type="dxa"/>
          </w:tcPr>
          <w:p>
            <w:pPr>
              <w:pStyle w:val="nTable"/>
              <w:spacing w:after="40"/>
            </w:pPr>
            <w:r>
              <w:t>9 Jun 2009 p. 1923</w:t>
            </w:r>
          </w:p>
        </w:tc>
        <w:tc>
          <w:tcPr>
            <w:tcW w:w="2722" w:type="dxa"/>
            <w:gridSpan w:val="2"/>
          </w:tcPr>
          <w:p>
            <w:pPr>
              <w:pStyle w:val="nTable"/>
              <w:spacing w:after="40"/>
            </w:pPr>
            <w:r>
              <w:rPr>
                <w:snapToGrid w:val="0"/>
              </w:rPr>
              <w:t>r. 1 and 2: 9 Jun 2009 (see r. 2(a));</w:t>
            </w:r>
            <w:r>
              <w:rPr>
                <w:snapToGrid w:val="0"/>
              </w:rPr>
              <w:br/>
              <w:t>Regulations other than r. 1 and 2: 10 Jun 2009 (see r. 2(b))</w:t>
            </w:r>
          </w:p>
        </w:tc>
      </w:tr>
      <w:tr>
        <w:tc>
          <w:tcPr>
            <w:tcW w:w="3123" w:type="dxa"/>
          </w:tcPr>
          <w:p>
            <w:pPr>
              <w:pStyle w:val="nTable"/>
              <w:spacing w:after="40"/>
              <w:rPr>
                <w:i/>
              </w:rPr>
            </w:pPr>
            <w:r>
              <w:rPr>
                <w:i/>
              </w:rPr>
              <w:t>District Court (Fees) Amendment Regulations (No. 2) 2009</w:t>
            </w:r>
          </w:p>
        </w:tc>
        <w:tc>
          <w:tcPr>
            <w:tcW w:w="1276" w:type="dxa"/>
          </w:tcPr>
          <w:p>
            <w:pPr>
              <w:pStyle w:val="nTable"/>
              <w:spacing w:after="40"/>
            </w:pPr>
            <w:r>
              <w:t>4 Sep 2009 p. 3488</w:t>
            </w:r>
            <w:r>
              <w:noBreakHyphen/>
              <w:t>90</w:t>
            </w:r>
          </w:p>
        </w:tc>
        <w:tc>
          <w:tcPr>
            <w:tcW w:w="2722" w:type="dxa"/>
            <w:gridSpan w:val="2"/>
          </w:tcPr>
          <w:p>
            <w:pPr>
              <w:pStyle w:val="nTable"/>
              <w:spacing w:after="40"/>
              <w:rPr>
                <w:snapToGrid w:val="0"/>
              </w:rPr>
            </w:pPr>
            <w:r>
              <w:rPr>
                <w:snapToGrid w:val="0"/>
              </w:rPr>
              <w:t>r. 1 and 2: 4 Sep 2009 (see r. 2(a));</w:t>
            </w:r>
            <w:r>
              <w:rPr>
                <w:snapToGrid w:val="0"/>
              </w:rPr>
              <w:br/>
              <w:t>Regulations other than r. 1 and 2: 5 Sep 2009 (see r. 2(b))</w:t>
            </w:r>
          </w:p>
        </w:tc>
      </w:tr>
      <w:tr>
        <w:trPr>
          <w:cantSplit/>
        </w:trPr>
        <w:tc>
          <w:tcPr>
            <w:tcW w:w="7121" w:type="dxa"/>
            <w:gridSpan w:val="4"/>
          </w:tcPr>
          <w:p>
            <w:pPr>
              <w:pStyle w:val="nTable"/>
              <w:spacing w:after="40"/>
              <w:rPr>
                <w:snapToGrid w:val="0"/>
              </w:rPr>
            </w:pPr>
            <w:r>
              <w:rPr>
                <w:b/>
                <w:bCs/>
              </w:rPr>
              <w:t xml:space="preserve">Reprint 2: The </w:t>
            </w:r>
            <w:r>
              <w:rPr>
                <w:b/>
                <w:bCs/>
                <w:i/>
              </w:rPr>
              <w:t>District Court (Fees) Regulations 2002</w:t>
            </w:r>
            <w:r>
              <w:rPr>
                <w:b/>
                <w:bCs/>
              </w:rPr>
              <w:t xml:space="preserve"> as at 25 Sep 2009</w:t>
            </w:r>
            <w:r>
              <w:rPr>
                <w:b/>
                <w:bCs/>
              </w:rPr>
              <w:br/>
            </w:r>
            <w:r>
              <w:t>(includes amendments listed above)</w:t>
            </w:r>
          </w:p>
        </w:tc>
      </w:tr>
      <w:tr>
        <w:tc>
          <w:tcPr>
            <w:tcW w:w="3123" w:type="dxa"/>
          </w:tcPr>
          <w:p>
            <w:pPr>
              <w:pStyle w:val="nTable"/>
              <w:keepNext/>
              <w:keepLines/>
              <w:spacing w:after="40"/>
              <w:rPr>
                <w:i/>
              </w:rPr>
            </w:pPr>
            <w:r>
              <w:rPr>
                <w:i/>
              </w:rPr>
              <w:t>District Court (Fees) Amendment Regulations 2010</w:t>
            </w:r>
          </w:p>
        </w:tc>
        <w:tc>
          <w:tcPr>
            <w:tcW w:w="1276" w:type="dxa"/>
          </w:tcPr>
          <w:p>
            <w:pPr>
              <w:pStyle w:val="nTable"/>
              <w:spacing w:after="40"/>
            </w:pPr>
            <w:r>
              <w:t>30 Jul 2010 p. 3497-8</w:t>
            </w:r>
          </w:p>
        </w:tc>
        <w:tc>
          <w:tcPr>
            <w:tcW w:w="2722" w:type="dxa"/>
            <w:gridSpan w:val="2"/>
          </w:tcPr>
          <w:p>
            <w:pPr>
              <w:pStyle w:val="nTable"/>
              <w:spacing w:after="40"/>
              <w:rPr>
                <w:snapToGrid w:val="0"/>
              </w:rPr>
            </w:pPr>
            <w:r>
              <w:rPr>
                <w:snapToGrid w:val="0"/>
              </w:rPr>
              <w:t>r. 1 and 2: 30 Jul 2010 (see r. 2(a));</w:t>
            </w:r>
            <w:r>
              <w:rPr>
                <w:snapToGrid w:val="0"/>
              </w:rPr>
              <w:br/>
              <w:t>Regulations other than r. 1 and 2: 31 Jul 2010 (see r. 2(b))</w:t>
            </w:r>
          </w:p>
        </w:tc>
      </w:tr>
      <w:tr>
        <w:tc>
          <w:tcPr>
            <w:tcW w:w="3123" w:type="dxa"/>
          </w:tcPr>
          <w:p>
            <w:pPr>
              <w:pStyle w:val="nTable"/>
              <w:spacing w:after="40"/>
              <w:rPr>
                <w:i/>
              </w:rPr>
            </w:pPr>
            <w:r>
              <w:rPr>
                <w:i/>
              </w:rPr>
              <w:t>District Court (Fees) Amendment Regulations 2011</w:t>
            </w:r>
          </w:p>
        </w:tc>
        <w:tc>
          <w:tcPr>
            <w:tcW w:w="1276" w:type="dxa"/>
          </w:tcPr>
          <w:p>
            <w:pPr>
              <w:pStyle w:val="nTable"/>
              <w:spacing w:after="40"/>
            </w:pPr>
            <w:r>
              <w:t>8 Mar 2011 p. 784</w:t>
            </w:r>
            <w:r>
              <w:noBreakHyphen/>
              <w:t>7</w:t>
            </w:r>
          </w:p>
        </w:tc>
        <w:tc>
          <w:tcPr>
            <w:tcW w:w="2722" w:type="dxa"/>
            <w:gridSpan w:val="2"/>
          </w:tcPr>
          <w:p>
            <w:pPr>
              <w:pStyle w:val="nTable"/>
              <w:spacing w:after="40"/>
              <w:rPr>
                <w:snapToGrid w:val="0"/>
              </w:rPr>
            </w:pPr>
            <w:r>
              <w:rPr>
                <w:snapToGrid w:val="0"/>
              </w:rPr>
              <w:t>r. 1 and 2: 8 Mar 2011 (see r. 2(a));</w:t>
            </w:r>
            <w:r>
              <w:rPr>
                <w:snapToGrid w:val="0"/>
              </w:rPr>
              <w:br/>
              <w:t>Regulations other than r. 1 and 2: 9 Mar 2011 (see r. 2(b))</w:t>
            </w:r>
          </w:p>
        </w:tc>
      </w:tr>
      <w:tr>
        <w:tc>
          <w:tcPr>
            <w:tcW w:w="3123" w:type="dxa"/>
          </w:tcPr>
          <w:p>
            <w:pPr>
              <w:pStyle w:val="nTable"/>
              <w:spacing w:after="40"/>
              <w:rPr>
                <w:i/>
              </w:rPr>
            </w:pPr>
            <w:r>
              <w:rPr>
                <w:i/>
              </w:rPr>
              <w:t>District Court (Fees) Amendment Regulations (No. 2) 2011</w:t>
            </w:r>
          </w:p>
        </w:tc>
        <w:tc>
          <w:tcPr>
            <w:tcW w:w="1276" w:type="dxa"/>
          </w:tcPr>
          <w:p>
            <w:pPr>
              <w:pStyle w:val="nTable"/>
              <w:spacing w:after="40"/>
            </w:pPr>
            <w:r>
              <w:t>20 Dec 2011 p. 5380</w:t>
            </w:r>
            <w:r>
              <w:noBreakHyphen/>
              <w:t>3</w:t>
            </w:r>
          </w:p>
        </w:tc>
        <w:tc>
          <w:tcPr>
            <w:tcW w:w="2722" w:type="dxa"/>
            <w:gridSpan w:val="2"/>
          </w:tcPr>
          <w:p>
            <w:pPr>
              <w:pStyle w:val="nTable"/>
              <w:spacing w:after="40"/>
              <w:rPr>
                <w:snapToGrid w:val="0"/>
              </w:rPr>
            </w:pPr>
            <w:r>
              <w:rPr>
                <w:snapToGrid w:val="0"/>
              </w:rPr>
              <w:t>r. 1 and 2: 20 Dec 2011 (see r. 2(a));</w:t>
            </w:r>
            <w:r>
              <w:rPr>
                <w:snapToGrid w:val="0"/>
              </w:rPr>
              <w:br/>
              <w:t>Regulations other than r. 1 and 2: 21 Dec 2011 (see r. 2(b))</w:t>
            </w:r>
          </w:p>
        </w:tc>
      </w:tr>
      <w:tr>
        <w:tc>
          <w:tcPr>
            <w:tcW w:w="3123" w:type="dxa"/>
          </w:tcPr>
          <w:p>
            <w:pPr>
              <w:pStyle w:val="nTable"/>
              <w:spacing w:after="40"/>
              <w:rPr>
                <w:i/>
              </w:rPr>
            </w:pPr>
            <w:r>
              <w:rPr>
                <w:i/>
              </w:rPr>
              <w:t>District Court (Fees) Amendment Regulations 2012</w:t>
            </w:r>
          </w:p>
        </w:tc>
        <w:tc>
          <w:tcPr>
            <w:tcW w:w="1276" w:type="dxa"/>
          </w:tcPr>
          <w:p>
            <w:pPr>
              <w:pStyle w:val="nTable"/>
              <w:spacing w:after="40"/>
            </w:pPr>
            <w:r>
              <w:t>27 Mar 2012 p. 1506</w:t>
            </w:r>
          </w:p>
        </w:tc>
        <w:tc>
          <w:tcPr>
            <w:tcW w:w="2722" w:type="dxa"/>
            <w:gridSpan w:val="2"/>
          </w:tcPr>
          <w:p>
            <w:pPr>
              <w:pStyle w:val="nTable"/>
              <w:spacing w:after="40"/>
              <w:rPr>
                <w:snapToGrid w:val="0"/>
              </w:rPr>
            </w:pPr>
            <w:r>
              <w:rPr>
                <w:snapToGrid w:val="0"/>
              </w:rPr>
              <w:t>r. 1 and 2: 27 Mar 2012 (see r. 2(a));</w:t>
            </w:r>
            <w:r>
              <w:rPr>
                <w:snapToGrid w:val="0"/>
              </w:rPr>
              <w:br/>
              <w:t>Regulations other than r. 1 and 2: 28 Mar 2012 (see r. 2(b))</w:t>
            </w:r>
          </w:p>
        </w:tc>
      </w:tr>
      <w:tr>
        <w:tc>
          <w:tcPr>
            <w:tcW w:w="3123" w:type="dxa"/>
          </w:tcPr>
          <w:p>
            <w:pPr>
              <w:pStyle w:val="nTable"/>
              <w:spacing w:after="40"/>
              <w:rPr>
                <w:i/>
              </w:rPr>
            </w:pPr>
            <w:r>
              <w:rPr>
                <w:i/>
              </w:rPr>
              <w:t>District Court (Fees) Amendment Regulations (No. 3) 2012</w:t>
            </w:r>
          </w:p>
        </w:tc>
        <w:tc>
          <w:tcPr>
            <w:tcW w:w="1276" w:type="dxa"/>
          </w:tcPr>
          <w:p>
            <w:pPr>
              <w:pStyle w:val="nTable"/>
              <w:spacing w:after="40"/>
            </w:pPr>
            <w:r>
              <w:t>30 Nov 2012 p. 5788</w:t>
            </w:r>
            <w:r>
              <w:noBreakHyphen/>
              <w:t>90</w:t>
            </w:r>
          </w:p>
        </w:tc>
        <w:tc>
          <w:tcPr>
            <w:tcW w:w="2722" w:type="dxa"/>
            <w:gridSpan w:val="2"/>
          </w:tcPr>
          <w:p>
            <w:pPr>
              <w:pStyle w:val="nTable"/>
              <w:spacing w:after="40"/>
              <w:rPr>
                <w:snapToGrid w:val="0"/>
              </w:rPr>
            </w:pPr>
            <w:r>
              <w:rPr>
                <w:snapToGrid w:val="0"/>
              </w:rPr>
              <w:t>r. 1 and 2: 30 Nov 2012 (see r. 2(a));</w:t>
            </w:r>
            <w:r>
              <w:rPr>
                <w:snapToGrid w:val="0"/>
              </w:rPr>
              <w:br/>
              <w:t>Regulations other than r. 1 and 2: 1 Dec 2012 (see r. 2(b))</w:t>
            </w:r>
          </w:p>
        </w:tc>
      </w:tr>
      <w:tr>
        <w:tc>
          <w:tcPr>
            <w:tcW w:w="3123" w:type="dxa"/>
          </w:tcPr>
          <w:p>
            <w:pPr>
              <w:pStyle w:val="nTable"/>
              <w:spacing w:after="40"/>
              <w:rPr>
                <w:rFonts w:ascii="Times" w:hAnsi="Times"/>
              </w:rPr>
            </w:pPr>
            <w:r>
              <w:rPr>
                <w:i/>
              </w:rPr>
              <w:t>District Court (Fees) Amendment Regulations 2013</w:t>
            </w:r>
          </w:p>
        </w:tc>
        <w:tc>
          <w:tcPr>
            <w:tcW w:w="1276" w:type="dxa"/>
          </w:tcPr>
          <w:p>
            <w:pPr>
              <w:pStyle w:val="nTable"/>
              <w:spacing w:after="40"/>
              <w:rPr>
                <w:rFonts w:ascii="Times" w:hAnsi="Times"/>
              </w:rPr>
            </w:pPr>
            <w:r>
              <w:t>19 Jul 2013 p. 3267</w:t>
            </w:r>
            <w:r>
              <w:noBreakHyphen/>
              <w:t>8</w:t>
            </w:r>
          </w:p>
        </w:tc>
        <w:tc>
          <w:tcPr>
            <w:tcW w:w="2722" w:type="dxa"/>
            <w:gridSpan w:val="2"/>
          </w:tcPr>
          <w:p>
            <w:pPr>
              <w:pStyle w:val="nTable"/>
              <w:spacing w:after="40"/>
              <w:rPr>
                <w:rFonts w:ascii="Times" w:hAnsi="Times"/>
                <w:snapToGrid w:val="0"/>
              </w:rPr>
            </w:pPr>
            <w:r>
              <w:t>r. 1 and 2: 19 Jul 2013 (see r. 2(a));</w:t>
            </w:r>
            <w:r>
              <w:br/>
              <w:t xml:space="preserve">Regulations other than r. 1 and 2: 7 Aug 2013 (see r. 2(b) and </w:t>
            </w:r>
            <w:r>
              <w:rPr>
                <w:i/>
              </w:rPr>
              <w:t>Gazette</w:t>
            </w:r>
            <w:r>
              <w:t xml:space="preserve"> 6 Aug 2013 p. 3677)</w:t>
            </w:r>
          </w:p>
        </w:tc>
      </w:tr>
      <w:tr>
        <w:tc>
          <w:tcPr>
            <w:tcW w:w="3123" w:type="dxa"/>
          </w:tcPr>
          <w:p>
            <w:pPr>
              <w:pStyle w:val="nTable"/>
              <w:spacing w:after="40"/>
              <w:rPr>
                <w:i/>
              </w:rPr>
            </w:pPr>
            <w:r>
              <w:rPr>
                <w:i/>
              </w:rPr>
              <w:t>District Court (Fees) Amendment Regulations (No. 2) 2013</w:t>
            </w:r>
          </w:p>
        </w:tc>
        <w:tc>
          <w:tcPr>
            <w:tcW w:w="1276" w:type="dxa"/>
          </w:tcPr>
          <w:p>
            <w:pPr>
              <w:pStyle w:val="nTable"/>
              <w:spacing w:after="40"/>
            </w:pPr>
            <w:r>
              <w:t>15 Nov 2013 p. 5243</w:t>
            </w:r>
            <w:r>
              <w:noBreakHyphen/>
              <w:t>5</w:t>
            </w:r>
          </w:p>
        </w:tc>
        <w:tc>
          <w:tcPr>
            <w:tcW w:w="2722" w:type="dxa"/>
            <w:gridSpan w:val="2"/>
          </w:tcPr>
          <w:p>
            <w:pPr>
              <w:pStyle w:val="nTable"/>
              <w:spacing w:after="40"/>
            </w:pPr>
            <w:r>
              <w:rPr>
                <w:bCs/>
                <w:snapToGrid w:val="0"/>
              </w:rPr>
              <w:t>r. 1 and 2: 15 Nov 2013 (see r. 2(a));</w:t>
            </w:r>
            <w:r>
              <w:rPr>
                <w:bCs/>
                <w:snapToGrid w:val="0"/>
              </w:rPr>
              <w:br/>
              <w:t>Regulations other than r. 1 and 2: 16 Nov 2013 (see r. 2(b))</w:t>
            </w:r>
          </w:p>
        </w:tc>
      </w:tr>
      <w:tr>
        <w:tc>
          <w:tcPr>
            <w:tcW w:w="3123" w:type="dxa"/>
            <w:shd w:val="clear" w:color="auto" w:fill="auto"/>
          </w:tcPr>
          <w:p>
            <w:pPr>
              <w:pStyle w:val="nTable"/>
              <w:spacing w:after="40"/>
              <w:rPr>
                <w:i/>
              </w:rPr>
            </w:pPr>
            <w:r>
              <w:rPr>
                <w:i/>
              </w:rPr>
              <w:t>District Court (Fees) Amendment Regulations (No. 3) 2014</w:t>
            </w:r>
          </w:p>
        </w:tc>
        <w:tc>
          <w:tcPr>
            <w:tcW w:w="1276" w:type="dxa"/>
            <w:shd w:val="clear" w:color="auto" w:fill="auto"/>
          </w:tcPr>
          <w:p>
            <w:pPr>
              <w:pStyle w:val="nTable"/>
              <w:spacing w:after="40"/>
            </w:pPr>
            <w:r>
              <w:t>27 Jun 2014 p. 2338-40</w:t>
            </w:r>
          </w:p>
        </w:tc>
        <w:tc>
          <w:tcPr>
            <w:tcW w:w="2722" w:type="dxa"/>
            <w:gridSpan w:val="2"/>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c>
          <w:tcPr>
            <w:tcW w:w="7121" w:type="dxa"/>
            <w:gridSpan w:val="4"/>
            <w:shd w:val="clear" w:color="auto" w:fill="auto"/>
          </w:tcPr>
          <w:p>
            <w:pPr>
              <w:pStyle w:val="nTable"/>
              <w:spacing w:after="40"/>
              <w:rPr>
                <w:bCs/>
                <w:snapToGrid w:val="0"/>
              </w:rPr>
            </w:pPr>
            <w:r>
              <w:rPr>
                <w:b/>
                <w:bCs/>
              </w:rPr>
              <w:t xml:space="preserve">Reprint 3: The </w:t>
            </w:r>
            <w:r>
              <w:rPr>
                <w:b/>
                <w:bCs/>
                <w:i/>
              </w:rPr>
              <w:t>District Court (Fees) Regulations 2002</w:t>
            </w:r>
            <w:r>
              <w:rPr>
                <w:b/>
                <w:bCs/>
              </w:rPr>
              <w:t xml:space="preserve"> as at 7 Nov 2014</w:t>
            </w:r>
            <w:r>
              <w:rPr>
                <w:b/>
                <w:bCs/>
              </w:rPr>
              <w:br/>
            </w:r>
            <w:r>
              <w:t>(includes amendments listed above)</w:t>
            </w:r>
          </w:p>
        </w:tc>
      </w:tr>
      <w:tr>
        <w:tc>
          <w:tcPr>
            <w:tcW w:w="3123" w:type="dxa"/>
            <w:shd w:val="clear" w:color="auto" w:fill="auto"/>
          </w:tcPr>
          <w:p>
            <w:pPr>
              <w:pStyle w:val="nTable"/>
              <w:spacing w:after="40"/>
              <w:rPr>
                <w:i/>
              </w:rPr>
            </w:pPr>
            <w:r>
              <w:rPr>
                <w:i/>
              </w:rPr>
              <w:t>District Court (Fees) Amendment Regulations 2015</w:t>
            </w:r>
            <w:r>
              <w:t> </w:t>
            </w:r>
          </w:p>
        </w:tc>
        <w:tc>
          <w:tcPr>
            <w:tcW w:w="1276" w:type="dxa"/>
            <w:shd w:val="clear" w:color="auto" w:fill="auto"/>
          </w:tcPr>
          <w:p>
            <w:pPr>
              <w:pStyle w:val="nTable"/>
              <w:spacing w:after="40"/>
            </w:pPr>
            <w:r>
              <w:t>10 Feb 2015 p. 607</w:t>
            </w:r>
          </w:p>
        </w:tc>
        <w:tc>
          <w:tcPr>
            <w:tcW w:w="2722" w:type="dxa"/>
            <w:gridSpan w:val="2"/>
            <w:shd w:val="clear" w:color="auto" w:fill="auto"/>
          </w:tcPr>
          <w:p>
            <w:pPr>
              <w:pStyle w:val="nTable"/>
              <w:spacing w:after="40"/>
              <w:rPr>
                <w:bCs/>
                <w:snapToGrid w:val="0"/>
              </w:rPr>
            </w:pPr>
            <w:r>
              <w:rPr>
                <w:rFonts w:ascii="Times" w:hAnsi="Times"/>
                <w:bCs/>
                <w:snapToGrid w:val="0"/>
                <w:spacing w:val="-2"/>
              </w:rPr>
              <w:t>r. 1 and 2: 10 Feb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c>
          <w:tcPr>
            <w:tcW w:w="3123" w:type="dxa"/>
            <w:shd w:val="clear" w:color="auto" w:fill="auto"/>
          </w:tcPr>
          <w:p>
            <w:pPr>
              <w:pStyle w:val="nTable"/>
              <w:keepNext/>
              <w:spacing w:after="40"/>
              <w:rPr>
                <w:i/>
              </w:rPr>
            </w:pPr>
            <w:r>
              <w:rPr>
                <w:i/>
              </w:rPr>
              <w:t>District Court (Fees) Amendment Regulations (No. 2) 2015</w:t>
            </w:r>
          </w:p>
        </w:tc>
        <w:tc>
          <w:tcPr>
            <w:tcW w:w="1276" w:type="dxa"/>
            <w:shd w:val="clear" w:color="auto" w:fill="auto"/>
          </w:tcPr>
          <w:p>
            <w:pPr>
              <w:pStyle w:val="nTable"/>
              <w:keepNext/>
              <w:spacing w:after="40"/>
            </w:pPr>
            <w:r>
              <w:t>19 Jun 2015 p. 2119</w:t>
            </w:r>
            <w:r>
              <w:noBreakHyphen/>
              <w:t>22</w:t>
            </w:r>
          </w:p>
        </w:tc>
        <w:tc>
          <w:tcPr>
            <w:tcW w:w="2722" w:type="dxa"/>
            <w:gridSpan w:val="2"/>
            <w:shd w:val="clear" w:color="auto" w:fill="auto"/>
          </w:tcPr>
          <w:p>
            <w:pPr>
              <w:pStyle w:val="nTable"/>
              <w:keepNext/>
              <w:spacing w:after="40"/>
              <w:rPr>
                <w:rFonts w:ascii="Times" w:hAnsi="Times"/>
                <w:bCs/>
                <w:snapToGrid w:val="0"/>
                <w:spacing w:val="-2"/>
              </w:rPr>
            </w:pPr>
            <w:r>
              <w:rPr>
                <w:rFonts w:ascii="Times" w:hAnsi="Times"/>
                <w:bCs/>
                <w:snapToGrid w:val="0"/>
                <w:spacing w:val="-2"/>
              </w:rPr>
              <w:t>r. 1 and 2: 19 Jun 2015 (see r. 2(a));</w:t>
            </w:r>
            <w:r>
              <w:rPr>
                <w:rFonts w:ascii="Times" w:hAnsi="Times"/>
                <w:bCs/>
                <w:snapToGrid w:val="0"/>
                <w:spacing w:val="-2"/>
              </w:rPr>
              <w:br/>
              <w:t>Regulations other than r. 1 and 2: 1 Jul 2015 (see r. 2(b)(i))</w:t>
            </w:r>
          </w:p>
        </w:tc>
      </w:tr>
      <w:tr>
        <w:tc>
          <w:tcPr>
            <w:tcW w:w="3123" w:type="dxa"/>
            <w:shd w:val="clear" w:color="auto" w:fill="auto"/>
          </w:tcPr>
          <w:p>
            <w:pPr>
              <w:pStyle w:val="nTable"/>
              <w:spacing w:after="40"/>
              <w:rPr>
                <w:i/>
              </w:rPr>
            </w:pPr>
            <w:r>
              <w:rPr>
                <w:i/>
              </w:rPr>
              <w:t>Attorney General Regulations Amendment (Fees) Regulations 2016</w:t>
            </w:r>
            <w:r>
              <w:t xml:space="preserve"> Pt. 5</w:t>
            </w:r>
          </w:p>
        </w:tc>
        <w:tc>
          <w:tcPr>
            <w:tcW w:w="1276" w:type="dxa"/>
            <w:shd w:val="clear" w:color="auto" w:fill="auto"/>
          </w:tcPr>
          <w:p>
            <w:pPr>
              <w:pStyle w:val="nTable"/>
              <w:spacing w:after="40"/>
              <w:rPr>
                <w:i/>
              </w:rPr>
            </w:pPr>
            <w:r>
              <w:t>14 Jun 2016 p. 1849</w:t>
            </w:r>
            <w:r>
              <w:noBreakHyphen/>
              <w:t xml:space="preserve">986 (as amended in </w:t>
            </w:r>
            <w:r>
              <w:rPr>
                <w:i/>
              </w:rPr>
              <w:t xml:space="preserve">Gazette </w:t>
            </w:r>
            <w:r>
              <w:t>9 Sep 2016 p. 3886)</w:t>
            </w:r>
          </w:p>
        </w:tc>
        <w:tc>
          <w:tcPr>
            <w:tcW w:w="2722" w:type="dxa"/>
            <w:gridSpan w:val="2"/>
            <w:shd w:val="clear" w:color="auto" w:fill="auto"/>
          </w:tcPr>
          <w:p>
            <w:pPr>
              <w:pStyle w:val="nTable"/>
              <w:spacing w:after="40"/>
              <w:rPr>
                <w:rFonts w:ascii="Times" w:hAnsi="Times"/>
                <w:bCs/>
                <w:snapToGrid w:val="0"/>
                <w:spacing w:val="-2"/>
              </w:rPr>
            </w:pPr>
            <w:r>
              <w:t>4 Jul 2016 (see r. 2(b))</w:t>
            </w:r>
          </w:p>
        </w:tc>
      </w:tr>
      <w:tr>
        <w:tc>
          <w:tcPr>
            <w:tcW w:w="3123" w:type="dxa"/>
            <w:shd w:val="clear" w:color="auto" w:fill="auto"/>
          </w:tcPr>
          <w:p>
            <w:pPr>
              <w:pStyle w:val="nTable"/>
              <w:spacing w:after="40"/>
            </w:pPr>
            <w:r>
              <w:rPr>
                <w:i/>
              </w:rPr>
              <w:t>District Court (Fees) Amendment Regulations (No. 2) 2016</w:t>
            </w:r>
            <w:r>
              <w:t xml:space="preserve"> Pt. 2</w:t>
            </w:r>
          </w:p>
        </w:tc>
        <w:tc>
          <w:tcPr>
            <w:tcW w:w="1276" w:type="dxa"/>
            <w:shd w:val="clear" w:color="auto" w:fill="auto"/>
          </w:tcPr>
          <w:p>
            <w:pPr>
              <w:pStyle w:val="nTable"/>
              <w:spacing w:after="40"/>
            </w:pPr>
            <w:r>
              <w:t>9 Sep 2016 p. 3886</w:t>
            </w:r>
          </w:p>
        </w:tc>
        <w:tc>
          <w:tcPr>
            <w:tcW w:w="2722" w:type="dxa"/>
            <w:gridSpan w:val="2"/>
            <w:shd w:val="clear" w:color="auto" w:fill="auto"/>
          </w:tcPr>
          <w:p>
            <w:pPr>
              <w:pStyle w:val="nTable"/>
              <w:spacing w:after="40"/>
            </w:pPr>
            <w:r>
              <w:t>10 Sep 2016 (see r. 2(b))</w:t>
            </w:r>
          </w:p>
        </w:tc>
      </w:tr>
      <w:tr>
        <w:trPr>
          <w:gridAfter w:val="1"/>
          <w:wAfter w:w="10" w:type="dxa"/>
        </w:trPr>
        <w:tc>
          <w:tcPr>
            <w:tcW w:w="3123" w:type="dxa"/>
            <w:shd w:val="clear" w:color="auto" w:fill="auto"/>
          </w:tcPr>
          <w:p>
            <w:pPr>
              <w:pStyle w:val="nTable"/>
              <w:spacing w:after="40"/>
            </w:pPr>
            <w:r>
              <w:rPr>
                <w:i/>
              </w:rPr>
              <w:t xml:space="preserve">Attorney General Regulations Amendment (Fees and Charges) Regulations 2017 </w:t>
            </w:r>
            <w:r>
              <w:t>Pt. 5</w:t>
            </w:r>
          </w:p>
        </w:tc>
        <w:tc>
          <w:tcPr>
            <w:tcW w:w="1276" w:type="dxa"/>
            <w:shd w:val="clear" w:color="auto" w:fill="auto"/>
          </w:tcPr>
          <w:p>
            <w:pPr>
              <w:pStyle w:val="nTable"/>
              <w:spacing w:after="40"/>
            </w:pPr>
            <w:r>
              <w:t>7 Jul 2017 p. 3721</w:t>
            </w:r>
            <w:r>
              <w:noBreakHyphen/>
              <w:t>98</w:t>
            </w:r>
          </w:p>
        </w:tc>
        <w:tc>
          <w:tcPr>
            <w:tcW w:w="2712" w:type="dxa"/>
            <w:shd w:val="clear" w:color="auto" w:fill="auto"/>
          </w:tcPr>
          <w:p>
            <w:pPr>
              <w:pStyle w:val="nTable"/>
              <w:spacing w:after="40"/>
            </w:pPr>
            <w:r>
              <w:rPr>
                <w:bCs/>
                <w:snapToGrid w:val="0"/>
              </w:rPr>
              <w:t>8 Jul 2017</w:t>
            </w:r>
            <w:r>
              <w:rPr>
                <w:rFonts w:ascii="Times" w:hAnsi="Times"/>
                <w:bCs/>
                <w:snapToGrid w:val="0"/>
                <w:spacing w:val="-2"/>
              </w:rPr>
              <w:t xml:space="preserve"> (see r. 2(b)(ii))</w:t>
            </w:r>
          </w:p>
        </w:tc>
      </w:tr>
      <w:tr>
        <w:trPr>
          <w:gridAfter w:val="1"/>
          <w:wAfter w:w="10" w:type="dxa"/>
        </w:trPr>
        <w:tc>
          <w:tcPr>
            <w:tcW w:w="3123" w:type="dxa"/>
            <w:shd w:val="clear" w:color="auto" w:fill="auto"/>
          </w:tcPr>
          <w:p>
            <w:pPr>
              <w:pStyle w:val="nTable"/>
              <w:spacing w:after="40"/>
              <w:rPr>
                <w:i/>
              </w:rPr>
            </w:pPr>
            <w:r>
              <w:rPr>
                <w:i/>
              </w:rPr>
              <w:t>District Court (Fees) Amendment Regulations 2017</w:t>
            </w:r>
          </w:p>
        </w:tc>
        <w:tc>
          <w:tcPr>
            <w:tcW w:w="1276" w:type="dxa"/>
            <w:shd w:val="clear" w:color="auto" w:fill="auto"/>
          </w:tcPr>
          <w:p>
            <w:pPr>
              <w:pStyle w:val="nTable"/>
              <w:spacing w:after="40"/>
            </w:pPr>
            <w:r>
              <w:t>14 Jul 2017 p. 3949</w:t>
            </w:r>
            <w:r>
              <w:noBreakHyphen/>
              <w:t>50</w:t>
            </w:r>
          </w:p>
        </w:tc>
        <w:tc>
          <w:tcPr>
            <w:tcW w:w="2712" w:type="dxa"/>
            <w:shd w:val="clear" w:color="auto" w:fill="auto"/>
          </w:tcPr>
          <w:p>
            <w:pPr>
              <w:pStyle w:val="nTable"/>
              <w:spacing w:after="40"/>
              <w:rPr>
                <w:bCs/>
                <w:snapToGrid w:val="0"/>
              </w:rPr>
            </w:pPr>
            <w:r>
              <w:rPr>
                <w:rFonts w:ascii="Times" w:hAnsi="Times"/>
                <w:bCs/>
                <w:snapToGrid w:val="0"/>
                <w:spacing w:val="-2"/>
              </w:rPr>
              <w:t>r. 1 and 2: 14 Jul 2017 (see r. 2(a));</w:t>
            </w:r>
            <w:r>
              <w:rPr>
                <w:rFonts w:ascii="Times" w:hAnsi="Times"/>
                <w:bCs/>
                <w:snapToGrid w:val="0"/>
                <w:spacing w:val="-2"/>
              </w:rPr>
              <w:br/>
              <w:t>Regulations other than r. 1 and 2: 15 Jul 2017 (see r. 2(b))</w:t>
            </w:r>
          </w:p>
        </w:tc>
      </w:tr>
      <w:tr>
        <w:trPr>
          <w:gridAfter w:val="1"/>
          <w:wAfter w:w="10" w:type="dxa"/>
        </w:trPr>
        <w:tc>
          <w:tcPr>
            <w:tcW w:w="3123" w:type="dxa"/>
            <w:tcBorders>
              <w:bottom w:val="single" w:sz="4" w:space="0" w:color="auto"/>
            </w:tcBorders>
            <w:shd w:val="clear" w:color="auto" w:fill="auto"/>
          </w:tcPr>
          <w:p>
            <w:pPr>
              <w:pStyle w:val="nTable"/>
              <w:spacing w:after="40"/>
              <w:rPr>
                <w:i/>
              </w:rPr>
            </w:pPr>
            <w:r>
              <w:rPr>
                <w:i/>
              </w:rPr>
              <w:t>Attorney General Regulations Amendment (Bailiff Fees) Regulations 2018</w:t>
            </w:r>
            <w:r>
              <w:t xml:space="preserve"> Pt. 4</w:t>
            </w:r>
          </w:p>
        </w:tc>
        <w:tc>
          <w:tcPr>
            <w:tcW w:w="1276" w:type="dxa"/>
            <w:tcBorders>
              <w:bottom w:val="single" w:sz="4" w:space="0" w:color="auto"/>
            </w:tcBorders>
            <w:shd w:val="clear" w:color="auto" w:fill="auto"/>
          </w:tcPr>
          <w:p>
            <w:pPr>
              <w:pStyle w:val="nTable"/>
              <w:spacing w:after="40"/>
            </w:pPr>
            <w:r>
              <w:t>9 Feb 2018 p. 401</w:t>
            </w:r>
            <w:r>
              <w:noBreakHyphen/>
              <w:t>5</w:t>
            </w:r>
          </w:p>
        </w:tc>
        <w:tc>
          <w:tcPr>
            <w:tcW w:w="2712" w:type="dxa"/>
            <w:tcBorders>
              <w:bottom w:val="single" w:sz="4" w:space="0" w:color="auto"/>
            </w:tcBorders>
            <w:shd w:val="clear" w:color="auto" w:fill="auto"/>
          </w:tcPr>
          <w:p>
            <w:pPr>
              <w:pStyle w:val="nTable"/>
              <w:spacing w:after="40"/>
              <w:rPr>
                <w:rFonts w:ascii="Times" w:hAnsi="Times"/>
                <w:bCs/>
                <w:snapToGrid w:val="0"/>
                <w:spacing w:val="-2"/>
              </w:rPr>
            </w:pPr>
            <w:r>
              <w:rPr>
                <w:bCs/>
                <w:snapToGrid w:val="0"/>
              </w:rPr>
              <w:t>10 Feb 2018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9" w:name="_Toc516819539"/>
      <w:r>
        <w:t>Provisions that have not come into operation</w:t>
      </w:r>
      <w:bookmarkEnd w:id="29"/>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bottom w:val="single" w:sz="8" w:space="0" w:color="auto"/>
            </w:tcBorders>
          </w:tcPr>
          <w:p>
            <w:pPr>
              <w:pStyle w:val="nTable"/>
              <w:spacing w:after="40"/>
              <w:ind w:right="113"/>
              <w:rPr>
                <w:vertAlign w:val="superscript"/>
              </w:rPr>
            </w:pPr>
            <w:r>
              <w:rPr>
                <w:i/>
              </w:rPr>
              <w:t>Attorney General Regulations Amendment (Fees and Charges) Regulations 2018 </w:t>
            </w:r>
            <w:r>
              <w:t>Pt. 5 </w:t>
            </w:r>
            <w:r>
              <w:rPr>
                <w:vertAlign w:val="superscript"/>
              </w:rPr>
              <w:t>6</w:t>
            </w:r>
          </w:p>
        </w:tc>
        <w:tc>
          <w:tcPr>
            <w:tcW w:w="1276" w:type="dxa"/>
            <w:tcBorders>
              <w:top w:val="single" w:sz="8" w:space="0" w:color="auto"/>
              <w:bottom w:val="single" w:sz="8" w:space="0" w:color="auto"/>
            </w:tcBorders>
          </w:tcPr>
          <w:p>
            <w:pPr>
              <w:pStyle w:val="nTable"/>
              <w:spacing w:after="40"/>
            </w:pPr>
            <w:r>
              <w:t>15 Jun 2018 p. 1963</w:t>
            </w:r>
            <w:r>
              <w:noBreakHyphen/>
              <w:t>2049</w:t>
            </w:r>
          </w:p>
        </w:tc>
        <w:tc>
          <w:tcPr>
            <w:tcW w:w="2693" w:type="dxa"/>
            <w:tcBorders>
              <w:top w:val="single" w:sz="8" w:space="0" w:color="auto"/>
              <w:bottom w:val="single" w:sz="8" w:space="0" w:color="auto"/>
            </w:tcBorders>
          </w:tcPr>
          <w:p>
            <w:pPr>
              <w:pStyle w:val="nTable"/>
              <w:spacing w:after="40"/>
            </w:pPr>
            <w:r>
              <w:t>1 Jul 2018 (see r. 2(b))</w:t>
            </w:r>
          </w:p>
        </w:tc>
      </w:tr>
    </w:tbl>
    <w:p>
      <w:pPr>
        <w:pStyle w:val="nSubsection"/>
        <w:spacing w:before="120"/>
        <w:rPr>
          <w:iCs/>
        </w:rPr>
      </w:pPr>
      <w:r>
        <w:rPr>
          <w:vertAlign w:val="superscript"/>
        </w:rPr>
        <w:t>2</w:t>
      </w:r>
      <w:r>
        <w:tab/>
        <w:t xml:space="preserve">Repealed by the </w:t>
      </w:r>
      <w:r>
        <w:rPr>
          <w:i/>
        </w:rPr>
        <w:t>District Court Rules 2005</w:t>
      </w:r>
      <w:r>
        <w:rPr>
          <w:iCs/>
        </w:rPr>
        <w:t>.</w:t>
      </w:r>
    </w:p>
    <w:p>
      <w:pPr>
        <w:pStyle w:val="nSubsection"/>
        <w:spacing w:before="120"/>
        <w:rPr>
          <w:iCs/>
        </w:rPr>
      </w:pPr>
      <w:r>
        <w:rPr>
          <w:vertAlign w:val="superscript"/>
        </w:rPr>
        <w:t>3</w:t>
      </w:r>
      <w:r>
        <w:tab/>
        <w:t xml:space="preserve">Repealed by the </w:t>
      </w:r>
      <w:r>
        <w:rPr>
          <w:i/>
          <w:snapToGrid w:val="0"/>
        </w:rPr>
        <w:t>Co-operatives Act 2009</w:t>
      </w:r>
      <w:r>
        <w:rPr>
          <w:iCs/>
        </w:rPr>
        <w:t>.</w:t>
      </w:r>
    </w:p>
    <w:p>
      <w:pPr>
        <w:pStyle w:val="nSubsection"/>
        <w:spacing w:before="120"/>
        <w:rPr>
          <w:iCs/>
        </w:rPr>
      </w:pPr>
      <w:r>
        <w:rPr>
          <w:vertAlign w:val="superscript"/>
        </w:rPr>
        <w:t>4</w:t>
      </w:r>
      <w:r>
        <w:tab/>
        <w:t xml:space="preserve">Repealed by the </w:t>
      </w:r>
      <w:r>
        <w:rPr>
          <w:i/>
        </w:rPr>
        <w:t>Commercial Arbitration Act 2012</w:t>
      </w:r>
      <w:r>
        <w:rPr>
          <w:iCs/>
        </w:rPr>
        <w:t>.</w:t>
      </w:r>
    </w:p>
    <w:p>
      <w:pPr>
        <w:pStyle w:val="nSubsection"/>
        <w:spacing w:before="120"/>
        <w:rPr>
          <w:iCs/>
        </w:rPr>
      </w:pPr>
      <w:r>
        <w:rPr>
          <w:vertAlign w:val="superscript"/>
        </w:rPr>
        <w:t>5</w:t>
      </w:r>
      <w:r>
        <w:tab/>
        <w:t xml:space="preserve">The </w:t>
      </w:r>
      <w:r>
        <w:rPr>
          <w:i/>
        </w:rPr>
        <w:t>District Court (Fees) Amendment Regulations 2005</w:t>
      </w:r>
      <w:r>
        <w:t> </w:t>
      </w:r>
      <w:r>
        <w:rPr>
          <w:iCs/>
        </w:rPr>
        <w:t>r. 13 reads as follows:</w:t>
      </w:r>
    </w:p>
    <w:p>
      <w:pPr>
        <w:pStyle w:val="BlankOpen"/>
      </w:pPr>
    </w:p>
    <w:p>
      <w:pPr>
        <w:pStyle w:val="nzHeading5"/>
      </w:pPr>
      <w:r>
        <w:t>13.</w:t>
      </w:r>
      <w:r>
        <w:tab/>
        <w:t>Transitional: recognised reporting services</w:t>
      </w:r>
    </w:p>
    <w:p>
      <w:pPr>
        <w:pStyle w:val="nzSubsection"/>
      </w:pPr>
      <w:r>
        <w:tab/>
      </w:r>
      <w:r>
        <w:tab/>
        <w:t>A recognised reporting service approved by the Attorney General immediately before the date on which these regulations commenced is taken to have been approved as a person entitled to receive searchable information on that date.</w:t>
      </w:r>
    </w:p>
    <w:p>
      <w:pPr>
        <w:pStyle w:val="BlankClose"/>
      </w:pPr>
    </w:p>
    <w:p>
      <w:pPr>
        <w:pStyle w:val="nSubsection"/>
        <w:spacing w:before="200"/>
        <w:rPr>
          <w:snapToGrid w:val="0"/>
        </w:rPr>
      </w:pPr>
      <w:r>
        <w:rPr>
          <w:snapToGrid w:val="0"/>
          <w:vertAlign w:val="superscript"/>
        </w:rPr>
        <w:t>6</w:t>
      </w:r>
      <w:r>
        <w:rPr>
          <w:snapToGrid w:val="0"/>
        </w:rPr>
        <w:tab/>
      </w:r>
      <w:r>
        <w:t xml:space="preserve">On </w:t>
      </w:r>
      <w:r>
        <w:rPr>
          <w:snapToGrid w:val="0"/>
        </w:rPr>
        <w:t>the</w:t>
      </w:r>
      <w:r>
        <w:t xml:space="preserve"> date as at which this compilation was prepared, </w:t>
      </w:r>
      <w:r>
        <w:rPr>
          <w:snapToGrid w:val="0"/>
        </w:rPr>
        <w:t xml:space="preserve">the </w:t>
      </w:r>
      <w:r>
        <w:rPr>
          <w:i/>
        </w:rPr>
        <w:t>Attorney General Regulations Amendment (Fees and Charges) Regulations 2018 </w:t>
      </w:r>
      <w:r>
        <w:t>Pt. 5</w:t>
      </w:r>
      <w:r>
        <w:rPr>
          <w:i/>
        </w:rPr>
        <w:t xml:space="preserve"> </w:t>
      </w:r>
      <w:r>
        <w:rPr>
          <w:snapToGrid w:val="0"/>
        </w:rPr>
        <w:t>had not come into operation.  It reads as follows:</w:t>
      </w:r>
    </w:p>
    <w:p>
      <w:pPr>
        <w:pStyle w:val="BlankOpen"/>
        <w:rPr>
          <w:snapToGrid w:val="0"/>
        </w:rPr>
      </w:pPr>
    </w:p>
    <w:p>
      <w:pPr>
        <w:pStyle w:val="nzHeading2"/>
      </w:pPr>
      <w:bookmarkStart w:id="30" w:name="_Toc514321216"/>
      <w:bookmarkStart w:id="31" w:name="_Toc514321281"/>
      <w:bookmarkStart w:id="32" w:name="_Toc514330275"/>
      <w:bookmarkStart w:id="33" w:name="_Toc514334940"/>
      <w:bookmarkStart w:id="34" w:name="_Toc514336289"/>
      <w:bookmarkStart w:id="35" w:name="_Toc514336491"/>
      <w:bookmarkStart w:id="36" w:name="_Toc514414465"/>
      <w:bookmarkStart w:id="37" w:name="_Toc514414530"/>
      <w:bookmarkStart w:id="38" w:name="_Toc514657440"/>
      <w:bookmarkStart w:id="39" w:name="_Toc514666261"/>
      <w:r>
        <w:rPr>
          <w:rStyle w:val="CharPartNo"/>
        </w:rPr>
        <w:t>Part 5</w:t>
      </w:r>
      <w:r>
        <w:rPr>
          <w:rStyle w:val="CharDivNo"/>
        </w:rPr>
        <w:t> </w:t>
      </w:r>
      <w:r>
        <w:t>—</w:t>
      </w:r>
      <w:r>
        <w:rPr>
          <w:rStyle w:val="CharDivText"/>
        </w:rPr>
        <w:t> </w:t>
      </w:r>
      <w:r>
        <w:rPr>
          <w:rStyle w:val="CharPartText"/>
          <w:i/>
        </w:rPr>
        <w:t>District Court (Fees) Regulations 2002</w:t>
      </w:r>
      <w:r>
        <w:rPr>
          <w:rStyle w:val="CharPartText"/>
        </w:rPr>
        <w:t> amended</w:t>
      </w:r>
      <w:bookmarkEnd w:id="30"/>
      <w:bookmarkEnd w:id="31"/>
      <w:bookmarkEnd w:id="32"/>
      <w:bookmarkEnd w:id="33"/>
      <w:bookmarkEnd w:id="34"/>
      <w:bookmarkEnd w:id="35"/>
      <w:bookmarkEnd w:id="36"/>
      <w:bookmarkEnd w:id="37"/>
      <w:bookmarkEnd w:id="38"/>
      <w:bookmarkEnd w:id="39"/>
    </w:p>
    <w:p>
      <w:pPr>
        <w:pStyle w:val="nzHeading5"/>
        <w:rPr>
          <w:snapToGrid w:val="0"/>
        </w:rPr>
      </w:pPr>
      <w:bookmarkStart w:id="40" w:name="_Toc514414466"/>
      <w:bookmarkStart w:id="41" w:name="_Toc514666262"/>
      <w:r>
        <w:rPr>
          <w:rStyle w:val="CharSectno"/>
        </w:rPr>
        <w:t>11</w:t>
      </w:r>
      <w:r>
        <w:rPr>
          <w:snapToGrid w:val="0"/>
        </w:rPr>
        <w:t>.</w:t>
      </w:r>
      <w:r>
        <w:rPr>
          <w:snapToGrid w:val="0"/>
        </w:rPr>
        <w:tab/>
        <w:t>Regulations amended</w:t>
      </w:r>
      <w:bookmarkEnd w:id="40"/>
      <w:bookmarkEnd w:id="41"/>
    </w:p>
    <w:p>
      <w:pPr>
        <w:pStyle w:val="nzSubsection"/>
      </w:pPr>
      <w:r>
        <w:tab/>
      </w:r>
      <w:r>
        <w:tab/>
      </w:r>
      <w:r>
        <w:rPr>
          <w:spacing w:val="-2"/>
        </w:rPr>
        <w:t>This Part</w:t>
      </w:r>
      <w:r>
        <w:t xml:space="preserve"> amends the </w:t>
      </w:r>
      <w:r>
        <w:rPr>
          <w:i/>
        </w:rPr>
        <w:t>District Court (Fees) Regulations 2002</w:t>
      </w:r>
      <w:r>
        <w:t>.</w:t>
      </w:r>
    </w:p>
    <w:p>
      <w:pPr>
        <w:pStyle w:val="nzHeading5"/>
      </w:pPr>
      <w:bookmarkStart w:id="42" w:name="_Toc514414467"/>
      <w:bookmarkStart w:id="43" w:name="_Toc514666263"/>
      <w:r>
        <w:rPr>
          <w:rStyle w:val="CharSectno"/>
        </w:rPr>
        <w:t>12</w:t>
      </w:r>
      <w:r>
        <w:t>.</w:t>
      </w:r>
      <w:r>
        <w:tab/>
        <w:t>Schedule 1 replaced</w:t>
      </w:r>
      <w:bookmarkEnd w:id="42"/>
      <w:bookmarkEnd w:id="43"/>
    </w:p>
    <w:p>
      <w:pPr>
        <w:pStyle w:val="nzSubsection"/>
      </w:pPr>
      <w:r>
        <w:tab/>
      </w:r>
      <w:r>
        <w:tab/>
        <w:t>Delete Schedule 1 and insert:</w:t>
      </w:r>
    </w:p>
    <w:p>
      <w:pPr>
        <w:pStyle w:val="BlankOpen"/>
      </w:pPr>
    </w:p>
    <w:p>
      <w:pPr>
        <w:pStyle w:val="nzHeading2"/>
      </w:pPr>
      <w:bookmarkStart w:id="44" w:name="_Toc514321219"/>
      <w:bookmarkStart w:id="45" w:name="_Toc514321284"/>
      <w:bookmarkStart w:id="46" w:name="_Toc514330278"/>
      <w:bookmarkStart w:id="47" w:name="_Toc514334943"/>
      <w:bookmarkStart w:id="48" w:name="_Toc514336292"/>
      <w:bookmarkStart w:id="49" w:name="_Toc514336494"/>
      <w:bookmarkStart w:id="50" w:name="_Toc514414468"/>
      <w:bookmarkStart w:id="51" w:name="_Toc514414533"/>
      <w:bookmarkStart w:id="52" w:name="_Toc514657443"/>
      <w:bookmarkStart w:id="53" w:name="_Toc514666264"/>
      <w:r>
        <w:t>Schedule 1 — Registry fees</w:t>
      </w:r>
      <w:bookmarkEnd w:id="44"/>
      <w:bookmarkEnd w:id="45"/>
      <w:bookmarkEnd w:id="46"/>
      <w:bookmarkEnd w:id="47"/>
      <w:bookmarkEnd w:id="48"/>
      <w:bookmarkEnd w:id="49"/>
      <w:bookmarkEnd w:id="50"/>
      <w:bookmarkEnd w:id="51"/>
      <w:bookmarkEnd w:id="52"/>
      <w:bookmarkEnd w:id="53"/>
    </w:p>
    <w:p>
      <w:pPr>
        <w:pStyle w:val="nzShoulderClause"/>
      </w:pPr>
      <w:r>
        <w:t>[r. 4]</w:t>
      </w:r>
    </w:p>
    <w:tbl>
      <w:tblPr>
        <w:tblW w:w="7088" w:type="dxa"/>
        <w:tblInd w:w="108" w:type="dxa"/>
        <w:tblLayout w:type="fixed"/>
        <w:tblLook w:val="0000" w:firstRow="0" w:lastRow="0" w:firstColumn="0" w:lastColumn="0" w:noHBand="0" w:noVBand="0"/>
      </w:tblPr>
      <w:tblGrid>
        <w:gridCol w:w="673"/>
        <w:gridCol w:w="2588"/>
        <w:gridCol w:w="1275"/>
        <w:gridCol w:w="1276"/>
        <w:gridCol w:w="1276"/>
      </w:tblGrid>
      <w:tr>
        <w:trPr>
          <w:cantSplit/>
          <w:tblHeader/>
        </w:trPr>
        <w:tc>
          <w:tcPr>
            <w:tcW w:w="673" w:type="dxa"/>
            <w:tcBorders>
              <w:top w:val="single" w:sz="4" w:space="0" w:color="auto"/>
              <w:bottom w:val="single" w:sz="4" w:space="0" w:color="auto"/>
            </w:tcBorders>
          </w:tcPr>
          <w:p>
            <w:pPr>
              <w:pStyle w:val="yTableNAm"/>
              <w:jc w:val="center"/>
              <w:rPr>
                <w:b/>
              </w:rPr>
            </w:pPr>
            <w:r>
              <w:rPr>
                <w:b/>
              </w:rPr>
              <w:t>Item</w:t>
            </w:r>
          </w:p>
        </w:tc>
        <w:tc>
          <w:tcPr>
            <w:tcW w:w="2588" w:type="dxa"/>
            <w:tcBorders>
              <w:top w:val="single" w:sz="4" w:space="0" w:color="auto"/>
              <w:bottom w:val="single" w:sz="4" w:space="0" w:color="auto"/>
            </w:tcBorders>
          </w:tcPr>
          <w:p>
            <w:pPr>
              <w:pStyle w:val="yTableNAm"/>
              <w:jc w:val="center"/>
              <w:rPr>
                <w:b/>
              </w:rPr>
            </w:pPr>
            <w:r>
              <w:rPr>
                <w:b/>
              </w:rPr>
              <w:t>Matter</w:t>
            </w:r>
          </w:p>
        </w:tc>
        <w:tc>
          <w:tcPr>
            <w:tcW w:w="1275" w:type="dxa"/>
            <w:tcBorders>
              <w:top w:val="single" w:sz="4" w:space="0" w:color="auto"/>
              <w:bottom w:val="single" w:sz="4" w:space="0" w:color="auto"/>
            </w:tcBorders>
          </w:tcPr>
          <w:p>
            <w:pPr>
              <w:pStyle w:val="yTableNAm"/>
              <w:jc w:val="center"/>
              <w:rPr>
                <w:b/>
              </w:rPr>
            </w:pPr>
            <w:r>
              <w:rPr>
                <w:b/>
              </w:rPr>
              <w:t>Column A</w:t>
            </w:r>
          </w:p>
          <w:p>
            <w:pPr>
              <w:pStyle w:val="yTableNAm"/>
              <w:jc w:val="center"/>
              <w:rPr>
                <w:b/>
              </w:rPr>
            </w:pPr>
            <w:r>
              <w:rPr>
                <w:b/>
              </w:rPr>
              <w:t>Fee for individual or eligible entity</w:t>
            </w:r>
            <w:r>
              <w:rPr>
                <w:b/>
              </w:rPr>
              <w:br/>
              <w:t>$</w:t>
            </w:r>
          </w:p>
        </w:tc>
        <w:tc>
          <w:tcPr>
            <w:tcW w:w="1276" w:type="dxa"/>
            <w:tcBorders>
              <w:top w:val="single" w:sz="4" w:space="0" w:color="auto"/>
              <w:bottom w:val="single" w:sz="4" w:space="0" w:color="auto"/>
            </w:tcBorders>
          </w:tcPr>
          <w:p>
            <w:pPr>
              <w:pStyle w:val="yTableNAm"/>
              <w:jc w:val="center"/>
              <w:rPr>
                <w:b/>
              </w:rPr>
            </w:pPr>
            <w:r>
              <w:rPr>
                <w:b/>
              </w:rPr>
              <w:t>Column B</w:t>
            </w:r>
          </w:p>
          <w:p>
            <w:pPr>
              <w:pStyle w:val="yTableNAm"/>
              <w:jc w:val="center"/>
              <w:rPr>
                <w:b/>
              </w:rPr>
            </w:pPr>
            <w:r>
              <w:rPr>
                <w:b/>
              </w:rPr>
              <w:t>Fee for entity</w:t>
            </w:r>
            <w:r>
              <w:rPr>
                <w:b/>
              </w:rPr>
              <w:br/>
            </w:r>
            <w:r>
              <w:rPr>
                <w:b/>
              </w:rPr>
              <w:br/>
            </w:r>
            <w:r>
              <w:rPr>
                <w:b/>
              </w:rPr>
              <w:br/>
              <w:t>$</w:t>
            </w:r>
          </w:p>
        </w:tc>
        <w:tc>
          <w:tcPr>
            <w:tcW w:w="1276" w:type="dxa"/>
            <w:tcBorders>
              <w:top w:val="single" w:sz="4" w:space="0" w:color="auto"/>
              <w:bottom w:val="single" w:sz="4" w:space="0" w:color="auto"/>
            </w:tcBorders>
          </w:tcPr>
          <w:p>
            <w:pPr>
              <w:pStyle w:val="yTableNAm"/>
              <w:jc w:val="center"/>
              <w:rPr>
                <w:b/>
              </w:rPr>
            </w:pPr>
            <w:r>
              <w:rPr>
                <w:b/>
              </w:rPr>
              <w:t>Column C</w:t>
            </w:r>
          </w:p>
          <w:p>
            <w:pPr>
              <w:pStyle w:val="yTableNAm"/>
              <w:jc w:val="center"/>
              <w:rPr>
                <w:b/>
              </w:rPr>
            </w:pPr>
            <w:r>
              <w:rPr>
                <w:b/>
              </w:rPr>
              <w:t>Fee for eligible individual</w:t>
            </w:r>
            <w:r>
              <w:rPr>
                <w:b/>
              </w:rPr>
              <w:br/>
            </w:r>
            <w:r>
              <w:rPr>
                <w:b/>
              </w:rPr>
              <w:br/>
              <w:t>$</w:t>
            </w:r>
          </w:p>
        </w:tc>
      </w:tr>
      <w:tr>
        <w:trPr>
          <w:cantSplit/>
        </w:trPr>
        <w:tc>
          <w:tcPr>
            <w:tcW w:w="673" w:type="dxa"/>
            <w:tcBorders>
              <w:top w:val="single" w:sz="4" w:space="0" w:color="auto"/>
            </w:tcBorders>
          </w:tcPr>
          <w:p>
            <w:pPr>
              <w:pStyle w:val="yTableNAm"/>
            </w:pPr>
            <w:r>
              <w:rPr>
                <w:szCs w:val="22"/>
              </w:rPr>
              <w:t>1.</w:t>
            </w:r>
          </w:p>
        </w:tc>
        <w:tc>
          <w:tcPr>
            <w:tcW w:w="2588" w:type="dxa"/>
            <w:tcBorders>
              <w:top w:val="single" w:sz="4" w:space="0" w:color="auto"/>
            </w:tcBorders>
          </w:tcPr>
          <w:p>
            <w:pPr>
              <w:pStyle w:val="yTableNAm"/>
            </w:pPr>
            <w:r>
              <w:rPr>
                <w:szCs w:val="22"/>
              </w:rPr>
              <w:t>On filing any originating process by which a cause, matter or other proceeding in the Court is commenced, other than proceedings of the kind referred to in item 2, 3, 4, 5 or 9</w:t>
            </w:r>
          </w:p>
        </w:tc>
        <w:tc>
          <w:tcPr>
            <w:tcW w:w="1275" w:type="dxa"/>
            <w:tcBorders>
              <w:top w:val="single" w:sz="4" w:space="0" w:color="auto"/>
            </w:tcBorders>
            <w:vAlign w:val="bottom"/>
          </w:tcPr>
          <w:p>
            <w:pPr>
              <w:pStyle w:val="yTableNAm"/>
              <w:jc w:val="center"/>
            </w:pPr>
            <w:r>
              <w:rPr>
                <w:szCs w:val="22"/>
              </w:rPr>
              <w:t>877.00</w:t>
            </w:r>
          </w:p>
        </w:tc>
        <w:tc>
          <w:tcPr>
            <w:tcW w:w="1276" w:type="dxa"/>
            <w:tcBorders>
              <w:top w:val="single" w:sz="4" w:space="0" w:color="auto"/>
            </w:tcBorders>
            <w:vAlign w:val="bottom"/>
          </w:tcPr>
          <w:p>
            <w:pPr>
              <w:pStyle w:val="yTableNAm"/>
              <w:jc w:val="center"/>
            </w:pPr>
            <w:r>
              <w:rPr>
                <w:szCs w:val="22"/>
              </w:rPr>
              <w:t>1 711.00</w:t>
            </w:r>
          </w:p>
        </w:tc>
        <w:tc>
          <w:tcPr>
            <w:tcW w:w="1276" w:type="dxa"/>
            <w:tcBorders>
              <w:top w:val="single" w:sz="4" w:space="0" w:color="auto"/>
            </w:tcBorders>
            <w:vAlign w:val="bottom"/>
          </w:tcPr>
          <w:p>
            <w:pPr>
              <w:pStyle w:val="yTableNAm"/>
              <w:jc w:val="center"/>
            </w:pPr>
            <w:r>
              <w:rPr>
                <w:szCs w:val="22"/>
              </w:rPr>
              <w:t>100.00</w:t>
            </w:r>
          </w:p>
        </w:tc>
      </w:tr>
      <w:tr>
        <w:trPr>
          <w:cantSplit/>
        </w:trPr>
        <w:tc>
          <w:tcPr>
            <w:tcW w:w="673" w:type="dxa"/>
          </w:tcPr>
          <w:p>
            <w:pPr>
              <w:pStyle w:val="yTableNAm"/>
            </w:pPr>
            <w:r>
              <w:rPr>
                <w:szCs w:val="22"/>
              </w:rPr>
              <w:t>2.</w:t>
            </w:r>
          </w:p>
        </w:tc>
        <w:tc>
          <w:tcPr>
            <w:tcW w:w="2588" w:type="dxa"/>
          </w:tcPr>
          <w:p>
            <w:pPr>
              <w:pStyle w:val="yTableNAm"/>
            </w:pPr>
            <w:r>
              <w:rPr>
                <w:szCs w:val="22"/>
              </w:rPr>
              <w:t xml:space="preserve">On filing an application for an extraordinary licence under the </w:t>
            </w:r>
            <w:r>
              <w:rPr>
                <w:i/>
                <w:szCs w:val="22"/>
              </w:rPr>
              <w:t>Road Traffic (Authorisation to Drive) Act 2008</w:t>
            </w:r>
            <w:r>
              <w:rPr>
                <w:iCs/>
                <w:szCs w:val="22"/>
              </w:rPr>
              <w:t xml:space="preserve"> section 27</w:t>
            </w:r>
          </w:p>
        </w:tc>
        <w:tc>
          <w:tcPr>
            <w:tcW w:w="1275" w:type="dxa"/>
            <w:vAlign w:val="bottom"/>
          </w:tcPr>
          <w:p>
            <w:pPr>
              <w:pStyle w:val="yTableNAm"/>
              <w:jc w:val="center"/>
            </w:pPr>
            <w:r>
              <w:t>211.00</w:t>
            </w:r>
          </w:p>
        </w:tc>
        <w:tc>
          <w:tcPr>
            <w:tcW w:w="1276" w:type="dxa"/>
            <w:vAlign w:val="bottom"/>
          </w:tcPr>
          <w:p>
            <w:pPr>
              <w:pStyle w:val="yTableNAm"/>
              <w:jc w:val="center"/>
            </w:pPr>
            <w:r>
              <w:rPr>
                <w:szCs w:val="22"/>
              </w:rPr>
              <w:t>N/A</w:t>
            </w:r>
          </w:p>
        </w:tc>
        <w:tc>
          <w:tcPr>
            <w:tcW w:w="1276" w:type="dxa"/>
            <w:vAlign w:val="bottom"/>
          </w:tcPr>
          <w:p>
            <w:pPr>
              <w:pStyle w:val="yTableNAm"/>
              <w:jc w:val="center"/>
            </w:pPr>
            <w:r>
              <w:rPr>
                <w:szCs w:val="22"/>
              </w:rPr>
              <w:t>63.50</w:t>
            </w:r>
          </w:p>
        </w:tc>
      </w:tr>
      <w:tr>
        <w:trPr>
          <w:cantSplit/>
        </w:trPr>
        <w:tc>
          <w:tcPr>
            <w:tcW w:w="673" w:type="dxa"/>
          </w:tcPr>
          <w:p>
            <w:pPr>
              <w:pStyle w:val="yTableNAm"/>
            </w:pPr>
            <w:r>
              <w:rPr>
                <w:szCs w:val="22"/>
              </w:rPr>
              <w:t>3.</w:t>
            </w:r>
          </w:p>
        </w:tc>
        <w:tc>
          <w:tcPr>
            <w:tcW w:w="2588" w:type="dxa"/>
          </w:tcPr>
          <w:p>
            <w:pPr>
              <w:pStyle w:val="yTableNAm"/>
            </w:pPr>
            <w:r>
              <w:rPr>
                <w:szCs w:val="22"/>
              </w:rPr>
              <w:t xml:space="preserve">On filing an application for an order made under the </w:t>
            </w:r>
            <w:r>
              <w:rPr>
                <w:i/>
                <w:szCs w:val="22"/>
              </w:rPr>
              <w:t>Spent Convictions Act 1988</w:t>
            </w:r>
            <w:r>
              <w:rPr>
                <w:szCs w:val="22"/>
              </w:rPr>
              <w:t xml:space="preserve"> section 6(1)</w:t>
            </w:r>
          </w:p>
        </w:tc>
        <w:tc>
          <w:tcPr>
            <w:tcW w:w="1275" w:type="dxa"/>
            <w:vAlign w:val="bottom"/>
          </w:tcPr>
          <w:p>
            <w:pPr>
              <w:pStyle w:val="yTableNAm"/>
              <w:jc w:val="center"/>
            </w:pPr>
            <w:r>
              <w:t>128.00</w:t>
            </w:r>
          </w:p>
        </w:tc>
        <w:tc>
          <w:tcPr>
            <w:tcW w:w="1276" w:type="dxa"/>
            <w:vAlign w:val="bottom"/>
          </w:tcPr>
          <w:p>
            <w:pPr>
              <w:pStyle w:val="yTableNAm"/>
              <w:jc w:val="center"/>
            </w:pPr>
            <w:r>
              <w:rPr>
                <w:szCs w:val="22"/>
              </w:rPr>
              <w:t>N/A</w:t>
            </w:r>
          </w:p>
        </w:tc>
        <w:tc>
          <w:tcPr>
            <w:tcW w:w="1276" w:type="dxa"/>
            <w:vAlign w:val="bottom"/>
          </w:tcPr>
          <w:p>
            <w:pPr>
              <w:pStyle w:val="yTableNAm"/>
              <w:jc w:val="center"/>
            </w:pPr>
            <w:r>
              <w:rPr>
                <w:szCs w:val="22"/>
              </w:rPr>
              <w:t>38.40</w:t>
            </w:r>
          </w:p>
        </w:tc>
      </w:tr>
      <w:tr>
        <w:trPr>
          <w:cantSplit/>
        </w:trPr>
        <w:tc>
          <w:tcPr>
            <w:tcW w:w="673" w:type="dxa"/>
          </w:tcPr>
          <w:p>
            <w:pPr>
              <w:pStyle w:val="yTableNAm"/>
            </w:pPr>
            <w:r>
              <w:rPr>
                <w:szCs w:val="22"/>
              </w:rPr>
              <w:t>4.</w:t>
            </w:r>
          </w:p>
        </w:tc>
        <w:tc>
          <w:tcPr>
            <w:tcW w:w="2588" w:type="dxa"/>
          </w:tcPr>
          <w:p>
            <w:pPr>
              <w:pStyle w:val="yTableNAm"/>
            </w:pPr>
            <w:r>
              <w:rPr>
                <w:szCs w:val="22"/>
              </w:rPr>
              <w:t xml:space="preserve">On filing — </w:t>
            </w:r>
          </w:p>
        </w:tc>
        <w:tc>
          <w:tcPr>
            <w:tcW w:w="1275" w:type="dxa"/>
            <w:vAlign w:val="bottom"/>
          </w:tcPr>
          <w:p>
            <w:pPr>
              <w:pStyle w:val="zyTableNAm"/>
              <w:jc w:val="center"/>
              <w:rPr>
                <w:szCs w:val="22"/>
              </w:rPr>
            </w:pPr>
          </w:p>
        </w:tc>
        <w:tc>
          <w:tcPr>
            <w:tcW w:w="1276" w:type="dxa"/>
            <w:vAlign w:val="bottom"/>
          </w:tcPr>
          <w:p>
            <w:pPr>
              <w:pStyle w:val="zyTableNAm"/>
              <w:jc w:val="center"/>
              <w:rPr>
                <w:szCs w:val="22"/>
              </w:rPr>
            </w:pPr>
          </w:p>
        </w:tc>
        <w:tc>
          <w:tcPr>
            <w:tcW w:w="1276" w:type="dxa"/>
            <w:vAlign w:val="bottom"/>
          </w:tcPr>
          <w:p>
            <w:pPr>
              <w:pStyle w:val="yTableNAm"/>
              <w:jc w:val="center"/>
            </w:pPr>
          </w:p>
        </w:tc>
      </w:tr>
      <w:tr>
        <w:trPr>
          <w:cantSplit/>
        </w:trPr>
        <w:tc>
          <w:tcPr>
            <w:tcW w:w="673" w:type="dxa"/>
          </w:tcPr>
          <w:p>
            <w:pPr>
              <w:pStyle w:val="zyTableNAm"/>
              <w:rPr>
                <w:szCs w:val="22"/>
              </w:rPr>
            </w:pPr>
          </w:p>
        </w:tc>
        <w:tc>
          <w:tcPr>
            <w:tcW w:w="2588" w:type="dxa"/>
          </w:tcPr>
          <w:p>
            <w:pPr>
              <w:pStyle w:val="yTableNAm"/>
            </w:pPr>
            <w:r>
              <w:rPr>
                <w:szCs w:val="22"/>
              </w:rPr>
              <w:t>(a)</w:t>
            </w:r>
            <w:r>
              <w:rPr>
                <w:szCs w:val="22"/>
              </w:rPr>
              <w:tab/>
              <w:t>a counterclaim</w:t>
            </w:r>
          </w:p>
        </w:tc>
        <w:tc>
          <w:tcPr>
            <w:tcW w:w="1275" w:type="dxa"/>
            <w:vAlign w:val="bottom"/>
          </w:tcPr>
          <w:p>
            <w:pPr>
              <w:pStyle w:val="yTableNAm"/>
              <w:jc w:val="center"/>
            </w:pPr>
            <w:r>
              <w:rPr>
                <w:szCs w:val="22"/>
              </w:rPr>
              <w:t>877.00</w:t>
            </w:r>
          </w:p>
        </w:tc>
        <w:tc>
          <w:tcPr>
            <w:tcW w:w="1276" w:type="dxa"/>
            <w:vAlign w:val="bottom"/>
          </w:tcPr>
          <w:p>
            <w:pPr>
              <w:pStyle w:val="yTableNAm"/>
              <w:jc w:val="center"/>
            </w:pPr>
            <w:r>
              <w:rPr>
                <w:szCs w:val="22"/>
              </w:rPr>
              <w:t>1 711.00</w:t>
            </w:r>
          </w:p>
        </w:tc>
        <w:tc>
          <w:tcPr>
            <w:tcW w:w="1276" w:type="dxa"/>
            <w:vAlign w:val="bottom"/>
          </w:tcPr>
          <w:p>
            <w:pPr>
              <w:pStyle w:val="yTableNAm"/>
              <w:jc w:val="center"/>
            </w:pPr>
            <w:r>
              <w:rPr>
                <w:szCs w:val="22"/>
              </w:rPr>
              <w:t>100.00</w:t>
            </w:r>
          </w:p>
        </w:tc>
      </w:tr>
      <w:tr>
        <w:trPr>
          <w:cantSplit/>
        </w:trPr>
        <w:tc>
          <w:tcPr>
            <w:tcW w:w="673" w:type="dxa"/>
          </w:tcPr>
          <w:p>
            <w:pPr>
              <w:pStyle w:val="zyTableNAm"/>
              <w:rPr>
                <w:szCs w:val="22"/>
              </w:rPr>
            </w:pPr>
          </w:p>
        </w:tc>
        <w:tc>
          <w:tcPr>
            <w:tcW w:w="2588" w:type="dxa"/>
          </w:tcPr>
          <w:p>
            <w:pPr>
              <w:pStyle w:val="yTableNAm"/>
            </w:pPr>
            <w:r>
              <w:rPr>
                <w:szCs w:val="22"/>
              </w:rPr>
              <w:t>(b)</w:t>
            </w:r>
            <w:r>
              <w:rPr>
                <w:szCs w:val="22"/>
              </w:rPr>
              <w:tab/>
              <w:t xml:space="preserve">a third party notice </w:t>
            </w:r>
          </w:p>
        </w:tc>
        <w:tc>
          <w:tcPr>
            <w:tcW w:w="1275" w:type="dxa"/>
            <w:vAlign w:val="bottom"/>
          </w:tcPr>
          <w:p>
            <w:pPr>
              <w:pStyle w:val="yTableNAm"/>
              <w:jc w:val="center"/>
            </w:pPr>
            <w:r>
              <w:rPr>
                <w:szCs w:val="22"/>
              </w:rPr>
              <w:t>877.00</w:t>
            </w:r>
          </w:p>
        </w:tc>
        <w:tc>
          <w:tcPr>
            <w:tcW w:w="1276" w:type="dxa"/>
            <w:vAlign w:val="bottom"/>
          </w:tcPr>
          <w:p>
            <w:pPr>
              <w:pStyle w:val="yTableNAm"/>
              <w:jc w:val="center"/>
            </w:pPr>
            <w:r>
              <w:rPr>
                <w:szCs w:val="22"/>
              </w:rPr>
              <w:t>1 711.00</w:t>
            </w:r>
          </w:p>
        </w:tc>
        <w:tc>
          <w:tcPr>
            <w:tcW w:w="1276" w:type="dxa"/>
            <w:vAlign w:val="bottom"/>
          </w:tcPr>
          <w:p>
            <w:pPr>
              <w:pStyle w:val="yTableNAm"/>
              <w:jc w:val="center"/>
            </w:pPr>
            <w:r>
              <w:rPr>
                <w:szCs w:val="22"/>
              </w:rPr>
              <w:t>100.00</w:t>
            </w:r>
          </w:p>
        </w:tc>
      </w:tr>
      <w:tr>
        <w:trPr>
          <w:cantSplit/>
        </w:trPr>
        <w:tc>
          <w:tcPr>
            <w:tcW w:w="673" w:type="dxa"/>
          </w:tcPr>
          <w:p>
            <w:pPr>
              <w:pStyle w:val="zyTableNAm"/>
              <w:rPr>
                <w:szCs w:val="22"/>
              </w:rPr>
            </w:pPr>
          </w:p>
        </w:tc>
        <w:tc>
          <w:tcPr>
            <w:tcW w:w="2588" w:type="dxa"/>
          </w:tcPr>
          <w:p>
            <w:pPr>
              <w:pStyle w:val="yTableNAm"/>
              <w:ind w:left="1140" w:hanging="1140"/>
            </w:pPr>
            <w:r>
              <w:rPr>
                <w:szCs w:val="22"/>
              </w:rPr>
              <w:t>(c)</w:t>
            </w:r>
            <w:r>
              <w:rPr>
                <w:szCs w:val="22"/>
              </w:rPr>
              <w:tab/>
              <w:t>an application — </w:t>
            </w:r>
          </w:p>
          <w:p>
            <w:pPr>
              <w:pStyle w:val="yTableNAm"/>
              <w:ind w:left="1140" w:hanging="1140"/>
            </w:pPr>
            <w:r>
              <w:tab/>
              <w:t>(i)</w:t>
            </w:r>
            <w:r>
              <w:tab/>
              <w:t>to extend a period of time fixed by law, including an application to extend time before proceedings are commenced</w:t>
            </w:r>
          </w:p>
        </w:tc>
        <w:tc>
          <w:tcPr>
            <w:tcW w:w="1275" w:type="dxa"/>
            <w:vAlign w:val="bottom"/>
          </w:tcPr>
          <w:p>
            <w:pPr>
              <w:pStyle w:val="yTableNAm"/>
              <w:jc w:val="center"/>
            </w:pPr>
            <w:r>
              <w:t>330.00</w:t>
            </w:r>
          </w:p>
        </w:tc>
        <w:tc>
          <w:tcPr>
            <w:tcW w:w="1276" w:type="dxa"/>
            <w:vAlign w:val="bottom"/>
          </w:tcPr>
          <w:p>
            <w:pPr>
              <w:pStyle w:val="yTableNAm"/>
              <w:jc w:val="center"/>
            </w:pPr>
            <w:r>
              <w:t>569.00</w:t>
            </w:r>
          </w:p>
        </w:tc>
        <w:tc>
          <w:tcPr>
            <w:tcW w:w="1276" w:type="dxa"/>
            <w:vAlign w:val="bottom"/>
          </w:tcPr>
          <w:p>
            <w:pPr>
              <w:pStyle w:val="yTableNAm"/>
              <w:jc w:val="center"/>
            </w:pPr>
            <w:r>
              <w:t>99.00</w:t>
            </w:r>
          </w:p>
        </w:tc>
      </w:tr>
      <w:tr>
        <w:trPr>
          <w:cantSplit/>
        </w:trPr>
        <w:tc>
          <w:tcPr>
            <w:tcW w:w="673" w:type="dxa"/>
          </w:tcPr>
          <w:p>
            <w:pPr>
              <w:pStyle w:val="zyTableNAm"/>
              <w:rPr>
                <w:szCs w:val="22"/>
              </w:rPr>
            </w:pPr>
          </w:p>
        </w:tc>
        <w:tc>
          <w:tcPr>
            <w:tcW w:w="2588" w:type="dxa"/>
          </w:tcPr>
          <w:p>
            <w:pPr>
              <w:pStyle w:val="yTableNAm"/>
              <w:ind w:left="1140" w:hanging="1140"/>
            </w:pPr>
            <w:r>
              <w:rPr>
                <w:szCs w:val="22"/>
              </w:rPr>
              <w:tab/>
              <w:t>(ii)</w:t>
            </w:r>
            <w:r>
              <w:rPr>
                <w:szCs w:val="22"/>
              </w:rPr>
              <w:tab/>
              <w:t xml:space="preserve">to </w:t>
            </w:r>
            <w:r>
              <w:t>limit</w:t>
            </w:r>
            <w:r>
              <w:rPr>
                <w:szCs w:val="22"/>
              </w:rPr>
              <w:t xml:space="preserve"> a period of time within which proceedings may be taken</w:t>
            </w:r>
          </w:p>
        </w:tc>
        <w:tc>
          <w:tcPr>
            <w:tcW w:w="1275" w:type="dxa"/>
            <w:vAlign w:val="bottom"/>
          </w:tcPr>
          <w:p>
            <w:pPr>
              <w:pStyle w:val="yTableNAm"/>
              <w:jc w:val="center"/>
            </w:pPr>
            <w:r>
              <w:t>330.00</w:t>
            </w:r>
          </w:p>
        </w:tc>
        <w:tc>
          <w:tcPr>
            <w:tcW w:w="1276" w:type="dxa"/>
            <w:vAlign w:val="bottom"/>
          </w:tcPr>
          <w:p>
            <w:pPr>
              <w:pStyle w:val="yTableNAm"/>
              <w:jc w:val="center"/>
            </w:pPr>
            <w:r>
              <w:t>569.00</w:t>
            </w:r>
          </w:p>
        </w:tc>
        <w:tc>
          <w:tcPr>
            <w:tcW w:w="1276" w:type="dxa"/>
            <w:vAlign w:val="bottom"/>
          </w:tcPr>
          <w:p>
            <w:pPr>
              <w:pStyle w:val="yTableNAm"/>
              <w:jc w:val="center"/>
            </w:pPr>
            <w:r>
              <w:t>99.00</w:t>
            </w:r>
          </w:p>
        </w:tc>
      </w:tr>
      <w:tr>
        <w:trPr>
          <w:cantSplit/>
        </w:trPr>
        <w:tc>
          <w:tcPr>
            <w:tcW w:w="673" w:type="dxa"/>
          </w:tcPr>
          <w:p>
            <w:pPr>
              <w:pStyle w:val="zyTableNAm"/>
              <w:rPr>
                <w:szCs w:val="22"/>
              </w:rPr>
            </w:pPr>
          </w:p>
        </w:tc>
        <w:tc>
          <w:tcPr>
            <w:tcW w:w="2588" w:type="dxa"/>
          </w:tcPr>
          <w:p>
            <w:pPr>
              <w:pStyle w:val="yTableNAm"/>
              <w:ind w:left="1140" w:hanging="1140"/>
            </w:pPr>
            <w:r>
              <w:rPr>
                <w:szCs w:val="22"/>
              </w:rPr>
              <w:tab/>
              <w:t>(iii)</w:t>
            </w:r>
            <w:r>
              <w:rPr>
                <w:szCs w:val="22"/>
              </w:rPr>
              <w:tab/>
              <w:t xml:space="preserve">for </w:t>
            </w:r>
            <w:r>
              <w:t>leave</w:t>
            </w:r>
            <w:r>
              <w:rPr>
                <w:szCs w:val="22"/>
              </w:rPr>
              <w:t xml:space="preserve"> to serve a writ or notice of a writ out of jurisdiction</w:t>
            </w:r>
          </w:p>
        </w:tc>
        <w:tc>
          <w:tcPr>
            <w:tcW w:w="1275" w:type="dxa"/>
            <w:vAlign w:val="bottom"/>
          </w:tcPr>
          <w:p>
            <w:pPr>
              <w:pStyle w:val="yTableNAm"/>
              <w:jc w:val="center"/>
            </w:pPr>
            <w:r>
              <w:t>330.00</w:t>
            </w:r>
          </w:p>
        </w:tc>
        <w:tc>
          <w:tcPr>
            <w:tcW w:w="1276" w:type="dxa"/>
            <w:vAlign w:val="bottom"/>
          </w:tcPr>
          <w:p>
            <w:pPr>
              <w:pStyle w:val="yTableNAm"/>
              <w:jc w:val="center"/>
            </w:pPr>
            <w:r>
              <w:t>569.00</w:t>
            </w:r>
          </w:p>
        </w:tc>
        <w:tc>
          <w:tcPr>
            <w:tcW w:w="1276" w:type="dxa"/>
            <w:vAlign w:val="bottom"/>
          </w:tcPr>
          <w:p>
            <w:pPr>
              <w:pStyle w:val="yTableNAm"/>
              <w:jc w:val="center"/>
            </w:pPr>
            <w:r>
              <w:t>99.00</w:t>
            </w:r>
          </w:p>
        </w:tc>
      </w:tr>
      <w:tr>
        <w:trPr>
          <w:cantSplit/>
        </w:trPr>
        <w:tc>
          <w:tcPr>
            <w:tcW w:w="673" w:type="dxa"/>
          </w:tcPr>
          <w:p>
            <w:pPr>
              <w:pStyle w:val="zyTableNAm"/>
              <w:rPr>
                <w:szCs w:val="22"/>
              </w:rPr>
            </w:pPr>
          </w:p>
        </w:tc>
        <w:tc>
          <w:tcPr>
            <w:tcW w:w="2588" w:type="dxa"/>
          </w:tcPr>
          <w:p>
            <w:pPr>
              <w:pStyle w:val="yTableNAm"/>
              <w:ind w:left="567" w:hanging="567"/>
            </w:pPr>
            <w:r>
              <w:rPr>
                <w:szCs w:val="22"/>
              </w:rPr>
              <w:t>(d)</w:t>
            </w:r>
            <w:r>
              <w:rPr>
                <w:szCs w:val="22"/>
              </w:rPr>
              <w:tab/>
              <w:t>an application for leave to appeal</w:t>
            </w:r>
          </w:p>
        </w:tc>
        <w:tc>
          <w:tcPr>
            <w:tcW w:w="1275" w:type="dxa"/>
            <w:shd w:val="clear" w:color="auto" w:fill="auto"/>
            <w:vAlign w:val="bottom"/>
          </w:tcPr>
          <w:p>
            <w:pPr>
              <w:pStyle w:val="yTableNAm"/>
              <w:jc w:val="center"/>
            </w:pPr>
            <w:r>
              <w:t>0.00</w:t>
            </w:r>
          </w:p>
        </w:tc>
        <w:tc>
          <w:tcPr>
            <w:tcW w:w="1276" w:type="dxa"/>
            <w:shd w:val="clear" w:color="auto" w:fill="auto"/>
            <w:vAlign w:val="bottom"/>
          </w:tcPr>
          <w:p>
            <w:pPr>
              <w:pStyle w:val="yTableNAm"/>
              <w:jc w:val="center"/>
            </w:pPr>
            <w:r>
              <w:t>0.00</w:t>
            </w:r>
          </w:p>
        </w:tc>
        <w:tc>
          <w:tcPr>
            <w:tcW w:w="1276" w:type="dxa"/>
            <w:shd w:val="clear" w:color="auto" w:fill="auto"/>
            <w:vAlign w:val="bottom"/>
          </w:tcPr>
          <w:p>
            <w:pPr>
              <w:pStyle w:val="yTableNAm"/>
              <w:jc w:val="center"/>
            </w:pPr>
            <w:r>
              <w:t>0.00</w:t>
            </w:r>
          </w:p>
        </w:tc>
      </w:tr>
      <w:tr>
        <w:trPr>
          <w:cantSplit/>
        </w:trPr>
        <w:tc>
          <w:tcPr>
            <w:tcW w:w="673" w:type="dxa"/>
          </w:tcPr>
          <w:p>
            <w:pPr>
              <w:pStyle w:val="zyTableNAm"/>
              <w:rPr>
                <w:szCs w:val="22"/>
              </w:rPr>
            </w:pPr>
          </w:p>
        </w:tc>
        <w:tc>
          <w:tcPr>
            <w:tcW w:w="2588" w:type="dxa"/>
          </w:tcPr>
          <w:p>
            <w:pPr>
              <w:pStyle w:val="yTableNAm"/>
              <w:ind w:left="567" w:hanging="567"/>
            </w:pPr>
            <w:r>
              <w:rPr>
                <w:szCs w:val="22"/>
              </w:rPr>
              <w:t>(e)</w:t>
            </w:r>
            <w:r>
              <w:rPr>
                <w:szCs w:val="22"/>
              </w:rPr>
              <w:tab/>
              <w:t>any other application for which no fee has been provided in this Schedule</w:t>
            </w:r>
          </w:p>
        </w:tc>
        <w:tc>
          <w:tcPr>
            <w:tcW w:w="1275" w:type="dxa"/>
            <w:shd w:val="clear" w:color="auto" w:fill="auto"/>
            <w:vAlign w:val="bottom"/>
          </w:tcPr>
          <w:p>
            <w:pPr>
              <w:pStyle w:val="yTableNAm"/>
              <w:jc w:val="center"/>
            </w:pPr>
            <w:r>
              <w:t>330.00</w:t>
            </w:r>
          </w:p>
        </w:tc>
        <w:tc>
          <w:tcPr>
            <w:tcW w:w="1276" w:type="dxa"/>
            <w:shd w:val="clear" w:color="auto" w:fill="auto"/>
            <w:vAlign w:val="bottom"/>
          </w:tcPr>
          <w:p>
            <w:pPr>
              <w:pStyle w:val="yTableNAm"/>
              <w:jc w:val="center"/>
            </w:pPr>
            <w:r>
              <w:t>569.00</w:t>
            </w:r>
          </w:p>
        </w:tc>
        <w:tc>
          <w:tcPr>
            <w:tcW w:w="1276" w:type="dxa"/>
            <w:shd w:val="clear" w:color="auto" w:fill="auto"/>
            <w:vAlign w:val="bottom"/>
          </w:tcPr>
          <w:p>
            <w:pPr>
              <w:pStyle w:val="yTableNAm"/>
              <w:jc w:val="center"/>
            </w:pPr>
            <w:r>
              <w:t>99.00</w:t>
            </w:r>
          </w:p>
        </w:tc>
      </w:tr>
      <w:tr>
        <w:tblPrEx>
          <w:tblCellMar>
            <w:bottom w:w="113" w:type="dxa"/>
          </w:tblCellMar>
        </w:tblPrEx>
        <w:trPr>
          <w:cantSplit/>
        </w:trPr>
        <w:tc>
          <w:tcPr>
            <w:tcW w:w="673" w:type="dxa"/>
          </w:tcPr>
          <w:p>
            <w:pPr>
              <w:pStyle w:val="yTableNAm"/>
            </w:pPr>
            <w:r>
              <w:rPr>
                <w:szCs w:val="22"/>
              </w:rPr>
              <w:t>5.</w:t>
            </w:r>
          </w:p>
        </w:tc>
        <w:tc>
          <w:tcPr>
            <w:tcW w:w="2588" w:type="dxa"/>
          </w:tcPr>
          <w:p>
            <w:pPr>
              <w:pStyle w:val="yTableNAm"/>
            </w:pPr>
            <w:r>
              <w:rPr>
                <w:szCs w:val="22"/>
              </w:rPr>
              <w:t xml:space="preserve">On filing — </w:t>
            </w:r>
          </w:p>
          <w:p>
            <w:pPr>
              <w:pStyle w:val="yTableNAm"/>
            </w:pPr>
            <w:r>
              <w:t>(a)</w:t>
            </w:r>
            <w:r>
              <w:tab/>
              <w:t>an appeal notice</w:t>
            </w:r>
          </w:p>
        </w:tc>
        <w:tc>
          <w:tcPr>
            <w:tcW w:w="1275" w:type="dxa"/>
            <w:vAlign w:val="bottom"/>
          </w:tcPr>
          <w:p>
            <w:pPr>
              <w:pStyle w:val="yTableNAm"/>
              <w:jc w:val="center"/>
            </w:pPr>
            <w:r>
              <w:t>497.00</w:t>
            </w:r>
          </w:p>
        </w:tc>
        <w:tc>
          <w:tcPr>
            <w:tcW w:w="1276" w:type="dxa"/>
            <w:vAlign w:val="bottom"/>
          </w:tcPr>
          <w:p>
            <w:pPr>
              <w:pStyle w:val="yTableNAm"/>
              <w:jc w:val="center"/>
            </w:pPr>
            <w:r>
              <w:t>1 286.00</w:t>
            </w:r>
          </w:p>
        </w:tc>
        <w:tc>
          <w:tcPr>
            <w:tcW w:w="1276" w:type="dxa"/>
            <w:vAlign w:val="bottom"/>
          </w:tcPr>
          <w:p>
            <w:pPr>
              <w:pStyle w:val="yTableNAm"/>
              <w:jc w:val="center"/>
            </w:pPr>
            <w:r>
              <w:t>100.00</w:t>
            </w:r>
          </w:p>
        </w:tc>
      </w:tr>
      <w:tr>
        <w:tblPrEx>
          <w:tblCellMar>
            <w:bottom w:w="113" w:type="dxa"/>
          </w:tblCellMar>
        </w:tblPrEx>
        <w:trPr>
          <w:cantSplit/>
        </w:trPr>
        <w:tc>
          <w:tcPr>
            <w:tcW w:w="673" w:type="dxa"/>
          </w:tcPr>
          <w:p>
            <w:pPr>
              <w:pStyle w:val="zyTableNAm"/>
              <w:keepLines/>
              <w:rPr>
                <w:szCs w:val="22"/>
              </w:rPr>
            </w:pPr>
          </w:p>
        </w:tc>
        <w:tc>
          <w:tcPr>
            <w:tcW w:w="2588" w:type="dxa"/>
          </w:tcPr>
          <w:p>
            <w:pPr>
              <w:pStyle w:val="yTableNAm"/>
              <w:ind w:left="567" w:hanging="567"/>
            </w:pPr>
            <w:r>
              <w:rPr>
                <w:szCs w:val="22"/>
              </w:rPr>
              <w:t>(b)</w:t>
            </w:r>
            <w:r>
              <w:rPr>
                <w:szCs w:val="22"/>
              </w:rPr>
              <w:tab/>
              <w:t>for each additional half day allocated for the hearing of the appeal</w:t>
            </w:r>
          </w:p>
        </w:tc>
        <w:tc>
          <w:tcPr>
            <w:tcW w:w="1275" w:type="dxa"/>
            <w:vAlign w:val="bottom"/>
          </w:tcPr>
          <w:p>
            <w:pPr>
              <w:pStyle w:val="yTableNAm"/>
              <w:jc w:val="center"/>
            </w:pPr>
            <w:r>
              <w:rPr>
                <w:szCs w:val="22"/>
              </w:rPr>
              <w:br/>
            </w:r>
            <w:r>
              <w:rPr>
                <w:szCs w:val="22"/>
              </w:rPr>
              <w:br/>
            </w:r>
            <w:r>
              <w:t>385.00</w:t>
            </w:r>
          </w:p>
        </w:tc>
        <w:tc>
          <w:tcPr>
            <w:tcW w:w="1276" w:type="dxa"/>
            <w:vAlign w:val="bottom"/>
          </w:tcPr>
          <w:p>
            <w:pPr>
              <w:pStyle w:val="yTableNAm"/>
              <w:jc w:val="center"/>
            </w:pPr>
            <w:r>
              <w:rPr>
                <w:szCs w:val="22"/>
              </w:rPr>
              <w:t>1 003.00</w:t>
            </w:r>
          </w:p>
        </w:tc>
        <w:tc>
          <w:tcPr>
            <w:tcW w:w="1276" w:type="dxa"/>
            <w:vAlign w:val="bottom"/>
          </w:tcPr>
          <w:p>
            <w:pPr>
              <w:pStyle w:val="yTableNAm"/>
              <w:jc w:val="center"/>
            </w:pPr>
            <w:r>
              <w:rPr>
                <w:szCs w:val="22"/>
              </w:rPr>
              <w:br/>
            </w:r>
            <w:r>
              <w:rPr>
                <w:szCs w:val="22"/>
              </w:rPr>
              <w:br/>
            </w:r>
            <w:r>
              <w:t>100.00</w:t>
            </w:r>
          </w:p>
        </w:tc>
      </w:tr>
      <w:tr>
        <w:tblPrEx>
          <w:tblCellMar>
            <w:bottom w:w="113" w:type="dxa"/>
          </w:tblCellMar>
        </w:tblPrEx>
        <w:trPr>
          <w:cantSplit/>
          <w:trHeight w:val="910"/>
        </w:trPr>
        <w:tc>
          <w:tcPr>
            <w:tcW w:w="673" w:type="dxa"/>
          </w:tcPr>
          <w:p>
            <w:pPr>
              <w:pStyle w:val="zyTableNAm"/>
              <w:keepNext/>
              <w:keepLines/>
              <w:rPr>
                <w:szCs w:val="22"/>
              </w:rPr>
            </w:pPr>
          </w:p>
        </w:tc>
        <w:tc>
          <w:tcPr>
            <w:tcW w:w="6415" w:type="dxa"/>
            <w:gridSpan w:val="4"/>
          </w:tcPr>
          <w:p>
            <w:pPr>
              <w:pStyle w:val="yTableNAm"/>
              <w:rPr>
                <w:sz w:val="18"/>
                <w:szCs w:val="18"/>
              </w:rPr>
            </w:pPr>
            <w:r>
              <w:rPr>
                <w:rFonts w:ascii="Arial" w:hAnsi="Arial" w:cs="Arial"/>
                <w:sz w:val="18"/>
                <w:szCs w:val="18"/>
              </w:rPr>
              <w:t>Note 1:</w:t>
            </w:r>
          </w:p>
          <w:p>
            <w:pPr>
              <w:pStyle w:val="yTableNAm"/>
              <w:rPr>
                <w:sz w:val="18"/>
                <w:szCs w:val="18"/>
              </w:rPr>
            </w:pPr>
            <w:r>
              <w:rPr>
                <w:sz w:val="18"/>
                <w:szCs w:val="18"/>
              </w:rPr>
              <w:t>The fee in item 5(a) includes any directions hearings and the first half day allocated by the District Court for the hearing of the appeal.</w:t>
            </w:r>
          </w:p>
        </w:tc>
      </w:tr>
      <w:tr>
        <w:tblPrEx>
          <w:tblCellMar>
            <w:bottom w:w="113" w:type="dxa"/>
          </w:tblCellMar>
        </w:tblPrEx>
        <w:trPr>
          <w:cantSplit/>
          <w:trHeight w:val="1100"/>
        </w:trPr>
        <w:tc>
          <w:tcPr>
            <w:tcW w:w="673" w:type="dxa"/>
          </w:tcPr>
          <w:p>
            <w:pPr>
              <w:pStyle w:val="zyTableNAm"/>
              <w:rPr>
                <w:szCs w:val="22"/>
              </w:rPr>
            </w:pPr>
          </w:p>
        </w:tc>
        <w:tc>
          <w:tcPr>
            <w:tcW w:w="6415" w:type="dxa"/>
            <w:gridSpan w:val="4"/>
          </w:tcPr>
          <w:p>
            <w:pPr>
              <w:pStyle w:val="yTableNAm"/>
              <w:rPr>
                <w:sz w:val="18"/>
                <w:szCs w:val="18"/>
              </w:rPr>
            </w:pPr>
            <w:r>
              <w:rPr>
                <w:rFonts w:ascii="Arial" w:hAnsi="Arial" w:cs="Arial"/>
                <w:sz w:val="18"/>
                <w:szCs w:val="18"/>
              </w:rPr>
              <w:t>Note 2:</w:t>
            </w:r>
          </w:p>
          <w:p>
            <w:pPr>
              <w:pStyle w:val="yTableNAm"/>
              <w:rPr>
                <w:sz w:val="18"/>
                <w:szCs w:val="18"/>
              </w:rPr>
            </w:pPr>
            <w:r>
              <w:rPr>
                <w:sz w:val="18"/>
                <w:szCs w:val="18"/>
              </w:rPr>
              <w:t>The fee in item 5(b) is payable for each half day, allocated by the District Court for the hearing of the appeal, that is additional to the first half day of hearing.</w:t>
            </w:r>
          </w:p>
        </w:tc>
      </w:tr>
      <w:tr>
        <w:tblPrEx>
          <w:tblCellMar>
            <w:bottom w:w="113" w:type="dxa"/>
          </w:tblCellMar>
        </w:tblPrEx>
        <w:trPr>
          <w:cantSplit/>
          <w:trHeight w:val="1119"/>
        </w:trPr>
        <w:tc>
          <w:tcPr>
            <w:tcW w:w="673" w:type="dxa"/>
          </w:tcPr>
          <w:p>
            <w:pPr>
              <w:pStyle w:val="zyTableNAm"/>
              <w:rPr>
                <w:szCs w:val="22"/>
              </w:rPr>
            </w:pPr>
          </w:p>
        </w:tc>
        <w:tc>
          <w:tcPr>
            <w:tcW w:w="6415" w:type="dxa"/>
            <w:gridSpan w:val="4"/>
          </w:tcPr>
          <w:p>
            <w:pPr>
              <w:pStyle w:val="yTableNAm"/>
              <w:rPr>
                <w:sz w:val="18"/>
                <w:szCs w:val="18"/>
              </w:rPr>
            </w:pPr>
            <w:r>
              <w:rPr>
                <w:rFonts w:ascii="Arial" w:hAnsi="Arial" w:cs="Arial"/>
                <w:sz w:val="18"/>
                <w:szCs w:val="18"/>
              </w:rPr>
              <w:t>Note 3:</w:t>
            </w:r>
          </w:p>
          <w:p>
            <w:pPr>
              <w:pStyle w:val="yTableNAm"/>
              <w:rPr>
                <w:sz w:val="18"/>
                <w:szCs w:val="18"/>
              </w:rPr>
            </w:pPr>
            <w:r>
              <w:rPr>
                <w:sz w:val="18"/>
                <w:szCs w:val="18"/>
              </w:rPr>
              <w:t xml:space="preserve">Under the </w:t>
            </w:r>
            <w:r>
              <w:rPr>
                <w:i/>
                <w:sz w:val="18"/>
                <w:szCs w:val="18"/>
              </w:rPr>
              <w:t>District Court Rules 2005</w:t>
            </w:r>
            <w:r>
              <w:rPr>
                <w:sz w:val="18"/>
                <w:szCs w:val="18"/>
              </w:rPr>
              <w:t xml:space="preserve"> rule 56A, if the fee payable under item 5(b) is not paid or waived within 14 days after the date on which the hearing date is set, the appeal may be dismissed for want of prosecution.</w:t>
            </w:r>
          </w:p>
        </w:tc>
      </w:tr>
      <w:tr>
        <w:trPr>
          <w:cantSplit/>
        </w:trPr>
        <w:tc>
          <w:tcPr>
            <w:tcW w:w="673" w:type="dxa"/>
          </w:tcPr>
          <w:p>
            <w:pPr>
              <w:pStyle w:val="yTableNAm"/>
            </w:pPr>
            <w:r>
              <w:rPr>
                <w:szCs w:val="22"/>
              </w:rPr>
              <w:t>6.</w:t>
            </w:r>
          </w:p>
        </w:tc>
        <w:tc>
          <w:tcPr>
            <w:tcW w:w="2588" w:type="dxa"/>
          </w:tcPr>
          <w:p>
            <w:pPr>
              <w:pStyle w:val="yTableNAm"/>
            </w:pPr>
            <w:r>
              <w:rPr>
                <w:szCs w:val="22"/>
              </w:rPr>
              <w:t>Entry for hearing a cause or matter (including the assessment of damages in an action for personal injury) or notice of an appointment to hear an originating summons</w:t>
            </w:r>
          </w:p>
        </w:tc>
        <w:tc>
          <w:tcPr>
            <w:tcW w:w="1275" w:type="dxa"/>
            <w:vAlign w:val="bottom"/>
          </w:tcPr>
          <w:p>
            <w:pPr>
              <w:pStyle w:val="yTableNAm"/>
              <w:jc w:val="center"/>
            </w:pPr>
            <w:r>
              <w:rPr>
                <w:szCs w:val="22"/>
              </w:rPr>
              <w:t>877.00</w:t>
            </w:r>
          </w:p>
        </w:tc>
        <w:tc>
          <w:tcPr>
            <w:tcW w:w="1276" w:type="dxa"/>
            <w:vAlign w:val="bottom"/>
          </w:tcPr>
          <w:p>
            <w:pPr>
              <w:pStyle w:val="yTableNAm"/>
              <w:jc w:val="center"/>
            </w:pPr>
            <w:r>
              <w:rPr>
                <w:szCs w:val="22"/>
              </w:rPr>
              <w:t>1 711.00</w:t>
            </w:r>
          </w:p>
        </w:tc>
        <w:tc>
          <w:tcPr>
            <w:tcW w:w="1276" w:type="dxa"/>
            <w:vAlign w:val="bottom"/>
          </w:tcPr>
          <w:p>
            <w:pPr>
              <w:pStyle w:val="yTableNAm"/>
              <w:jc w:val="center"/>
            </w:pPr>
            <w:r>
              <w:rPr>
                <w:szCs w:val="22"/>
              </w:rPr>
              <w:t>100.00</w:t>
            </w:r>
          </w:p>
        </w:tc>
      </w:tr>
      <w:tr>
        <w:trPr>
          <w:cantSplit/>
          <w:trHeight w:val="746"/>
        </w:trPr>
        <w:tc>
          <w:tcPr>
            <w:tcW w:w="673" w:type="dxa"/>
          </w:tcPr>
          <w:p>
            <w:pPr>
              <w:pStyle w:val="zyTableNAm"/>
              <w:rPr>
                <w:szCs w:val="22"/>
              </w:rPr>
            </w:pPr>
          </w:p>
        </w:tc>
        <w:tc>
          <w:tcPr>
            <w:tcW w:w="6415" w:type="dxa"/>
            <w:gridSpan w:val="4"/>
          </w:tcPr>
          <w:p>
            <w:pPr>
              <w:pStyle w:val="yTableNAm"/>
              <w:rPr>
                <w:sz w:val="18"/>
                <w:szCs w:val="18"/>
              </w:rPr>
            </w:pPr>
            <w:r>
              <w:rPr>
                <w:sz w:val="18"/>
                <w:szCs w:val="18"/>
              </w:rPr>
              <w:t>Note:</w:t>
            </w:r>
          </w:p>
          <w:p>
            <w:pPr>
              <w:pStyle w:val="yTableNAm"/>
              <w:rPr>
                <w:szCs w:val="22"/>
              </w:rPr>
            </w:pPr>
            <w:r>
              <w:rPr>
                <w:sz w:val="18"/>
                <w:szCs w:val="18"/>
              </w:rPr>
              <w:t>This item does not apply to entering an appeal for hearing.</w:t>
            </w:r>
          </w:p>
        </w:tc>
      </w:tr>
      <w:tr>
        <w:tblPrEx>
          <w:tblCellMar>
            <w:bottom w:w="113" w:type="dxa"/>
          </w:tblCellMar>
        </w:tblPrEx>
        <w:trPr>
          <w:cantSplit/>
        </w:trPr>
        <w:tc>
          <w:tcPr>
            <w:tcW w:w="673" w:type="dxa"/>
          </w:tcPr>
          <w:p>
            <w:pPr>
              <w:pStyle w:val="yTableNAm"/>
            </w:pPr>
            <w:r>
              <w:rPr>
                <w:szCs w:val="22"/>
              </w:rPr>
              <w:t>7.</w:t>
            </w:r>
          </w:p>
        </w:tc>
        <w:tc>
          <w:tcPr>
            <w:tcW w:w="2588" w:type="dxa"/>
          </w:tcPr>
          <w:p>
            <w:pPr>
              <w:pStyle w:val="yTableNAm"/>
            </w:pPr>
            <w:r>
              <w:rPr>
                <w:szCs w:val="22"/>
              </w:rPr>
              <w:t>Allocation of hearing date, for each day allocated</w:t>
            </w:r>
          </w:p>
        </w:tc>
        <w:tc>
          <w:tcPr>
            <w:tcW w:w="1275" w:type="dxa"/>
            <w:vAlign w:val="bottom"/>
          </w:tcPr>
          <w:p>
            <w:pPr>
              <w:pStyle w:val="yTableNAm"/>
              <w:jc w:val="center"/>
            </w:pPr>
            <w:r>
              <w:rPr>
                <w:szCs w:val="22"/>
              </w:rPr>
              <w:br/>
            </w:r>
            <w:r>
              <w:t>770.00</w:t>
            </w:r>
          </w:p>
        </w:tc>
        <w:tc>
          <w:tcPr>
            <w:tcW w:w="1276" w:type="dxa"/>
            <w:vAlign w:val="bottom"/>
          </w:tcPr>
          <w:p>
            <w:pPr>
              <w:pStyle w:val="yTableNAm"/>
              <w:jc w:val="center"/>
            </w:pPr>
            <w:r>
              <w:rPr>
                <w:szCs w:val="22"/>
              </w:rPr>
              <w:t>2 005.00</w:t>
            </w:r>
          </w:p>
        </w:tc>
        <w:tc>
          <w:tcPr>
            <w:tcW w:w="1276" w:type="dxa"/>
            <w:vAlign w:val="bottom"/>
          </w:tcPr>
          <w:p>
            <w:pPr>
              <w:pStyle w:val="yTableNAm"/>
              <w:jc w:val="center"/>
            </w:pPr>
            <w:r>
              <w:rPr>
                <w:szCs w:val="22"/>
              </w:rPr>
              <w:br/>
            </w:r>
            <w:r>
              <w:t>100.00</w:t>
            </w:r>
          </w:p>
        </w:tc>
      </w:tr>
      <w:tr>
        <w:tblPrEx>
          <w:tblCellMar>
            <w:bottom w:w="113" w:type="dxa"/>
          </w:tblCellMar>
        </w:tblPrEx>
        <w:trPr>
          <w:cantSplit/>
          <w:trHeight w:val="720"/>
        </w:trPr>
        <w:tc>
          <w:tcPr>
            <w:tcW w:w="673" w:type="dxa"/>
          </w:tcPr>
          <w:p>
            <w:pPr>
              <w:pStyle w:val="zyTableNAm"/>
              <w:rPr>
                <w:szCs w:val="22"/>
              </w:rPr>
            </w:pPr>
          </w:p>
        </w:tc>
        <w:tc>
          <w:tcPr>
            <w:tcW w:w="6415" w:type="dxa"/>
            <w:gridSpan w:val="4"/>
          </w:tcPr>
          <w:p>
            <w:pPr>
              <w:pStyle w:val="yTableNAm"/>
              <w:rPr>
                <w:sz w:val="18"/>
                <w:szCs w:val="18"/>
              </w:rPr>
            </w:pPr>
            <w:r>
              <w:rPr>
                <w:sz w:val="18"/>
                <w:szCs w:val="18"/>
              </w:rPr>
              <w:t>Note 1:</w:t>
            </w:r>
          </w:p>
          <w:p>
            <w:pPr>
              <w:pStyle w:val="yTableNAm"/>
              <w:rPr>
                <w:sz w:val="18"/>
                <w:szCs w:val="18"/>
              </w:rPr>
            </w:pPr>
            <w:r>
              <w:rPr>
                <w:sz w:val="18"/>
                <w:szCs w:val="18"/>
              </w:rPr>
              <w:t>See regulation 10.</w:t>
            </w:r>
          </w:p>
        </w:tc>
      </w:tr>
      <w:tr>
        <w:tblPrEx>
          <w:tblCellMar>
            <w:bottom w:w="113" w:type="dxa"/>
          </w:tblCellMar>
        </w:tblPrEx>
        <w:trPr>
          <w:cantSplit/>
          <w:trHeight w:val="720"/>
        </w:trPr>
        <w:tc>
          <w:tcPr>
            <w:tcW w:w="673" w:type="dxa"/>
          </w:tcPr>
          <w:p>
            <w:pPr>
              <w:pStyle w:val="yTableNAm"/>
              <w:rPr>
                <w:sz w:val="18"/>
                <w:szCs w:val="18"/>
              </w:rPr>
            </w:pPr>
          </w:p>
        </w:tc>
        <w:tc>
          <w:tcPr>
            <w:tcW w:w="6415" w:type="dxa"/>
            <w:gridSpan w:val="4"/>
          </w:tcPr>
          <w:p>
            <w:pPr>
              <w:pStyle w:val="yTableNAm"/>
              <w:rPr>
                <w:sz w:val="18"/>
                <w:szCs w:val="18"/>
              </w:rPr>
            </w:pPr>
            <w:r>
              <w:rPr>
                <w:sz w:val="18"/>
                <w:szCs w:val="18"/>
              </w:rPr>
              <w:t>Note 2:</w:t>
            </w:r>
          </w:p>
          <w:p>
            <w:pPr>
              <w:pStyle w:val="yTableNAm"/>
              <w:rPr>
                <w:sz w:val="18"/>
                <w:szCs w:val="18"/>
              </w:rPr>
            </w:pPr>
            <w:r>
              <w:rPr>
                <w:sz w:val="18"/>
                <w:szCs w:val="18"/>
              </w:rPr>
              <w:t>This item does not apply to the allocation of a hearing date for an appeal.</w:t>
            </w:r>
          </w:p>
        </w:tc>
      </w:tr>
      <w:tr>
        <w:trPr>
          <w:cantSplit/>
        </w:trPr>
        <w:tc>
          <w:tcPr>
            <w:tcW w:w="673" w:type="dxa"/>
          </w:tcPr>
          <w:p>
            <w:pPr>
              <w:pStyle w:val="yTableNAm"/>
            </w:pPr>
            <w:r>
              <w:rPr>
                <w:szCs w:val="22"/>
              </w:rPr>
              <w:t>8.</w:t>
            </w:r>
          </w:p>
        </w:tc>
        <w:tc>
          <w:tcPr>
            <w:tcW w:w="2588" w:type="dxa"/>
          </w:tcPr>
          <w:p>
            <w:pPr>
              <w:pStyle w:val="yTableNAm"/>
            </w:pPr>
            <w:r>
              <w:rPr>
                <w:szCs w:val="22"/>
              </w:rPr>
              <w:t>Daily hearing fee before a court constituted by a judge</w:t>
            </w:r>
          </w:p>
        </w:tc>
        <w:tc>
          <w:tcPr>
            <w:tcW w:w="1275" w:type="dxa"/>
            <w:vAlign w:val="bottom"/>
          </w:tcPr>
          <w:p>
            <w:pPr>
              <w:pStyle w:val="yTableNAm"/>
              <w:jc w:val="center"/>
            </w:pPr>
            <w:r>
              <w:t>770.00</w:t>
            </w:r>
          </w:p>
        </w:tc>
        <w:tc>
          <w:tcPr>
            <w:tcW w:w="1276" w:type="dxa"/>
            <w:vAlign w:val="bottom"/>
          </w:tcPr>
          <w:p>
            <w:pPr>
              <w:pStyle w:val="yTableNAm"/>
              <w:jc w:val="center"/>
            </w:pPr>
            <w:r>
              <w:rPr>
                <w:szCs w:val="22"/>
              </w:rPr>
              <w:t>2 005.00</w:t>
            </w:r>
          </w:p>
        </w:tc>
        <w:tc>
          <w:tcPr>
            <w:tcW w:w="1276" w:type="dxa"/>
            <w:vAlign w:val="bottom"/>
          </w:tcPr>
          <w:p>
            <w:pPr>
              <w:pStyle w:val="yTableNAm"/>
              <w:jc w:val="center"/>
            </w:pPr>
            <w:r>
              <w:t>100.00</w:t>
            </w:r>
          </w:p>
        </w:tc>
      </w:tr>
      <w:tr>
        <w:trPr>
          <w:cantSplit/>
          <w:trHeight w:val="679"/>
        </w:trPr>
        <w:tc>
          <w:tcPr>
            <w:tcW w:w="673" w:type="dxa"/>
          </w:tcPr>
          <w:p>
            <w:pPr>
              <w:pStyle w:val="zyTableNAm"/>
              <w:rPr>
                <w:szCs w:val="22"/>
              </w:rPr>
            </w:pPr>
          </w:p>
        </w:tc>
        <w:tc>
          <w:tcPr>
            <w:tcW w:w="6415" w:type="dxa"/>
            <w:gridSpan w:val="4"/>
          </w:tcPr>
          <w:p>
            <w:pPr>
              <w:pStyle w:val="yTableNAm"/>
              <w:rPr>
                <w:sz w:val="18"/>
                <w:szCs w:val="18"/>
              </w:rPr>
            </w:pPr>
            <w:r>
              <w:rPr>
                <w:sz w:val="18"/>
                <w:szCs w:val="18"/>
              </w:rPr>
              <w:t>Note 1:</w:t>
            </w:r>
          </w:p>
          <w:p>
            <w:pPr>
              <w:pStyle w:val="yTableNAm"/>
              <w:rPr>
                <w:sz w:val="18"/>
                <w:szCs w:val="18"/>
              </w:rPr>
            </w:pPr>
            <w:r>
              <w:rPr>
                <w:sz w:val="18"/>
                <w:szCs w:val="18"/>
              </w:rPr>
              <w:t>No fee is payable if the proceedings are of an interlocutory nature only.</w:t>
            </w:r>
          </w:p>
        </w:tc>
      </w:tr>
      <w:tr>
        <w:trPr>
          <w:cantSplit/>
          <w:trHeight w:val="1087"/>
        </w:trPr>
        <w:tc>
          <w:tcPr>
            <w:tcW w:w="673" w:type="dxa"/>
          </w:tcPr>
          <w:p>
            <w:pPr>
              <w:pStyle w:val="zyTableNAm"/>
              <w:rPr>
                <w:szCs w:val="22"/>
              </w:rPr>
            </w:pPr>
          </w:p>
        </w:tc>
        <w:tc>
          <w:tcPr>
            <w:tcW w:w="6415" w:type="dxa"/>
            <w:gridSpan w:val="4"/>
          </w:tcPr>
          <w:p>
            <w:pPr>
              <w:pStyle w:val="yTableNAm"/>
              <w:rPr>
                <w:sz w:val="18"/>
                <w:szCs w:val="18"/>
              </w:rPr>
            </w:pPr>
            <w:r>
              <w:rPr>
                <w:sz w:val="18"/>
                <w:szCs w:val="18"/>
              </w:rPr>
              <w:t>Note 2:</w:t>
            </w:r>
          </w:p>
          <w:p>
            <w:pPr>
              <w:pStyle w:val="yTableNAm"/>
              <w:rPr>
                <w:sz w:val="18"/>
                <w:szCs w:val="18"/>
              </w:rPr>
            </w:pPr>
            <w:r>
              <w:rPr>
                <w:sz w:val="18"/>
                <w:szCs w:val="18"/>
              </w:rPr>
              <w:t>The fee to be charged is to be paid in respect of any number of hearing days or half days greater than the number of hearing days for which a fee has been paid under item 5 or 7.</w:t>
            </w:r>
          </w:p>
        </w:tc>
      </w:tr>
      <w:tr>
        <w:trPr>
          <w:cantSplit/>
          <w:trHeight w:val="897"/>
        </w:trPr>
        <w:tc>
          <w:tcPr>
            <w:tcW w:w="673" w:type="dxa"/>
          </w:tcPr>
          <w:p>
            <w:pPr>
              <w:pStyle w:val="zyTableNAm"/>
              <w:rPr>
                <w:szCs w:val="22"/>
              </w:rPr>
            </w:pPr>
          </w:p>
        </w:tc>
        <w:tc>
          <w:tcPr>
            <w:tcW w:w="6415" w:type="dxa"/>
            <w:gridSpan w:val="4"/>
          </w:tcPr>
          <w:p>
            <w:pPr>
              <w:pStyle w:val="yTableNAm"/>
              <w:rPr>
                <w:sz w:val="18"/>
                <w:szCs w:val="18"/>
              </w:rPr>
            </w:pPr>
            <w:r>
              <w:rPr>
                <w:sz w:val="18"/>
                <w:szCs w:val="18"/>
              </w:rPr>
              <w:t>Note 3:</w:t>
            </w:r>
          </w:p>
          <w:p>
            <w:pPr>
              <w:pStyle w:val="yTableNAm"/>
              <w:rPr>
                <w:sz w:val="18"/>
                <w:szCs w:val="18"/>
              </w:rPr>
            </w:pPr>
            <w:r>
              <w:rPr>
                <w:sz w:val="18"/>
                <w:szCs w:val="18"/>
              </w:rPr>
              <w:t>If the Court only allocates a half day or less for the continuation of the hearing then a fee equal to half the prescribed amount is payable for that period.</w:t>
            </w:r>
          </w:p>
        </w:tc>
      </w:tr>
      <w:tr>
        <w:trPr>
          <w:cantSplit/>
          <w:trHeight w:val="829"/>
        </w:trPr>
        <w:tc>
          <w:tcPr>
            <w:tcW w:w="673" w:type="dxa"/>
          </w:tcPr>
          <w:p>
            <w:pPr>
              <w:pStyle w:val="zyTableNAm"/>
              <w:rPr>
                <w:szCs w:val="22"/>
              </w:rPr>
            </w:pPr>
          </w:p>
        </w:tc>
        <w:tc>
          <w:tcPr>
            <w:tcW w:w="6415" w:type="dxa"/>
            <w:gridSpan w:val="4"/>
          </w:tcPr>
          <w:p>
            <w:pPr>
              <w:pStyle w:val="yTableNAm"/>
              <w:rPr>
                <w:sz w:val="18"/>
                <w:szCs w:val="18"/>
              </w:rPr>
            </w:pPr>
            <w:r>
              <w:rPr>
                <w:sz w:val="18"/>
                <w:szCs w:val="18"/>
              </w:rPr>
              <w:t>Note 4:</w:t>
            </w:r>
          </w:p>
          <w:p>
            <w:pPr>
              <w:pStyle w:val="yTableNAm"/>
              <w:rPr>
                <w:sz w:val="18"/>
                <w:szCs w:val="18"/>
              </w:rPr>
            </w:pPr>
            <w:r>
              <w:rPr>
                <w:sz w:val="18"/>
                <w:szCs w:val="18"/>
              </w:rPr>
              <w:t>The daily fee becomes payable on a day to day basis and is payable prior to the daily reconvening of the hearing.</w:t>
            </w:r>
          </w:p>
        </w:tc>
      </w:tr>
      <w:tr>
        <w:trPr>
          <w:cantSplit/>
        </w:trPr>
        <w:tc>
          <w:tcPr>
            <w:tcW w:w="673" w:type="dxa"/>
          </w:tcPr>
          <w:p>
            <w:pPr>
              <w:pStyle w:val="yTableNAm"/>
            </w:pPr>
            <w:r>
              <w:rPr>
                <w:szCs w:val="22"/>
              </w:rPr>
              <w:t>9.</w:t>
            </w:r>
          </w:p>
        </w:tc>
        <w:tc>
          <w:tcPr>
            <w:tcW w:w="2588" w:type="dxa"/>
          </w:tcPr>
          <w:p>
            <w:pPr>
              <w:pStyle w:val="yTableNAm"/>
            </w:pPr>
            <w:r>
              <w:rPr>
                <w:szCs w:val="22"/>
              </w:rPr>
              <w:t xml:space="preserve">On filing, before a judge or registrar in chambers — </w:t>
            </w:r>
          </w:p>
        </w:tc>
        <w:tc>
          <w:tcPr>
            <w:tcW w:w="1275" w:type="dxa"/>
            <w:vAlign w:val="bottom"/>
          </w:tcPr>
          <w:p>
            <w:pPr>
              <w:pStyle w:val="zyTableNAm"/>
              <w:jc w:val="center"/>
              <w:rPr>
                <w:szCs w:val="22"/>
              </w:rPr>
            </w:pPr>
          </w:p>
        </w:tc>
        <w:tc>
          <w:tcPr>
            <w:tcW w:w="1276" w:type="dxa"/>
            <w:vAlign w:val="bottom"/>
          </w:tcPr>
          <w:p>
            <w:pPr>
              <w:pStyle w:val="zyTableNAm"/>
              <w:jc w:val="center"/>
              <w:rPr>
                <w:szCs w:val="22"/>
              </w:rPr>
            </w:pPr>
          </w:p>
        </w:tc>
        <w:tc>
          <w:tcPr>
            <w:tcW w:w="1276" w:type="dxa"/>
            <w:vAlign w:val="bottom"/>
          </w:tcPr>
          <w:p>
            <w:pPr>
              <w:pStyle w:val="yTableNAm"/>
              <w:jc w:val="center"/>
            </w:pPr>
          </w:p>
        </w:tc>
      </w:tr>
      <w:tr>
        <w:trPr>
          <w:cantSplit/>
        </w:trPr>
        <w:tc>
          <w:tcPr>
            <w:tcW w:w="673" w:type="dxa"/>
          </w:tcPr>
          <w:p>
            <w:pPr>
              <w:pStyle w:val="zyTableNAm"/>
              <w:rPr>
                <w:szCs w:val="22"/>
              </w:rPr>
            </w:pPr>
          </w:p>
        </w:tc>
        <w:tc>
          <w:tcPr>
            <w:tcW w:w="2588" w:type="dxa"/>
          </w:tcPr>
          <w:p>
            <w:pPr>
              <w:pStyle w:val="yTableNAm"/>
              <w:ind w:left="567" w:hanging="567"/>
            </w:pPr>
            <w:r>
              <w:rPr>
                <w:szCs w:val="22"/>
              </w:rPr>
              <w:t>(a)</w:t>
            </w:r>
            <w:r>
              <w:rPr>
                <w:szCs w:val="22"/>
              </w:rPr>
              <w:tab/>
              <w:t>an interlocutory application or summons or motion returnable</w:t>
            </w:r>
          </w:p>
        </w:tc>
        <w:tc>
          <w:tcPr>
            <w:tcW w:w="1275" w:type="dxa"/>
            <w:vAlign w:val="bottom"/>
          </w:tcPr>
          <w:p>
            <w:pPr>
              <w:pStyle w:val="yTableNAm"/>
              <w:jc w:val="center"/>
            </w:pPr>
            <w:r>
              <w:t>220.00</w:t>
            </w:r>
          </w:p>
        </w:tc>
        <w:tc>
          <w:tcPr>
            <w:tcW w:w="1276" w:type="dxa"/>
            <w:vAlign w:val="bottom"/>
          </w:tcPr>
          <w:p>
            <w:pPr>
              <w:pStyle w:val="yTableNAm"/>
              <w:jc w:val="center"/>
            </w:pPr>
            <w:r>
              <w:t>429.00</w:t>
            </w:r>
          </w:p>
        </w:tc>
        <w:tc>
          <w:tcPr>
            <w:tcW w:w="1276" w:type="dxa"/>
            <w:vAlign w:val="bottom"/>
          </w:tcPr>
          <w:p>
            <w:pPr>
              <w:pStyle w:val="yTableNAm"/>
              <w:jc w:val="center"/>
            </w:pPr>
            <w:r>
              <w:t>66.00</w:t>
            </w:r>
          </w:p>
        </w:tc>
      </w:tr>
      <w:tr>
        <w:trPr>
          <w:cantSplit/>
        </w:trPr>
        <w:tc>
          <w:tcPr>
            <w:tcW w:w="673" w:type="dxa"/>
          </w:tcPr>
          <w:p>
            <w:pPr>
              <w:pStyle w:val="zyTableNAm"/>
              <w:rPr>
                <w:rStyle w:val="CommentReference"/>
                <w:rFonts w:ascii="Times" w:hAnsi="Times"/>
                <w:szCs w:val="22"/>
              </w:rPr>
            </w:pPr>
          </w:p>
        </w:tc>
        <w:tc>
          <w:tcPr>
            <w:tcW w:w="2588" w:type="dxa"/>
          </w:tcPr>
          <w:p>
            <w:pPr>
              <w:pStyle w:val="yTableNAm"/>
              <w:ind w:left="567" w:hanging="567"/>
            </w:pPr>
            <w:r>
              <w:rPr>
                <w:szCs w:val="22"/>
              </w:rPr>
              <w:t>(b)</w:t>
            </w:r>
            <w:r>
              <w:rPr>
                <w:szCs w:val="22"/>
              </w:rPr>
              <w:tab/>
              <w:t>an application for assessment of damages other than in an action for personal injury</w:t>
            </w:r>
          </w:p>
        </w:tc>
        <w:tc>
          <w:tcPr>
            <w:tcW w:w="1275" w:type="dxa"/>
            <w:vAlign w:val="bottom"/>
          </w:tcPr>
          <w:p>
            <w:pPr>
              <w:pStyle w:val="yTableNAm"/>
              <w:jc w:val="center"/>
            </w:pPr>
            <w:r>
              <w:t>220.00</w:t>
            </w:r>
          </w:p>
        </w:tc>
        <w:tc>
          <w:tcPr>
            <w:tcW w:w="1276" w:type="dxa"/>
            <w:vAlign w:val="bottom"/>
          </w:tcPr>
          <w:p>
            <w:pPr>
              <w:pStyle w:val="yTableNAm"/>
              <w:jc w:val="center"/>
            </w:pPr>
            <w:r>
              <w:t>429.00</w:t>
            </w:r>
          </w:p>
        </w:tc>
        <w:tc>
          <w:tcPr>
            <w:tcW w:w="1276" w:type="dxa"/>
            <w:vAlign w:val="bottom"/>
          </w:tcPr>
          <w:p>
            <w:pPr>
              <w:pStyle w:val="yTableNAm"/>
              <w:jc w:val="center"/>
            </w:pPr>
            <w:r>
              <w:t>66.00</w:t>
            </w:r>
          </w:p>
        </w:tc>
      </w:tr>
      <w:tr>
        <w:trPr>
          <w:cantSplit/>
        </w:trPr>
        <w:tc>
          <w:tcPr>
            <w:tcW w:w="673" w:type="dxa"/>
          </w:tcPr>
          <w:p>
            <w:pPr>
              <w:pStyle w:val="zyTableNAm"/>
              <w:rPr>
                <w:szCs w:val="22"/>
              </w:rPr>
            </w:pPr>
          </w:p>
        </w:tc>
        <w:tc>
          <w:tcPr>
            <w:tcW w:w="2588" w:type="dxa"/>
          </w:tcPr>
          <w:p>
            <w:pPr>
              <w:pStyle w:val="yTableNAm"/>
              <w:ind w:left="567" w:hanging="567"/>
            </w:pPr>
            <w:r>
              <w:rPr>
                <w:szCs w:val="22"/>
              </w:rPr>
              <w:t>(c)</w:t>
            </w:r>
            <w:r>
              <w:rPr>
                <w:szCs w:val="22"/>
              </w:rPr>
              <w:tab/>
              <w:t>an application for summary judgment</w:t>
            </w:r>
          </w:p>
        </w:tc>
        <w:tc>
          <w:tcPr>
            <w:tcW w:w="1275" w:type="dxa"/>
            <w:vAlign w:val="bottom"/>
          </w:tcPr>
          <w:p>
            <w:pPr>
              <w:pStyle w:val="yTableNAm"/>
              <w:jc w:val="center"/>
            </w:pPr>
            <w:r>
              <w:t>220.00</w:t>
            </w:r>
          </w:p>
        </w:tc>
        <w:tc>
          <w:tcPr>
            <w:tcW w:w="1276" w:type="dxa"/>
            <w:vAlign w:val="bottom"/>
          </w:tcPr>
          <w:p>
            <w:pPr>
              <w:pStyle w:val="yTableNAm"/>
              <w:jc w:val="center"/>
            </w:pPr>
            <w:r>
              <w:t>429.00</w:t>
            </w:r>
          </w:p>
        </w:tc>
        <w:tc>
          <w:tcPr>
            <w:tcW w:w="1276" w:type="dxa"/>
            <w:vAlign w:val="bottom"/>
          </w:tcPr>
          <w:p>
            <w:pPr>
              <w:pStyle w:val="yTableNAm"/>
              <w:jc w:val="center"/>
            </w:pPr>
            <w:r>
              <w:t>66.00</w:t>
            </w:r>
          </w:p>
        </w:tc>
      </w:tr>
      <w:tr>
        <w:trPr>
          <w:cantSplit/>
          <w:trHeight w:val="924"/>
        </w:trPr>
        <w:tc>
          <w:tcPr>
            <w:tcW w:w="673" w:type="dxa"/>
          </w:tcPr>
          <w:p>
            <w:pPr>
              <w:pStyle w:val="zyTableNAm"/>
              <w:rPr>
                <w:szCs w:val="22"/>
              </w:rPr>
            </w:pPr>
          </w:p>
        </w:tc>
        <w:tc>
          <w:tcPr>
            <w:tcW w:w="6415" w:type="dxa"/>
            <w:gridSpan w:val="4"/>
          </w:tcPr>
          <w:p>
            <w:pPr>
              <w:pStyle w:val="yTableNAm"/>
              <w:rPr>
                <w:sz w:val="18"/>
                <w:szCs w:val="18"/>
              </w:rPr>
            </w:pPr>
            <w:r>
              <w:rPr>
                <w:sz w:val="18"/>
                <w:szCs w:val="18"/>
              </w:rPr>
              <w:t>Note 1:</w:t>
            </w:r>
          </w:p>
          <w:p>
            <w:pPr>
              <w:pStyle w:val="yTableNAm"/>
              <w:rPr>
                <w:sz w:val="18"/>
                <w:szCs w:val="18"/>
              </w:rPr>
            </w:pPr>
            <w:r>
              <w:rPr>
                <w:sz w:val="18"/>
                <w:szCs w:val="18"/>
              </w:rPr>
              <w:t>This fee includes the first day of hearing of the application or summons and includes any adjournment of the hearing.</w:t>
            </w:r>
          </w:p>
        </w:tc>
      </w:tr>
      <w:tr>
        <w:trPr>
          <w:cantSplit/>
          <w:trHeight w:val="805"/>
        </w:trPr>
        <w:tc>
          <w:tcPr>
            <w:tcW w:w="673" w:type="dxa"/>
          </w:tcPr>
          <w:p>
            <w:pPr>
              <w:pStyle w:val="zyTableNAm"/>
              <w:rPr>
                <w:szCs w:val="22"/>
              </w:rPr>
            </w:pPr>
          </w:p>
        </w:tc>
        <w:tc>
          <w:tcPr>
            <w:tcW w:w="6415" w:type="dxa"/>
            <w:gridSpan w:val="4"/>
          </w:tcPr>
          <w:p>
            <w:pPr>
              <w:pStyle w:val="yTableNAm"/>
              <w:rPr>
                <w:sz w:val="18"/>
                <w:szCs w:val="18"/>
              </w:rPr>
            </w:pPr>
            <w:r>
              <w:rPr>
                <w:sz w:val="18"/>
                <w:szCs w:val="18"/>
              </w:rPr>
              <w:t>Note 2:</w:t>
            </w:r>
          </w:p>
          <w:p>
            <w:pPr>
              <w:pStyle w:val="yTableNAm"/>
              <w:rPr>
                <w:sz w:val="18"/>
                <w:szCs w:val="18"/>
              </w:rPr>
            </w:pPr>
            <w:r>
              <w:rPr>
                <w:sz w:val="18"/>
                <w:szCs w:val="18"/>
              </w:rPr>
              <w:t>This fee is payable in respect of any application exercising liberty to apply to relist.</w:t>
            </w:r>
          </w:p>
        </w:tc>
      </w:tr>
      <w:tr>
        <w:trPr>
          <w:cantSplit/>
        </w:trPr>
        <w:tc>
          <w:tcPr>
            <w:tcW w:w="673" w:type="dxa"/>
          </w:tcPr>
          <w:p>
            <w:pPr>
              <w:pStyle w:val="yTableNAm"/>
            </w:pPr>
            <w:r>
              <w:rPr>
                <w:szCs w:val="22"/>
              </w:rPr>
              <w:t>10.</w:t>
            </w:r>
          </w:p>
        </w:tc>
        <w:tc>
          <w:tcPr>
            <w:tcW w:w="2588" w:type="dxa"/>
          </w:tcPr>
          <w:p>
            <w:pPr>
              <w:pStyle w:val="yTableNAm"/>
            </w:pPr>
            <w:r>
              <w:rPr>
                <w:szCs w:val="22"/>
              </w:rPr>
              <w:t>If the hearing of a matter to which item 9 applies is listed for more than 1 day and proceeds for more than the number of days listed, the fee prescribed in item 9 is payable for each additional day or part day of hearing</w:t>
            </w:r>
          </w:p>
        </w:tc>
        <w:tc>
          <w:tcPr>
            <w:tcW w:w="1275" w:type="dxa"/>
            <w:vAlign w:val="bottom"/>
          </w:tcPr>
          <w:p>
            <w:pPr>
              <w:pStyle w:val="zyTableNAm"/>
              <w:jc w:val="center"/>
              <w:rPr>
                <w:szCs w:val="22"/>
              </w:rPr>
            </w:pPr>
          </w:p>
        </w:tc>
        <w:tc>
          <w:tcPr>
            <w:tcW w:w="1276" w:type="dxa"/>
            <w:vAlign w:val="bottom"/>
          </w:tcPr>
          <w:p>
            <w:pPr>
              <w:pStyle w:val="zyTableNAm"/>
              <w:jc w:val="center"/>
              <w:rPr>
                <w:szCs w:val="22"/>
              </w:rPr>
            </w:pPr>
          </w:p>
        </w:tc>
        <w:tc>
          <w:tcPr>
            <w:tcW w:w="1276" w:type="dxa"/>
            <w:vAlign w:val="bottom"/>
          </w:tcPr>
          <w:p>
            <w:pPr>
              <w:pStyle w:val="yTableNAm"/>
              <w:jc w:val="center"/>
            </w:pPr>
          </w:p>
        </w:tc>
      </w:tr>
      <w:tr>
        <w:trPr>
          <w:cantSplit/>
          <w:trHeight w:val="999"/>
        </w:trPr>
        <w:tc>
          <w:tcPr>
            <w:tcW w:w="673" w:type="dxa"/>
          </w:tcPr>
          <w:p>
            <w:pPr>
              <w:pStyle w:val="zyTableNAm"/>
              <w:rPr>
                <w:szCs w:val="22"/>
              </w:rPr>
            </w:pPr>
          </w:p>
        </w:tc>
        <w:tc>
          <w:tcPr>
            <w:tcW w:w="6415" w:type="dxa"/>
            <w:gridSpan w:val="4"/>
          </w:tcPr>
          <w:p>
            <w:pPr>
              <w:pStyle w:val="yTableNAm"/>
              <w:rPr>
                <w:sz w:val="18"/>
                <w:szCs w:val="18"/>
              </w:rPr>
            </w:pPr>
            <w:r>
              <w:rPr>
                <w:sz w:val="18"/>
                <w:szCs w:val="18"/>
              </w:rPr>
              <w:t>Note:</w:t>
            </w:r>
          </w:p>
          <w:p>
            <w:pPr>
              <w:pStyle w:val="yTableNAm"/>
              <w:rPr>
                <w:szCs w:val="22"/>
              </w:rPr>
            </w:pPr>
            <w:r>
              <w:rPr>
                <w:sz w:val="18"/>
                <w:szCs w:val="18"/>
              </w:rPr>
              <w:t>The daily fee becomes payable on a day to day basis and is payable prior to the daily reconvening of the hearing.</w:t>
            </w:r>
          </w:p>
        </w:tc>
      </w:tr>
      <w:tr>
        <w:trPr>
          <w:cantSplit/>
        </w:trPr>
        <w:tc>
          <w:tcPr>
            <w:tcW w:w="673" w:type="dxa"/>
          </w:tcPr>
          <w:p>
            <w:pPr>
              <w:pStyle w:val="yTableNAm"/>
            </w:pPr>
            <w:r>
              <w:rPr>
                <w:szCs w:val="22"/>
              </w:rPr>
              <w:t>11.</w:t>
            </w:r>
          </w:p>
        </w:tc>
        <w:tc>
          <w:tcPr>
            <w:tcW w:w="2588" w:type="dxa"/>
          </w:tcPr>
          <w:p>
            <w:pPr>
              <w:pStyle w:val="yTableNAm"/>
            </w:pPr>
            <w:r>
              <w:rPr>
                <w:szCs w:val="22"/>
              </w:rPr>
              <w:t xml:space="preserve">On an appointment to tax a bill of costs in a cause or matter or under the </w:t>
            </w:r>
            <w:r>
              <w:rPr>
                <w:i/>
                <w:szCs w:val="22"/>
              </w:rPr>
              <w:t>Commercial Arbitration Act 2012</w:t>
            </w:r>
            <w:r>
              <w:rPr>
                <w:szCs w:val="22"/>
              </w:rPr>
              <w:t> —</w:t>
            </w:r>
          </w:p>
        </w:tc>
        <w:tc>
          <w:tcPr>
            <w:tcW w:w="1275" w:type="dxa"/>
            <w:vAlign w:val="bottom"/>
          </w:tcPr>
          <w:p>
            <w:pPr>
              <w:pStyle w:val="zyTableNAm"/>
              <w:jc w:val="center"/>
              <w:rPr>
                <w:szCs w:val="22"/>
              </w:rPr>
            </w:pPr>
          </w:p>
        </w:tc>
        <w:tc>
          <w:tcPr>
            <w:tcW w:w="1276" w:type="dxa"/>
            <w:vAlign w:val="bottom"/>
          </w:tcPr>
          <w:p>
            <w:pPr>
              <w:pStyle w:val="zyTableNAm"/>
              <w:jc w:val="center"/>
              <w:rPr>
                <w:szCs w:val="22"/>
              </w:rPr>
            </w:pPr>
          </w:p>
        </w:tc>
        <w:tc>
          <w:tcPr>
            <w:tcW w:w="1276" w:type="dxa"/>
            <w:vAlign w:val="bottom"/>
          </w:tcPr>
          <w:p>
            <w:pPr>
              <w:pStyle w:val="yTableNAm"/>
              <w:jc w:val="center"/>
            </w:pPr>
          </w:p>
        </w:tc>
      </w:tr>
      <w:tr>
        <w:trPr>
          <w:cantSplit/>
        </w:trPr>
        <w:tc>
          <w:tcPr>
            <w:tcW w:w="673" w:type="dxa"/>
          </w:tcPr>
          <w:p>
            <w:pPr>
              <w:pStyle w:val="zyTableNAm"/>
              <w:rPr>
                <w:szCs w:val="22"/>
              </w:rPr>
            </w:pPr>
          </w:p>
        </w:tc>
        <w:tc>
          <w:tcPr>
            <w:tcW w:w="2588" w:type="dxa"/>
          </w:tcPr>
          <w:p>
            <w:pPr>
              <w:pStyle w:val="yTableNAm"/>
            </w:pPr>
            <w:r>
              <w:rPr>
                <w:szCs w:val="22"/>
              </w:rPr>
              <w:t>(a)</w:t>
            </w:r>
            <w:r>
              <w:rPr>
                <w:szCs w:val="22"/>
              </w:rPr>
              <w:tab/>
              <w:t>lodgment fee</w:t>
            </w:r>
          </w:p>
        </w:tc>
        <w:tc>
          <w:tcPr>
            <w:tcW w:w="1275" w:type="dxa"/>
            <w:vAlign w:val="bottom"/>
          </w:tcPr>
          <w:p>
            <w:pPr>
              <w:pStyle w:val="yTableNAm"/>
              <w:jc w:val="center"/>
            </w:pPr>
            <w:r>
              <w:t>220.00</w:t>
            </w:r>
          </w:p>
        </w:tc>
        <w:tc>
          <w:tcPr>
            <w:tcW w:w="1276" w:type="dxa"/>
            <w:vAlign w:val="bottom"/>
          </w:tcPr>
          <w:p>
            <w:pPr>
              <w:pStyle w:val="yTableNAm"/>
              <w:jc w:val="center"/>
            </w:pPr>
            <w:r>
              <w:t>429.00</w:t>
            </w:r>
          </w:p>
        </w:tc>
        <w:tc>
          <w:tcPr>
            <w:tcW w:w="1276" w:type="dxa"/>
            <w:vAlign w:val="bottom"/>
          </w:tcPr>
          <w:p>
            <w:pPr>
              <w:pStyle w:val="yTableNAm"/>
              <w:jc w:val="center"/>
            </w:pPr>
            <w:r>
              <w:t>66.00</w:t>
            </w:r>
          </w:p>
        </w:tc>
      </w:tr>
      <w:tr>
        <w:trPr>
          <w:cantSplit/>
        </w:trPr>
        <w:tc>
          <w:tcPr>
            <w:tcW w:w="673" w:type="dxa"/>
          </w:tcPr>
          <w:p>
            <w:pPr>
              <w:pStyle w:val="zyTableNAm"/>
              <w:rPr>
                <w:szCs w:val="22"/>
              </w:rPr>
            </w:pPr>
          </w:p>
        </w:tc>
        <w:tc>
          <w:tcPr>
            <w:tcW w:w="2588" w:type="dxa"/>
          </w:tcPr>
          <w:p>
            <w:pPr>
              <w:pStyle w:val="yTableNAm"/>
              <w:ind w:left="567" w:hanging="567"/>
            </w:pPr>
            <w:r>
              <w:rPr>
                <w:szCs w:val="22"/>
              </w:rPr>
              <w:t>(b)</w:t>
            </w:r>
            <w:r>
              <w:rPr>
                <w:szCs w:val="22"/>
              </w:rPr>
              <w:tab/>
              <w:t>in addition to the lodgment fee, a taxing fee at the rate of</w:t>
            </w:r>
          </w:p>
        </w:tc>
        <w:tc>
          <w:tcPr>
            <w:tcW w:w="1275" w:type="dxa"/>
            <w:vAlign w:val="bottom"/>
          </w:tcPr>
          <w:p>
            <w:pPr>
              <w:pStyle w:val="yTableNAm"/>
              <w:jc w:val="center"/>
            </w:pPr>
            <w:r>
              <w:rPr>
                <w:szCs w:val="22"/>
              </w:rPr>
              <w:t>2.5%</w:t>
            </w:r>
          </w:p>
        </w:tc>
        <w:tc>
          <w:tcPr>
            <w:tcW w:w="1276" w:type="dxa"/>
            <w:vAlign w:val="bottom"/>
          </w:tcPr>
          <w:p>
            <w:pPr>
              <w:pStyle w:val="yTableNAm"/>
              <w:jc w:val="center"/>
            </w:pPr>
            <w:r>
              <w:rPr>
                <w:szCs w:val="22"/>
              </w:rPr>
              <w:t>2.5%</w:t>
            </w:r>
          </w:p>
        </w:tc>
        <w:tc>
          <w:tcPr>
            <w:tcW w:w="1276" w:type="dxa"/>
            <w:vAlign w:val="bottom"/>
          </w:tcPr>
          <w:p>
            <w:pPr>
              <w:pStyle w:val="yTableNAm"/>
              <w:jc w:val="center"/>
            </w:pPr>
            <w:r>
              <w:rPr>
                <w:szCs w:val="22"/>
              </w:rPr>
              <w:t>0.0%</w:t>
            </w:r>
          </w:p>
        </w:tc>
      </w:tr>
      <w:tr>
        <w:trPr>
          <w:cantSplit/>
          <w:trHeight w:val="656"/>
        </w:trPr>
        <w:tc>
          <w:tcPr>
            <w:tcW w:w="673" w:type="dxa"/>
          </w:tcPr>
          <w:p>
            <w:pPr>
              <w:pStyle w:val="zyTableNAm"/>
              <w:rPr>
                <w:szCs w:val="22"/>
              </w:rPr>
            </w:pPr>
          </w:p>
        </w:tc>
        <w:tc>
          <w:tcPr>
            <w:tcW w:w="6415" w:type="dxa"/>
            <w:gridSpan w:val="4"/>
          </w:tcPr>
          <w:p>
            <w:pPr>
              <w:pStyle w:val="yTableNAm"/>
              <w:rPr>
                <w:sz w:val="18"/>
                <w:szCs w:val="18"/>
              </w:rPr>
            </w:pPr>
            <w:r>
              <w:rPr>
                <w:sz w:val="18"/>
                <w:szCs w:val="18"/>
              </w:rPr>
              <w:t>Note 1:</w:t>
            </w:r>
          </w:p>
          <w:p>
            <w:pPr>
              <w:pStyle w:val="yTableNAm"/>
              <w:rPr>
                <w:sz w:val="18"/>
                <w:szCs w:val="18"/>
              </w:rPr>
            </w:pPr>
            <w:r>
              <w:rPr>
                <w:sz w:val="18"/>
                <w:szCs w:val="18"/>
              </w:rPr>
              <w:t>The % rate is to be applied to the amount at which the bill is drawn.</w:t>
            </w:r>
          </w:p>
        </w:tc>
      </w:tr>
      <w:tr>
        <w:trPr>
          <w:cantSplit/>
          <w:trHeight w:val="1143"/>
        </w:trPr>
        <w:tc>
          <w:tcPr>
            <w:tcW w:w="673" w:type="dxa"/>
          </w:tcPr>
          <w:p>
            <w:pPr>
              <w:pStyle w:val="zyTableNAm"/>
              <w:rPr>
                <w:szCs w:val="22"/>
              </w:rPr>
            </w:pPr>
          </w:p>
        </w:tc>
        <w:tc>
          <w:tcPr>
            <w:tcW w:w="6415" w:type="dxa"/>
            <w:gridSpan w:val="4"/>
          </w:tcPr>
          <w:p>
            <w:pPr>
              <w:pStyle w:val="yTableNAm"/>
              <w:rPr>
                <w:sz w:val="18"/>
                <w:szCs w:val="18"/>
              </w:rPr>
            </w:pPr>
            <w:r>
              <w:rPr>
                <w:sz w:val="18"/>
                <w:szCs w:val="18"/>
              </w:rPr>
              <w:t>Note 2:</w:t>
            </w:r>
          </w:p>
          <w:p>
            <w:pPr>
              <w:pStyle w:val="yTableNAm"/>
              <w:rPr>
                <w:sz w:val="18"/>
                <w:szCs w:val="18"/>
              </w:rPr>
            </w:pPr>
            <w:r>
              <w:rPr>
                <w:sz w:val="18"/>
                <w:szCs w:val="18"/>
              </w:rPr>
              <w:t>The taxing officer must allow, against the person chargeable with the costs as taxed, taxing fees at the rate indicated in item 11(b) of the amount found to be due on taxation.</w:t>
            </w:r>
          </w:p>
        </w:tc>
      </w:tr>
      <w:tr>
        <w:trPr>
          <w:cantSplit/>
          <w:trHeight w:val="2595"/>
        </w:trPr>
        <w:tc>
          <w:tcPr>
            <w:tcW w:w="673" w:type="dxa"/>
          </w:tcPr>
          <w:p>
            <w:pPr>
              <w:pStyle w:val="zyTableNAm"/>
              <w:rPr>
                <w:szCs w:val="22"/>
              </w:rPr>
            </w:pPr>
          </w:p>
        </w:tc>
        <w:tc>
          <w:tcPr>
            <w:tcW w:w="6415" w:type="dxa"/>
            <w:gridSpan w:val="4"/>
          </w:tcPr>
          <w:p>
            <w:pPr>
              <w:pStyle w:val="yTableNAm"/>
              <w:rPr>
                <w:sz w:val="18"/>
                <w:szCs w:val="18"/>
              </w:rPr>
            </w:pPr>
            <w:r>
              <w:rPr>
                <w:sz w:val="18"/>
                <w:szCs w:val="18"/>
              </w:rPr>
              <w:t>Note 3:</w:t>
            </w:r>
          </w:p>
          <w:p>
            <w:pPr>
              <w:pStyle w:val="yTableNAm"/>
              <w:rPr>
                <w:sz w:val="18"/>
                <w:szCs w:val="18"/>
              </w:rPr>
            </w:pPr>
            <w:r>
              <w:rPr>
                <w:sz w:val="18"/>
                <w:szCs w:val="18"/>
              </w:rPr>
              <w:t>If the parties agree on the bill of costs in a cause or matter or under the Commercial Arbitration Act 2012 and the appointment is cancelled, the following percentage of the fee paid is to be refunded —</w:t>
            </w:r>
          </w:p>
          <w:p>
            <w:pPr>
              <w:pStyle w:val="yTableNAm"/>
              <w:ind w:left="567" w:hanging="567"/>
              <w:rPr>
                <w:sz w:val="18"/>
                <w:szCs w:val="18"/>
              </w:rPr>
            </w:pPr>
            <w:r>
              <w:rPr>
                <w:sz w:val="18"/>
                <w:szCs w:val="18"/>
              </w:rPr>
              <w:t>(a)</w:t>
            </w:r>
            <w:r>
              <w:rPr>
                <w:sz w:val="18"/>
                <w:szCs w:val="18"/>
              </w:rPr>
              <w:tab/>
              <w:t>if the appointment is cancelled less than 3 days before the day of the appointment, nil;</w:t>
            </w:r>
          </w:p>
          <w:p>
            <w:pPr>
              <w:pStyle w:val="yTableNAm"/>
              <w:ind w:left="567" w:hanging="567"/>
              <w:rPr>
                <w:sz w:val="18"/>
                <w:szCs w:val="18"/>
              </w:rPr>
            </w:pPr>
            <w:r>
              <w:rPr>
                <w:sz w:val="18"/>
                <w:szCs w:val="18"/>
              </w:rPr>
              <w:t>(b)</w:t>
            </w:r>
            <w:r>
              <w:rPr>
                <w:sz w:val="18"/>
                <w:szCs w:val="18"/>
              </w:rPr>
              <w:tab/>
              <w:t>if the appointment is cancelled 3 days or more and less than 10 days before the day of the appointment, 50%;</w:t>
            </w:r>
          </w:p>
          <w:p>
            <w:pPr>
              <w:pStyle w:val="yTableNAm"/>
              <w:ind w:left="567" w:hanging="567"/>
              <w:rPr>
                <w:sz w:val="18"/>
                <w:szCs w:val="18"/>
              </w:rPr>
            </w:pPr>
            <w:r>
              <w:rPr>
                <w:sz w:val="18"/>
                <w:szCs w:val="18"/>
              </w:rPr>
              <w:t>(c)</w:t>
            </w:r>
            <w:r>
              <w:rPr>
                <w:sz w:val="18"/>
                <w:szCs w:val="18"/>
              </w:rPr>
              <w:tab/>
              <w:t>if the appointment is cancelled 10 days or more before the day of the appointment, 80%.</w:t>
            </w:r>
          </w:p>
        </w:tc>
      </w:tr>
      <w:tr>
        <w:trPr>
          <w:cantSplit/>
        </w:trPr>
        <w:tc>
          <w:tcPr>
            <w:tcW w:w="673" w:type="dxa"/>
          </w:tcPr>
          <w:p>
            <w:pPr>
              <w:pStyle w:val="yTableNAm"/>
            </w:pPr>
            <w:r>
              <w:rPr>
                <w:szCs w:val="22"/>
              </w:rPr>
              <w:t>12.</w:t>
            </w:r>
          </w:p>
        </w:tc>
        <w:tc>
          <w:tcPr>
            <w:tcW w:w="2588" w:type="dxa"/>
          </w:tcPr>
          <w:p>
            <w:pPr>
              <w:pStyle w:val="yTableNAm"/>
            </w:pPr>
            <w:r>
              <w:rPr>
                <w:szCs w:val="22"/>
              </w:rPr>
              <w:t>For searching any record or proceeding</w:t>
            </w:r>
          </w:p>
        </w:tc>
        <w:tc>
          <w:tcPr>
            <w:tcW w:w="1275" w:type="dxa"/>
            <w:vAlign w:val="bottom"/>
          </w:tcPr>
          <w:p>
            <w:pPr>
              <w:pStyle w:val="yTableNAm"/>
              <w:jc w:val="center"/>
            </w:pPr>
            <w:r>
              <w:t>44.50</w:t>
            </w:r>
          </w:p>
        </w:tc>
        <w:tc>
          <w:tcPr>
            <w:tcW w:w="1276" w:type="dxa"/>
            <w:vAlign w:val="bottom"/>
          </w:tcPr>
          <w:p>
            <w:pPr>
              <w:pStyle w:val="yTableNAm"/>
              <w:jc w:val="center"/>
            </w:pPr>
            <w:r>
              <w:t>44.50</w:t>
            </w:r>
          </w:p>
        </w:tc>
        <w:tc>
          <w:tcPr>
            <w:tcW w:w="1276" w:type="dxa"/>
            <w:vAlign w:val="bottom"/>
          </w:tcPr>
          <w:p>
            <w:pPr>
              <w:pStyle w:val="yTableNAm"/>
              <w:jc w:val="center"/>
            </w:pPr>
            <w:r>
              <w:t>13.35</w:t>
            </w:r>
          </w:p>
        </w:tc>
      </w:tr>
      <w:tr>
        <w:trPr>
          <w:cantSplit/>
        </w:trPr>
        <w:tc>
          <w:tcPr>
            <w:tcW w:w="673" w:type="dxa"/>
          </w:tcPr>
          <w:p>
            <w:pPr>
              <w:pStyle w:val="zyTableNAm"/>
              <w:rPr>
                <w:szCs w:val="22"/>
              </w:rPr>
            </w:pPr>
          </w:p>
        </w:tc>
        <w:tc>
          <w:tcPr>
            <w:tcW w:w="6415" w:type="dxa"/>
            <w:gridSpan w:val="4"/>
          </w:tcPr>
          <w:p>
            <w:pPr>
              <w:pStyle w:val="yTableNAm"/>
              <w:rPr>
                <w:sz w:val="18"/>
                <w:szCs w:val="18"/>
              </w:rPr>
            </w:pPr>
            <w:r>
              <w:rPr>
                <w:sz w:val="18"/>
                <w:szCs w:val="18"/>
              </w:rPr>
              <w:t>Note:</w:t>
            </w:r>
          </w:p>
          <w:p>
            <w:pPr>
              <w:pStyle w:val="yTableNAm"/>
              <w:rPr>
                <w:sz w:val="18"/>
                <w:szCs w:val="18"/>
              </w:rPr>
            </w:pPr>
            <w:r>
              <w:rPr>
                <w:sz w:val="18"/>
                <w:szCs w:val="18"/>
              </w:rPr>
              <w:t>No fee is payable under item 12 for a search made —</w:t>
            </w:r>
          </w:p>
          <w:p>
            <w:pPr>
              <w:pStyle w:val="yTableNAm"/>
              <w:rPr>
                <w:sz w:val="18"/>
                <w:szCs w:val="18"/>
              </w:rPr>
            </w:pPr>
            <w:r>
              <w:rPr>
                <w:sz w:val="18"/>
                <w:szCs w:val="18"/>
              </w:rPr>
              <w:t>(a)</w:t>
            </w:r>
            <w:r>
              <w:rPr>
                <w:sz w:val="18"/>
                <w:szCs w:val="18"/>
              </w:rPr>
              <w:tab/>
              <w:t>by or on behalf of a party to the proceedings; or</w:t>
            </w:r>
          </w:p>
          <w:p>
            <w:pPr>
              <w:pStyle w:val="yTableNAm"/>
              <w:ind w:left="567" w:hanging="567"/>
              <w:rPr>
                <w:sz w:val="18"/>
                <w:szCs w:val="18"/>
              </w:rPr>
            </w:pPr>
            <w:r>
              <w:rPr>
                <w:sz w:val="18"/>
                <w:szCs w:val="18"/>
              </w:rPr>
              <w:t>(b)</w:t>
            </w:r>
            <w:r>
              <w:rPr>
                <w:sz w:val="18"/>
                <w:szCs w:val="18"/>
              </w:rPr>
              <w:tab/>
              <w:t>by an approved recipient of searchable information provided to it under regulation 11A.</w:t>
            </w:r>
          </w:p>
        </w:tc>
      </w:tr>
      <w:tr>
        <w:trPr>
          <w:cantSplit/>
        </w:trPr>
        <w:tc>
          <w:tcPr>
            <w:tcW w:w="673" w:type="dxa"/>
          </w:tcPr>
          <w:p>
            <w:pPr>
              <w:pStyle w:val="yTableNAm"/>
            </w:pPr>
            <w:r>
              <w:rPr>
                <w:rFonts w:ascii="Times" w:hAnsi="Times"/>
                <w:spacing w:val="-6"/>
                <w:szCs w:val="22"/>
              </w:rPr>
              <w:t>13.</w:t>
            </w:r>
          </w:p>
        </w:tc>
        <w:tc>
          <w:tcPr>
            <w:tcW w:w="2588" w:type="dxa"/>
          </w:tcPr>
          <w:p>
            <w:pPr>
              <w:pStyle w:val="yTableNAm"/>
            </w:pPr>
            <w:r>
              <w:rPr>
                <w:szCs w:val="22"/>
              </w:rPr>
              <w:t xml:space="preserve">For provision of searchable information to approved recipients under regulation 11A — </w:t>
            </w:r>
          </w:p>
        </w:tc>
        <w:tc>
          <w:tcPr>
            <w:tcW w:w="1275" w:type="dxa"/>
            <w:vAlign w:val="bottom"/>
          </w:tcPr>
          <w:p>
            <w:pPr>
              <w:pStyle w:val="zyTableNAm"/>
              <w:jc w:val="center"/>
              <w:rPr>
                <w:szCs w:val="22"/>
              </w:rPr>
            </w:pPr>
          </w:p>
        </w:tc>
        <w:tc>
          <w:tcPr>
            <w:tcW w:w="1276" w:type="dxa"/>
            <w:vAlign w:val="bottom"/>
          </w:tcPr>
          <w:p>
            <w:pPr>
              <w:pStyle w:val="zyTableNAm"/>
              <w:jc w:val="center"/>
              <w:rPr>
                <w:szCs w:val="22"/>
              </w:rPr>
            </w:pPr>
          </w:p>
        </w:tc>
        <w:tc>
          <w:tcPr>
            <w:tcW w:w="1276" w:type="dxa"/>
            <w:vAlign w:val="bottom"/>
          </w:tcPr>
          <w:p>
            <w:pPr>
              <w:pStyle w:val="yTableNAm"/>
              <w:jc w:val="center"/>
            </w:pPr>
          </w:p>
        </w:tc>
      </w:tr>
      <w:tr>
        <w:trPr>
          <w:cantSplit/>
        </w:trPr>
        <w:tc>
          <w:tcPr>
            <w:tcW w:w="673" w:type="dxa"/>
          </w:tcPr>
          <w:p>
            <w:pPr>
              <w:pStyle w:val="zyTableNAm"/>
              <w:rPr>
                <w:szCs w:val="22"/>
              </w:rPr>
            </w:pPr>
          </w:p>
        </w:tc>
        <w:tc>
          <w:tcPr>
            <w:tcW w:w="2588" w:type="dxa"/>
          </w:tcPr>
          <w:p>
            <w:pPr>
              <w:pStyle w:val="yTableNAm"/>
              <w:ind w:left="567" w:hanging="567"/>
            </w:pPr>
            <w:r>
              <w:rPr>
                <w:szCs w:val="22"/>
              </w:rPr>
              <w:t>(a)</w:t>
            </w:r>
            <w:r>
              <w:rPr>
                <w:szCs w:val="22"/>
              </w:rPr>
              <w:tab/>
              <w:t xml:space="preserve">fee per </w:t>
            </w:r>
            <w:r>
              <w:rPr>
                <w:rFonts w:eastAsia="MS Mincho"/>
                <w:szCs w:val="22"/>
              </w:rPr>
              <w:t xml:space="preserve">action or matter provided to </w:t>
            </w:r>
            <w:r>
              <w:rPr>
                <w:szCs w:val="22"/>
              </w:rPr>
              <w:t>recipient</w:t>
            </w:r>
          </w:p>
        </w:tc>
        <w:tc>
          <w:tcPr>
            <w:tcW w:w="1275" w:type="dxa"/>
            <w:vAlign w:val="bottom"/>
          </w:tcPr>
          <w:p>
            <w:pPr>
              <w:pStyle w:val="yTableNAm"/>
              <w:jc w:val="center"/>
            </w:pPr>
            <w:r>
              <w:t>2.00</w:t>
            </w:r>
          </w:p>
        </w:tc>
        <w:tc>
          <w:tcPr>
            <w:tcW w:w="1276" w:type="dxa"/>
            <w:vAlign w:val="bottom"/>
          </w:tcPr>
          <w:p>
            <w:pPr>
              <w:pStyle w:val="yTableNAm"/>
              <w:jc w:val="center"/>
            </w:pPr>
            <w:r>
              <w:t>2.00</w:t>
            </w:r>
          </w:p>
        </w:tc>
        <w:tc>
          <w:tcPr>
            <w:tcW w:w="1276" w:type="dxa"/>
            <w:vAlign w:val="bottom"/>
          </w:tcPr>
          <w:p>
            <w:pPr>
              <w:pStyle w:val="yTableNAm"/>
              <w:jc w:val="center"/>
            </w:pPr>
            <w:r>
              <w:t>0.60</w:t>
            </w:r>
          </w:p>
        </w:tc>
      </w:tr>
      <w:tr>
        <w:trPr>
          <w:cantSplit/>
        </w:trPr>
        <w:tc>
          <w:tcPr>
            <w:tcW w:w="673" w:type="dxa"/>
          </w:tcPr>
          <w:p>
            <w:pPr>
              <w:pStyle w:val="zyTableNAm"/>
              <w:rPr>
                <w:szCs w:val="22"/>
              </w:rPr>
            </w:pPr>
          </w:p>
        </w:tc>
        <w:tc>
          <w:tcPr>
            <w:tcW w:w="2588" w:type="dxa"/>
          </w:tcPr>
          <w:p>
            <w:pPr>
              <w:pStyle w:val="yTableNAm"/>
              <w:ind w:left="567" w:hanging="567"/>
            </w:pPr>
            <w:r>
              <w:rPr>
                <w:szCs w:val="22"/>
              </w:rPr>
              <w:t>(b)</w:t>
            </w:r>
            <w:r>
              <w:rPr>
                <w:szCs w:val="22"/>
              </w:rPr>
              <w:tab/>
              <w:t>annual fee for information provided by email to approved recipient</w:t>
            </w:r>
          </w:p>
        </w:tc>
        <w:tc>
          <w:tcPr>
            <w:tcW w:w="1275" w:type="dxa"/>
            <w:vAlign w:val="bottom"/>
          </w:tcPr>
          <w:p>
            <w:pPr>
              <w:pStyle w:val="yTableNAm"/>
              <w:jc w:val="center"/>
            </w:pPr>
            <w:r>
              <w:t>2 018.00</w:t>
            </w:r>
          </w:p>
        </w:tc>
        <w:tc>
          <w:tcPr>
            <w:tcW w:w="1276" w:type="dxa"/>
            <w:vAlign w:val="bottom"/>
          </w:tcPr>
          <w:p>
            <w:pPr>
              <w:pStyle w:val="yTableNAm"/>
              <w:jc w:val="center"/>
            </w:pPr>
            <w:r>
              <w:t>2 018.00</w:t>
            </w:r>
          </w:p>
        </w:tc>
        <w:tc>
          <w:tcPr>
            <w:tcW w:w="1276" w:type="dxa"/>
            <w:vAlign w:val="bottom"/>
          </w:tcPr>
          <w:p>
            <w:pPr>
              <w:pStyle w:val="yTableNAm"/>
              <w:jc w:val="center"/>
            </w:pPr>
            <w:r>
              <w:t>100.00</w:t>
            </w:r>
          </w:p>
        </w:tc>
      </w:tr>
      <w:tr>
        <w:trPr>
          <w:cantSplit/>
          <w:trHeight w:val="999"/>
        </w:trPr>
        <w:tc>
          <w:tcPr>
            <w:tcW w:w="673" w:type="dxa"/>
          </w:tcPr>
          <w:p>
            <w:pPr>
              <w:pStyle w:val="zyTableNAm"/>
              <w:rPr>
                <w:szCs w:val="22"/>
              </w:rPr>
            </w:pPr>
          </w:p>
        </w:tc>
        <w:tc>
          <w:tcPr>
            <w:tcW w:w="6415" w:type="dxa"/>
            <w:gridSpan w:val="4"/>
          </w:tcPr>
          <w:p>
            <w:pPr>
              <w:pStyle w:val="yTableNAm"/>
              <w:rPr>
                <w:sz w:val="18"/>
                <w:szCs w:val="18"/>
              </w:rPr>
            </w:pPr>
            <w:r>
              <w:rPr>
                <w:sz w:val="18"/>
                <w:szCs w:val="18"/>
              </w:rPr>
              <w:t>Note:</w:t>
            </w:r>
          </w:p>
          <w:p>
            <w:pPr>
              <w:pStyle w:val="yTableNAm"/>
              <w:rPr>
                <w:szCs w:val="22"/>
              </w:rPr>
            </w:pPr>
            <w:r>
              <w:rPr>
                <w:sz w:val="18"/>
                <w:szCs w:val="18"/>
              </w:rPr>
              <w:t>The fee under item 13(b) is payable on the date on which the recipient is approved by the Attorney General and on each anniversary of that date.</w:t>
            </w:r>
          </w:p>
        </w:tc>
      </w:tr>
      <w:tr>
        <w:trPr>
          <w:cantSplit/>
        </w:trPr>
        <w:tc>
          <w:tcPr>
            <w:tcW w:w="673" w:type="dxa"/>
          </w:tcPr>
          <w:p>
            <w:pPr>
              <w:pStyle w:val="yTableNAm"/>
            </w:pPr>
            <w:r>
              <w:rPr>
                <w:szCs w:val="22"/>
              </w:rPr>
              <w:t>14.</w:t>
            </w:r>
          </w:p>
        </w:tc>
        <w:tc>
          <w:tcPr>
            <w:tcW w:w="2588" w:type="dxa"/>
          </w:tcPr>
          <w:p>
            <w:pPr>
              <w:pStyle w:val="yTableNAm"/>
              <w:ind w:left="567" w:hanging="567"/>
            </w:pPr>
            <w:r>
              <w:rPr>
                <w:szCs w:val="22"/>
              </w:rPr>
              <w:t>(a)</w:t>
            </w:r>
            <w:r>
              <w:rPr>
                <w:szCs w:val="22"/>
              </w:rPr>
              <w:tab/>
              <w:t xml:space="preserve">On an application for the production of records or documents that are required to be produced to any court, tribunal, arbitrator or umpire </w:t>
            </w:r>
          </w:p>
        </w:tc>
        <w:tc>
          <w:tcPr>
            <w:tcW w:w="1275" w:type="dxa"/>
            <w:vAlign w:val="bottom"/>
          </w:tcPr>
          <w:p>
            <w:pPr>
              <w:pStyle w:val="yTableNAm"/>
              <w:jc w:val="center"/>
            </w:pPr>
            <w:r>
              <w:t>65.50</w:t>
            </w:r>
          </w:p>
        </w:tc>
        <w:tc>
          <w:tcPr>
            <w:tcW w:w="1276" w:type="dxa"/>
            <w:vAlign w:val="bottom"/>
          </w:tcPr>
          <w:p>
            <w:pPr>
              <w:pStyle w:val="yTableNAm"/>
              <w:jc w:val="center"/>
            </w:pPr>
            <w:r>
              <w:t>65.50</w:t>
            </w:r>
          </w:p>
        </w:tc>
        <w:tc>
          <w:tcPr>
            <w:tcW w:w="1276" w:type="dxa"/>
            <w:vAlign w:val="bottom"/>
          </w:tcPr>
          <w:p>
            <w:pPr>
              <w:pStyle w:val="yTableNAm"/>
              <w:jc w:val="center"/>
            </w:pPr>
            <w:r>
              <w:t>19.65</w:t>
            </w:r>
          </w:p>
        </w:tc>
      </w:tr>
      <w:tr>
        <w:trPr>
          <w:cantSplit/>
        </w:trPr>
        <w:tc>
          <w:tcPr>
            <w:tcW w:w="673" w:type="dxa"/>
          </w:tcPr>
          <w:p>
            <w:pPr>
              <w:pStyle w:val="zyTableNAm"/>
              <w:rPr>
                <w:szCs w:val="22"/>
              </w:rPr>
            </w:pPr>
          </w:p>
        </w:tc>
        <w:tc>
          <w:tcPr>
            <w:tcW w:w="2588" w:type="dxa"/>
          </w:tcPr>
          <w:p>
            <w:pPr>
              <w:pStyle w:val="yTableNAm"/>
              <w:ind w:left="567" w:hanging="567"/>
            </w:pPr>
            <w:r>
              <w:rPr>
                <w:szCs w:val="22"/>
              </w:rPr>
              <w:t>(b)</w:t>
            </w:r>
            <w:r>
              <w:rPr>
                <w:szCs w:val="22"/>
              </w:rPr>
              <w:tab/>
              <w:t>If an officer is required to attend at any court or place out of the District Court building, the officer’s reasonable expenses and, in addition for each hour when the officer is necessarily absent from the officer’s office</w:t>
            </w:r>
          </w:p>
        </w:tc>
        <w:tc>
          <w:tcPr>
            <w:tcW w:w="1275" w:type="dxa"/>
            <w:vAlign w:val="bottom"/>
          </w:tcPr>
          <w:p>
            <w:pPr>
              <w:pStyle w:val="yTableNAm"/>
              <w:jc w:val="center"/>
            </w:pPr>
            <w:r>
              <w:t>98.00</w:t>
            </w:r>
          </w:p>
        </w:tc>
        <w:tc>
          <w:tcPr>
            <w:tcW w:w="1276" w:type="dxa"/>
            <w:vAlign w:val="bottom"/>
          </w:tcPr>
          <w:p>
            <w:pPr>
              <w:pStyle w:val="yTableNAm"/>
              <w:jc w:val="center"/>
            </w:pPr>
            <w:r>
              <w:t>98.00</w:t>
            </w:r>
          </w:p>
        </w:tc>
        <w:tc>
          <w:tcPr>
            <w:tcW w:w="1276" w:type="dxa"/>
            <w:vAlign w:val="bottom"/>
          </w:tcPr>
          <w:p>
            <w:pPr>
              <w:pStyle w:val="yTableNAm"/>
              <w:jc w:val="center"/>
            </w:pPr>
            <w:r>
              <w:t>29.30</w:t>
            </w:r>
          </w:p>
        </w:tc>
      </w:tr>
      <w:tr>
        <w:trPr>
          <w:cantSplit/>
        </w:trPr>
        <w:tc>
          <w:tcPr>
            <w:tcW w:w="673" w:type="dxa"/>
          </w:tcPr>
          <w:p>
            <w:pPr>
              <w:pStyle w:val="yTableNAm"/>
            </w:pPr>
            <w:r>
              <w:rPr>
                <w:szCs w:val="22"/>
              </w:rPr>
              <w:t>15.</w:t>
            </w:r>
          </w:p>
        </w:tc>
        <w:tc>
          <w:tcPr>
            <w:tcW w:w="2588" w:type="dxa"/>
          </w:tcPr>
          <w:p>
            <w:pPr>
              <w:pStyle w:val="yTableNAm"/>
              <w:ind w:left="567" w:hanging="567"/>
            </w:pPr>
            <w:r>
              <w:rPr>
                <w:szCs w:val="22"/>
              </w:rPr>
              <w:t>(a)</w:t>
            </w:r>
            <w:r>
              <w:rPr>
                <w:szCs w:val="22"/>
              </w:rPr>
              <w:tab/>
              <w:t xml:space="preserve">For a copy of a document of any kind or an exhibit, including marking as an office copy if required, for each page or part thereof </w:t>
            </w:r>
          </w:p>
        </w:tc>
        <w:tc>
          <w:tcPr>
            <w:tcW w:w="1275" w:type="dxa"/>
            <w:vAlign w:val="bottom"/>
          </w:tcPr>
          <w:p>
            <w:pPr>
              <w:pStyle w:val="yTableNAm"/>
              <w:jc w:val="center"/>
            </w:pPr>
            <w:r>
              <w:rPr>
                <w:szCs w:val="22"/>
              </w:rPr>
              <w:t>1.85</w:t>
            </w:r>
          </w:p>
        </w:tc>
        <w:tc>
          <w:tcPr>
            <w:tcW w:w="1276" w:type="dxa"/>
            <w:vAlign w:val="bottom"/>
          </w:tcPr>
          <w:p>
            <w:pPr>
              <w:pStyle w:val="yTableNAm"/>
              <w:jc w:val="center"/>
            </w:pPr>
            <w:r>
              <w:rPr>
                <w:szCs w:val="22"/>
              </w:rPr>
              <w:t>1.85</w:t>
            </w:r>
          </w:p>
        </w:tc>
        <w:tc>
          <w:tcPr>
            <w:tcW w:w="1276" w:type="dxa"/>
            <w:vAlign w:val="bottom"/>
          </w:tcPr>
          <w:p>
            <w:pPr>
              <w:pStyle w:val="yTableNAm"/>
              <w:jc w:val="center"/>
            </w:pPr>
            <w:r>
              <w:rPr>
                <w:szCs w:val="22"/>
              </w:rPr>
              <w:t>0.55</w:t>
            </w:r>
          </w:p>
        </w:tc>
      </w:tr>
      <w:tr>
        <w:trPr>
          <w:cantSplit/>
        </w:trPr>
        <w:tc>
          <w:tcPr>
            <w:tcW w:w="673" w:type="dxa"/>
          </w:tcPr>
          <w:p>
            <w:pPr>
              <w:pStyle w:val="zyTableNAm"/>
              <w:keepNext/>
              <w:keepLines/>
              <w:rPr>
                <w:szCs w:val="22"/>
              </w:rPr>
            </w:pPr>
          </w:p>
        </w:tc>
        <w:tc>
          <w:tcPr>
            <w:tcW w:w="2588" w:type="dxa"/>
          </w:tcPr>
          <w:p>
            <w:pPr>
              <w:pStyle w:val="yTableNAm"/>
              <w:ind w:left="567" w:hanging="567"/>
            </w:pPr>
            <w:r>
              <w:rPr>
                <w:szCs w:val="22"/>
              </w:rPr>
              <w:t>(b)</w:t>
            </w:r>
            <w:r>
              <w:rPr>
                <w:szCs w:val="22"/>
              </w:rPr>
              <w:tab/>
              <w:t>For a copy of reasons for judgment —</w:t>
            </w:r>
          </w:p>
        </w:tc>
        <w:tc>
          <w:tcPr>
            <w:tcW w:w="1275" w:type="dxa"/>
            <w:vAlign w:val="bottom"/>
          </w:tcPr>
          <w:p>
            <w:pPr>
              <w:pStyle w:val="zyTableNAm"/>
              <w:keepNext/>
              <w:keepLines/>
              <w:jc w:val="center"/>
              <w:rPr>
                <w:szCs w:val="22"/>
              </w:rPr>
            </w:pPr>
          </w:p>
        </w:tc>
        <w:tc>
          <w:tcPr>
            <w:tcW w:w="1276" w:type="dxa"/>
            <w:vAlign w:val="bottom"/>
          </w:tcPr>
          <w:p>
            <w:pPr>
              <w:pStyle w:val="zyTableNAm"/>
              <w:keepNext/>
              <w:keepLines/>
              <w:jc w:val="center"/>
              <w:rPr>
                <w:szCs w:val="22"/>
              </w:rPr>
            </w:pPr>
          </w:p>
        </w:tc>
        <w:tc>
          <w:tcPr>
            <w:tcW w:w="1276" w:type="dxa"/>
            <w:vAlign w:val="bottom"/>
          </w:tcPr>
          <w:p>
            <w:pPr>
              <w:pStyle w:val="yTableNAm"/>
              <w:jc w:val="center"/>
            </w:pPr>
          </w:p>
        </w:tc>
      </w:tr>
      <w:tr>
        <w:trPr>
          <w:cantSplit/>
        </w:trPr>
        <w:tc>
          <w:tcPr>
            <w:tcW w:w="673" w:type="dxa"/>
          </w:tcPr>
          <w:p>
            <w:pPr>
              <w:pStyle w:val="zyTableNAm"/>
              <w:keepNext/>
              <w:keepLines/>
              <w:rPr>
                <w:szCs w:val="22"/>
              </w:rPr>
            </w:pPr>
          </w:p>
        </w:tc>
        <w:tc>
          <w:tcPr>
            <w:tcW w:w="2588" w:type="dxa"/>
          </w:tcPr>
          <w:p>
            <w:pPr>
              <w:pStyle w:val="yTableNAm"/>
              <w:ind w:left="1140" w:hanging="1140"/>
              <w:rPr>
                <w:szCs w:val="22"/>
              </w:rPr>
            </w:pPr>
            <w:r>
              <w:rPr>
                <w:szCs w:val="22"/>
              </w:rPr>
              <w:tab/>
              <w:t>(i)</w:t>
            </w:r>
            <w:r>
              <w:rPr>
                <w:szCs w:val="22"/>
              </w:rPr>
              <w:tab/>
              <w:t xml:space="preserve">for </w:t>
            </w:r>
            <w:r>
              <w:t>each</w:t>
            </w:r>
            <w:r>
              <w:rPr>
                <w:szCs w:val="22"/>
              </w:rPr>
              <w:t xml:space="preserve"> copy issued to a person not a party to the proceedings and for each copy in excess of 1 copy issued to a party to the proceedings</w:t>
            </w:r>
            <w:r>
              <w:rPr>
                <w:szCs w:val="22"/>
              </w:rPr>
              <w:tab/>
            </w:r>
          </w:p>
        </w:tc>
        <w:tc>
          <w:tcPr>
            <w:tcW w:w="1275" w:type="dxa"/>
            <w:vAlign w:val="bottom"/>
          </w:tcPr>
          <w:p>
            <w:pPr>
              <w:pStyle w:val="zyTableNAm"/>
              <w:keepNext/>
              <w:keepLines/>
              <w:jc w:val="center"/>
              <w:rPr>
                <w:szCs w:val="22"/>
              </w:rPr>
            </w:pPr>
            <w:r>
              <w:rPr>
                <w:szCs w:val="22"/>
              </w:rPr>
              <w:t>15.50</w:t>
            </w:r>
          </w:p>
        </w:tc>
        <w:tc>
          <w:tcPr>
            <w:tcW w:w="1276" w:type="dxa"/>
            <w:vAlign w:val="bottom"/>
          </w:tcPr>
          <w:p>
            <w:pPr>
              <w:pStyle w:val="zyTableNAm"/>
              <w:keepNext/>
              <w:keepLines/>
              <w:jc w:val="center"/>
              <w:rPr>
                <w:szCs w:val="22"/>
              </w:rPr>
            </w:pPr>
            <w:r>
              <w:rPr>
                <w:szCs w:val="22"/>
              </w:rPr>
              <w:t>15.50</w:t>
            </w:r>
          </w:p>
        </w:tc>
        <w:tc>
          <w:tcPr>
            <w:tcW w:w="1276" w:type="dxa"/>
            <w:vAlign w:val="bottom"/>
          </w:tcPr>
          <w:p>
            <w:pPr>
              <w:pStyle w:val="yTableNAm"/>
              <w:jc w:val="center"/>
            </w:pPr>
            <w:r>
              <w:t>4.55</w:t>
            </w:r>
          </w:p>
        </w:tc>
      </w:tr>
      <w:tr>
        <w:trPr>
          <w:cantSplit/>
        </w:trPr>
        <w:tc>
          <w:tcPr>
            <w:tcW w:w="673" w:type="dxa"/>
          </w:tcPr>
          <w:p>
            <w:pPr>
              <w:pStyle w:val="zyTableNAm"/>
              <w:rPr>
                <w:szCs w:val="22"/>
              </w:rPr>
            </w:pPr>
          </w:p>
        </w:tc>
        <w:tc>
          <w:tcPr>
            <w:tcW w:w="2588" w:type="dxa"/>
          </w:tcPr>
          <w:p>
            <w:pPr>
              <w:pStyle w:val="yTableNAm"/>
              <w:ind w:left="1140" w:hanging="1140"/>
              <w:rPr>
                <w:spacing w:val="-4"/>
              </w:rPr>
            </w:pPr>
            <w:r>
              <w:tab/>
            </w:r>
            <w:r>
              <w:rPr>
                <w:spacing w:val="-4"/>
              </w:rPr>
              <w:t>(ii)</w:t>
            </w:r>
            <w:r>
              <w:rPr>
                <w:spacing w:val="-4"/>
              </w:rPr>
              <w:tab/>
              <w:t xml:space="preserve">for </w:t>
            </w:r>
            <w:r>
              <w:t>each</w:t>
            </w:r>
            <w:r>
              <w:rPr>
                <w:spacing w:val="-4"/>
              </w:rPr>
              <w:t xml:space="preserve"> copy consisting of 10 or more pages an additional fee per page of</w:t>
            </w:r>
          </w:p>
        </w:tc>
        <w:tc>
          <w:tcPr>
            <w:tcW w:w="1275" w:type="dxa"/>
            <w:vAlign w:val="bottom"/>
          </w:tcPr>
          <w:p>
            <w:pPr>
              <w:pStyle w:val="zyTableNAm"/>
              <w:keepNext/>
              <w:keepLines/>
              <w:jc w:val="center"/>
            </w:pPr>
            <w:r>
              <w:t>2.00</w:t>
            </w:r>
          </w:p>
        </w:tc>
        <w:tc>
          <w:tcPr>
            <w:tcW w:w="1276" w:type="dxa"/>
            <w:vAlign w:val="bottom"/>
          </w:tcPr>
          <w:p>
            <w:pPr>
              <w:pStyle w:val="yTableNAm"/>
              <w:jc w:val="center"/>
            </w:pPr>
            <w:r>
              <w:t>2.00</w:t>
            </w:r>
          </w:p>
        </w:tc>
        <w:tc>
          <w:tcPr>
            <w:tcW w:w="1276" w:type="dxa"/>
            <w:vAlign w:val="bottom"/>
          </w:tcPr>
          <w:p>
            <w:pPr>
              <w:pStyle w:val="yTableNAm"/>
              <w:jc w:val="center"/>
            </w:pPr>
            <w:r>
              <w:t>0.60</w:t>
            </w:r>
          </w:p>
        </w:tc>
      </w:tr>
      <w:tr>
        <w:trPr>
          <w:cantSplit/>
        </w:trPr>
        <w:tc>
          <w:tcPr>
            <w:tcW w:w="673" w:type="dxa"/>
          </w:tcPr>
          <w:p>
            <w:pPr>
              <w:pStyle w:val="zyTableNAm"/>
              <w:rPr>
                <w:szCs w:val="22"/>
              </w:rPr>
            </w:pPr>
          </w:p>
        </w:tc>
        <w:tc>
          <w:tcPr>
            <w:tcW w:w="2588" w:type="dxa"/>
          </w:tcPr>
          <w:p>
            <w:pPr>
              <w:pStyle w:val="yTableNAm"/>
              <w:ind w:left="567" w:hanging="567"/>
            </w:pPr>
            <w:r>
              <w:rPr>
                <w:szCs w:val="22"/>
              </w:rPr>
              <w:t>(c)</w:t>
            </w:r>
            <w:r>
              <w:rPr>
                <w:szCs w:val="22"/>
              </w:rPr>
              <w:tab/>
              <w:t>For certifying under seal that a document is a true copy, an additional fee of</w:t>
            </w:r>
          </w:p>
        </w:tc>
        <w:tc>
          <w:tcPr>
            <w:tcW w:w="1275" w:type="dxa"/>
            <w:vAlign w:val="bottom"/>
          </w:tcPr>
          <w:p>
            <w:pPr>
              <w:pStyle w:val="yTableNAm"/>
              <w:jc w:val="center"/>
            </w:pPr>
            <w:r>
              <w:t>21.40</w:t>
            </w:r>
          </w:p>
        </w:tc>
        <w:tc>
          <w:tcPr>
            <w:tcW w:w="1276" w:type="dxa"/>
            <w:vAlign w:val="bottom"/>
          </w:tcPr>
          <w:p>
            <w:pPr>
              <w:pStyle w:val="yTableNAm"/>
              <w:jc w:val="center"/>
            </w:pPr>
            <w:r>
              <w:t>21.40</w:t>
            </w:r>
          </w:p>
        </w:tc>
        <w:tc>
          <w:tcPr>
            <w:tcW w:w="1276" w:type="dxa"/>
            <w:vAlign w:val="bottom"/>
          </w:tcPr>
          <w:p>
            <w:pPr>
              <w:pStyle w:val="yTableNAm"/>
              <w:jc w:val="center"/>
            </w:pPr>
            <w:r>
              <w:t>6.45</w:t>
            </w:r>
          </w:p>
        </w:tc>
      </w:tr>
      <w:tr>
        <w:trPr>
          <w:cantSplit/>
        </w:trPr>
        <w:tc>
          <w:tcPr>
            <w:tcW w:w="673" w:type="dxa"/>
          </w:tcPr>
          <w:p>
            <w:pPr>
              <w:pStyle w:val="zyTableNAm"/>
              <w:rPr>
                <w:szCs w:val="22"/>
              </w:rPr>
            </w:pPr>
          </w:p>
        </w:tc>
        <w:tc>
          <w:tcPr>
            <w:tcW w:w="2588" w:type="dxa"/>
          </w:tcPr>
          <w:p>
            <w:pPr>
              <w:pStyle w:val="yTableNAm"/>
              <w:ind w:left="567" w:hanging="567"/>
            </w:pPr>
            <w:r>
              <w:rPr>
                <w:szCs w:val="22"/>
              </w:rPr>
              <w:t>(d)</w:t>
            </w:r>
            <w:r>
              <w:rPr>
                <w:szCs w:val="22"/>
              </w:rPr>
              <w:tab/>
              <w:t>For a certificate under the hand of a registrar</w:t>
            </w:r>
          </w:p>
        </w:tc>
        <w:tc>
          <w:tcPr>
            <w:tcW w:w="1275" w:type="dxa"/>
            <w:vAlign w:val="bottom"/>
          </w:tcPr>
          <w:p>
            <w:pPr>
              <w:pStyle w:val="yTableNAm"/>
              <w:jc w:val="center"/>
            </w:pPr>
            <w:r>
              <w:t>42.10</w:t>
            </w:r>
          </w:p>
        </w:tc>
        <w:tc>
          <w:tcPr>
            <w:tcW w:w="1276" w:type="dxa"/>
            <w:vAlign w:val="bottom"/>
          </w:tcPr>
          <w:p>
            <w:pPr>
              <w:pStyle w:val="yTableNAm"/>
              <w:jc w:val="center"/>
            </w:pPr>
            <w:r>
              <w:t>42.10</w:t>
            </w:r>
          </w:p>
        </w:tc>
        <w:tc>
          <w:tcPr>
            <w:tcW w:w="1276" w:type="dxa"/>
            <w:vAlign w:val="bottom"/>
          </w:tcPr>
          <w:p>
            <w:pPr>
              <w:pStyle w:val="yTableNAm"/>
              <w:jc w:val="center"/>
            </w:pPr>
            <w:r>
              <w:t>12.70</w:t>
            </w:r>
          </w:p>
        </w:tc>
      </w:tr>
      <w:tr>
        <w:trPr>
          <w:cantSplit/>
        </w:trPr>
        <w:tc>
          <w:tcPr>
            <w:tcW w:w="673" w:type="dxa"/>
          </w:tcPr>
          <w:p>
            <w:pPr>
              <w:pStyle w:val="yTableNAm"/>
            </w:pPr>
            <w:r>
              <w:rPr>
                <w:szCs w:val="22"/>
              </w:rPr>
              <w:t>16.</w:t>
            </w:r>
          </w:p>
        </w:tc>
        <w:tc>
          <w:tcPr>
            <w:tcW w:w="2588" w:type="dxa"/>
          </w:tcPr>
          <w:p>
            <w:pPr>
              <w:pStyle w:val="yTableNAm"/>
              <w:ind w:left="567" w:hanging="567"/>
            </w:pPr>
            <w:r>
              <w:rPr>
                <w:szCs w:val="22"/>
              </w:rPr>
              <w:t>(a)</w:t>
            </w:r>
            <w:r>
              <w:rPr>
                <w:szCs w:val="22"/>
              </w:rPr>
              <w:tab/>
              <w:t xml:space="preserve">For a copy of a transcript, or part of a transcript — </w:t>
            </w:r>
          </w:p>
        </w:tc>
        <w:tc>
          <w:tcPr>
            <w:tcW w:w="1275" w:type="dxa"/>
          </w:tcPr>
          <w:p>
            <w:pPr>
              <w:pStyle w:val="zyTableNAm"/>
              <w:keepNext/>
              <w:keepLines/>
              <w:jc w:val="center"/>
              <w:rPr>
                <w:sz w:val="20"/>
              </w:rPr>
            </w:pPr>
          </w:p>
        </w:tc>
        <w:tc>
          <w:tcPr>
            <w:tcW w:w="1276" w:type="dxa"/>
          </w:tcPr>
          <w:p>
            <w:pPr>
              <w:pStyle w:val="zyTableNAm"/>
              <w:keepNext/>
              <w:keepLines/>
              <w:jc w:val="center"/>
              <w:rPr>
                <w:sz w:val="20"/>
              </w:rPr>
            </w:pPr>
          </w:p>
        </w:tc>
        <w:tc>
          <w:tcPr>
            <w:tcW w:w="1276" w:type="dxa"/>
          </w:tcPr>
          <w:p>
            <w:pPr>
              <w:pStyle w:val="yTableNAm"/>
              <w:jc w:val="center"/>
            </w:pPr>
          </w:p>
        </w:tc>
      </w:tr>
      <w:tr>
        <w:trPr>
          <w:cantSplit/>
        </w:trPr>
        <w:tc>
          <w:tcPr>
            <w:tcW w:w="673" w:type="dxa"/>
          </w:tcPr>
          <w:p>
            <w:pPr>
              <w:pStyle w:val="zyTableNAm"/>
              <w:rPr>
                <w:szCs w:val="22"/>
              </w:rPr>
            </w:pPr>
          </w:p>
        </w:tc>
        <w:tc>
          <w:tcPr>
            <w:tcW w:w="2588" w:type="dxa"/>
          </w:tcPr>
          <w:p>
            <w:pPr>
              <w:pStyle w:val="yTableNAm"/>
              <w:ind w:left="1140" w:hanging="1140"/>
            </w:pPr>
            <w:r>
              <w:rPr>
                <w:szCs w:val="22"/>
              </w:rPr>
              <w:tab/>
              <w:t>(i)</w:t>
            </w:r>
            <w:r>
              <w:rPr>
                <w:szCs w:val="22"/>
              </w:rPr>
              <w:tab/>
              <w:t>provided within 1 day after the day on which the fee is paid</w:t>
            </w:r>
          </w:p>
        </w:tc>
        <w:tc>
          <w:tcPr>
            <w:tcW w:w="1275" w:type="dxa"/>
          </w:tcPr>
          <w:p>
            <w:pPr>
              <w:pStyle w:val="yTableNAm"/>
              <w:jc w:val="center"/>
            </w:pPr>
            <w:r>
              <w:rPr>
                <w:szCs w:val="22"/>
              </w:rPr>
              <w:t>20.50 plus 8.45 per page</w:t>
            </w:r>
          </w:p>
        </w:tc>
        <w:tc>
          <w:tcPr>
            <w:tcW w:w="1276" w:type="dxa"/>
          </w:tcPr>
          <w:p>
            <w:pPr>
              <w:pStyle w:val="yTableNAm"/>
              <w:jc w:val="center"/>
            </w:pPr>
            <w:r>
              <w:rPr>
                <w:szCs w:val="22"/>
              </w:rPr>
              <w:t>20.50 plus 16.90 per page</w:t>
            </w:r>
          </w:p>
        </w:tc>
        <w:tc>
          <w:tcPr>
            <w:tcW w:w="1276" w:type="dxa"/>
          </w:tcPr>
          <w:p>
            <w:pPr>
              <w:pStyle w:val="yTableNAm"/>
              <w:jc w:val="center"/>
            </w:pPr>
            <w:r>
              <w:rPr>
                <w:szCs w:val="22"/>
              </w:rPr>
              <w:t xml:space="preserve">6.15 plus </w:t>
            </w:r>
            <w:r>
              <w:rPr>
                <w:szCs w:val="22"/>
              </w:rPr>
              <w:br/>
              <w:t>2.55 per page</w:t>
            </w:r>
          </w:p>
        </w:tc>
      </w:tr>
      <w:tr>
        <w:trPr>
          <w:cantSplit/>
        </w:trPr>
        <w:tc>
          <w:tcPr>
            <w:tcW w:w="673" w:type="dxa"/>
          </w:tcPr>
          <w:p>
            <w:pPr>
              <w:pStyle w:val="zyTableNAm"/>
              <w:rPr>
                <w:szCs w:val="22"/>
              </w:rPr>
            </w:pPr>
          </w:p>
        </w:tc>
        <w:tc>
          <w:tcPr>
            <w:tcW w:w="2588" w:type="dxa"/>
          </w:tcPr>
          <w:p>
            <w:pPr>
              <w:pStyle w:val="yTableNAm"/>
              <w:ind w:left="1140" w:hanging="1140"/>
            </w:pPr>
            <w:r>
              <w:rPr>
                <w:szCs w:val="22"/>
              </w:rPr>
              <w:tab/>
              <w:t>(ii)</w:t>
            </w:r>
            <w:r>
              <w:rPr>
                <w:szCs w:val="22"/>
              </w:rPr>
              <w:tab/>
              <w:t xml:space="preserve">provided within 4 days </w:t>
            </w:r>
            <w:r>
              <w:t>after</w:t>
            </w:r>
            <w:r>
              <w:rPr>
                <w:szCs w:val="22"/>
              </w:rPr>
              <w:t xml:space="preserve"> the day on which the fee is paid</w:t>
            </w:r>
          </w:p>
        </w:tc>
        <w:tc>
          <w:tcPr>
            <w:tcW w:w="1275" w:type="dxa"/>
          </w:tcPr>
          <w:p>
            <w:pPr>
              <w:pStyle w:val="yTableNAm"/>
              <w:jc w:val="center"/>
            </w:pPr>
            <w:r>
              <w:rPr>
                <w:szCs w:val="22"/>
              </w:rPr>
              <w:t>20.50 plus 7.30 per page</w:t>
            </w:r>
          </w:p>
        </w:tc>
        <w:tc>
          <w:tcPr>
            <w:tcW w:w="1276" w:type="dxa"/>
          </w:tcPr>
          <w:p>
            <w:pPr>
              <w:pStyle w:val="yTableNAm"/>
              <w:jc w:val="center"/>
            </w:pPr>
            <w:r>
              <w:rPr>
                <w:szCs w:val="22"/>
              </w:rPr>
              <w:t>20.50 plus 14.75 per page</w:t>
            </w:r>
          </w:p>
        </w:tc>
        <w:tc>
          <w:tcPr>
            <w:tcW w:w="1276" w:type="dxa"/>
          </w:tcPr>
          <w:p>
            <w:pPr>
              <w:pStyle w:val="yTableNAm"/>
              <w:jc w:val="center"/>
            </w:pPr>
            <w:r>
              <w:rPr>
                <w:szCs w:val="22"/>
              </w:rPr>
              <w:t xml:space="preserve">6.15 plus </w:t>
            </w:r>
            <w:r>
              <w:rPr>
                <w:szCs w:val="22"/>
              </w:rPr>
              <w:br/>
              <w:t>2.20 per page</w:t>
            </w:r>
          </w:p>
        </w:tc>
      </w:tr>
      <w:tr>
        <w:trPr>
          <w:cantSplit/>
        </w:trPr>
        <w:tc>
          <w:tcPr>
            <w:tcW w:w="673" w:type="dxa"/>
          </w:tcPr>
          <w:p>
            <w:pPr>
              <w:pStyle w:val="zyTableNAm"/>
              <w:rPr>
                <w:szCs w:val="22"/>
              </w:rPr>
            </w:pPr>
          </w:p>
        </w:tc>
        <w:tc>
          <w:tcPr>
            <w:tcW w:w="2588" w:type="dxa"/>
          </w:tcPr>
          <w:p>
            <w:pPr>
              <w:pStyle w:val="yTableNAm"/>
              <w:ind w:left="1140" w:hanging="1140"/>
            </w:pPr>
            <w:r>
              <w:rPr>
                <w:szCs w:val="22"/>
              </w:rPr>
              <w:tab/>
              <w:t>(iii)</w:t>
            </w:r>
            <w:r>
              <w:rPr>
                <w:szCs w:val="22"/>
              </w:rPr>
              <w:tab/>
              <w:t xml:space="preserve">provided within 7 days </w:t>
            </w:r>
            <w:r>
              <w:t>after</w:t>
            </w:r>
            <w:r>
              <w:rPr>
                <w:szCs w:val="22"/>
              </w:rPr>
              <w:t xml:space="preserve"> the day on which the fee is paid</w:t>
            </w:r>
          </w:p>
        </w:tc>
        <w:tc>
          <w:tcPr>
            <w:tcW w:w="1275" w:type="dxa"/>
          </w:tcPr>
          <w:p>
            <w:pPr>
              <w:pStyle w:val="yTableNAm"/>
              <w:jc w:val="center"/>
            </w:pPr>
            <w:r>
              <w:rPr>
                <w:szCs w:val="22"/>
              </w:rPr>
              <w:t>20.50 plus 7.05 per page</w:t>
            </w:r>
          </w:p>
        </w:tc>
        <w:tc>
          <w:tcPr>
            <w:tcW w:w="1276" w:type="dxa"/>
          </w:tcPr>
          <w:p>
            <w:pPr>
              <w:pStyle w:val="yTableNAm"/>
              <w:jc w:val="center"/>
            </w:pPr>
            <w:r>
              <w:rPr>
                <w:szCs w:val="22"/>
              </w:rPr>
              <w:t>20.50 plus</w:t>
            </w:r>
            <w:r>
              <w:rPr>
                <w:szCs w:val="22"/>
              </w:rPr>
              <w:br/>
              <w:t>14.05 per page</w:t>
            </w:r>
          </w:p>
        </w:tc>
        <w:tc>
          <w:tcPr>
            <w:tcW w:w="1276" w:type="dxa"/>
          </w:tcPr>
          <w:p>
            <w:pPr>
              <w:pStyle w:val="yTableNAm"/>
              <w:jc w:val="center"/>
            </w:pPr>
            <w:r>
              <w:rPr>
                <w:szCs w:val="22"/>
              </w:rPr>
              <w:t xml:space="preserve">6.15 plus </w:t>
            </w:r>
            <w:r>
              <w:rPr>
                <w:szCs w:val="22"/>
              </w:rPr>
              <w:br/>
              <w:t>2.15 per page</w:t>
            </w:r>
          </w:p>
        </w:tc>
      </w:tr>
      <w:tr>
        <w:trPr>
          <w:cantSplit/>
        </w:trPr>
        <w:tc>
          <w:tcPr>
            <w:tcW w:w="673" w:type="dxa"/>
          </w:tcPr>
          <w:p>
            <w:pPr>
              <w:pStyle w:val="zyTableNAm"/>
              <w:rPr>
                <w:szCs w:val="22"/>
              </w:rPr>
            </w:pPr>
          </w:p>
        </w:tc>
        <w:tc>
          <w:tcPr>
            <w:tcW w:w="2588" w:type="dxa"/>
          </w:tcPr>
          <w:p>
            <w:pPr>
              <w:pStyle w:val="yTableNAm"/>
              <w:ind w:left="567" w:hanging="567"/>
            </w:pPr>
            <w:r>
              <w:rPr>
                <w:szCs w:val="22"/>
              </w:rPr>
              <w:t>(b)</w:t>
            </w:r>
            <w:r>
              <w:rPr>
                <w:szCs w:val="22"/>
              </w:rPr>
              <w:tab/>
              <w:t xml:space="preserve">For an additional copy of the transcript, or part of the transcript, provided under paragraph (a) — </w:t>
            </w:r>
          </w:p>
        </w:tc>
        <w:tc>
          <w:tcPr>
            <w:tcW w:w="1275" w:type="dxa"/>
          </w:tcPr>
          <w:p>
            <w:pPr>
              <w:pStyle w:val="zyTableNAm"/>
              <w:jc w:val="center"/>
              <w:rPr>
                <w:szCs w:val="22"/>
              </w:rPr>
            </w:pPr>
          </w:p>
        </w:tc>
        <w:tc>
          <w:tcPr>
            <w:tcW w:w="1276" w:type="dxa"/>
          </w:tcPr>
          <w:p>
            <w:pPr>
              <w:pStyle w:val="zyTableNAm"/>
              <w:jc w:val="center"/>
              <w:rPr>
                <w:szCs w:val="22"/>
              </w:rPr>
            </w:pPr>
          </w:p>
        </w:tc>
        <w:tc>
          <w:tcPr>
            <w:tcW w:w="1276" w:type="dxa"/>
          </w:tcPr>
          <w:p>
            <w:pPr>
              <w:pStyle w:val="yTableNAm"/>
              <w:jc w:val="center"/>
            </w:pPr>
          </w:p>
        </w:tc>
      </w:tr>
      <w:tr>
        <w:trPr>
          <w:cantSplit/>
        </w:trPr>
        <w:tc>
          <w:tcPr>
            <w:tcW w:w="673" w:type="dxa"/>
          </w:tcPr>
          <w:p>
            <w:pPr>
              <w:pStyle w:val="zyTableNAm"/>
              <w:rPr>
                <w:szCs w:val="22"/>
              </w:rPr>
            </w:pPr>
          </w:p>
        </w:tc>
        <w:tc>
          <w:tcPr>
            <w:tcW w:w="2588" w:type="dxa"/>
          </w:tcPr>
          <w:p>
            <w:pPr>
              <w:pStyle w:val="yTableNAm"/>
              <w:ind w:left="1140" w:hanging="1140"/>
            </w:pPr>
            <w:r>
              <w:rPr>
                <w:szCs w:val="22"/>
              </w:rPr>
              <w:tab/>
              <w:t>(i)</w:t>
            </w:r>
            <w:r>
              <w:rPr>
                <w:szCs w:val="22"/>
              </w:rPr>
              <w:tab/>
              <w:t xml:space="preserve">in </w:t>
            </w:r>
            <w:r>
              <w:t>electronic</w:t>
            </w:r>
            <w:r>
              <w:rPr>
                <w:szCs w:val="22"/>
              </w:rPr>
              <w:t xml:space="preserve"> format</w:t>
            </w:r>
          </w:p>
        </w:tc>
        <w:tc>
          <w:tcPr>
            <w:tcW w:w="1275" w:type="dxa"/>
          </w:tcPr>
          <w:p>
            <w:pPr>
              <w:pStyle w:val="yTableNAm"/>
              <w:jc w:val="center"/>
            </w:pPr>
            <w:r>
              <w:rPr>
                <w:szCs w:val="22"/>
              </w:rPr>
              <w:t>21.40 per copy</w:t>
            </w:r>
          </w:p>
        </w:tc>
        <w:tc>
          <w:tcPr>
            <w:tcW w:w="1276" w:type="dxa"/>
          </w:tcPr>
          <w:p>
            <w:pPr>
              <w:pStyle w:val="yTableNAm"/>
              <w:jc w:val="center"/>
            </w:pPr>
            <w:r>
              <w:rPr>
                <w:szCs w:val="22"/>
              </w:rPr>
              <w:t>21.40 per copy</w:t>
            </w:r>
          </w:p>
        </w:tc>
        <w:tc>
          <w:tcPr>
            <w:tcW w:w="1276" w:type="dxa"/>
          </w:tcPr>
          <w:p>
            <w:pPr>
              <w:pStyle w:val="yTableNAm"/>
              <w:jc w:val="center"/>
            </w:pPr>
            <w:r>
              <w:rPr>
                <w:szCs w:val="22"/>
              </w:rPr>
              <w:t>6.45 per copy</w:t>
            </w:r>
          </w:p>
        </w:tc>
      </w:tr>
      <w:tr>
        <w:trPr>
          <w:cantSplit/>
        </w:trPr>
        <w:tc>
          <w:tcPr>
            <w:tcW w:w="673" w:type="dxa"/>
            <w:tcBorders>
              <w:bottom w:val="single" w:sz="4" w:space="0" w:color="auto"/>
            </w:tcBorders>
          </w:tcPr>
          <w:p>
            <w:pPr>
              <w:pStyle w:val="zyTableNAm"/>
              <w:rPr>
                <w:szCs w:val="22"/>
              </w:rPr>
            </w:pPr>
          </w:p>
        </w:tc>
        <w:tc>
          <w:tcPr>
            <w:tcW w:w="2588" w:type="dxa"/>
            <w:tcBorders>
              <w:bottom w:val="single" w:sz="4" w:space="0" w:color="auto"/>
            </w:tcBorders>
          </w:tcPr>
          <w:p>
            <w:pPr>
              <w:pStyle w:val="yTableNAm"/>
            </w:pPr>
            <w:r>
              <w:rPr>
                <w:szCs w:val="22"/>
              </w:rPr>
              <w:tab/>
              <w:t>(ii)</w:t>
            </w:r>
            <w:r>
              <w:rPr>
                <w:szCs w:val="22"/>
              </w:rPr>
              <w:tab/>
              <w:t>paper copy</w:t>
            </w:r>
          </w:p>
        </w:tc>
        <w:tc>
          <w:tcPr>
            <w:tcW w:w="1275" w:type="dxa"/>
            <w:tcBorders>
              <w:bottom w:val="single" w:sz="4" w:space="0" w:color="auto"/>
            </w:tcBorders>
          </w:tcPr>
          <w:p>
            <w:pPr>
              <w:pStyle w:val="yTableNAm"/>
              <w:jc w:val="center"/>
            </w:pPr>
            <w:r>
              <w:rPr>
                <w:szCs w:val="22"/>
              </w:rPr>
              <w:t>2.10 per page</w:t>
            </w:r>
          </w:p>
        </w:tc>
        <w:tc>
          <w:tcPr>
            <w:tcW w:w="1276" w:type="dxa"/>
            <w:tcBorders>
              <w:bottom w:val="single" w:sz="4" w:space="0" w:color="auto"/>
            </w:tcBorders>
          </w:tcPr>
          <w:p>
            <w:pPr>
              <w:pStyle w:val="yTableNAm"/>
              <w:jc w:val="center"/>
            </w:pPr>
            <w:r>
              <w:rPr>
                <w:szCs w:val="22"/>
              </w:rPr>
              <w:t>2.10 per page</w:t>
            </w:r>
          </w:p>
        </w:tc>
        <w:tc>
          <w:tcPr>
            <w:tcW w:w="1276" w:type="dxa"/>
            <w:tcBorders>
              <w:bottom w:val="single" w:sz="4" w:space="0" w:color="auto"/>
            </w:tcBorders>
          </w:tcPr>
          <w:p>
            <w:pPr>
              <w:pStyle w:val="yTableNAm"/>
              <w:jc w:val="center"/>
            </w:pPr>
            <w:r>
              <w:rPr>
                <w:szCs w:val="22"/>
              </w:rPr>
              <w:t>0.60 per page</w:t>
            </w:r>
          </w:p>
        </w:tc>
      </w:tr>
    </w:tbl>
    <w:p>
      <w:pPr>
        <w:pStyle w:val="BlankClose"/>
      </w:pPr>
    </w:p>
    <w:p>
      <w:pPr>
        <w:pStyle w:val="nzHeading5"/>
      </w:pPr>
      <w:bookmarkStart w:id="54" w:name="_Toc514414469"/>
      <w:bookmarkStart w:id="55" w:name="_Toc514666265"/>
      <w:r>
        <w:rPr>
          <w:rStyle w:val="CharSectno"/>
        </w:rPr>
        <w:t>13</w:t>
      </w:r>
      <w:r>
        <w:t>.</w:t>
      </w:r>
      <w:r>
        <w:tab/>
        <w:t>Schedule 2 replaced</w:t>
      </w:r>
      <w:bookmarkEnd w:id="54"/>
      <w:bookmarkEnd w:id="55"/>
    </w:p>
    <w:p>
      <w:pPr>
        <w:pStyle w:val="nzSubsection"/>
      </w:pPr>
      <w:r>
        <w:tab/>
      </w:r>
      <w:r>
        <w:tab/>
        <w:t>Delete Schedule 2 and insert:</w:t>
      </w:r>
    </w:p>
    <w:p>
      <w:pPr>
        <w:pStyle w:val="BlankOpen"/>
      </w:pPr>
    </w:p>
    <w:p>
      <w:pPr>
        <w:pStyle w:val="nzHeading2"/>
      </w:pPr>
      <w:bookmarkStart w:id="56" w:name="_Toc514321221"/>
      <w:bookmarkStart w:id="57" w:name="_Toc514321286"/>
      <w:bookmarkStart w:id="58" w:name="_Toc514330280"/>
      <w:bookmarkStart w:id="59" w:name="_Toc514334945"/>
      <w:bookmarkStart w:id="60" w:name="_Toc514336294"/>
      <w:bookmarkStart w:id="61" w:name="_Toc514336496"/>
      <w:bookmarkStart w:id="62" w:name="_Toc514414470"/>
      <w:bookmarkStart w:id="63" w:name="_Toc514414535"/>
      <w:bookmarkStart w:id="64" w:name="_Toc514657445"/>
      <w:bookmarkStart w:id="65" w:name="_Toc514666266"/>
      <w:r>
        <w:t>Schedule 2 — Sheriff’s fees</w:t>
      </w:r>
      <w:bookmarkEnd w:id="56"/>
      <w:bookmarkEnd w:id="57"/>
      <w:bookmarkEnd w:id="58"/>
      <w:bookmarkEnd w:id="59"/>
      <w:bookmarkEnd w:id="60"/>
      <w:bookmarkEnd w:id="61"/>
      <w:bookmarkEnd w:id="62"/>
      <w:bookmarkEnd w:id="63"/>
      <w:bookmarkEnd w:id="64"/>
      <w:bookmarkEnd w:id="65"/>
    </w:p>
    <w:p>
      <w:pPr>
        <w:pStyle w:val="nzShoulderClause"/>
      </w:pPr>
      <w:r>
        <w:t>[r. 4]</w:t>
      </w:r>
    </w:p>
    <w:tbl>
      <w:tblPr>
        <w:tblW w:w="0" w:type="auto"/>
        <w:tblInd w:w="108" w:type="dxa"/>
        <w:tblLayout w:type="fixed"/>
        <w:tblLook w:val="0000" w:firstRow="0" w:lastRow="0" w:firstColumn="0" w:lastColumn="0" w:noHBand="0" w:noVBand="0"/>
      </w:tblPr>
      <w:tblGrid>
        <w:gridCol w:w="669"/>
        <w:gridCol w:w="5103"/>
        <w:gridCol w:w="1316"/>
      </w:tblGrid>
      <w:tr>
        <w:trPr>
          <w:cantSplit/>
          <w:tblHeader/>
        </w:trPr>
        <w:tc>
          <w:tcPr>
            <w:tcW w:w="669" w:type="dxa"/>
            <w:tcBorders>
              <w:top w:val="single" w:sz="4" w:space="0" w:color="auto"/>
              <w:bottom w:val="single" w:sz="4" w:space="0" w:color="auto"/>
            </w:tcBorders>
          </w:tcPr>
          <w:p>
            <w:pPr>
              <w:pStyle w:val="yTableNAm"/>
            </w:pPr>
            <w:r>
              <w:rPr>
                <w:b/>
              </w:rPr>
              <w:t>Item</w:t>
            </w:r>
          </w:p>
        </w:tc>
        <w:tc>
          <w:tcPr>
            <w:tcW w:w="5103" w:type="dxa"/>
            <w:tcBorders>
              <w:top w:val="single" w:sz="4" w:space="0" w:color="auto"/>
              <w:bottom w:val="single" w:sz="4" w:space="0" w:color="auto"/>
            </w:tcBorders>
          </w:tcPr>
          <w:p>
            <w:pPr>
              <w:pStyle w:val="yTableNAm"/>
            </w:pPr>
            <w:r>
              <w:rPr>
                <w:b/>
              </w:rPr>
              <w:t>Matter</w:t>
            </w:r>
          </w:p>
        </w:tc>
        <w:tc>
          <w:tcPr>
            <w:tcW w:w="1316" w:type="dxa"/>
            <w:tcBorders>
              <w:top w:val="single" w:sz="4" w:space="0" w:color="auto"/>
              <w:bottom w:val="single" w:sz="4" w:space="0" w:color="auto"/>
            </w:tcBorders>
          </w:tcPr>
          <w:p>
            <w:pPr>
              <w:pStyle w:val="yTableNAm"/>
            </w:pPr>
            <w:r>
              <w:rPr>
                <w:b/>
              </w:rPr>
              <w:t>Fee</w:t>
            </w:r>
            <w:r>
              <w:rPr>
                <w:b/>
              </w:rPr>
              <w:br/>
              <w:t>$</w:t>
            </w:r>
          </w:p>
        </w:tc>
      </w:tr>
      <w:tr>
        <w:trPr>
          <w:cantSplit/>
        </w:trPr>
        <w:tc>
          <w:tcPr>
            <w:tcW w:w="669" w:type="dxa"/>
          </w:tcPr>
          <w:p>
            <w:pPr>
              <w:pStyle w:val="yTableNAm"/>
            </w:pPr>
            <w:r>
              <w:t>1.</w:t>
            </w:r>
          </w:p>
        </w:tc>
        <w:tc>
          <w:tcPr>
            <w:tcW w:w="5103" w:type="dxa"/>
          </w:tcPr>
          <w:p>
            <w:pPr>
              <w:pStyle w:val="yTableNAm"/>
            </w:pPr>
            <w:r>
              <w:t xml:space="preserve">On the execution of an arrest warrant of any kind — </w:t>
            </w:r>
          </w:p>
        </w:tc>
        <w:tc>
          <w:tcPr>
            <w:tcW w:w="1316" w:type="dxa"/>
          </w:tcPr>
          <w:p>
            <w:pPr>
              <w:pStyle w:val="yTableNAm"/>
            </w:pPr>
          </w:p>
        </w:tc>
      </w:tr>
      <w:tr>
        <w:trPr>
          <w:cantSplit/>
        </w:trPr>
        <w:tc>
          <w:tcPr>
            <w:tcW w:w="669" w:type="dxa"/>
          </w:tcPr>
          <w:p>
            <w:pPr>
              <w:pStyle w:val="zyTableNAm"/>
            </w:pPr>
          </w:p>
        </w:tc>
        <w:tc>
          <w:tcPr>
            <w:tcW w:w="5103" w:type="dxa"/>
          </w:tcPr>
          <w:p>
            <w:pPr>
              <w:pStyle w:val="yTableNAm"/>
            </w:pPr>
            <w:r>
              <w:t>(a)</w:t>
            </w:r>
            <w:r>
              <w:tab/>
            </w:r>
            <w:r>
              <w:rPr>
                <w:szCs w:val="22"/>
              </w:rPr>
              <w:t>for</w:t>
            </w:r>
            <w:r>
              <w:t xml:space="preserve"> arresting the person </w:t>
            </w:r>
          </w:p>
        </w:tc>
        <w:tc>
          <w:tcPr>
            <w:tcW w:w="1316" w:type="dxa"/>
          </w:tcPr>
          <w:p>
            <w:pPr>
              <w:pStyle w:val="yTableNAm"/>
            </w:pPr>
            <w:r>
              <w:rPr>
                <w:szCs w:val="22"/>
              </w:rPr>
              <w:t>141.50</w:t>
            </w:r>
          </w:p>
        </w:tc>
      </w:tr>
      <w:tr>
        <w:trPr>
          <w:cantSplit/>
        </w:trPr>
        <w:tc>
          <w:tcPr>
            <w:tcW w:w="669" w:type="dxa"/>
          </w:tcPr>
          <w:p>
            <w:pPr>
              <w:pStyle w:val="zyTableNAm"/>
            </w:pPr>
          </w:p>
        </w:tc>
        <w:tc>
          <w:tcPr>
            <w:tcW w:w="5103" w:type="dxa"/>
          </w:tcPr>
          <w:p>
            <w:pPr>
              <w:pStyle w:val="yTableNAm"/>
            </w:pPr>
            <w:r>
              <w:t>(b)</w:t>
            </w:r>
            <w:r>
              <w:tab/>
              <w:t xml:space="preserve">for </w:t>
            </w:r>
            <w:r>
              <w:rPr>
                <w:szCs w:val="22"/>
              </w:rPr>
              <w:t>conveying</w:t>
            </w:r>
            <w:r>
              <w:t xml:space="preserve"> the person to a court or a custodial place and releasing the person from arrest or custody </w:t>
            </w:r>
          </w:p>
        </w:tc>
        <w:tc>
          <w:tcPr>
            <w:tcW w:w="1316" w:type="dxa"/>
          </w:tcPr>
          <w:p>
            <w:pPr>
              <w:pStyle w:val="yTableNAm"/>
            </w:pPr>
            <w:r>
              <w:br/>
            </w:r>
            <w:r>
              <w:br/>
              <w:t>140.00</w:t>
            </w:r>
          </w:p>
        </w:tc>
      </w:tr>
      <w:tr>
        <w:trPr>
          <w:cantSplit/>
        </w:trPr>
        <w:tc>
          <w:tcPr>
            <w:tcW w:w="669" w:type="dxa"/>
          </w:tcPr>
          <w:p>
            <w:pPr>
              <w:pStyle w:val="zyTableNAm"/>
            </w:pPr>
          </w:p>
        </w:tc>
        <w:tc>
          <w:tcPr>
            <w:tcW w:w="5103" w:type="dxa"/>
          </w:tcPr>
          <w:p>
            <w:pPr>
              <w:pStyle w:val="yTableNAm"/>
              <w:ind w:left="567" w:hanging="567"/>
            </w:pPr>
            <w:r>
              <w:t>(c)</w:t>
            </w:r>
            <w:r>
              <w:tab/>
              <w:t xml:space="preserve">for </w:t>
            </w:r>
            <w:r>
              <w:rPr>
                <w:szCs w:val="22"/>
              </w:rPr>
              <w:t>each</w:t>
            </w:r>
            <w:r>
              <w:t xml:space="preserve"> 30 minutes after 2 hours and 30 minutes that an enforcement officer, as defined in the </w:t>
            </w:r>
            <w:r>
              <w:rPr>
                <w:i/>
              </w:rPr>
              <w:t>Civil Judgments Enforcement Act 2004</w:t>
            </w:r>
            <w:r>
              <w:t xml:space="preserve"> section 3, is required to keep the person in custody until the person is conveyed to a court or a custodial place </w:t>
            </w:r>
          </w:p>
        </w:tc>
        <w:tc>
          <w:tcPr>
            <w:tcW w:w="1316" w:type="dxa"/>
          </w:tcPr>
          <w:p>
            <w:pPr>
              <w:pStyle w:val="yTableNAm"/>
            </w:pPr>
            <w:r>
              <w:br/>
            </w:r>
            <w:r>
              <w:br/>
            </w:r>
            <w:r>
              <w:br/>
            </w:r>
            <w:r>
              <w:br/>
              <w:t>37.10</w:t>
            </w:r>
          </w:p>
        </w:tc>
      </w:tr>
      <w:tr>
        <w:trPr>
          <w:cantSplit/>
          <w:trHeight w:val="1101"/>
        </w:trPr>
        <w:tc>
          <w:tcPr>
            <w:tcW w:w="669" w:type="dxa"/>
          </w:tcPr>
          <w:p>
            <w:pPr>
              <w:pStyle w:val="zyTableNAm"/>
            </w:pPr>
          </w:p>
        </w:tc>
        <w:tc>
          <w:tcPr>
            <w:tcW w:w="6419" w:type="dxa"/>
            <w:gridSpan w:val="2"/>
          </w:tcPr>
          <w:p>
            <w:pPr>
              <w:pStyle w:val="yTableNAm"/>
              <w:rPr>
                <w:sz w:val="18"/>
                <w:szCs w:val="18"/>
              </w:rPr>
            </w:pPr>
            <w:r>
              <w:rPr>
                <w:rFonts w:ascii="Arial" w:hAnsi="Arial" w:cs="Arial"/>
                <w:sz w:val="18"/>
                <w:szCs w:val="18"/>
              </w:rPr>
              <w:t>Note 1:</w:t>
            </w:r>
          </w:p>
          <w:p>
            <w:pPr>
              <w:pStyle w:val="yTableNAm"/>
            </w:pPr>
            <w:r>
              <w:rPr>
                <w:sz w:val="18"/>
                <w:szCs w:val="18"/>
              </w:rPr>
              <w:t>The fee under paragraph (a) is payable whether or not the sheriff’s functions under the warrant are performed and includes up to 3 attempts to perform the functions at the same address.</w:t>
            </w:r>
          </w:p>
        </w:tc>
      </w:tr>
      <w:tr>
        <w:trPr>
          <w:cantSplit/>
          <w:trHeight w:val="1820"/>
        </w:trPr>
        <w:tc>
          <w:tcPr>
            <w:tcW w:w="669" w:type="dxa"/>
          </w:tcPr>
          <w:p>
            <w:pPr>
              <w:pStyle w:val="zyTableNAm"/>
            </w:pPr>
          </w:p>
        </w:tc>
        <w:tc>
          <w:tcPr>
            <w:tcW w:w="6419" w:type="dxa"/>
            <w:gridSpan w:val="2"/>
          </w:tcPr>
          <w:p>
            <w:pPr>
              <w:pStyle w:val="yTableNAm"/>
              <w:rPr>
                <w:sz w:val="18"/>
                <w:szCs w:val="18"/>
              </w:rPr>
            </w:pPr>
            <w:r>
              <w:rPr>
                <w:rFonts w:ascii="Arial" w:hAnsi="Arial" w:cs="Arial"/>
                <w:sz w:val="18"/>
                <w:szCs w:val="18"/>
              </w:rPr>
              <w:t>Note 2:</w:t>
            </w:r>
          </w:p>
          <w:p>
            <w:pPr>
              <w:pStyle w:val="yTableNAm"/>
              <w:rPr>
                <w:sz w:val="18"/>
                <w:szCs w:val="18"/>
              </w:rPr>
            </w:pPr>
            <w:r>
              <w:rPr>
                <w:sz w:val="18"/>
                <w:szCs w:val="18"/>
              </w:rPr>
              <w:t>The fee under paragraph (a) includes the costs of —</w:t>
            </w:r>
          </w:p>
          <w:p>
            <w:pPr>
              <w:pStyle w:val="yTableNAm"/>
              <w:rPr>
                <w:sz w:val="18"/>
                <w:szCs w:val="18"/>
              </w:rPr>
            </w:pPr>
            <w:r>
              <w:rPr>
                <w:sz w:val="18"/>
                <w:szCs w:val="18"/>
              </w:rPr>
              <w:t>(a)</w:t>
            </w:r>
            <w:r>
              <w:rPr>
                <w:sz w:val="18"/>
                <w:szCs w:val="18"/>
              </w:rPr>
              <w:tab/>
              <w:t>receiving and printing the warrant; and</w:t>
            </w:r>
          </w:p>
          <w:p>
            <w:pPr>
              <w:pStyle w:val="yTableNAm"/>
              <w:rPr>
                <w:sz w:val="18"/>
                <w:szCs w:val="18"/>
              </w:rPr>
            </w:pPr>
            <w:r>
              <w:rPr>
                <w:sz w:val="18"/>
                <w:szCs w:val="18"/>
              </w:rPr>
              <w:t>(b)</w:t>
            </w:r>
            <w:r>
              <w:rPr>
                <w:sz w:val="18"/>
                <w:szCs w:val="18"/>
              </w:rPr>
              <w:tab/>
              <w:t>attendances and inquiries before attempting arrest; and</w:t>
            </w:r>
          </w:p>
          <w:p>
            <w:pPr>
              <w:pStyle w:val="yTableNAm"/>
              <w:rPr>
                <w:sz w:val="18"/>
                <w:szCs w:val="18"/>
              </w:rPr>
            </w:pPr>
            <w:r>
              <w:rPr>
                <w:sz w:val="18"/>
                <w:szCs w:val="18"/>
              </w:rPr>
              <w:t>(c)</w:t>
            </w:r>
            <w:r>
              <w:rPr>
                <w:sz w:val="18"/>
                <w:szCs w:val="18"/>
              </w:rPr>
              <w:tab/>
              <w:t>giving any notice; and</w:t>
            </w:r>
          </w:p>
          <w:p>
            <w:pPr>
              <w:pStyle w:val="yTableNAm"/>
            </w:pPr>
            <w:r>
              <w:rPr>
                <w:sz w:val="18"/>
                <w:szCs w:val="18"/>
              </w:rPr>
              <w:t>(d)</w:t>
            </w:r>
            <w:r>
              <w:rPr>
                <w:sz w:val="18"/>
                <w:szCs w:val="18"/>
              </w:rPr>
              <w:tab/>
              <w:t>making any report.</w:t>
            </w:r>
          </w:p>
        </w:tc>
      </w:tr>
      <w:tr>
        <w:trPr>
          <w:cantSplit/>
        </w:trPr>
        <w:tc>
          <w:tcPr>
            <w:tcW w:w="669" w:type="dxa"/>
          </w:tcPr>
          <w:p>
            <w:pPr>
              <w:pStyle w:val="yTableNAm"/>
            </w:pPr>
            <w:r>
              <w:t>2.</w:t>
            </w:r>
          </w:p>
        </w:tc>
        <w:tc>
          <w:tcPr>
            <w:tcW w:w="5103" w:type="dxa"/>
          </w:tcPr>
          <w:p>
            <w:pPr>
              <w:pStyle w:val="yTableNAm"/>
            </w:pPr>
            <w:r>
              <w:t xml:space="preserve">For the service of any writ, application, summons, originating process, notice or order of the Court or any other process requiring service </w:t>
            </w:r>
          </w:p>
        </w:tc>
        <w:tc>
          <w:tcPr>
            <w:tcW w:w="1316" w:type="dxa"/>
          </w:tcPr>
          <w:p>
            <w:pPr>
              <w:pStyle w:val="yTableNAm"/>
            </w:pPr>
            <w:r>
              <w:br/>
            </w:r>
            <w:r>
              <w:br/>
            </w:r>
            <w:r>
              <w:rPr>
                <w:szCs w:val="22"/>
              </w:rPr>
              <w:t>78.50</w:t>
            </w:r>
          </w:p>
        </w:tc>
      </w:tr>
      <w:tr>
        <w:trPr>
          <w:cantSplit/>
          <w:trHeight w:val="910"/>
        </w:trPr>
        <w:tc>
          <w:tcPr>
            <w:tcW w:w="669" w:type="dxa"/>
          </w:tcPr>
          <w:p>
            <w:pPr>
              <w:pStyle w:val="zyTableNAm"/>
            </w:pPr>
          </w:p>
        </w:tc>
        <w:tc>
          <w:tcPr>
            <w:tcW w:w="6419" w:type="dxa"/>
            <w:gridSpan w:val="2"/>
          </w:tcPr>
          <w:p>
            <w:pPr>
              <w:pStyle w:val="yTableNAm"/>
              <w:rPr>
                <w:sz w:val="18"/>
                <w:szCs w:val="18"/>
              </w:rPr>
            </w:pPr>
            <w:r>
              <w:rPr>
                <w:rFonts w:ascii="Arial" w:hAnsi="Arial" w:cs="Arial"/>
                <w:sz w:val="18"/>
                <w:szCs w:val="18"/>
              </w:rPr>
              <w:t>Note 1:</w:t>
            </w:r>
          </w:p>
          <w:p>
            <w:pPr>
              <w:pStyle w:val="yTableNAm"/>
              <w:rPr>
                <w:sz w:val="18"/>
                <w:szCs w:val="18"/>
              </w:rPr>
            </w:pPr>
            <w:r>
              <w:rPr>
                <w:sz w:val="18"/>
                <w:szCs w:val="18"/>
              </w:rPr>
              <w:t>The fee is payable whether or not the service is successful and covers up to 3 attempts at service at the same address.</w:t>
            </w:r>
          </w:p>
        </w:tc>
      </w:tr>
      <w:tr>
        <w:trPr>
          <w:cantSplit/>
          <w:trHeight w:val="598"/>
        </w:trPr>
        <w:tc>
          <w:tcPr>
            <w:tcW w:w="669" w:type="dxa"/>
          </w:tcPr>
          <w:p>
            <w:pPr>
              <w:pStyle w:val="zyTableNAm"/>
            </w:pPr>
          </w:p>
        </w:tc>
        <w:tc>
          <w:tcPr>
            <w:tcW w:w="6419" w:type="dxa"/>
            <w:gridSpan w:val="2"/>
          </w:tcPr>
          <w:p>
            <w:pPr>
              <w:pStyle w:val="yTableNAm"/>
              <w:rPr>
                <w:sz w:val="18"/>
                <w:szCs w:val="18"/>
              </w:rPr>
            </w:pPr>
            <w:r>
              <w:rPr>
                <w:rFonts w:ascii="Arial" w:hAnsi="Arial" w:cs="Arial"/>
                <w:sz w:val="18"/>
                <w:szCs w:val="18"/>
              </w:rPr>
              <w:t>Note 2:</w:t>
            </w:r>
          </w:p>
          <w:p>
            <w:pPr>
              <w:pStyle w:val="yTableNAm"/>
              <w:rPr>
                <w:sz w:val="18"/>
                <w:szCs w:val="18"/>
              </w:rPr>
            </w:pPr>
            <w:r>
              <w:rPr>
                <w:sz w:val="18"/>
                <w:szCs w:val="18"/>
              </w:rPr>
              <w:t>The fee includes the costs of receiving and printing the process.</w:t>
            </w:r>
          </w:p>
        </w:tc>
      </w:tr>
      <w:tr>
        <w:trPr>
          <w:cantSplit/>
        </w:trPr>
        <w:tc>
          <w:tcPr>
            <w:tcW w:w="669" w:type="dxa"/>
          </w:tcPr>
          <w:p>
            <w:pPr>
              <w:pStyle w:val="yTableNAm"/>
            </w:pPr>
            <w:r>
              <w:t>3.</w:t>
            </w:r>
          </w:p>
        </w:tc>
        <w:tc>
          <w:tcPr>
            <w:tcW w:w="5103" w:type="dxa"/>
          </w:tcPr>
          <w:p>
            <w:pPr>
              <w:pStyle w:val="yTableNAm"/>
            </w:pPr>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tc>
        <w:tc>
          <w:tcPr>
            <w:tcW w:w="1316" w:type="dxa"/>
          </w:tcPr>
          <w:p>
            <w:pPr>
              <w:pStyle w:val="yTableNAm"/>
            </w:pPr>
          </w:p>
        </w:tc>
      </w:tr>
      <w:tr>
        <w:trPr>
          <w:cantSplit/>
        </w:trPr>
        <w:tc>
          <w:tcPr>
            <w:tcW w:w="669" w:type="dxa"/>
          </w:tcPr>
          <w:p>
            <w:pPr>
              <w:pStyle w:val="zyTableNAm"/>
            </w:pPr>
          </w:p>
        </w:tc>
        <w:tc>
          <w:tcPr>
            <w:tcW w:w="5103" w:type="dxa"/>
          </w:tcPr>
          <w:p>
            <w:pPr>
              <w:pStyle w:val="yTableNAm"/>
              <w:ind w:left="567" w:hanging="567"/>
            </w:pPr>
            <w:r>
              <w:t>(a)</w:t>
            </w:r>
            <w:r>
              <w:tab/>
              <w:t xml:space="preserve">for each </w:t>
            </w:r>
            <w:r>
              <w:rPr>
                <w:szCs w:val="22"/>
              </w:rPr>
              <w:t>kilometre</w:t>
            </w:r>
            <w:r>
              <w:t xml:space="preserve"> travelled (1 way) in the metropolitan area </w:t>
            </w:r>
          </w:p>
        </w:tc>
        <w:tc>
          <w:tcPr>
            <w:tcW w:w="1316" w:type="dxa"/>
          </w:tcPr>
          <w:p>
            <w:pPr>
              <w:pStyle w:val="yTableNAm"/>
            </w:pPr>
            <w:r>
              <w:br/>
              <w:t>2.00</w:t>
            </w:r>
          </w:p>
        </w:tc>
      </w:tr>
      <w:tr>
        <w:trPr>
          <w:cantSplit/>
        </w:trPr>
        <w:tc>
          <w:tcPr>
            <w:tcW w:w="669" w:type="dxa"/>
          </w:tcPr>
          <w:p>
            <w:pPr>
              <w:pStyle w:val="zyTableNAm"/>
            </w:pPr>
          </w:p>
        </w:tc>
        <w:tc>
          <w:tcPr>
            <w:tcW w:w="5103" w:type="dxa"/>
          </w:tcPr>
          <w:p>
            <w:pPr>
              <w:pStyle w:val="yTableNAm"/>
              <w:ind w:left="567" w:hanging="567"/>
            </w:pPr>
            <w:r>
              <w:t>(b)</w:t>
            </w:r>
            <w:r>
              <w:tab/>
              <w:t xml:space="preserve">for each </w:t>
            </w:r>
            <w:r>
              <w:rPr>
                <w:szCs w:val="22"/>
              </w:rPr>
              <w:t>kilometre</w:t>
            </w:r>
            <w:r>
              <w:t xml:space="preserve"> travelled (1 way) outside the metropolitan area </w:t>
            </w:r>
          </w:p>
        </w:tc>
        <w:tc>
          <w:tcPr>
            <w:tcW w:w="1316" w:type="dxa"/>
          </w:tcPr>
          <w:p>
            <w:pPr>
              <w:pStyle w:val="yTableNAm"/>
            </w:pPr>
            <w:r>
              <w:br/>
              <w:t>2.20</w:t>
            </w:r>
          </w:p>
        </w:tc>
      </w:tr>
      <w:tr>
        <w:trPr>
          <w:cantSplit/>
        </w:trPr>
        <w:tc>
          <w:tcPr>
            <w:tcW w:w="669" w:type="dxa"/>
          </w:tcPr>
          <w:p>
            <w:pPr>
              <w:pStyle w:val="zyTableNAm"/>
            </w:pPr>
          </w:p>
        </w:tc>
        <w:tc>
          <w:tcPr>
            <w:tcW w:w="6419" w:type="dxa"/>
            <w:gridSpan w:val="2"/>
          </w:tcPr>
          <w:p>
            <w:pPr>
              <w:pStyle w:val="yTableNAm"/>
              <w:rPr>
                <w:sz w:val="18"/>
                <w:szCs w:val="18"/>
              </w:rPr>
            </w:pPr>
            <w:r>
              <w:rPr>
                <w:rFonts w:ascii="Arial" w:hAnsi="Arial" w:cs="Arial"/>
                <w:sz w:val="18"/>
                <w:szCs w:val="18"/>
              </w:rPr>
              <w:t>Note:</w:t>
            </w:r>
          </w:p>
          <w:p>
            <w:pPr>
              <w:pStyle w:val="yTableNAm"/>
            </w:pPr>
            <w:r>
              <w:rPr>
                <w:sz w:val="18"/>
                <w:szCs w:val="18"/>
              </w:rPr>
              <w:t>If more than 1 process or document is executed or served by the sheriff or a bailiff at the same time on the same person or on different persons at the same address, only 1 allowance for kilometres is chargeable.</w:t>
            </w:r>
          </w:p>
        </w:tc>
      </w:tr>
      <w:tr>
        <w:trPr>
          <w:cantSplit/>
        </w:trPr>
        <w:tc>
          <w:tcPr>
            <w:tcW w:w="669" w:type="dxa"/>
          </w:tcPr>
          <w:p>
            <w:pPr>
              <w:pStyle w:val="yTableNAm"/>
            </w:pPr>
            <w:r>
              <w:t>4.</w:t>
            </w:r>
          </w:p>
        </w:tc>
        <w:tc>
          <w:tcPr>
            <w:tcW w:w="5103" w:type="dxa"/>
          </w:tcPr>
          <w:p>
            <w:pPr>
              <w:pStyle w:val="yTableNAm"/>
            </w:pPr>
            <w:r>
              <w:t xml:space="preserve">Fee to the sheriff for attending a view — per hour or part of an hour </w:t>
            </w:r>
          </w:p>
        </w:tc>
        <w:tc>
          <w:tcPr>
            <w:tcW w:w="1316" w:type="dxa"/>
          </w:tcPr>
          <w:p>
            <w:pPr>
              <w:pStyle w:val="yTableNAm"/>
            </w:pPr>
            <w:r>
              <w:br/>
              <w:t>74.00</w:t>
            </w:r>
          </w:p>
        </w:tc>
      </w:tr>
      <w:tr>
        <w:trPr>
          <w:cantSplit/>
        </w:trPr>
        <w:tc>
          <w:tcPr>
            <w:tcW w:w="669" w:type="dxa"/>
          </w:tcPr>
          <w:p>
            <w:pPr>
              <w:pStyle w:val="yTableNAm"/>
            </w:pPr>
            <w:r>
              <w:t>5.</w:t>
            </w:r>
          </w:p>
        </w:tc>
        <w:tc>
          <w:tcPr>
            <w:tcW w:w="5103" w:type="dxa"/>
          </w:tcPr>
          <w:p>
            <w:pPr>
              <w:pStyle w:val="yTableNAm"/>
            </w:pPr>
            <w:r>
              <w:t>(a)</w:t>
            </w:r>
            <w:r>
              <w:tab/>
              <w:t xml:space="preserve">For </w:t>
            </w:r>
            <w:r>
              <w:rPr>
                <w:szCs w:val="22"/>
              </w:rPr>
              <w:t>striking</w:t>
            </w:r>
            <w:r>
              <w:t xml:space="preserve"> a jury and preparing jury panel </w:t>
            </w:r>
          </w:p>
        </w:tc>
        <w:tc>
          <w:tcPr>
            <w:tcW w:w="1316" w:type="dxa"/>
          </w:tcPr>
          <w:p>
            <w:pPr>
              <w:pStyle w:val="yTableNAm"/>
            </w:pPr>
            <w:r>
              <w:t>238.00</w:t>
            </w:r>
          </w:p>
        </w:tc>
      </w:tr>
      <w:tr>
        <w:trPr>
          <w:cantSplit/>
        </w:trPr>
        <w:tc>
          <w:tcPr>
            <w:tcW w:w="669" w:type="dxa"/>
            <w:tcBorders>
              <w:bottom w:val="single" w:sz="4" w:space="0" w:color="auto"/>
            </w:tcBorders>
          </w:tcPr>
          <w:p>
            <w:pPr>
              <w:pStyle w:val="zyTableNAm"/>
            </w:pPr>
          </w:p>
        </w:tc>
        <w:tc>
          <w:tcPr>
            <w:tcW w:w="5103" w:type="dxa"/>
            <w:tcBorders>
              <w:bottom w:val="single" w:sz="4" w:space="0" w:color="auto"/>
            </w:tcBorders>
          </w:tcPr>
          <w:p>
            <w:pPr>
              <w:pStyle w:val="yTableNAm"/>
              <w:ind w:left="1140" w:hanging="1140"/>
            </w:pPr>
            <w:r>
              <w:t>(b)</w:t>
            </w:r>
            <w:r>
              <w:tab/>
              <w:t xml:space="preserve">For </w:t>
            </w:r>
            <w:r>
              <w:rPr>
                <w:szCs w:val="22"/>
              </w:rPr>
              <w:t>attendance</w:t>
            </w:r>
            <w:r>
              <w:t xml:space="preserve"> of sheriff’s officer at hearing (per day or part of a day)</w:t>
            </w:r>
          </w:p>
        </w:tc>
        <w:tc>
          <w:tcPr>
            <w:tcW w:w="1316" w:type="dxa"/>
            <w:tcBorders>
              <w:bottom w:val="single" w:sz="4" w:space="0" w:color="auto"/>
            </w:tcBorders>
          </w:tcPr>
          <w:p>
            <w:pPr>
              <w:pStyle w:val="yTableNAm"/>
            </w:pPr>
            <w:r>
              <w:t>The sum actually and reasonably paid</w:t>
            </w:r>
          </w:p>
        </w:tc>
      </w:tr>
    </w:tbl>
    <w:p>
      <w:pPr>
        <w:pStyle w:val="BlankClose"/>
      </w:pPr>
    </w:p>
    <w:p>
      <w:pPr>
        <w:pStyle w:val="BlankOpen"/>
        <w:rPr>
          <w:snapToGrid w:val="0"/>
        </w:rPr>
      </w:pPr>
    </w:p>
    <w:p>
      <w:pPr>
        <w:rPr>
          <w:u w:val="words"/>
        </w:rPr>
      </w:pPr>
    </w:p>
    <w:p>
      <w:pPr>
        <w:rPr>
          <w:u w:val="words"/>
        </w:r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67" w:name="_Toc516819540"/>
      <w:r>
        <w:rPr>
          <w:sz w:val="28"/>
        </w:rPr>
        <w:t>Defined terms</w:t>
      </w:r>
      <w:bookmarkEnd w:id="6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recipient</w:t>
      </w:r>
      <w:r>
        <w:tab/>
        <w:t>11A(1)</w:t>
      </w:r>
    </w:p>
    <w:p>
      <w:pPr>
        <w:pStyle w:val="DefinedTerms"/>
      </w:pPr>
      <w:r>
        <w:t>Centrelink</w:t>
      </w:r>
      <w:r>
        <w:tab/>
        <w:t>7(1)</w:t>
      </w:r>
    </w:p>
    <w:p>
      <w:pPr>
        <w:pStyle w:val="DefinedTerms"/>
      </w:pPr>
      <w:r>
        <w:t>corporation</w:t>
      </w:r>
      <w:r>
        <w:tab/>
        <w:t>3</w:t>
      </w:r>
    </w:p>
    <w:p>
      <w:pPr>
        <w:pStyle w:val="DefinedTerms"/>
      </w:pPr>
      <w:r>
        <w:t>eligible entity</w:t>
      </w:r>
      <w:r>
        <w:tab/>
        <w:t>3</w:t>
      </w:r>
    </w:p>
    <w:p>
      <w:pPr>
        <w:pStyle w:val="DefinedTerms"/>
      </w:pPr>
      <w:r>
        <w:t>eligible entity fee</w:t>
      </w:r>
      <w:r>
        <w:tab/>
        <w:t>3</w:t>
      </w:r>
    </w:p>
    <w:p>
      <w:pPr>
        <w:pStyle w:val="DefinedTerms"/>
      </w:pPr>
      <w:r>
        <w:t>eligible individual</w:t>
      </w:r>
      <w:r>
        <w:tab/>
        <w:t>3</w:t>
      </w:r>
    </w:p>
    <w:p>
      <w:pPr>
        <w:pStyle w:val="DefinedTerms"/>
      </w:pPr>
      <w:r>
        <w:t>eligible individual fee</w:t>
      </w:r>
      <w:r>
        <w:tab/>
        <w:t>3</w:t>
      </w:r>
    </w:p>
    <w:p>
      <w:pPr>
        <w:pStyle w:val="DefinedTerms"/>
      </w:pPr>
      <w:r>
        <w:t>entity</w:t>
      </w:r>
      <w:r>
        <w:tab/>
        <w:t>3</w:t>
      </w:r>
    </w:p>
    <w:p>
      <w:pPr>
        <w:pStyle w:val="DefinedTerms"/>
      </w:pPr>
      <w:r>
        <w:t>fee</w:t>
      </w:r>
      <w:r>
        <w:tab/>
        <w:t>9(1)</w:t>
      </w:r>
    </w:p>
    <w:p>
      <w:pPr>
        <w:pStyle w:val="DefinedTerms"/>
      </w:pPr>
      <w:r>
        <w:t>individual</w:t>
      </w:r>
      <w:r>
        <w:tab/>
        <w:t>3</w:t>
      </w:r>
    </w:p>
    <w:p>
      <w:pPr>
        <w:pStyle w:val="DefinedTerms"/>
      </w:pPr>
      <w:r>
        <w:t>non</w:t>
      </w:r>
      <w:r>
        <w:noBreakHyphen/>
        <w:t>profit association</w:t>
      </w:r>
      <w:r>
        <w:tab/>
        <w:t>3</w:t>
      </w:r>
    </w:p>
    <w:p>
      <w:pPr>
        <w:pStyle w:val="DefinedTerms"/>
      </w:pPr>
      <w:r>
        <w:t>person</w:t>
      </w:r>
      <w:r>
        <w:tab/>
        <w:t>3</w:t>
      </w:r>
    </w:p>
    <w:p>
      <w:pPr>
        <w:pStyle w:val="DefinedTerms"/>
      </w:pPr>
      <w:r>
        <w:t>Rules</w:t>
      </w:r>
      <w:r>
        <w:tab/>
        <w:t>3</w:t>
      </w:r>
    </w:p>
    <w:p>
      <w:pPr>
        <w:pStyle w:val="DefinedTerms"/>
      </w:pPr>
      <w:r>
        <w:t>searchable information</w:t>
      </w:r>
      <w:r>
        <w:tab/>
        <w:t>11A(1)</w:t>
      </w:r>
    </w:p>
    <w:p>
      <w:pPr>
        <w:pStyle w:val="DefinedTerms"/>
      </w:pPr>
      <w:r>
        <w:t>small business</w:t>
      </w:r>
      <w:r>
        <w:tab/>
        <w:t>3</w:t>
      </w:r>
    </w:p>
    <w:p>
      <w:pPr>
        <w:pStyle w:val="DefinedTerms"/>
      </w:pPr>
      <w:r>
        <w:t>subsidiary</w:t>
      </w:r>
      <w:r>
        <w:tab/>
        <w:t>3</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pPr>
        <w:rPr>
          <w:rFonts w:ascii="Arial" w:hAnsi="Arial" w:cs="Arial"/>
          <w:szCs w:val="24"/>
        </w:rPr>
      </w:pP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Jun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Jun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5" w:name="Schedule"/>
    <w:bookmarkEnd w:id="2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Sheriff’s 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Sheriff’s 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6" w:name="Compilation"/>
    <w:bookmarkEnd w:id="6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8" w:name="DefinedTerms"/>
    <w:bookmarkEnd w:id="6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9" w:name="Coversheet"/>
    <w:bookmarkEnd w:id="6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3"/>
  </w:num>
  <w:num w:numId="3">
    <w:abstractNumId w:val="15"/>
  </w:num>
  <w:num w:numId="4">
    <w:abstractNumId w:val="14"/>
  </w:num>
  <w:num w:numId="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614130820"/>
    <w:docVar w:name="WAFER_20140122160301" w:val="RemoveTocBookmarks,RemoveUnusedBookmarks,RemoveLanguageTags,UsedStyles,ResetPageSize,UpdateArrangement"/>
    <w:docVar w:name="WAFER_20140122160301_GUID" w:val="a49e0422-49de-4d24-b800-fe3ade715530"/>
    <w:docVar w:name="WAFER_20140122160656" w:val="RemoveTocBookmarks,RunningHeaders"/>
    <w:docVar w:name="WAFER_20140122160656_GUID" w:val="c748e377-c038-4852-b81f-44cb3709727f"/>
    <w:docVar w:name="WAFER_20141027094104" w:val="RemoveTocBookmarks,RemoveUnusedBookmarks,RemoveLanguageTags,UsedStyles,RemoveTrackChanges"/>
    <w:docVar w:name="WAFER_20141027094104_GUID" w:val="c9b04460-f12a-44ce-8dd8-a5e123258447"/>
    <w:docVar w:name="WAFER_20141027094113" w:val="RemoveTocBookmarks,RemoveLanguageTags,RemoveTrackChanges,RunningHeaders"/>
    <w:docVar w:name="WAFER_20141027094113_GUID" w:val="bdebdbb0-74d5-4623-a904-7ea852c36106"/>
    <w:docVar w:name="WAFER_20150410161433" w:val="ResetPageSize,UpdateArrangement,UpdateNTable"/>
    <w:docVar w:name="WAFER_20150410161433_GUID" w:val="e0b0d781-3119-4c43-9d9d-948167529c78"/>
    <w:docVar w:name="WAFER_20151103103909" w:val="UpdateStyles,UsedStyles"/>
    <w:docVar w:name="WAFER_20151103103909_GUID" w:val="dcc5ec25-6f22-4784-9440-8723c8476e43"/>
    <w:docVar w:name="WAFER_20160630153828" w:val="RemoveTocBookmarks,RemoveUnusedBookmarks,RemoveLanguageTags,UsedStyles,ResetPageSize"/>
    <w:docVar w:name="WAFER_20160630153828_GUID" w:val="991f5223-958f-4d09-8845-6a198150a9e8"/>
    <w:docVar w:name="WAFER_20180614130820" w:val="RemoveTocBookmarks,RemoveUnusedBookmarks,RemoveLanguageTags,UsedStyles,ResetPageSize"/>
    <w:docVar w:name="WAFER_20180614130820_GUID" w:val="ffcc3c7a-11ae-4898-b501-d94efcb9ed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73A74-CA18-4CF1-804C-0B4C02E2C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9744</Words>
  <Characters>46386</Characters>
  <Application>Microsoft Office Word</Application>
  <DocSecurity>0</DocSecurity>
  <Lines>2441</Lines>
  <Paragraphs>1403</Paragraphs>
  <ScaleCrop>false</ScaleCrop>
  <HeadingPairs>
    <vt:vector size="2" baseType="variant">
      <vt:variant>
        <vt:lpstr>Title</vt:lpstr>
      </vt:variant>
      <vt:variant>
        <vt:i4>1</vt:i4>
      </vt:variant>
    </vt:vector>
  </HeadingPairs>
  <TitlesOfParts>
    <vt:vector size="1" baseType="lpstr">
      <vt:lpstr>District Court (Fees) Regulations 2002 - 01-d0-00</vt:lpstr>
    </vt:vector>
  </TitlesOfParts>
  <Manager/>
  <Company/>
  <LinksUpToDate>false</LinksUpToDate>
  <CharactersWithSpaces>54727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(Fees) Regulations 2002 - 03-k0-00</dc:title>
  <dc:subject/>
  <dc:creator/>
  <cp:keywords/>
  <dc:description/>
  <cp:lastModifiedBy>svcMRProcess</cp:lastModifiedBy>
  <cp:revision>4</cp:revision>
  <cp:lastPrinted>2016-07-22T01:04:00Z</cp:lastPrinted>
  <dcterms:created xsi:type="dcterms:W3CDTF">2018-06-15T04:55:00Z</dcterms:created>
  <dcterms:modified xsi:type="dcterms:W3CDTF">2018-06-15T04:55:00Z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pp.6619-43</vt:lpwstr>
  </property>
  <property fmtid="{D5CDD505-2E9C-101B-9397-08002B2CF9AE}" pid="3" name="DocumentType">
    <vt:lpwstr>Reg</vt:lpwstr>
  </property>
  <property fmtid="{D5CDD505-2E9C-101B-9397-08002B2CF9AE}" pid="4" name="OwlsUID">
    <vt:i4>3577</vt:i4>
  </property>
  <property fmtid="{D5CDD505-2E9C-101B-9397-08002B2CF9AE}" pid="5" name="ReprintNo">
    <vt:lpwstr>3</vt:lpwstr>
  </property>
  <property fmtid="{D5CDD505-2E9C-101B-9397-08002B2CF9AE}" pid="6" name="ReprintedAsAt">
    <vt:filetime>2014-11-06T16:00:00Z</vt:filetime>
  </property>
  <property fmtid="{D5CDD505-2E9C-101B-9397-08002B2CF9AE}" pid="7" name="AsAtDate">
    <vt:lpwstr>15 Jun 2018</vt:lpwstr>
  </property>
  <property fmtid="{D5CDD505-2E9C-101B-9397-08002B2CF9AE}" pid="8" name="Suffix">
    <vt:lpwstr>03-k0-00</vt:lpwstr>
  </property>
  <property fmtid="{D5CDD505-2E9C-101B-9397-08002B2CF9AE}" pid="9" name="CommencementDate">
    <vt:lpwstr>20180615</vt:lpwstr>
  </property>
</Properties>
</file>