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_Toc516819909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_Toc516819910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_Toc516819911 \h </w:instrText>
      </w:r>
      <w:r>
        <w:fldChar w:fldCharType="separate"/>
      </w:r>
      <w:r>
        <w:t>2</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_Toc516819912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_Toc516819913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_Toc516819914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_Toc516819916 \h </w:instrText>
      </w:r>
      <w:r>
        <w:fldChar w:fldCharType="separate"/>
      </w:r>
      <w:r>
        <w:t>3</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_Toc516819917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_Toc516819919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_Toc516819920 \h </w:instrText>
      </w:r>
      <w:r>
        <w:fldChar w:fldCharType="separate"/>
      </w:r>
      <w:r>
        <w:t>6</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9"/>
        <w:rPr>
          <w:rFonts w:asciiTheme="minorHAnsi" w:eastAsiaTheme="minorEastAsia" w:hAnsiTheme="minorHAnsi" w:cstheme="minorBidi"/>
          <w:noProof/>
          <w:sz w:val="22"/>
          <w:szCs w:val="22"/>
        </w:rPr>
      </w:pPr>
      <w:r>
        <w:rPr>
          <w:noProof/>
        </w:rPr>
        <w:t>1.</w:t>
      </w:r>
      <w:r>
        <w:rPr>
          <w:noProof/>
        </w:rPr>
        <w:tab/>
        <w:t>Booking fee</w:t>
      </w:r>
      <w:r>
        <w:rPr>
          <w:noProof/>
        </w:rPr>
        <w:tab/>
      </w:r>
      <w:r>
        <w:rPr>
          <w:noProof/>
        </w:rPr>
        <w:fldChar w:fldCharType="begin"/>
      </w:r>
      <w:r>
        <w:rPr>
          <w:noProof/>
        </w:rPr>
        <w:instrText xml:space="preserve"> PAGEREF _Toc516819922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Hourly fee</w:t>
      </w:r>
      <w:r>
        <w:rPr>
          <w:noProof/>
        </w:rPr>
        <w:tab/>
      </w:r>
      <w:r>
        <w:rPr>
          <w:noProof/>
        </w:rPr>
        <w:fldChar w:fldCharType="begin"/>
      </w:r>
      <w:r>
        <w:rPr>
          <w:noProof/>
        </w:rPr>
        <w:instrText xml:space="preserve"> PAGEREF _Toc516819923 \h </w:instrText>
      </w:r>
      <w:r>
        <w:rPr>
          <w:noProof/>
        </w:rPr>
      </w:r>
      <w:r>
        <w:rPr>
          <w:noProof/>
        </w:rPr>
        <w:fldChar w:fldCharType="separate"/>
      </w:r>
      <w:r>
        <w:rPr>
          <w:noProof/>
        </w:rPr>
        <w:t>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Evidence Act 1906</w:t>
      </w:r>
    </w:p>
    <w:p>
      <w:pPr>
        <w:pStyle w:val="NameofActReg"/>
      </w:pPr>
      <w:r>
        <w:t>Evidence (Video and Audio Links Fees and Expenses) Regulations 1999</w:t>
      </w:r>
    </w:p>
    <w:p>
      <w:pPr>
        <w:pStyle w:val="Heading5"/>
      </w:pPr>
      <w:bookmarkStart w:id="3" w:name="_Toc516819909"/>
      <w:r>
        <w:rPr>
          <w:rStyle w:val="CharSectno"/>
        </w:rPr>
        <w:t>1</w:t>
      </w:r>
      <w:r>
        <w:t>.</w:t>
      </w:r>
      <w:r>
        <w:tab/>
        <w:t>Citation</w:t>
      </w:r>
      <w:bookmarkEnd w:id="3"/>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516819910"/>
      <w:r>
        <w:rPr>
          <w:rStyle w:val="CharSectno"/>
        </w:rPr>
        <w:t>2</w:t>
      </w:r>
      <w:r>
        <w:t>.</w:t>
      </w:r>
      <w:r>
        <w:tab/>
        <w:t>Booking fee</w:t>
      </w:r>
      <w:bookmarkEnd w:id="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5" w:name="_Toc516819911"/>
      <w:r>
        <w:rPr>
          <w:rStyle w:val="CharSectno"/>
        </w:rPr>
        <w:t>3</w:t>
      </w:r>
      <w:r>
        <w:t>.</w:t>
      </w:r>
      <w:r>
        <w:tab/>
        <w:t>Hourly fee</w:t>
      </w:r>
      <w:bookmarkEnd w:id="5"/>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6" w:name="_Toc516819912"/>
      <w:r>
        <w:rPr>
          <w:rStyle w:val="CharSectno"/>
        </w:rPr>
        <w:t>4</w:t>
      </w:r>
      <w:r>
        <w:t>.</w:t>
      </w:r>
      <w:r>
        <w:tab/>
        <w:t>Telecommunications charges</w:t>
      </w:r>
      <w:bookmarkEnd w:id="6"/>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7" w:name="_Toc516819913"/>
      <w:r>
        <w:rPr>
          <w:rStyle w:val="CharSectno"/>
        </w:rPr>
        <w:t>5</w:t>
      </w:r>
      <w:r>
        <w:t>.</w:t>
      </w:r>
      <w:r>
        <w:tab/>
        <w:t>Fees and expenses to be recoverable as debts due to the Crown</w:t>
      </w:r>
      <w:bookmarkEnd w:id="7"/>
    </w:p>
    <w:p>
      <w:pPr>
        <w:pStyle w:val="Subsection"/>
      </w:pPr>
      <w:r>
        <w:tab/>
      </w:r>
      <w:r>
        <w:tab/>
        <w:t>A fee or expense payable under these regulations is a debt due to the Crown and is recoverable in a court of competent jurisdiction.</w:t>
      </w:r>
    </w:p>
    <w:p>
      <w:pPr>
        <w:pStyle w:val="Heading5"/>
      </w:pPr>
      <w:bookmarkStart w:id="8" w:name="_Toc516819914"/>
      <w:r>
        <w:rPr>
          <w:rStyle w:val="CharSectno"/>
        </w:rPr>
        <w:t>6</w:t>
      </w:r>
      <w:r>
        <w:t>.</w:t>
      </w:r>
      <w:r>
        <w:tab/>
        <w:t>Court may waive fees and expenses in a particular case</w:t>
      </w:r>
      <w:bookmarkEnd w:id="8"/>
    </w:p>
    <w:p>
      <w:pPr>
        <w:pStyle w:val="Subsection"/>
      </w:pPr>
      <w:r>
        <w:tab/>
      </w:r>
      <w:r>
        <w:tab/>
        <w:t>A court may, in a particular case, waive a fee or expense payable under these regulations.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516819915"/>
      <w:r>
        <w:rPr>
          <w:rStyle w:val="CharSchNo"/>
        </w:rPr>
        <w:t>Schedule 1</w:t>
      </w:r>
      <w:r>
        <w:rPr>
          <w:rStyle w:val="CharSDivNo"/>
        </w:rPr>
        <w:t> </w:t>
      </w:r>
      <w:r>
        <w:t>—</w:t>
      </w:r>
      <w:r>
        <w:rPr>
          <w:rStyle w:val="CharSDivNo"/>
        </w:rPr>
        <w:t> </w:t>
      </w:r>
      <w:r>
        <w:rPr>
          <w:rStyle w:val="CharSchText"/>
        </w:rPr>
        <w:t>Fees</w:t>
      </w:r>
      <w:bookmarkEnd w:id="9"/>
    </w:p>
    <w:p>
      <w:pPr>
        <w:pStyle w:val="yShoulderClause"/>
      </w:pPr>
      <w:r>
        <w:t>[r. 2 and 3]</w:t>
      </w:r>
    </w:p>
    <w:p>
      <w:pPr>
        <w:pStyle w:val="yFootnoteheading"/>
      </w:pPr>
      <w:r>
        <w:tab/>
        <w:t>[Heading inserted in Gazette 19 Jun 2015 p. 2122.]</w:t>
      </w:r>
    </w:p>
    <w:p>
      <w:pPr>
        <w:pStyle w:val="yHeading5"/>
      </w:pPr>
      <w:bookmarkStart w:id="10" w:name="_Toc516819916"/>
      <w:r>
        <w:rPr>
          <w:rStyle w:val="CharSClsNo"/>
        </w:rPr>
        <w:t>1</w:t>
      </w:r>
      <w:r>
        <w:t>.</w:t>
      </w:r>
      <w:r>
        <w:tab/>
        <w:t>Booking fee</w:t>
      </w:r>
      <w:bookmarkEnd w:id="10"/>
    </w:p>
    <w:p>
      <w:pPr>
        <w:pStyle w:val="ySubsection"/>
      </w:pPr>
      <w:r>
        <w:tab/>
        <w:t>(a)</w:t>
      </w:r>
      <w:r>
        <w:tab/>
        <w:t>Intrastate link ..............................................</w:t>
      </w:r>
      <w:r>
        <w:tab/>
        <w:t>$110.00</w:t>
      </w:r>
    </w:p>
    <w:p>
      <w:pPr>
        <w:pStyle w:val="ySubsection"/>
      </w:pPr>
      <w:r>
        <w:tab/>
        <w:t>(b)</w:t>
      </w:r>
      <w:r>
        <w:tab/>
        <w:t>Interstate or overseas link ...........................</w:t>
      </w:r>
      <w:r>
        <w:tab/>
        <w:t>$163.50</w:t>
      </w:r>
    </w:p>
    <w:p>
      <w:pPr>
        <w:pStyle w:val="yFootnotesection"/>
      </w:pPr>
      <w:r>
        <w:tab/>
        <w:t>[Clause 1 inserted in Gazette 19 Jun 2015 p. 2122; amended in Gazette 14 Jun 2016 p. 1906; 7 Jul 2017 p. 3751.]</w:t>
      </w:r>
    </w:p>
    <w:p>
      <w:pPr>
        <w:pStyle w:val="yHeading5"/>
      </w:pPr>
      <w:bookmarkStart w:id="11" w:name="_Toc516819917"/>
      <w:r>
        <w:rPr>
          <w:rStyle w:val="CharSClsNo"/>
        </w:rPr>
        <w:t>2</w:t>
      </w:r>
      <w:r>
        <w:t>.</w:t>
      </w:r>
      <w:r>
        <w:tab/>
        <w:t>Hourly fee</w:t>
      </w:r>
      <w:bookmarkEnd w:id="11"/>
    </w:p>
    <w:p>
      <w:pPr>
        <w:pStyle w:val="ySubsection"/>
      </w:pPr>
      <w:r>
        <w:tab/>
      </w:r>
      <w:r>
        <w:tab/>
        <w:t>Per hour or part of an hour .........................</w:t>
      </w:r>
      <w:r>
        <w:tab/>
        <w:t>$86.00</w:t>
      </w:r>
    </w:p>
    <w:p>
      <w:pPr>
        <w:pStyle w:val="yFootnotesection"/>
      </w:pPr>
      <w:r>
        <w:tab/>
        <w:t>[Clause 2 inserted in Gazette 19 Jun 2015 p. 2123; amended in Gazette 14 Jun 2016 p. 1906; 7 Jul 2017 p. 3751.]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 w:name="_Toc516819918"/>
      <w:r>
        <w:t>Notes</w:t>
      </w:r>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4" w:name="_Toc516819919"/>
      <w:r>
        <w:t>Compilation table</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gridSpan w:val="2"/>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gridSpan w:val="2"/>
          </w:tcPr>
          <w:p>
            <w:pPr>
              <w:pStyle w:val="nTable"/>
            </w:pPr>
            <w:r>
              <w:t>1 Jan 2004 (see r. 2)</w:t>
            </w:r>
          </w:p>
        </w:tc>
      </w:tr>
      <w:tr>
        <w:trPr>
          <w:cantSplit/>
        </w:trPr>
        <w:tc>
          <w:tcPr>
            <w:tcW w:w="7088" w:type="dxa"/>
            <w:gridSpan w:val="4"/>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gridSpan w:val="2"/>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gridSpan w:val="2"/>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gridSpan w:val="2"/>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gridSpan w:val="2"/>
          </w:tcPr>
          <w:p>
            <w:pPr>
              <w:pStyle w:val="nTable"/>
            </w:pPr>
            <w:r>
              <w:t>r. 1 and 2: 27 Jun 2008 (see r. 2(a));</w:t>
            </w:r>
            <w:r>
              <w:br/>
              <w:t>Regulations other than r. 1 and 2: 1 Jul 2008 (see r. 2(b))</w:t>
            </w:r>
          </w:p>
        </w:tc>
      </w:tr>
      <w:tr>
        <w:trPr>
          <w:cantSplit/>
        </w:trPr>
        <w:tc>
          <w:tcPr>
            <w:tcW w:w="7088" w:type="dxa"/>
            <w:gridSpan w:val="4"/>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gridSpan w:val="2"/>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gridSpan w:val="2"/>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gridSpan w:val="2"/>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4"/>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gridSpan w:val="2"/>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4" w:type="dxa"/>
            <w:gridSpan w:val="2"/>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cantSplit/>
        </w:trPr>
        <w:tc>
          <w:tcPr>
            <w:tcW w:w="3118"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4" w:type="dxa"/>
            <w:gridSpan w:val="2"/>
            <w:shd w:val="clear" w:color="auto" w:fill="auto"/>
          </w:tcPr>
          <w:p>
            <w:pPr>
              <w:pStyle w:val="nTable"/>
              <w:spacing w:after="40"/>
              <w:rPr>
                <w:bCs/>
                <w:snapToGrid w:val="0"/>
              </w:rPr>
            </w:pPr>
            <w:r>
              <w:t>4 Jul 2016 (see r. 2(b))</w:t>
            </w:r>
          </w:p>
        </w:tc>
      </w:tr>
      <w:tr>
        <w:trPr>
          <w:gridAfter w:val="1"/>
          <w:wAfter w:w="29" w:type="dxa"/>
        </w:trP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6</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516819920"/>
      <w:r>
        <w:t>Provisions that have not come into operation</w:t>
      </w:r>
      <w:bookmarkEnd w:id="1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after="40"/>
              <w:ind w:right="113"/>
              <w:rPr>
                <w:b/>
              </w:rPr>
            </w:pPr>
            <w:r>
              <w:rPr>
                <w:b/>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6 </w:t>
            </w:r>
            <w:r>
              <w:rPr>
                <w:vertAlign w:val="superscript"/>
              </w:rPr>
              <w:t>2</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6</w:t>
      </w:r>
      <w:r>
        <w:rPr>
          <w:i/>
        </w:rPr>
        <w:t xml:space="preserve"> </w:t>
      </w:r>
      <w:r>
        <w:rPr>
          <w:snapToGrid w:val="0"/>
        </w:rPr>
        <w:t>had not come into operation.  It reads as follows:</w:t>
      </w:r>
    </w:p>
    <w:p>
      <w:pPr>
        <w:pStyle w:val="BlankOpen"/>
        <w:rPr>
          <w:snapToGrid w:val="0"/>
        </w:rPr>
      </w:pPr>
    </w:p>
    <w:p>
      <w:pPr>
        <w:pStyle w:val="nzHeading2"/>
      </w:pPr>
      <w:bookmarkStart w:id="16" w:name="_Toc514321222"/>
      <w:bookmarkStart w:id="17" w:name="_Toc514321287"/>
      <w:bookmarkStart w:id="18" w:name="_Toc514330281"/>
      <w:bookmarkStart w:id="19" w:name="_Toc514334946"/>
      <w:bookmarkStart w:id="20" w:name="_Toc514336295"/>
      <w:bookmarkStart w:id="21" w:name="_Toc514336497"/>
      <w:bookmarkStart w:id="22" w:name="_Toc514414471"/>
      <w:bookmarkStart w:id="23" w:name="_Toc514414536"/>
      <w:bookmarkStart w:id="24" w:name="_Toc514657446"/>
      <w:bookmarkStart w:id="25" w:name="_Toc514666267"/>
      <w:r>
        <w:rPr>
          <w:rStyle w:val="CharPartNo"/>
        </w:rPr>
        <w:t>Part 6</w:t>
      </w:r>
      <w:r>
        <w:rPr>
          <w:rStyle w:val="CharDivNo"/>
        </w:rPr>
        <w:t> </w:t>
      </w:r>
      <w:r>
        <w:t>—</w:t>
      </w:r>
      <w:r>
        <w:rPr>
          <w:rStyle w:val="CharDivText"/>
        </w:rPr>
        <w:t> </w:t>
      </w:r>
      <w:r>
        <w:rPr>
          <w:rStyle w:val="CharPartText"/>
          <w:i/>
        </w:rPr>
        <w:t>Evidence (Video and Audio Links Fees and Expenses) Regulations 1999</w:t>
      </w:r>
      <w:r>
        <w:rPr>
          <w:rStyle w:val="CharPartText"/>
        </w:rPr>
        <w:t> amended</w:t>
      </w:r>
      <w:bookmarkEnd w:id="16"/>
      <w:bookmarkEnd w:id="17"/>
      <w:bookmarkEnd w:id="18"/>
      <w:bookmarkEnd w:id="19"/>
      <w:bookmarkEnd w:id="20"/>
      <w:bookmarkEnd w:id="21"/>
      <w:bookmarkEnd w:id="22"/>
      <w:bookmarkEnd w:id="23"/>
      <w:bookmarkEnd w:id="24"/>
      <w:bookmarkEnd w:id="25"/>
    </w:p>
    <w:p>
      <w:pPr>
        <w:pStyle w:val="nzHeading5"/>
      </w:pPr>
      <w:bookmarkStart w:id="26" w:name="_Toc514414472"/>
      <w:bookmarkStart w:id="27" w:name="_Toc514666268"/>
      <w:r>
        <w:rPr>
          <w:rStyle w:val="CharSectno"/>
        </w:rPr>
        <w:t>14</w:t>
      </w:r>
      <w:r>
        <w:t>.</w:t>
      </w:r>
      <w:r>
        <w:tab/>
        <w:t>Regulations amended</w:t>
      </w:r>
      <w:bookmarkEnd w:id="26"/>
      <w:bookmarkEnd w:id="27"/>
    </w:p>
    <w:p>
      <w:pPr>
        <w:pStyle w:val="nzSubsection"/>
        <w:rPr>
          <w:rStyle w:val="CharDivText"/>
        </w:rPr>
      </w:pPr>
      <w:r>
        <w:tab/>
      </w:r>
      <w:r>
        <w:tab/>
        <w:t xml:space="preserve">This Part amends the </w:t>
      </w:r>
      <w:r>
        <w:rPr>
          <w:rStyle w:val="CharDivText"/>
          <w:i/>
        </w:rPr>
        <w:t>Evidence (Video and Audio Links Fees and Expenses) Regulations 1999</w:t>
      </w:r>
      <w:r>
        <w:rPr>
          <w:rStyle w:val="CharDivText"/>
        </w:rPr>
        <w:t>.</w:t>
      </w:r>
    </w:p>
    <w:p>
      <w:pPr>
        <w:pStyle w:val="nzHeading5"/>
      </w:pPr>
      <w:bookmarkStart w:id="28" w:name="_Toc514414473"/>
      <w:bookmarkStart w:id="29" w:name="_Toc514666269"/>
      <w:r>
        <w:rPr>
          <w:rStyle w:val="CharSectno"/>
        </w:rPr>
        <w:t>15</w:t>
      </w:r>
      <w:r>
        <w:t>.</w:t>
      </w:r>
      <w:r>
        <w:tab/>
        <w:t>Schedule 1 replaced</w:t>
      </w:r>
      <w:bookmarkEnd w:id="28"/>
      <w:bookmarkEnd w:id="29"/>
    </w:p>
    <w:p>
      <w:pPr>
        <w:pStyle w:val="nzSubsection"/>
      </w:pPr>
      <w:r>
        <w:tab/>
      </w:r>
      <w:r>
        <w:tab/>
        <w:t>Delete Schedule 1 and insert:</w:t>
      </w:r>
    </w:p>
    <w:p>
      <w:pPr>
        <w:pStyle w:val="BlankOpen"/>
      </w:pPr>
    </w:p>
    <w:p>
      <w:pPr>
        <w:pStyle w:val="zyHeading2"/>
      </w:pPr>
      <w:bookmarkStart w:id="30" w:name="_Toc514321225"/>
      <w:bookmarkStart w:id="31" w:name="_Toc514321290"/>
      <w:bookmarkStart w:id="32" w:name="_Toc514330284"/>
      <w:bookmarkStart w:id="33" w:name="_Toc514334949"/>
      <w:bookmarkStart w:id="34" w:name="_Toc514336298"/>
      <w:bookmarkStart w:id="35" w:name="_Toc514336500"/>
      <w:bookmarkStart w:id="36" w:name="_Toc514414474"/>
      <w:bookmarkStart w:id="37" w:name="_Toc514414539"/>
      <w:bookmarkStart w:id="38" w:name="_Toc514657449"/>
      <w:bookmarkStart w:id="39" w:name="_Toc514666270"/>
      <w:bookmarkStart w:id="40" w:name="_Toc516819921"/>
      <w:r>
        <w:rPr>
          <w:rStyle w:val="CharSchNo"/>
        </w:rPr>
        <w:t>Schedule 1</w:t>
      </w:r>
      <w:r>
        <w:rPr>
          <w:rStyle w:val="CharSDivNo"/>
        </w:rPr>
        <w:t> </w:t>
      </w:r>
      <w:r>
        <w:t>—</w:t>
      </w:r>
      <w:r>
        <w:rPr>
          <w:rStyle w:val="CharSDivNo"/>
        </w:rPr>
        <w:t> </w:t>
      </w:r>
      <w:r>
        <w:rPr>
          <w:rStyle w:val="CharSchText"/>
        </w:rPr>
        <w:t>Fees</w:t>
      </w:r>
      <w:bookmarkEnd w:id="30"/>
      <w:bookmarkEnd w:id="31"/>
      <w:bookmarkEnd w:id="32"/>
      <w:bookmarkEnd w:id="33"/>
      <w:bookmarkEnd w:id="34"/>
      <w:bookmarkEnd w:id="35"/>
      <w:bookmarkEnd w:id="36"/>
      <w:bookmarkEnd w:id="37"/>
      <w:bookmarkEnd w:id="38"/>
      <w:bookmarkEnd w:id="39"/>
      <w:bookmarkEnd w:id="40"/>
    </w:p>
    <w:p>
      <w:pPr>
        <w:pStyle w:val="zyShoulderClause"/>
      </w:pPr>
      <w:r>
        <w:t>[r. 2 and 3]</w:t>
      </w:r>
    </w:p>
    <w:p>
      <w:pPr>
        <w:pStyle w:val="zyHeading5"/>
        <w:rPr>
          <w:sz w:val="20"/>
        </w:rPr>
      </w:pPr>
      <w:bookmarkStart w:id="41" w:name="_Toc514414475"/>
      <w:bookmarkStart w:id="42" w:name="_Toc514666271"/>
      <w:bookmarkStart w:id="43" w:name="_Toc516819922"/>
      <w:r>
        <w:rPr>
          <w:rStyle w:val="CharSClsNo"/>
          <w:sz w:val="20"/>
        </w:rPr>
        <w:t>1</w:t>
      </w:r>
      <w:r>
        <w:rPr>
          <w:sz w:val="20"/>
        </w:rPr>
        <w:t>.</w:t>
      </w:r>
      <w:r>
        <w:rPr>
          <w:sz w:val="20"/>
        </w:rPr>
        <w:tab/>
        <w:t>Booking fee</w:t>
      </w:r>
      <w:bookmarkEnd w:id="41"/>
      <w:bookmarkEnd w:id="42"/>
      <w:bookmarkEnd w:id="43"/>
    </w:p>
    <w:p>
      <w:pPr>
        <w:pStyle w:val="zyIndenta"/>
        <w:rPr>
          <w:sz w:val="20"/>
        </w:rPr>
      </w:pPr>
      <w:r>
        <w:rPr>
          <w:sz w:val="20"/>
        </w:rPr>
        <w:tab/>
        <w:t>(a)</w:t>
      </w:r>
      <w:r>
        <w:rPr>
          <w:sz w:val="20"/>
        </w:rPr>
        <w:tab/>
        <w:t xml:space="preserve">Intrastate link </w:t>
      </w:r>
      <w:r>
        <w:rPr>
          <w:sz w:val="20"/>
        </w:rPr>
        <w:tab/>
      </w:r>
      <w:r>
        <w:rPr>
          <w:sz w:val="20"/>
        </w:rPr>
        <w:tab/>
      </w:r>
      <w:r>
        <w:rPr>
          <w:sz w:val="20"/>
        </w:rPr>
        <w:tab/>
        <w:t>$118.50</w:t>
      </w:r>
    </w:p>
    <w:p>
      <w:pPr>
        <w:pStyle w:val="zyIndenta"/>
        <w:rPr>
          <w:sz w:val="20"/>
        </w:rPr>
      </w:pPr>
      <w:r>
        <w:rPr>
          <w:sz w:val="20"/>
        </w:rPr>
        <w:tab/>
        <w:t>(b)</w:t>
      </w:r>
      <w:r>
        <w:rPr>
          <w:sz w:val="20"/>
        </w:rPr>
        <w:tab/>
        <w:t xml:space="preserve">Interstate or overseas link </w:t>
      </w:r>
      <w:r>
        <w:rPr>
          <w:sz w:val="20"/>
        </w:rPr>
        <w:tab/>
      </w:r>
      <w:r>
        <w:rPr>
          <w:sz w:val="20"/>
        </w:rPr>
        <w:tab/>
        <w:t>$176.00</w:t>
      </w:r>
    </w:p>
    <w:p>
      <w:pPr>
        <w:pStyle w:val="zyHeading5"/>
        <w:rPr>
          <w:sz w:val="20"/>
        </w:rPr>
      </w:pPr>
      <w:bookmarkStart w:id="44" w:name="_Toc514414476"/>
      <w:bookmarkStart w:id="45" w:name="_Toc514666272"/>
      <w:bookmarkStart w:id="46" w:name="_Toc516819923"/>
      <w:r>
        <w:rPr>
          <w:sz w:val="20"/>
        </w:rPr>
        <w:t>2.</w:t>
      </w:r>
      <w:r>
        <w:rPr>
          <w:sz w:val="20"/>
        </w:rPr>
        <w:tab/>
        <w:t>Hourly fee</w:t>
      </w:r>
      <w:bookmarkEnd w:id="44"/>
      <w:bookmarkEnd w:id="45"/>
      <w:bookmarkEnd w:id="46"/>
    </w:p>
    <w:p>
      <w:pPr>
        <w:pStyle w:val="zySubsection"/>
        <w:rPr>
          <w:sz w:val="20"/>
        </w:rPr>
      </w:pPr>
      <w:r>
        <w:rPr>
          <w:sz w:val="20"/>
        </w:rPr>
        <w:tab/>
      </w:r>
      <w:r>
        <w:rPr>
          <w:sz w:val="20"/>
        </w:rPr>
        <w:tab/>
        <w:t xml:space="preserve">Per hour or part of an hour </w:t>
      </w:r>
      <w:r>
        <w:rPr>
          <w:sz w:val="20"/>
        </w:rPr>
        <w:tab/>
      </w:r>
      <w:r>
        <w:rPr>
          <w:sz w:val="20"/>
        </w:rPr>
        <w:tab/>
        <w:t>$92.50</w:t>
      </w:r>
    </w:p>
    <w:p>
      <w:pPr>
        <w:pStyle w:val="BlankClose"/>
        <w:rPr>
          <w:sz w:val="20"/>
          <w:szCs w:val="20"/>
        </w:rPr>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lvlText w:val="%1."/>
      <w:lvlJc w:val="left"/>
      <w:pPr>
        <w:tabs>
          <w:tab w:val="num" w:pos="1492"/>
        </w:tabs>
        <w:ind w:left="1492" w:hanging="360"/>
      </w:pPr>
    </w:lvl>
  </w:abstractNum>
  <w:abstractNum w:abstractNumId="1">
    <w:nsid w:val="FFFFFF7D"/>
    <w:multiLevelType w:val="singleLevel"/>
    <w:tmpl w:val="A3C65366"/>
    <w:lvl w:ilvl="0">
      <w:start w:val="1"/>
      <w:numFmt w:val="decimal"/>
      <w:lvlText w:val="%1."/>
      <w:lvlJc w:val="left"/>
      <w:pPr>
        <w:tabs>
          <w:tab w:val="num" w:pos="1209"/>
        </w:tabs>
        <w:ind w:left="1209" w:hanging="360"/>
      </w:pPr>
    </w:lvl>
  </w:abstractNum>
  <w:abstractNum w:abstractNumId="2">
    <w:nsid w:val="FFFFFF7E"/>
    <w:multiLevelType w:val="singleLevel"/>
    <w:tmpl w:val="479801C0"/>
    <w:lvl w:ilvl="0">
      <w:start w:val="1"/>
      <w:numFmt w:val="decimal"/>
      <w:lvlText w:val="%1."/>
      <w:lvlJc w:val="left"/>
      <w:pPr>
        <w:tabs>
          <w:tab w:val="num" w:pos="926"/>
        </w:tabs>
        <w:ind w:left="926" w:hanging="360"/>
      </w:pPr>
    </w:lvl>
  </w:abstractNum>
  <w:abstractNum w:abstractNumId="3">
    <w:nsid w:val="FFFFFF7F"/>
    <w:multiLevelType w:val="singleLevel"/>
    <w:tmpl w:val="A23C5BFC"/>
    <w:lvl w:ilvl="0">
      <w:start w:val="1"/>
      <w:numFmt w:val="decimal"/>
      <w:lvlText w:val="%1."/>
      <w:lvlJc w:val="left"/>
      <w:pPr>
        <w:tabs>
          <w:tab w:val="num" w:pos="643"/>
        </w:tabs>
        <w:ind w:left="643" w:hanging="360"/>
      </w:pPr>
    </w:lvl>
  </w:abstractNum>
  <w:abstractNum w:abstractNumId="4">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lvlText w:val="%1."/>
      <w:lvlJc w:val="left"/>
      <w:pPr>
        <w:tabs>
          <w:tab w:val="num" w:pos="360"/>
        </w:tabs>
        <w:ind w:left="360" w:hanging="360"/>
      </w:pPr>
    </w:lvl>
  </w:abstractNum>
  <w:abstractNum w:abstractNumId="9">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83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1522</Words>
  <Characters>6839</Characters>
  <Application>Microsoft Office Word</Application>
  <DocSecurity>0</DocSecurity>
  <Lines>297</Lines>
  <Paragraphs>181</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1999 - 03-g0-00</dc:title>
  <dc:subject/>
  <dc:creator/>
  <cp:keywords/>
  <dc:description/>
  <cp:lastModifiedBy>svcMRProcess</cp:lastModifiedBy>
  <cp:revision>4</cp:revision>
  <cp:lastPrinted>2015-07-16T04:23:00Z</cp:lastPrinted>
  <dcterms:created xsi:type="dcterms:W3CDTF">2018-06-15T04:56:00Z</dcterms:created>
  <dcterms:modified xsi:type="dcterms:W3CDTF">2018-06-15T04:56:00Z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03-g0-00</vt:lpwstr>
  </property>
</Properties>
</file>