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60" w:rsidRDefault="00E52B9E">
      <w:pPr>
        <w:pStyle w:val="WA"/>
      </w:pPr>
      <w:bookmarkStart w:id="0" w:name="_GoBack"/>
      <w:bookmarkEnd w:id="0"/>
      <w:r>
        <w:t>Western Australia</w:t>
      </w:r>
    </w:p>
    <w:p w:rsidR="000E7160" w:rsidRDefault="00E52B9E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D0F69">
        <w:rPr>
          <w:noProof/>
        </w:rPr>
        <w:t>Ports (Easements, Leases and Licences) Regulations 1994</w:t>
      </w:r>
      <w:r>
        <w:fldChar w:fldCharType="end"/>
      </w:r>
    </w:p>
    <w:p w:rsidR="000E7160" w:rsidRDefault="000E7160">
      <w:pPr>
        <w:jc w:val="center"/>
        <w:rPr>
          <w:b/>
        </w:rPr>
        <w:sectPr w:rsidR="000E71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E7160" w:rsidRDefault="00E52B9E">
      <w:pPr>
        <w:pStyle w:val="WA"/>
      </w:pPr>
      <w:r>
        <w:lastRenderedPageBreak/>
        <w:t>Western Australia</w:t>
      </w:r>
    </w:p>
    <w:p w:rsidR="000E7160" w:rsidRDefault="00E52B9E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D0F69">
        <w:rPr>
          <w:noProof/>
        </w:rPr>
        <w:t>Ports (Easements, Leases and Licences) Regulations 1994</w:t>
      </w:r>
      <w:r>
        <w:fldChar w:fldCharType="end"/>
      </w:r>
    </w:p>
    <w:p w:rsidR="000E7160" w:rsidRDefault="00E52B9E">
      <w:pPr>
        <w:pStyle w:val="Arrangement"/>
      </w:pPr>
      <w:r>
        <w:t>CONTENTS</w:t>
      </w:r>
    </w:p>
    <w:p w:rsidR="000E7160" w:rsidRDefault="00E52B9E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  <w:snapToGrid w:val="0"/>
        </w:rPr>
        <w:t>1.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_Toc434983659 \h </w:instrText>
      </w:r>
      <w:r>
        <w:rPr>
          <w:noProof/>
        </w:rPr>
      </w:r>
      <w:r>
        <w:rPr>
          <w:noProof/>
        </w:rPr>
        <w:fldChar w:fldCharType="separate"/>
      </w:r>
      <w:r w:rsidR="001D0F69">
        <w:rPr>
          <w:noProof/>
        </w:rPr>
        <w:t>1</w:t>
      </w:r>
      <w:r>
        <w:rPr>
          <w:noProof/>
        </w:rPr>
        <w:fldChar w:fldCharType="end"/>
      </w:r>
    </w:p>
    <w:p w:rsidR="000E7160" w:rsidRDefault="00E52B9E">
      <w:pPr>
        <w:pStyle w:val="TOC4"/>
        <w:tabs>
          <w:tab w:val="left" w:pos="1483"/>
        </w:tabs>
        <w:rPr>
          <w:noProof/>
        </w:rPr>
      </w:pPr>
      <w:r>
        <w:rPr>
          <w:noProof/>
          <w:snapToGrid w:val="0"/>
        </w:rPr>
        <w:t>2.</w:t>
      </w:r>
      <w:r>
        <w:rPr>
          <w:noProof/>
        </w:rPr>
        <w:tab/>
      </w:r>
      <w:r>
        <w:rPr>
          <w:noProof/>
          <w:snapToGrid w:val="0"/>
        </w:rPr>
        <w:t>Prescribed criterion for easement, lease or licence not approved by the Minister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_Toc434983660 \h </w:instrText>
      </w:r>
      <w:r>
        <w:rPr>
          <w:noProof/>
        </w:rPr>
      </w:r>
      <w:r>
        <w:rPr>
          <w:noProof/>
        </w:rPr>
        <w:fldChar w:fldCharType="separate"/>
      </w:r>
      <w:r w:rsidR="001D0F69">
        <w:rPr>
          <w:noProof/>
        </w:rPr>
        <w:t>1</w:t>
      </w:r>
      <w:r>
        <w:rPr>
          <w:noProof/>
        </w:rPr>
        <w:fldChar w:fldCharType="end"/>
      </w:r>
    </w:p>
    <w:p w:rsidR="000E7160" w:rsidRDefault="00E52B9E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0E7160" w:rsidRDefault="00E52B9E">
      <w:pPr>
        <w:pStyle w:val="TOC2"/>
      </w:pPr>
      <w:r>
        <w:fldChar w:fldCharType="end"/>
      </w:r>
    </w:p>
    <w:p w:rsidR="000E7160" w:rsidRDefault="00E52B9E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0E7160" w:rsidRDefault="000E7160">
      <w:pPr>
        <w:pStyle w:val="NoteHeading"/>
        <w:sectPr w:rsidR="000E716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E7160" w:rsidRDefault="00E52B9E">
      <w:pPr>
        <w:pStyle w:val="WA"/>
      </w:pPr>
      <w:r>
        <w:lastRenderedPageBreak/>
        <w:t>Western Australia</w:t>
      </w:r>
    </w:p>
    <w:p w:rsidR="000E7160" w:rsidRDefault="00E52B9E">
      <w:pPr>
        <w:pStyle w:val="PrincipalActReg"/>
        <w:rPr>
          <w:snapToGrid w:val="0"/>
        </w:rPr>
      </w:pPr>
      <w:r>
        <w:rPr>
          <w:snapToGrid w:val="0"/>
        </w:rPr>
        <w:t>PORTS (FUNCTIONS) ACT 1993</w:t>
      </w:r>
    </w:p>
    <w:p w:rsidR="000E7160" w:rsidRDefault="00E52B9E">
      <w:pPr>
        <w:pStyle w:val="NameofActReg"/>
      </w:pPr>
      <w:r>
        <w:t>Ports (Easements, Leases and Licences) Regulations 1994</w:t>
      </w:r>
    </w:p>
    <w:p w:rsidR="000E7160" w:rsidRDefault="00E52B9E">
      <w:pPr>
        <w:pStyle w:val="MadeBy"/>
        <w:rPr>
          <w:snapToGrid w:val="0"/>
        </w:rPr>
      </w:pPr>
      <w:r>
        <w:rPr>
          <w:snapToGrid w:val="0"/>
        </w:rPr>
        <w:t>Made by His Excellency the Governor in Executive Council.</w:t>
      </w:r>
    </w:p>
    <w:p w:rsidR="000E7160" w:rsidRDefault="00E52B9E">
      <w:pPr>
        <w:pStyle w:val="Heading5"/>
        <w:rPr>
          <w:snapToGrid w:val="0"/>
        </w:rPr>
      </w:pPr>
      <w:bookmarkStart w:id="1" w:name="_Toc417176902"/>
      <w:bookmarkStart w:id="2" w:name="_Toc434983659"/>
      <w:r>
        <w:rPr>
          <w:snapToGrid w:val="0"/>
        </w:rPr>
        <w:t>1.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 w:rsidR="000E7160" w:rsidRDefault="00E52B9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Ports (Easements, Leases and Licences) Regulations 1994</w:t>
      </w:r>
      <w:r>
        <w:rPr>
          <w:snapToGrid w:val="0"/>
        </w:rPr>
        <w:t>.</w:t>
      </w:r>
    </w:p>
    <w:p w:rsidR="000E7160" w:rsidRDefault="00E52B9E">
      <w:pPr>
        <w:pStyle w:val="Heading5"/>
        <w:rPr>
          <w:snapToGrid w:val="0"/>
        </w:rPr>
      </w:pPr>
      <w:bookmarkStart w:id="3" w:name="_Toc417176903"/>
      <w:bookmarkStart w:id="4" w:name="_Toc434983660"/>
      <w:r>
        <w:rPr>
          <w:snapToGrid w:val="0"/>
        </w:rPr>
        <w:t>2.</w:t>
      </w:r>
      <w:r>
        <w:rPr>
          <w:snapToGrid w:val="0"/>
        </w:rPr>
        <w:tab/>
        <w:t>Prescribed criterion for easement, lease or licence not approved by the Minister</w:t>
      </w:r>
      <w:bookmarkEnd w:id="3"/>
      <w:bookmarkEnd w:id="4"/>
      <w:r>
        <w:rPr>
          <w:snapToGrid w:val="0"/>
        </w:rPr>
        <w:t xml:space="preserve"> </w:t>
      </w:r>
    </w:p>
    <w:p w:rsidR="000E7160" w:rsidRDefault="00E52B9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 easement, lease or licence granted by a port authority under section 14 (1) (a) of the Act is not to be for a period of more than 5 years.</w:t>
      </w:r>
    </w:p>
    <w:p w:rsidR="000E7160" w:rsidRDefault="000E7160">
      <w:pPr>
        <w:rPr>
          <w:rStyle w:val="CharDivText"/>
        </w:rPr>
        <w:sectPr w:rsidR="000E716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0E7160" w:rsidRDefault="00E52B9E">
      <w:pPr>
        <w:pStyle w:val="nHeading2"/>
      </w:pPr>
      <w:r>
        <w:lastRenderedPageBreak/>
        <w:t>Notes</w:t>
      </w:r>
    </w:p>
    <w:p w:rsidR="000E7160" w:rsidRDefault="00E52B9E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Ports (Easements, Leases and Licences) Regulations 1994</w:t>
      </w:r>
      <w:r>
        <w:rPr>
          <w:snapToGrid w:val="0"/>
        </w:rPr>
        <w:t xml:space="preserve"> and includes the amendments referred to in the following Table.</w:t>
      </w:r>
    </w:p>
    <w:p w:rsidR="000E7160" w:rsidRDefault="00E52B9E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0E7160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0E7160" w:rsidRDefault="00E52B9E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0E7160" w:rsidRDefault="00E52B9E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0E7160" w:rsidRDefault="00E52B9E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0E7160"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0E7160" w:rsidRDefault="00E52B9E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Ports (Easements, Leases and Licences) Regulations 1994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0E7160" w:rsidRDefault="00E52B9E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20 Sep 1994 p.4870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0E7160" w:rsidRDefault="00E52B9E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20 Sep 1994</w:t>
            </w:r>
          </w:p>
        </w:tc>
      </w:tr>
    </w:tbl>
    <w:p w:rsidR="000E7160" w:rsidRDefault="000E7160"/>
    <w:p w:rsidR="000E7160" w:rsidRDefault="000E7160">
      <w:pPr>
        <w:sectPr w:rsidR="000E7160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0E7160" w:rsidRDefault="000E7160"/>
    <w:sectPr w:rsidR="000E7160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60" w:rsidRDefault="00E52B9E">
      <w:r>
        <w:separator/>
      </w:r>
    </w:p>
  </w:endnote>
  <w:endnote w:type="continuationSeparator" w:id="0">
    <w:p w:rsidR="000E7160" w:rsidRDefault="00E5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60" w:rsidRDefault="000E7160">
    <w:pPr>
      <w:pStyle w:val="Footer"/>
      <w:tabs>
        <w:tab w:val="clear" w:pos="4153"/>
        <w:tab w:val="right" w:pos="7088"/>
      </w:tabs>
      <w:rPr>
        <w:rStyle w:val="PageNumber"/>
      </w:rPr>
    </w:pPr>
  </w:p>
  <w:p w:rsidR="000E7160" w:rsidRDefault="00E52B9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D0F69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D0F69">
      <w:rPr>
        <w:rFonts w:ascii="Arial" w:hAnsi="Arial" w:cs="Arial"/>
        <w:sz w:val="20"/>
        <w:lang w:val="en-US"/>
      </w:rPr>
      <w:t>20 Sep 1994</w:t>
    </w:r>
    <w:r>
      <w:rPr>
        <w:rFonts w:ascii="Arial" w:hAnsi="Arial" w:cs="Arial"/>
        <w:sz w:val="20"/>
        <w:lang w:val="en-US"/>
      </w:rPr>
      <w:fldChar w:fldCharType="end"/>
    </w:r>
  </w:p>
  <w:p w:rsidR="000E7160" w:rsidRDefault="00E52B9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60" w:rsidRDefault="000E7160">
    <w:pPr>
      <w:pStyle w:val="Footer"/>
      <w:tabs>
        <w:tab w:val="clear" w:pos="4153"/>
        <w:tab w:val="right" w:pos="7088"/>
      </w:tabs>
      <w:rPr>
        <w:rStyle w:val="PageNumber"/>
      </w:rPr>
    </w:pPr>
  </w:p>
  <w:p w:rsidR="000E7160" w:rsidRDefault="00E52B9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D0F69">
      <w:rPr>
        <w:rFonts w:ascii="Arial" w:hAnsi="Arial" w:cs="Arial"/>
        <w:sz w:val="20"/>
        <w:lang w:val="en-US"/>
      </w:rPr>
      <w:t>20 Sep 1994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D0F69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E7160" w:rsidRDefault="00E52B9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60" w:rsidRDefault="000E7160">
    <w:pPr>
      <w:pStyle w:val="Footer"/>
      <w:tabs>
        <w:tab w:val="clear" w:pos="4153"/>
        <w:tab w:val="right" w:pos="7088"/>
      </w:tabs>
      <w:rPr>
        <w:rStyle w:val="PageNumber"/>
      </w:rPr>
    </w:pPr>
  </w:p>
  <w:p w:rsidR="000E7160" w:rsidRDefault="00E52B9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D0F69">
      <w:rPr>
        <w:rFonts w:ascii="Arial" w:hAnsi="Arial" w:cs="Arial"/>
        <w:sz w:val="20"/>
        <w:lang w:val="en-US"/>
      </w:rPr>
      <w:t>20 Sep 1994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D0F69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E7160" w:rsidRDefault="00E52B9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60" w:rsidRDefault="000E7160">
    <w:pPr>
      <w:pStyle w:val="Footer"/>
      <w:tabs>
        <w:tab w:val="clear" w:pos="4153"/>
        <w:tab w:val="right" w:pos="7088"/>
      </w:tabs>
      <w:rPr>
        <w:rStyle w:val="PageNumber"/>
      </w:rPr>
    </w:pPr>
  </w:p>
  <w:p w:rsidR="000E7160" w:rsidRDefault="00E52B9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D0F69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D0F69">
      <w:rPr>
        <w:rFonts w:ascii="Arial" w:hAnsi="Arial" w:cs="Arial"/>
        <w:sz w:val="20"/>
        <w:lang w:val="en-US"/>
      </w:rPr>
      <w:t>20 Sep 1994</w:t>
    </w:r>
    <w:r>
      <w:rPr>
        <w:rFonts w:ascii="Arial" w:hAnsi="Arial" w:cs="Arial"/>
        <w:sz w:val="20"/>
        <w:lang w:val="en-US"/>
      </w:rPr>
      <w:fldChar w:fldCharType="end"/>
    </w:r>
  </w:p>
  <w:p w:rsidR="000E7160" w:rsidRDefault="00E52B9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60" w:rsidRDefault="000E7160">
    <w:pPr>
      <w:pStyle w:val="Footer"/>
      <w:tabs>
        <w:tab w:val="clear" w:pos="4153"/>
        <w:tab w:val="right" w:pos="7088"/>
      </w:tabs>
      <w:rPr>
        <w:rStyle w:val="PageNumber"/>
      </w:rPr>
    </w:pPr>
  </w:p>
  <w:p w:rsidR="000E7160" w:rsidRDefault="00E52B9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D0F69">
      <w:rPr>
        <w:rFonts w:ascii="Arial" w:hAnsi="Arial" w:cs="Arial"/>
        <w:sz w:val="20"/>
        <w:lang w:val="en-US"/>
      </w:rPr>
      <w:t>20 Sep 1994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D0F69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E7160" w:rsidRDefault="00E52B9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60" w:rsidRDefault="000E7160">
    <w:pPr>
      <w:pStyle w:val="Footer"/>
      <w:tabs>
        <w:tab w:val="clear" w:pos="4153"/>
        <w:tab w:val="right" w:pos="7088"/>
      </w:tabs>
      <w:rPr>
        <w:rStyle w:val="PageNumber"/>
      </w:rPr>
    </w:pPr>
  </w:p>
  <w:p w:rsidR="000E7160" w:rsidRDefault="00E52B9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D0F69">
      <w:rPr>
        <w:rFonts w:ascii="Arial" w:hAnsi="Arial" w:cs="Arial"/>
        <w:sz w:val="20"/>
        <w:lang w:val="en-US"/>
      </w:rPr>
      <w:t>20 Sep 1994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D0F69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D0F6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E7160" w:rsidRDefault="00E52B9E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60" w:rsidRDefault="000E7160">
    <w:pPr>
      <w:pStyle w:val="Footer"/>
      <w:tabs>
        <w:tab w:val="clear" w:pos="4153"/>
        <w:tab w:val="right" w:pos="7088"/>
      </w:tabs>
      <w:rPr>
        <w:rStyle w:val="PageNumber"/>
      </w:rPr>
    </w:pPr>
  </w:p>
  <w:p w:rsidR="000E7160" w:rsidRDefault="00E52B9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D0F69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D0F69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D0F69">
      <w:rPr>
        <w:rFonts w:ascii="Arial" w:hAnsi="Arial" w:cs="Arial"/>
        <w:sz w:val="20"/>
        <w:lang w:val="en-US"/>
      </w:rPr>
      <w:t>20 Sep 1994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0E7160" w:rsidRDefault="00E52B9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60" w:rsidRDefault="000E7160">
    <w:pPr>
      <w:pStyle w:val="Footer"/>
      <w:tabs>
        <w:tab w:val="clear" w:pos="4153"/>
        <w:tab w:val="right" w:pos="7088"/>
      </w:tabs>
      <w:rPr>
        <w:rStyle w:val="PageNumber"/>
      </w:rPr>
    </w:pPr>
  </w:p>
  <w:p w:rsidR="000E7160" w:rsidRDefault="00E52B9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D0F69">
      <w:rPr>
        <w:rFonts w:ascii="Arial" w:hAnsi="Arial" w:cs="Arial"/>
        <w:sz w:val="20"/>
        <w:lang w:val="en-US"/>
      </w:rPr>
      <w:t>20 Sep 1994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D0F69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0E7160" w:rsidRDefault="00E52B9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60" w:rsidRDefault="000E7160">
    <w:pPr>
      <w:pStyle w:val="Footer"/>
      <w:tabs>
        <w:tab w:val="clear" w:pos="4153"/>
        <w:tab w:val="right" w:pos="7088"/>
      </w:tabs>
      <w:rPr>
        <w:rStyle w:val="PageNumber"/>
      </w:rPr>
    </w:pPr>
  </w:p>
  <w:p w:rsidR="000E7160" w:rsidRDefault="00E52B9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D0F69">
      <w:rPr>
        <w:rFonts w:ascii="Arial" w:hAnsi="Arial" w:cs="Arial"/>
        <w:sz w:val="20"/>
        <w:lang w:val="en-US"/>
      </w:rPr>
      <w:t>20 Sep 1994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D0F69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D0F6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0E7160" w:rsidRDefault="00E52B9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60" w:rsidRDefault="00E52B9E">
      <w:r>
        <w:separator/>
      </w:r>
    </w:p>
  </w:footnote>
  <w:footnote w:type="continuationSeparator" w:id="0">
    <w:p w:rsidR="000E7160" w:rsidRDefault="00E5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60" w:rsidRDefault="00E52B9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D0F69">
      <w:rPr>
        <w:i/>
        <w:noProof/>
      </w:rPr>
      <w:t>Ports (Easements, Leases and Licences) Regulations 1994</w:t>
    </w:r>
    <w:r>
      <w:rPr>
        <w:i/>
      </w:rPr>
      <w:fldChar w:fldCharType="end"/>
    </w:r>
  </w:p>
  <w:p w:rsidR="000E7160" w:rsidRDefault="00E52B9E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0E7160" w:rsidRDefault="00E52B9E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0E7160" w:rsidRDefault="000E7160">
    <w:pPr>
      <w:pStyle w:val="headerpart"/>
    </w:pPr>
  </w:p>
  <w:p w:rsidR="000E7160" w:rsidRDefault="000E7160">
    <w:pPr>
      <w:pBdr>
        <w:bottom w:val="single" w:sz="6" w:space="1" w:color="auto"/>
      </w:pBdr>
      <w:rPr>
        <w:b/>
      </w:rPr>
    </w:pPr>
  </w:p>
  <w:p w:rsidR="000E7160" w:rsidRDefault="000E716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0E7160">
      <w:trPr>
        <w:cantSplit/>
      </w:trPr>
      <w:tc>
        <w:tcPr>
          <w:tcW w:w="7312" w:type="dxa"/>
          <w:gridSpan w:val="2"/>
        </w:tcPr>
        <w:p w:rsidR="000E7160" w:rsidRDefault="00E52B9E">
          <w:pPr>
            <w:pStyle w:val="HeaderActNameLeft"/>
          </w:pPr>
          <w:fldSimple w:instr=" Styleref &quot;Name of Act/Reg&quot; ">
            <w:r w:rsidR="001D0F69">
              <w:rPr>
                <w:noProof/>
              </w:rPr>
              <w:t>Ports (Easements, Leases and Licences) Regulations 1994</w:t>
            </w:r>
          </w:fldSimple>
        </w:p>
      </w:tc>
    </w:tr>
    <w:tr w:rsidR="000E7160">
      <w:tc>
        <w:tcPr>
          <w:tcW w:w="1548" w:type="dxa"/>
        </w:tcPr>
        <w:p w:rsidR="000E7160" w:rsidRDefault="000E7160">
          <w:pPr>
            <w:pStyle w:val="HeaderNumberLeft"/>
          </w:pPr>
        </w:p>
      </w:tc>
      <w:tc>
        <w:tcPr>
          <w:tcW w:w="5764" w:type="dxa"/>
        </w:tcPr>
        <w:p w:rsidR="000E7160" w:rsidRDefault="000E7160">
          <w:pPr>
            <w:pStyle w:val="HeaderTextLeft"/>
          </w:pPr>
        </w:p>
      </w:tc>
    </w:tr>
    <w:tr w:rsidR="000E7160">
      <w:tc>
        <w:tcPr>
          <w:tcW w:w="1548" w:type="dxa"/>
        </w:tcPr>
        <w:p w:rsidR="000E7160" w:rsidRDefault="000E7160">
          <w:pPr>
            <w:pStyle w:val="HeaderNumberLeft"/>
          </w:pPr>
        </w:p>
      </w:tc>
      <w:tc>
        <w:tcPr>
          <w:tcW w:w="5764" w:type="dxa"/>
        </w:tcPr>
        <w:p w:rsidR="000E7160" w:rsidRDefault="000E7160">
          <w:pPr>
            <w:pStyle w:val="HeaderTextLeft"/>
          </w:pPr>
        </w:p>
      </w:tc>
    </w:tr>
    <w:tr w:rsidR="000E7160">
      <w:trPr>
        <w:cantSplit/>
      </w:trPr>
      <w:tc>
        <w:tcPr>
          <w:tcW w:w="7312" w:type="dxa"/>
          <w:gridSpan w:val="2"/>
        </w:tcPr>
        <w:p w:rsidR="000E7160" w:rsidRDefault="000E7160">
          <w:pPr>
            <w:pStyle w:val="HeaderSectionLeft"/>
          </w:pPr>
        </w:p>
      </w:tc>
    </w:tr>
  </w:tbl>
  <w:p w:rsidR="000E7160" w:rsidRDefault="000E7160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0E7160">
      <w:trPr>
        <w:cantSplit/>
      </w:trPr>
      <w:tc>
        <w:tcPr>
          <w:tcW w:w="7312" w:type="dxa"/>
          <w:gridSpan w:val="2"/>
        </w:tcPr>
        <w:p w:rsidR="000E7160" w:rsidRDefault="00E52B9E">
          <w:pPr>
            <w:pStyle w:val="HeaderActNameRight"/>
          </w:pPr>
          <w:fldSimple w:instr=" Styleref &quot;Name of Act/Reg&quot; ">
            <w:r w:rsidR="001D0F69">
              <w:rPr>
                <w:noProof/>
              </w:rPr>
              <w:t>Ports (Easements, Leases and Licences) Regulations 1994</w:t>
            </w:r>
          </w:fldSimple>
        </w:p>
      </w:tc>
    </w:tr>
    <w:tr w:rsidR="000E7160">
      <w:tc>
        <w:tcPr>
          <w:tcW w:w="5760" w:type="dxa"/>
        </w:tcPr>
        <w:p w:rsidR="000E7160" w:rsidRDefault="000E7160">
          <w:pPr>
            <w:pStyle w:val="HeaderTextRight"/>
          </w:pPr>
        </w:p>
      </w:tc>
      <w:tc>
        <w:tcPr>
          <w:tcW w:w="1552" w:type="dxa"/>
        </w:tcPr>
        <w:p w:rsidR="000E7160" w:rsidRDefault="000E7160">
          <w:pPr>
            <w:pStyle w:val="HeaderNumberRight"/>
          </w:pPr>
        </w:p>
      </w:tc>
    </w:tr>
    <w:tr w:rsidR="000E7160">
      <w:tc>
        <w:tcPr>
          <w:tcW w:w="5760" w:type="dxa"/>
        </w:tcPr>
        <w:p w:rsidR="000E7160" w:rsidRDefault="000E7160">
          <w:pPr>
            <w:pStyle w:val="HeaderTextRight"/>
          </w:pPr>
        </w:p>
      </w:tc>
      <w:tc>
        <w:tcPr>
          <w:tcW w:w="1552" w:type="dxa"/>
        </w:tcPr>
        <w:p w:rsidR="000E7160" w:rsidRDefault="000E7160">
          <w:pPr>
            <w:pStyle w:val="HeaderNumberRight"/>
          </w:pPr>
        </w:p>
      </w:tc>
    </w:tr>
    <w:tr w:rsidR="000E7160">
      <w:trPr>
        <w:cantSplit/>
      </w:trPr>
      <w:tc>
        <w:tcPr>
          <w:tcW w:w="7312" w:type="dxa"/>
          <w:gridSpan w:val="2"/>
        </w:tcPr>
        <w:p w:rsidR="000E7160" w:rsidRDefault="000E7160">
          <w:pPr>
            <w:pStyle w:val="HeaderSectionRight"/>
          </w:pPr>
        </w:p>
      </w:tc>
    </w:tr>
  </w:tbl>
  <w:p w:rsidR="000E7160" w:rsidRDefault="000E7160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60" w:rsidRDefault="000E7160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60" w:rsidRDefault="00E52B9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D0F69">
      <w:rPr>
        <w:i/>
        <w:noProof/>
      </w:rPr>
      <w:t>Ports (Easements, Leases and Licences) Regulations 1994</w:t>
    </w:r>
    <w:r>
      <w:rPr>
        <w:i/>
      </w:rPr>
      <w:fldChar w:fldCharType="end"/>
    </w:r>
  </w:p>
  <w:p w:rsidR="000E7160" w:rsidRDefault="000E7160">
    <w:pPr>
      <w:pStyle w:val="headerpartodd"/>
      <w:ind w:left="0" w:firstLine="0"/>
      <w:rPr>
        <w:b w:val="0"/>
        <w:i/>
      </w:rPr>
    </w:pPr>
  </w:p>
  <w:p w:rsidR="000E7160" w:rsidRDefault="000E7160">
    <w:pPr>
      <w:pStyle w:val="headerpart"/>
    </w:pPr>
  </w:p>
  <w:p w:rsidR="000E7160" w:rsidRDefault="000E7160">
    <w:pPr>
      <w:pStyle w:val="headerpart"/>
    </w:pPr>
  </w:p>
  <w:p w:rsidR="000E7160" w:rsidRDefault="000E7160">
    <w:pPr>
      <w:pBdr>
        <w:bottom w:val="single" w:sz="6" w:space="1" w:color="auto"/>
      </w:pBdr>
      <w:rPr>
        <w:b/>
      </w:rPr>
    </w:pPr>
  </w:p>
  <w:p w:rsidR="000E7160" w:rsidRDefault="000E7160"/>
  <w:p w:rsidR="000E7160" w:rsidRDefault="000E7160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60" w:rsidRDefault="00E52B9E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D0F69">
      <w:rPr>
        <w:i/>
        <w:noProof/>
      </w:rPr>
      <w:t>Ports (Easements, Leases and Licences) Regulations 1994</w:t>
    </w:r>
    <w:r>
      <w:rPr>
        <w:i/>
      </w:rPr>
      <w:fldChar w:fldCharType="end"/>
    </w:r>
  </w:p>
  <w:p w:rsidR="000E7160" w:rsidRDefault="000E7160">
    <w:pPr>
      <w:pStyle w:val="headerpartodd"/>
      <w:ind w:left="0" w:firstLine="0"/>
      <w:jc w:val="right"/>
      <w:rPr>
        <w:b w:val="0"/>
        <w:i/>
      </w:rPr>
    </w:pPr>
  </w:p>
  <w:p w:rsidR="000E7160" w:rsidRDefault="000E7160">
    <w:pPr>
      <w:pStyle w:val="headerpart"/>
      <w:jc w:val="right"/>
    </w:pPr>
  </w:p>
  <w:p w:rsidR="000E7160" w:rsidRDefault="000E7160">
    <w:pPr>
      <w:pStyle w:val="headerpart"/>
      <w:jc w:val="right"/>
    </w:pPr>
  </w:p>
  <w:p w:rsidR="000E7160" w:rsidRDefault="000E7160">
    <w:pPr>
      <w:pBdr>
        <w:bottom w:val="single" w:sz="6" w:space="1" w:color="auto"/>
      </w:pBdr>
      <w:jc w:val="right"/>
      <w:rPr>
        <w:b/>
      </w:rPr>
    </w:pPr>
  </w:p>
  <w:p w:rsidR="000E7160" w:rsidRDefault="000E7160"/>
  <w:p w:rsidR="000E7160" w:rsidRDefault="000E71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69" w:rsidRDefault="001D0F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69" w:rsidRDefault="001D0F6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0E7160">
      <w:trPr>
        <w:cantSplit/>
      </w:trPr>
      <w:tc>
        <w:tcPr>
          <w:tcW w:w="7312" w:type="dxa"/>
          <w:gridSpan w:val="2"/>
        </w:tcPr>
        <w:p w:rsidR="000E7160" w:rsidRDefault="00E52B9E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1D0F69">
            <w:rPr>
              <w:i w:val="0"/>
              <w:noProof/>
            </w:rPr>
            <w:t>Ports (Easements, Leases and Licences) Regulations 1994</w:t>
          </w:r>
          <w:r>
            <w:rPr>
              <w:i w:val="0"/>
            </w:rPr>
            <w:fldChar w:fldCharType="end"/>
          </w:r>
        </w:p>
      </w:tc>
    </w:tr>
    <w:tr w:rsidR="000E7160">
      <w:tc>
        <w:tcPr>
          <w:tcW w:w="1548" w:type="dxa"/>
        </w:tcPr>
        <w:p w:rsidR="000E7160" w:rsidRDefault="000E7160">
          <w:pPr>
            <w:pStyle w:val="HeaderNumberLeft"/>
          </w:pPr>
        </w:p>
      </w:tc>
      <w:tc>
        <w:tcPr>
          <w:tcW w:w="5764" w:type="dxa"/>
        </w:tcPr>
        <w:p w:rsidR="000E7160" w:rsidRDefault="000E7160">
          <w:pPr>
            <w:pStyle w:val="HeaderTextLeft"/>
          </w:pPr>
        </w:p>
      </w:tc>
    </w:tr>
    <w:tr w:rsidR="000E7160">
      <w:tc>
        <w:tcPr>
          <w:tcW w:w="1548" w:type="dxa"/>
        </w:tcPr>
        <w:p w:rsidR="000E7160" w:rsidRDefault="000E7160">
          <w:pPr>
            <w:pStyle w:val="HeaderNumberLeft"/>
          </w:pPr>
        </w:p>
      </w:tc>
      <w:tc>
        <w:tcPr>
          <w:tcW w:w="5764" w:type="dxa"/>
        </w:tcPr>
        <w:p w:rsidR="000E7160" w:rsidRDefault="000E7160">
          <w:pPr>
            <w:pStyle w:val="HeaderTextLeft"/>
          </w:pPr>
        </w:p>
      </w:tc>
    </w:tr>
    <w:tr w:rsidR="000E7160">
      <w:trPr>
        <w:cantSplit/>
      </w:trPr>
      <w:tc>
        <w:tcPr>
          <w:tcW w:w="7312" w:type="dxa"/>
          <w:gridSpan w:val="2"/>
        </w:tcPr>
        <w:p w:rsidR="000E7160" w:rsidRDefault="000E7160">
          <w:pPr>
            <w:pStyle w:val="HeaderSectionLeft"/>
          </w:pPr>
        </w:p>
      </w:tc>
    </w:tr>
  </w:tbl>
  <w:p w:rsidR="000E7160" w:rsidRDefault="000E7160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0E7160">
      <w:trPr>
        <w:cantSplit/>
      </w:trPr>
      <w:tc>
        <w:tcPr>
          <w:tcW w:w="7312" w:type="dxa"/>
          <w:gridSpan w:val="2"/>
        </w:tcPr>
        <w:p w:rsidR="000E7160" w:rsidRDefault="00E52B9E">
          <w:pPr>
            <w:pStyle w:val="HeaderActNameRight"/>
          </w:pPr>
          <w:fldSimple w:instr=" Styleref &quot;Name of Act/Reg&quot; ">
            <w:r w:rsidR="001D0F69">
              <w:rPr>
                <w:noProof/>
              </w:rPr>
              <w:t>Ports (Easements, Leases and Licences) Regulations 1994</w:t>
            </w:r>
          </w:fldSimple>
        </w:p>
      </w:tc>
    </w:tr>
    <w:tr w:rsidR="000E7160">
      <w:tc>
        <w:tcPr>
          <w:tcW w:w="5760" w:type="dxa"/>
        </w:tcPr>
        <w:p w:rsidR="000E7160" w:rsidRDefault="000E7160">
          <w:pPr>
            <w:pStyle w:val="HeaderTextRight"/>
          </w:pPr>
        </w:p>
      </w:tc>
      <w:tc>
        <w:tcPr>
          <w:tcW w:w="1552" w:type="dxa"/>
        </w:tcPr>
        <w:p w:rsidR="000E7160" w:rsidRDefault="000E7160">
          <w:pPr>
            <w:pStyle w:val="HeaderNumberRight"/>
          </w:pPr>
        </w:p>
      </w:tc>
    </w:tr>
    <w:tr w:rsidR="000E7160">
      <w:tc>
        <w:tcPr>
          <w:tcW w:w="5760" w:type="dxa"/>
        </w:tcPr>
        <w:p w:rsidR="000E7160" w:rsidRDefault="000E7160">
          <w:pPr>
            <w:pStyle w:val="HeaderTextRight"/>
          </w:pPr>
        </w:p>
      </w:tc>
      <w:tc>
        <w:tcPr>
          <w:tcW w:w="1552" w:type="dxa"/>
        </w:tcPr>
        <w:p w:rsidR="000E7160" w:rsidRDefault="000E7160">
          <w:pPr>
            <w:pStyle w:val="HeaderNumberRight"/>
          </w:pPr>
        </w:p>
      </w:tc>
    </w:tr>
    <w:tr w:rsidR="000E7160">
      <w:trPr>
        <w:cantSplit/>
      </w:trPr>
      <w:tc>
        <w:tcPr>
          <w:tcW w:w="7312" w:type="dxa"/>
          <w:gridSpan w:val="2"/>
        </w:tcPr>
        <w:p w:rsidR="000E7160" w:rsidRDefault="000E7160">
          <w:pPr>
            <w:pStyle w:val="HeaderSectionRight"/>
          </w:pPr>
        </w:p>
      </w:tc>
    </w:tr>
  </w:tbl>
  <w:p w:rsidR="000E7160" w:rsidRDefault="000E7160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60" w:rsidRDefault="000E7160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E7160">
      <w:trPr>
        <w:cantSplit/>
      </w:trPr>
      <w:tc>
        <w:tcPr>
          <w:tcW w:w="7258" w:type="dxa"/>
          <w:gridSpan w:val="2"/>
        </w:tcPr>
        <w:p w:rsidR="000E7160" w:rsidRDefault="00E52B9E">
          <w:pPr>
            <w:pStyle w:val="HeaderActNameLeft"/>
          </w:pPr>
          <w:fldSimple w:instr=" Styleref &quot;Name of Act/Reg&quot; ">
            <w:r w:rsidR="001D0F69">
              <w:rPr>
                <w:noProof/>
              </w:rPr>
              <w:t>Ports (Easements, Leases and Licences) Regulations 1994</w:t>
            </w:r>
          </w:fldSimple>
        </w:p>
      </w:tc>
    </w:tr>
    <w:tr w:rsidR="000E7160">
      <w:tc>
        <w:tcPr>
          <w:tcW w:w="1548" w:type="dxa"/>
        </w:tcPr>
        <w:p w:rsidR="000E7160" w:rsidRDefault="00E52B9E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0E7160" w:rsidRDefault="00E52B9E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0E7160">
      <w:tc>
        <w:tcPr>
          <w:tcW w:w="1548" w:type="dxa"/>
        </w:tcPr>
        <w:p w:rsidR="000E7160" w:rsidRDefault="00E52B9E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0E7160" w:rsidRDefault="00E52B9E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0E7160">
      <w:trPr>
        <w:cantSplit/>
      </w:trPr>
      <w:tc>
        <w:tcPr>
          <w:tcW w:w="7258" w:type="dxa"/>
          <w:gridSpan w:val="2"/>
        </w:tcPr>
        <w:p w:rsidR="000E7160" w:rsidRDefault="000E7160">
          <w:pPr>
            <w:pStyle w:val="HeaderSectionLeft"/>
          </w:pPr>
        </w:p>
      </w:tc>
    </w:tr>
  </w:tbl>
  <w:p w:rsidR="000E7160" w:rsidRDefault="000E7160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E7160">
      <w:trPr>
        <w:cantSplit/>
      </w:trPr>
      <w:tc>
        <w:tcPr>
          <w:tcW w:w="7258" w:type="dxa"/>
          <w:gridSpan w:val="2"/>
        </w:tcPr>
        <w:p w:rsidR="000E7160" w:rsidRDefault="00E52B9E">
          <w:pPr>
            <w:pStyle w:val="HeaderActNameRight"/>
            <w:ind w:right="17"/>
          </w:pPr>
          <w:fldSimple w:instr=" Styleref &quot;Name of Act/Reg&quot; ">
            <w:r w:rsidR="001D0F69">
              <w:rPr>
                <w:noProof/>
              </w:rPr>
              <w:t>Ports (Easements, Leases and Licences) Regulations 1994</w:t>
            </w:r>
          </w:fldSimple>
        </w:p>
      </w:tc>
    </w:tr>
    <w:tr w:rsidR="000E7160">
      <w:tc>
        <w:tcPr>
          <w:tcW w:w="5715" w:type="dxa"/>
        </w:tcPr>
        <w:p w:rsidR="000E7160" w:rsidRDefault="00E52B9E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0E7160" w:rsidRDefault="00E52B9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0E7160">
      <w:tc>
        <w:tcPr>
          <w:tcW w:w="5715" w:type="dxa"/>
        </w:tcPr>
        <w:p w:rsidR="000E7160" w:rsidRDefault="00E52B9E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0E7160" w:rsidRDefault="00E52B9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0E7160">
      <w:trPr>
        <w:cantSplit/>
      </w:trPr>
      <w:tc>
        <w:tcPr>
          <w:tcW w:w="7258" w:type="dxa"/>
          <w:gridSpan w:val="2"/>
        </w:tcPr>
        <w:p w:rsidR="000E7160" w:rsidRDefault="000E7160">
          <w:pPr>
            <w:pStyle w:val="HeaderSectionRight"/>
            <w:ind w:right="17"/>
          </w:pPr>
        </w:p>
      </w:tc>
    </w:tr>
  </w:tbl>
  <w:p w:rsidR="000E7160" w:rsidRDefault="000E7160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60" w:rsidRDefault="000E7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9E"/>
    <w:rsid w:val="000E7160"/>
    <w:rsid w:val="001D0F69"/>
    <w:rsid w:val="004807BA"/>
    <w:rsid w:val="00C938FF"/>
    <w:rsid w:val="00E5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FFFFFF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FFFFFF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FFFFFF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FFFFFF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FFFFFF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FFFFFF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FFFFFF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FFFFFF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FFFFFF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FFFFFF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zDefpara">
    <w:name w:val="zDefpara"/>
    <w:basedOn w:val="Def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Defsubpara">
    <w:name w:val="zDefsubpara"/>
    <w:basedOn w:val="Def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FFFFFF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sz w:val="16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Pr>
      <w:sz w:val="20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FFFFFF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FFFFFF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FFFFFF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FFFFFF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FFFFFF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FFFFFF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FFFFFF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FFFFFF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FFFFFF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FFFFFF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zDefpara">
    <w:name w:val="zDefpara"/>
    <w:basedOn w:val="Def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Defsubpara">
    <w:name w:val="zDefsubpara"/>
    <w:basedOn w:val="Def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FFFFFF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sz w:val="16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Pr>
      <w:sz w:val="20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</Words>
  <Characters>1041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Ports (Easements, Leases and Licences) Regulations 1994 - 00-a0-03</dc:title>
  <dc:subject/>
  <dc:creator>David Harrold</dc:creator>
  <cp:keywords/>
  <cp:lastModifiedBy>svcMRProcess</cp:lastModifiedBy>
  <cp:revision>4</cp:revision>
  <cp:lastPrinted>2006-04-19T08:39:00Z</cp:lastPrinted>
  <dcterms:created xsi:type="dcterms:W3CDTF">2013-02-17T09:43:00Z</dcterms:created>
  <dcterms:modified xsi:type="dcterms:W3CDTF">2013-02-17T09:43:00Z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September 1994 p.4870</vt:lpwstr>
  </property>
  <property fmtid="{D5CDD505-2E9C-101B-9397-08002B2CF9AE}" pid="3" name="CommencementDate">
    <vt:lpwstr>19940920</vt:lpwstr>
  </property>
  <property fmtid="{D5CDD505-2E9C-101B-9397-08002B2CF9AE}" pid="4" name="DocumentType">
    <vt:lpwstr>Reg</vt:lpwstr>
  </property>
  <property fmtid="{D5CDD505-2E9C-101B-9397-08002B2CF9AE}" pid="5" name="AsAtDate">
    <vt:lpwstr>20 Sep 1994</vt:lpwstr>
  </property>
  <property fmtid="{D5CDD505-2E9C-101B-9397-08002B2CF9AE}" pid="6" name="Suffix">
    <vt:lpwstr>00-a0-03</vt:lpwstr>
  </property>
</Properties>
</file>