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rPr>
          <w:vertAlign w:val="superscript"/>
        </w:rPr>
      </w:pPr>
      <w:r>
        <w:fldChar w:fldCharType="begin"/>
      </w:r>
      <w:r>
        <w:instrText xml:space="preserve"> STYLEREF "PrincipalAct_Reg"</w:instrText>
      </w:r>
      <w:r>
        <w:fldChar w:fldCharType="separate"/>
      </w:r>
      <w:r>
        <w:rPr>
          <w:noProof/>
        </w:rPr>
        <w:t>Private Hospitals and Health Services Act 1927</w:t>
      </w:r>
      <w:r>
        <w:fldChar w:fldCharType="end"/>
      </w:r>
      <w:r>
        <w:t> </w:t>
      </w:r>
      <w:r>
        <w:rPr>
          <w:vertAlign w:val="superscript"/>
        </w:rPr>
        <w:t>2</w:t>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_Toc518028639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_Toc518028640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_Toc518028641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_Toc518028642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_Toc518028643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_Toc518028644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_Toc518028645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_Toc518028646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_Toc518028647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_Toc518028648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_Toc518028649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_Toc518028652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Private Hospitals and Health Services Act 1927</w:t>
      </w:r>
    </w:p>
    <w:p>
      <w:pPr>
        <w:pStyle w:val="NameofActReg"/>
      </w:pPr>
      <w:r>
        <w:t>Hospitals (Licensing and Conduct of Private Hospitals) Regulations 1987</w:t>
      </w:r>
    </w:p>
    <w:p>
      <w:pPr>
        <w:pStyle w:val="Heading5"/>
        <w:rPr>
          <w:snapToGrid w:val="0"/>
        </w:rPr>
      </w:pPr>
      <w:bookmarkStart w:id="3" w:name="_Toc51802863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51802864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518028641"/>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518028642"/>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7" w:name="_Toc518028643"/>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8" w:name="_Toc518028644"/>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9" w:name="_Toc518028645"/>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w:t>
      </w:r>
    </w:p>
    <w:p>
      <w:pPr>
        <w:pStyle w:val="Heading5"/>
        <w:rPr>
          <w:snapToGrid w:val="0"/>
        </w:rPr>
      </w:pPr>
      <w:bookmarkStart w:id="10" w:name="_Toc518028646"/>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518028647"/>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518028648"/>
      <w:r>
        <w:rPr>
          <w:rStyle w:val="CharSectno"/>
        </w:rPr>
        <w:t>9</w:t>
      </w:r>
      <w:r>
        <w:rPr>
          <w:snapToGrid w:val="0"/>
        </w:rPr>
        <w:t>.</w:t>
      </w:r>
      <w:r>
        <w:rPr>
          <w:snapToGrid w:val="0"/>
        </w:rPr>
        <w:tab/>
        <w:t>Information to be recorded</w:t>
      </w:r>
      <w:bookmarkEnd w:id="1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13" w:name="_Toc518028649"/>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Style w:val="CharSchText"/>
          <w:b w:val="0"/>
          <w:snapToGrid/>
          <w:sz w:val="24"/>
        </w:rPr>
      </w:pPr>
      <w:bookmarkStart w:id="15" w:name="_Toc512937917"/>
      <w:bookmarkStart w:id="16" w:name="_Toc512937948"/>
      <w:bookmarkStart w:id="17" w:name="_Toc512939234"/>
      <w:bookmarkStart w:id="18" w:name="_Toc512945329"/>
      <w:bookmarkStart w:id="19" w:name="_Toc512945529"/>
      <w:bookmarkStart w:id="20" w:name="_Toc512945602"/>
      <w:bookmarkStart w:id="21" w:name="_Toc513022104"/>
      <w:bookmarkStart w:id="22" w:name="_Toc518028650"/>
      <w:bookmarkStart w:id="23" w:name="_Toc514933509"/>
      <w:bookmarkStart w:id="24" w:name="_Toc514935257"/>
      <w:bookmarkStart w:id="25" w:name="_Toc514937696"/>
      <w:bookmarkStart w:id="26" w:name="_Toc515004442"/>
      <w:r>
        <w:rPr>
          <w:rStyle w:val="CharSchNo"/>
        </w:rPr>
        <w:t>Schedule 1</w:t>
      </w:r>
      <w:r>
        <w:rPr>
          <w:rStyle w:val="CharSDivNo"/>
        </w:rPr>
        <w:t> </w:t>
      </w:r>
      <w:r>
        <w:t>—</w:t>
      </w:r>
      <w:r>
        <w:rPr>
          <w:rStyle w:val="CharSDivText"/>
        </w:rPr>
        <w:t> </w:t>
      </w:r>
      <w:r>
        <w:rPr>
          <w:rStyle w:val="CharSchText"/>
        </w:rPr>
        <w:t>Fees</w:t>
      </w:r>
      <w:bookmarkEnd w:id="15"/>
      <w:bookmarkEnd w:id="16"/>
      <w:bookmarkEnd w:id="17"/>
      <w:bookmarkEnd w:id="18"/>
      <w:bookmarkEnd w:id="19"/>
      <w:bookmarkEnd w:id="20"/>
      <w:bookmarkEnd w:id="21"/>
      <w:bookmarkEnd w:id="22"/>
    </w:p>
    <w:p>
      <w:pPr>
        <w:pStyle w:val="yFootnoteheading"/>
        <w:spacing w:after="120"/>
      </w:pPr>
      <w:r>
        <w:tab/>
        <w:t>[Heading inserted: Gazette 25 May 2018 p. 1635.]</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410"/>
        <w:gridCol w:w="2126"/>
        <w:gridCol w:w="992"/>
      </w:tblGrid>
      <w:tr>
        <w:trPr>
          <w:cantSplit/>
          <w:tblHeader/>
        </w:trPr>
        <w:tc>
          <w:tcPr>
            <w:tcW w:w="851" w:type="dxa"/>
          </w:tcPr>
          <w:p>
            <w:pPr>
              <w:pStyle w:val="yTableNAm"/>
              <w:jc w:val="center"/>
            </w:pPr>
            <w:r>
              <w:rPr>
                <w:b/>
                <w:bCs/>
              </w:rPr>
              <w:t>Item</w:t>
            </w:r>
          </w:p>
        </w:tc>
        <w:tc>
          <w:tcPr>
            <w:tcW w:w="4536" w:type="dxa"/>
            <w:gridSpan w:val="2"/>
          </w:tcPr>
          <w:p>
            <w:pPr>
              <w:pStyle w:val="yTableNAm"/>
              <w:jc w:val="center"/>
            </w:pPr>
            <w:r>
              <w:rPr>
                <w:b/>
                <w:bCs/>
              </w:rPr>
              <w:t>Description</w:t>
            </w:r>
          </w:p>
        </w:tc>
        <w:tc>
          <w:tcPr>
            <w:tcW w:w="992" w:type="dxa"/>
          </w:tcPr>
          <w:p>
            <w:pPr>
              <w:pStyle w:val="yTableNAm"/>
              <w:jc w:val="center"/>
            </w:pPr>
            <w:r>
              <w:rPr>
                <w:b/>
                <w:bCs/>
              </w:rPr>
              <w:t>Fee ($)</w:t>
            </w:r>
          </w:p>
        </w:tc>
      </w:tr>
      <w:tr>
        <w:tc>
          <w:tcPr>
            <w:tcW w:w="851" w:type="dxa"/>
          </w:tcPr>
          <w:p>
            <w:pPr>
              <w:pStyle w:val="yTableNAm"/>
              <w:spacing w:before="0"/>
            </w:pPr>
            <w:r>
              <w:rPr>
                <w:sz w:val="24"/>
              </w:rPr>
              <w:br w:type="page"/>
            </w:r>
            <w:r>
              <w:t>1.</w:t>
            </w:r>
          </w:p>
        </w:tc>
        <w:tc>
          <w:tcPr>
            <w:tcW w:w="2410" w:type="dxa"/>
          </w:tcPr>
          <w:p>
            <w:pPr>
              <w:pStyle w:val="yTableNAm"/>
              <w:spacing w:before="0"/>
            </w:pPr>
            <w:r>
              <w:t>Grant of licence (r. 4(1))</w:t>
            </w:r>
          </w:p>
        </w:tc>
        <w:tc>
          <w:tcPr>
            <w:tcW w:w="2126" w:type="dxa"/>
          </w:tcPr>
          <w:p>
            <w:pPr>
              <w:pStyle w:val="zyTableNAm"/>
              <w:spacing w:before="0"/>
            </w:pPr>
          </w:p>
        </w:tc>
        <w:tc>
          <w:tcPr>
            <w:tcW w:w="992" w:type="dxa"/>
          </w:tcPr>
          <w:p>
            <w:pPr>
              <w:pStyle w:val="yTableNAm"/>
              <w:spacing w:before="0"/>
            </w:pPr>
            <w:r>
              <w:rPr>
                <w:szCs w:val="22"/>
              </w:rPr>
              <w:t>1 240</w:t>
            </w:r>
          </w:p>
        </w:tc>
      </w:tr>
      <w:tr>
        <w:tc>
          <w:tcPr>
            <w:tcW w:w="851" w:type="dxa"/>
          </w:tcPr>
          <w:p>
            <w:pPr>
              <w:pStyle w:val="yTableNAm"/>
              <w:spacing w:before="0"/>
            </w:pPr>
            <w:r>
              <w:t>2.</w:t>
            </w:r>
          </w:p>
        </w:tc>
        <w:tc>
          <w:tcPr>
            <w:tcW w:w="2410" w:type="dxa"/>
          </w:tcPr>
          <w:p>
            <w:pPr>
              <w:pStyle w:val="yTableNAm"/>
              <w:spacing w:before="0"/>
            </w:pPr>
            <w:r>
              <w:t>Renewal of licence (r. 4(3))</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1 230</w:t>
            </w:r>
          </w:p>
          <w:p>
            <w:pPr>
              <w:pStyle w:val="yTableNAm"/>
              <w:spacing w:before="0"/>
            </w:pPr>
            <w:r>
              <w:rPr>
                <w:szCs w:val="22"/>
              </w:rPr>
              <w:t>1 280</w:t>
            </w:r>
          </w:p>
          <w:p>
            <w:pPr>
              <w:pStyle w:val="yTableNAm"/>
              <w:spacing w:before="0"/>
            </w:pPr>
            <w:r>
              <w:rPr>
                <w:szCs w:val="22"/>
              </w:rPr>
              <w:t>1 485</w:t>
            </w:r>
          </w:p>
          <w:p>
            <w:pPr>
              <w:pStyle w:val="yTableNAm"/>
              <w:spacing w:before="0"/>
            </w:pPr>
            <w:r>
              <w:rPr>
                <w:szCs w:val="22"/>
              </w:rPr>
              <w:t>2 040</w:t>
            </w:r>
          </w:p>
        </w:tc>
      </w:tr>
      <w:tr>
        <w:tc>
          <w:tcPr>
            <w:tcW w:w="851" w:type="dxa"/>
          </w:tcPr>
          <w:p>
            <w:pPr>
              <w:pStyle w:val="yTableNAm"/>
              <w:spacing w:before="0"/>
            </w:pPr>
            <w:r>
              <w:t>3.</w:t>
            </w:r>
          </w:p>
        </w:tc>
        <w:tc>
          <w:tcPr>
            <w:tcW w:w="2410" w:type="dxa"/>
          </w:tcPr>
          <w:p>
            <w:pPr>
              <w:pStyle w:val="yTableNAm"/>
              <w:spacing w:before="0"/>
            </w:pPr>
            <w:r>
              <w:t>Replacement licence (r. 4(6))</w:t>
            </w:r>
          </w:p>
        </w:tc>
        <w:tc>
          <w:tcPr>
            <w:tcW w:w="2126" w:type="dxa"/>
          </w:tcPr>
          <w:p>
            <w:pPr>
              <w:pStyle w:val="zyTableNAm"/>
              <w:spacing w:before="0"/>
            </w:pPr>
          </w:p>
        </w:tc>
        <w:tc>
          <w:tcPr>
            <w:tcW w:w="992" w:type="dxa"/>
          </w:tcPr>
          <w:p>
            <w:pPr>
              <w:pStyle w:val="yTableNAm"/>
              <w:spacing w:before="0"/>
            </w:pPr>
            <w:r>
              <w:rPr>
                <w:szCs w:val="22"/>
              </w:rPr>
              <w:br/>
              <w:t>355</w:t>
            </w:r>
          </w:p>
        </w:tc>
      </w:tr>
      <w:tr>
        <w:tc>
          <w:tcPr>
            <w:tcW w:w="851" w:type="dxa"/>
          </w:tcPr>
          <w:p>
            <w:pPr>
              <w:pStyle w:val="yTableNAm"/>
              <w:spacing w:before="0"/>
            </w:pPr>
            <w:r>
              <w:t>4.</w:t>
            </w:r>
          </w:p>
        </w:tc>
        <w:tc>
          <w:tcPr>
            <w:tcW w:w="2410" w:type="dxa"/>
          </w:tcPr>
          <w:p>
            <w:pPr>
              <w:pStyle w:val="yTableNAm"/>
              <w:spacing w:before="0"/>
            </w:pPr>
            <w:r>
              <w:t>Approval of premises as a private hospital (r. 5)</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7 050</w:t>
            </w:r>
          </w:p>
          <w:p>
            <w:pPr>
              <w:pStyle w:val="yTableNAm"/>
              <w:spacing w:before="0"/>
            </w:pPr>
            <w:r>
              <w:rPr>
                <w:szCs w:val="22"/>
              </w:rPr>
              <w:t>8 150</w:t>
            </w:r>
          </w:p>
          <w:p>
            <w:pPr>
              <w:pStyle w:val="yTableNAm"/>
              <w:spacing w:before="0"/>
            </w:pPr>
            <w:r>
              <w:rPr>
                <w:szCs w:val="22"/>
              </w:rPr>
              <w:t>11 085</w:t>
            </w:r>
          </w:p>
          <w:p>
            <w:pPr>
              <w:pStyle w:val="yTableNAm"/>
              <w:spacing w:before="0"/>
            </w:pPr>
            <w:r>
              <w:rPr>
                <w:szCs w:val="22"/>
              </w:rPr>
              <w:t>14 185</w:t>
            </w:r>
          </w:p>
        </w:tc>
      </w:tr>
    </w:tbl>
    <w:p>
      <w:pPr>
        <w:pStyle w:val="yFootnotesection"/>
      </w:pPr>
      <w:r>
        <w:tab/>
        <w:t>[Schedule 1 inserted: Gazette 25 May 2018 p. 1635</w:t>
      </w:r>
      <w:r>
        <w:noBreakHyphen/>
        <w:t>6.]</w:t>
      </w:r>
    </w:p>
    <w:bookmarkEnd w:id="23"/>
    <w:bookmarkEnd w:id="24"/>
    <w:bookmarkEnd w:id="25"/>
    <w:bookmarkEnd w:id="2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5"/>
          <w:pgSz w:w="11907" w:h="16840" w:code="9"/>
          <w:pgMar w:top="2376" w:right="2405" w:bottom="3542" w:left="2405" w:header="706" w:footer="3380" w:gutter="0"/>
          <w:cols w:space="720"/>
          <w:noEndnote/>
          <w:titlePg/>
          <w:docGrid w:linePitch="326"/>
        </w:sectPr>
      </w:pPr>
    </w:p>
    <w:p>
      <w:pPr>
        <w:pStyle w:val="nHeading2"/>
      </w:pPr>
      <w:bookmarkStart w:id="27" w:name="_Toc514933510"/>
      <w:bookmarkStart w:id="28" w:name="_Toc514935258"/>
      <w:bookmarkStart w:id="29" w:name="_Toc514937697"/>
      <w:bookmarkStart w:id="30" w:name="_Toc515004443"/>
      <w:bookmarkStart w:id="31" w:name="_Toc518028651"/>
      <w:r>
        <w:t>Notes</w:t>
      </w:r>
      <w:bookmarkEnd w:id="27"/>
      <w:bookmarkEnd w:id="28"/>
      <w:bookmarkEnd w:id="29"/>
      <w:bookmarkEnd w:id="30"/>
      <w:bookmarkEnd w:id="31"/>
    </w:p>
    <w:p>
      <w:pPr>
        <w:pStyle w:val="nSubsection"/>
      </w:pPr>
      <w:r>
        <w:rPr>
          <w:vertAlign w:val="superscript"/>
        </w:rPr>
        <w:t>1</w:t>
      </w:r>
      <w:r>
        <w:tab/>
        <w:t xml:space="preserve">This is a compilation of the </w:t>
      </w:r>
      <w:r>
        <w:rPr>
          <w:i/>
          <w:noProof/>
        </w:rPr>
        <w:t>Hospitals (Licensing and Conduct of Private Hospitals) Regulations 1987</w:t>
      </w:r>
      <w:r>
        <w:t xml:space="preserve"> and includes the amendments made by the other written laws referred to in the following table.  The table also contains information about any reprint.</w:t>
      </w:r>
    </w:p>
    <w:p>
      <w:pPr>
        <w:pStyle w:val="nHeading3"/>
        <w:rPr>
          <w:snapToGrid w:val="0"/>
        </w:rPr>
      </w:pPr>
      <w:bookmarkStart w:id="32" w:name="_Toc518028652"/>
      <w:r>
        <w:t>Compilation table</w:t>
      </w:r>
      <w:bookmarkEnd w:id="3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rFonts w:ascii="Times" w:hAnsi="Times"/>
                <w:bCs/>
                <w:snapToGrid w:val="0"/>
              </w:rPr>
            </w:pPr>
            <w:r>
              <w:rPr>
                <w:rFonts w:ascii="Times" w:hAnsi="Times"/>
                <w:bCs/>
                <w:snapToGrid w:val="0"/>
              </w:rPr>
              <w:t>1 Jul 2016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Hospitals (Licensing and Conduct of Private Hospitals) Regulations 1987</w:t>
            </w:r>
            <w:r>
              <w:rPr>
                <w:rFonts w:ascii="Times" w:hAnsi="Times"/>
                <w:b/>
                <w:bCs/>
                <w:snapToGrid w:val="0"/>
              </w:rPr>
              <w:t xml:space="preserve"> as at 12 May 2017</w:t>
            </w:r>
            <w:r>
              <w:rPr>
                <w:rFonts w:ascii="Times" w:hAnsi="Times"/>
                <w:bCs/>
                <w:snapToGrid w:val="0"/>
              </w:rPr>
              <w:t xml:space="preserve"> (includes amendments listed above)</w:t>
            </w:r>
          </w:p>
        </w:tc>
      </w:tr>
      <w:tr>
        <w:tc>
          <w:tcPr>
            <w:tcW w:w="3119" w:type="dxa"/>
            <w:shd w:val="clear" w:color="auto" w:fill="auto"/>
          </w:tcPr>
          <w:p>
            <w:pPr>
              <w:pStyle w:val="nTable"/>
              <w:spacing w:after="40"/>
              <w:rPr>
                <w:rFonts w:ascii="Times" w:hAnsi="Times"/>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rFonts w:ascii="Times" w:hAnsi="Times"/>
                <w:b/>
                <w:bCs/>
                <w:snapToGrid w:val="0"/>
              </w:rPr>
            </w:pPr>
            <w:r>
              <w:t>30 Jun 2017 p. 3568</w:t>
            </w:r>
            <w:r>
              <w:noBreakHyphen/>
              <w:t>74</w:t>
            </w:r>
          </w:p>
        </w:tc>
        <w:tc>
          <w:tcPr>
            <w:tcW w:w="2693" w:type="dxa"/>
            <w:shd w:val="clear" w:color="auto" w:fill="auto"/>
          </w:tcPr>
          <w:p>
            <w:pPr>
              <w:pStyle w:val="nTable"/>
              <w:spacing w:after="40"/>
              <w:rPr>
                <w:rFonts w:ascii="Times" w:hAnsi="Times"/>
                <w:b/>
                <w:bCs/>
                <w:snapToGrid w:val="0"/>
              </w:rPr>
            </w:pPr>
            <w:r>
              <w:rPr>
                <w:bCs/>
                <w:snapToGrid w:val="0"/>
              </w:rPr>
              <w:t>1 Jul 2017 (see r. 2(b))</w:t>
            </w:r>
          </w:p>
        </w:tc>
      </w:tr>
      <w:tr>
        <w:tc>
          <w:tcPr>
            <w:tcW w:w="3119" w:type="dxa"/>
            <w:tcBorders>
              <w:bottom w:val="single" w:sz="8" w:space="0" w:color="auto"/>
            </w:tcBorders>
            <w:shd w:val="clear" w:color="auto" w:fill="auto"/>
          </w:tcPr>
          <w:p>
            <w:pPr>
              <w:pStyle w:val="nTable"/>
              <w:spacing w:after="40"/>
              <w:rPr>
                <w:i/>
              </w:rPr>
            </w:pPr>
            <w:r>
              <w:rPr>
                <w:i/>
              </w:rPr>
              <w:t>Health Regulations Amendment (Fees and Charges) Regulations 2018</w:t>
            </w:r>
            <w:r>
              <w:t xml:space="preserve"> Pt. 6</w:t>
            </w:r>
          </w:p>
        </w:tc>
        <w:tc>
          <w:tcPr>
            <w:tcW w:w="1276" w:type="dxa"/>
            <w:tcBorders>
              <w:bottom w:val="single" w:sz="8" w:space="0" w:color="auto"/>
            </w:tcBorders>
            <w:shd w:val="clear" w:color="auto" w:fill="auto"/>
          </w:tcPr>
          <w:p>
            <w:pPr>
              <w:pStyle w:val="nTable"/>
              <w:spacing w:after="40"/>
            </w:pPr>
            <w:r>
              <w:t>25 May 2018 p. 1632</w:t>
            </w:r>
            <w:r>
              <w:noBreakHyphen/>
              <w:t>9</w:t>
            </w:r>
          </w:p>
        </w:tc>
        <w:tc>
          <w:tcPr>
            <w:tcW w:w="2693" w:type="dxa"/>
            <w:tcBorders>
              <w:bottom w:val="single" w:sz="8" w:space="0" w:color="auto"/>
            </w:tcBorders>
            <w:shd w:val="clear" w:color="auto" w:fill="auto"/>
          </w:tcPr>
          <w:p>
            <w:pPr>
              <w:pStyle w:val="nTable"/>
              <w:spacing w:after="40"/>
              <w:rPr>
                <w:bCs/>
                <w:snapToGrid w:val="0"/>
              </w:rPr>
            </w:pPr>
            <w:r>
              <w:t>1 Jul 2018 (see r. 2(b))</w:t>
            </w:r>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4" w:name="_Toc514933514"/>
      <w:bookmarkStart w:id="35" w:name="_Toc514935262"/>
      <w:bookmarkStart w:id="36" w:name="_Toc514937701"/>
      <w:bookmarkStart w:id="37" w:name="_Toc515004447"/>
      <w:bookmarkStart w:id="38" w:name="_Toc518028653"/>
      <w:r>
        <w:rPr>
          <w:sz w:val="28"/>
        </w:rPr>
        <w:t>Defined terms</w:t>
      </w:r>
      <w:bookmarkEnd w:id="34"/>
      <w:bookmarkEnd w:id="35"/>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854"/>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2133</Words>
  <Characters>10199</Characters>
  <Application>Microsoft Office Word</Application>
  <DocSecurity>0</DocSecurity>
  <Lines>377</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1987 - 02-d0-02</dc:title>
  <dc:subject/>
  <dc:creator/>
  <cp:keywords/>
  <dc:description/>
  <cp:lastModifiedBy>svcMRProcess</cp:lastModifiedBy>
  <cp:revision>4</cp:revision>
  <cp:lastPrinted>2017-06-30T06:36:00Z</cp:lastPrinted>
  <dcterms:created xsi:type="dcterms:W3CDTF">2019-04-05T01:57:00Z</dcterms:created>
  <dcterms:modified xsi:type="dcterms:W3CDTF">2019-04-05T01:57:00Z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01 Jul 2018</vt:lpwstr>
  </property>
  <property fmtid="{D5CDD505-2E9C-101B-9397-08002B2CF9AE}" pid="8" name="Suffix">
    <vt:lpwstr>02-d0-02</vt:lpwstr>
  </property>
  <property fmtid="{D5CDD505-2E9C-101B-9397-08002B2CF9AE}" pid="9" name="CommencementDate">
    <vt:lpwstr>20180701</vt:lpwstr>
  </property>
</Properties>
</file>