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(Plastic Bags)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(Plastic Bags)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_Toc518460900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_Toc518460901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_Toc518460902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relating to plastic bags</w:t>
      </w:r>
    </w:p>
    <w:p>
      <w:pPr>
        <w:pStyle w:val="TOC8"/>
        <w:rPr>
          <w:rFonts w:asciiTheme="minorHAnsi" w:eastAsiaTheme="minorEastAsia" w:hAnsiTheme="minorHAnsi" w:cstheme="minorBidi"/>
          <w:szCs w:val="22"/>
        </w:rPr>
      </w:pPr>
      <w:r>
        <w:t>5.</w:t>
      </w:r>
      <w:r>
        <w:tab/>
        <w:t>Offence to give false or misleading information about a prescribed plastic bag</w:t>
      </w:r>
      <w:r>
        <w:tab/>
      </w:r>
      <w:r>
        <w:fldChar w:fldCharType="begin"/>
      </w:r>
      <w:r>
        <w:instrText xml:space="preserve"> PAGEREF _Toc518460904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Environmental Protection Regulations 1987</w:t>
      </w:r>
      <w:r>
        <w:t xml:space="preserve"> amended</w:t>
      </w:r>
    </w:p>
    <w:p>
      <w:pPr>
        <w:pStyle w:val="TOC8"/>
        <w:rPr>
          <w:rFonts w:asciiTheme="minorHAnsi" w:eastAsiaTheme="minorEastAsia" w:hAnsiTheme="minorHAnsi" w:cstheme="minorBidi"/>
          <w:szCs w:val="22"/>
        </w:rPr>
      </w:pPr>
      <w:r>
        <w:t>6</w:t>
      </w:r>
      <w:r>
        <w:rPr>
          <w:snapToGrid w:val="0"/>
        </w:rPr>
        <w:t>.</w:t>
      </w:r>
      <w:r>
        <w:rPr>
          <w:snapToGrid w:val="0"/>
        </w:rPr>
        <w:tab/>
        <w:t>Regulations amended</w:t>
      </w:r>
      <w:r>
        <w:tab/>
      </w:r>
      <w:r>
        <w:fldChar w:fldCharType="begin"/>
      </w:r>
      <w:r>
        <w:instrText xml:space="preserve"> PAGEREF _Toc518460906 \h </w:instrText>
      </w:r>
      <w:r>
        <w:fldChar w:fldCharType="separate"/>
      </w:r>
      <w:r>
        <w:t>4</w:t>
      </w:r>
      <w:r>
        <w:fldChar w:fldCharType="end"/>
      </w:r>
    </w:p>
    <w:p>
      <w:pPr>
        <w:pStyle w:val="TOC8"/>
        <w:rPr>
          <w:rFonts w:asciiTheme="minorHAnsi" w:eastAsiaTheme="minorEastAsia" w:hAnsiTheme="minorHAnsi" w:cstheme="minorBidi"/>
          <w:szCs w:val="22"/>
        </w:rPr>
      </w:pPr>
      <w:r>
        <w:t>7.</w:t>
      </w:r>
      <w:r>
        <w:tab/>
        <w:t>Schedule 6 amended</w:t>
      </w:r>
      <w:r>
        <w:tab/>
      </w:r>
      <w:r>
        <w:fldChar w:fldCharType="begin"/>
      </w:r>
      <w:r>
        <w:instrText xml:space="preserve"> PAGEREF _Toc518460907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_Toc518460909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_Toc518460910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Environmental Protection Act 1986</w:t>
      </w:r>
    </w:p>
    <w:p>
      <w:pPr>
        <w:pStyle w:val="NameofActReg"/>
      </w:pPr>
      <w:r>
        <w:t>Environmental Protection (Plastic Bags) Regulations 2018</w:t>
      </w:r>
    </w:p>
    <w:p>
      <w:pPr>
        <w:pStyle w:val="Heading2"/>
        <w:pageBreakBefore w:val="0"/>
        <w:spacing w:before="240"/>
      </w:pPr>
      <w:bookmarkStart w:id="3" w:name="_Toc511652542"/>
      <w:bookmarkStart w:id="4" w:name="_Toc511652690"/>
      <w:bookmarkStart w:id="5" w:name="_Toc511653018"/>
      <w:bookmarkStart w:id="6" w:name="_Toc511655989"/>
      <w:bookmarkStart w:id="7" w:name="_Toc511659448"/>
      <w:bookmarkStart w:id="8" w:name="_Toc511660538"/>
      <w:bookmarkStart w:id="9" w:name="_Toc511722406"/>
      <w:bookmarkStart w:id="10" w:name="_Toc511724179"/>
      <w:bookmarkStart w:id="11" w:name="_Toc511724309"/>
      <w:bookmarkStart w:id="12" w:name="_Toc511724453"/>
      <w:bookmarkStart w:id="13" w:name="_Toc511724559"/>
      <w:bookmarkStart w:id="14" w:name="_Toc511827180"/>
      <w:bookmarkStart w:id="15" w:name="_Toc511827772"/>
      <w:bookmarkStart w:id="16" w:name="_Toc511912820"/>
      <w:bookmarkStart w:id="17" w:name="_Toc511918871"/>
      <w:bookmarkStart w:id="18" w:name="_Toc511981576"/>
      <w:bookmarkStart w:id="19" w:name="_Toc511982514"/>
      <w:bookmarkStart w:id="20" w:name="_Toc511982719"/>
      <w:bookmarkStart w:id="21" w:name="_Toc512241323"/>
      <w:bookmarkStart w:id="22" w:name="_Toc512245509"/>
      <w:bookmarkStart w:id="23" w:name="_Toc512245560"/>
      <w:bookmarkStart w:id="24" w:name="_Toc512257128"/>
      <w:bookmarkStart w:id="25" w:name="_Toc512258001"/>
      <w:bookmarkStart w:id="26" w:name="_Toc512264771"/>
      <w:bookmarkStart w:id="27" w:name="_Toc512264804"/>
      <w:bookmarkStart w:id="28" w:name="_Toc512324390"/>
      <w:bookmarkStart w:id="29" w:name="_Toc516474798"/>
      <w:bookmarkStart w:id="30" w:name="_Toc516479822"/>
      <w:bookmarkStart w:id="31" w:name="_Toc516564055"/>
      <w:bookmarkStart w:id="32" w:name="_Toc516564269"/>
      <w:bookmarkStart w:id="33" w:name="_Toc517957805"/>
      <w:bookmarkStart w:id="34" w:name="_Toc517964378"/>
      <w:bookmarkStart w:id="35" w:name="_Toc5184608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512264805"/>
      <w:bookmarkStart w:id="37" w:name="_Toc512324391"/>
      <w:bookmarkStart w:id="38" w:name="_Toc518460900"/>
      <w:r>
        <w:rPr>
          <w:rStyle w:val="CharSectno"/>
        </w:rPr>
        <w:t>1</w:t>
      </w:r>
      <w:r>
        <w:t>.</w:t>
      </w:r>
      <w:r>
        <w:tab/>
        <w:t>Citation</w:t>
      </w:r>
      <w:bookmarkEnd w:id="36"/>
      <w:bookmarkEnd w:id="37"/>
      <w:bookmarkEnd w:id="38"/>
    </w:p>
    <w:p>
      <w:pPr>
        <w:pStyle w:val="Subsection"/>
      </w:pPr>
      <w:r>
        <w:tab/>
      </w:r>
      <w:r>
        <w:tab/>
      </w:r>
      <w:bookmarkStart w:id="39" w:name="Start_Cursor"/>
      <w:bookmarkEnd w:id="39"/>
      <w:r>
        <w:t xml:space="preserve">These </w:t>
      </w:r>
      <w:r>
        <w:rPr>
          <w:spacing w:val="-2"/>
        </w:rPr>
        <w:t>regulations</w:t>
      </w:r>
      <w:r>
        <w:t xml:space="preserve"> are the </w:t>
      </w:r>
      <w:r>
        <w:rPr>
          <w:i/>
        </w:rPr>
        <w:t>Environmental Protection (Plastic Bags) Regulations 2018</w:t>
      </w:r>
      <w:r>
        <w:t>.</w:t>
      </w:r>
    </w:p>
    <w:p>
      <w:pPr>
        <w:pStyle w:val="Heading5"/>
        <w:rPr>
          <w:spacing w:val="-2"/>
        </w:rPr>
      </w:pPr>
      <w:bookmarkStart w:id="40" w:name="_Toc512264806"/>
      <w:bookmarkStart w:id="41" w:name="_Toc512324392"/>
      <w:bookmarkStart w:id="42" w:name="_Toc518460901"/>
      <w:r>
        <w:rPr>
          <w:rStyle w:val="CharSectno"/>
        </w:rPr>
        <w:t>2</w:t>
      </w:r>
      <w:r>
        <w:rPr>
          <w:spacing w:val="-2"/>
        </w:rPr>
        <w:t>.</w:t>
      </w:r>
      <w:r>
        <w:rPr>
          <w:spacing w:val="-2"/>
        </w:rPr>
        <w:tab/>
        <w:t>Commencement</w:t>
      </w:r>
      <w:bookmarkEnd w:id="40"/>
      <w:bookmarkEnd w:id="41"/>
      <w:bookmarkEnd w:id="4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r>
        <w:t xml:space="preserve"> </w:t>
      </w:r>
      <w:bookmarkStart w:id="43" w:name="_Toc512264807"/>
      <w:bookmarkStart w:id="44" w:name="_Toc512324393"/>
      <w:bookmarkStart w:id="45" w:name="_Toc518460902"/>
      <w:r>
        <w:rPr>
          <w:rStyle w:val="CharSectno"/>
        </w:rPr>
        <w:t>3</w:t>
      </w:r>
      <w:r>
        <w:rPr>
          <w:spacing w:val="-2"/>
        </w:rPr>
        <w:t>.</w:t>
      </w:r>
      <w:r>
        <w:rPr>
          <w:spacing w:val="-2"/>
        </w:rPr>
        <w:tab/>
        <w:t>Terms used</w:t>
      </w:r>
      <w:bookmarkEnd w:id="43"/>
      <w:bookmarkEnd w:id="44"/>
      <w:bookmarkEnd w:id="45"/>
    </w:p>
    <w:p>
      <w:pPr>
        <w:pStyle w:val="Subsection"/>
      </w:pPr>
      <w:r>
        <w:tab/>
      </w:r>
      <w:r>
        <w:tab/>
        <w:t>In these regulations —</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medical care provider</w:t>
      </w:r>
      <w:r>
        <w:t xml:space="preserve"> means an individual who practises a health profession within the meaning of the </w:t>
      </w:r>
      <w:r>
        <w:rPr>
          <w:i/>
        </w:rPr>
        <w:t xml:space="preserve">Health Practitioner Regulation National Law (Western Australia) </w:t>
      </w:r>
      <w:r>
        <w:t xml:space="preserve">section 5 but excludes a pharmacist or optometrist; </w:t>
      </w:r>
    </w:p>
    <w:p>
      <w:pPr>
        <w:pStyle w:val="Defstart"/>
        <w:keepNext/>
      </w:pPr>
      <w:r>
        <w:rPr>
          <w:b/>
          <w:i/>
        </w:rPr>
        <w:tab/>
      </w:r>
      <w:r>
        <w:rPr>
          <w:rStyle w:val="CharDefText"/>
        </w:rPr>
        <w:t>prescribed plastic bag</w:t>
      </w:r>
      <w:r>
        <w:t> —</w:t>
      </w:r>
    </w:p>
    <w:p>
      <w:pPr>
        <w:pStyle w:val="Defpara"/>
        <w:keepNext/>
      </w:pPr>
      <w:r>
        <w:tab/>
        <w:t>(a)</w:t>
      </w:r>
      <w:r>
        <w:tab/>
        <w:t>means a bag that is —</w:t>
      </w:r>
    </w:p>
    <w:p>
      <w:pPr>
        <w:pStyle w:val="Defsubpara"/>
      </w:pPr>
      <w:r>
        <w:tab/>
        <w:t>(i)</w:t>
      </w:r>
      <w:r>
        <w:tab/>
        <w:t>made in whole or in part of plastic; and</w:t>
      </w:r>
    </w:p>
    <w:p>
      <w:pPr>
        <w:pStyle w:val="Defsubpara"/>
      </w:pPr>
      <w:r>
        <w:tab/>
        <w:t>(ii)</w:t>
      </w:r>
      <w:r>
        <w:tab/>
        <w:t>has handles; and</w:t>
      </w:r>
    </w:p>
    <w:p>
      <w:pPr>
        <w:pStyle w:val="Defsubpara"/>
      </w:pPr>
      <w:r>
        <w:tab/>
        <w:t>(iii)</w:t>
      </w:r>
      <w:r>
        <w:tab/>
        <w:t>has a thickness of 35 microns or less;</w:t>
      </w:r>
    </w:p>
    <w:p>
      <w:pPr>
        <w:pStyle w:val="Defpara"/>
      </w:pPr>
      <w:r>
        <w:tab/>
      </w:r>
      <w:r>
        <w:tab/>
        <w:t>but</w:t>
      </w:r>
    </w:p>
    <w:p>
      <w:pPr>
        <w:pStyle w:val="Defpara"/>
      </w:pPr>
      <w:r>
        <w:tab/>
        <w:t>(b)</w:t>
      </w:r>
      <w:r>
        <w:tab/>
        <w:t>does not include a bag that is —</w:t>
      </w:r>
    </w:p>
    <w:p>
      <w:pPr>
        <w:pStyle w:val="Defsubpara"/>
      </w:pPr>
      <w:r>
        <w:tab/>
        <w:t>(i)</w:t>
      </w:r>
      <w:r>
        <w:tab/>
        <w:t>a barrier bag; or</w:t>
      </w:r>
    </w:p>
    <w:p>
      <w:pPr>
        <w:pStyle w:val="Defsubpara"/>
      </w:pPr>
      <w:r>
        <w:tab/>
        <w:t>(ii)</w:t>
      </w:r>
      <w:r>
        <w:tab/>
        <w:t>a plastic bag that is, or is an integral part of, the packaging in which goods are sealed for sale; or</w:t>
      </w:r>
    </w:p>
    <w:p>
      <w:pPr>
        <w:pStyle w:val="Defsubpara"/>
      </w:pPr>
      <w:r>
        <w:tab/>
        <w:t>(iii)</w:t>
      </w:r>
      <w:r>
        <w:tab/>
        <w:t>a plastic bag provided by a medical care provider to a person receiving services from that medical care provider;</w:t>
      </w:r>
    </w:p>
    <w:p>
      <w:pPr>
        <w:pStyle w:val="Defstart"/>
      </w:pPr>
      <w:r>
        <w:rPr>
          <w:b/>
          <w:i/>
        </w:rPr>
        <w:tab/>
      </w:r>
      <w:r>
        <w:rPr>
          <w:rStyle w:val="CharDefText"/>
        </w:rPr>
        <w:t>retailer</w:t>
      </w:r>
      <w:r>
        <w:t xml:space="preserve"> means a person who sells goods in trade or commerce;</w:t>
      </w:r>
    </w:p>
    <w:p>
      <w:pPr>
        <w:pStyle w:val="Defstart"/>
      </w:pPr>
      <w:r>
        <w:tab/>
      </w:r>
      <w:r>
        <w:rPr>
          <w:rStyle w:val="CharDefText"/>
        </w:rPr>
        <w:t>supply</w:t>
      </w:r>
      <w:r>
        <w:t xml:space="preserve"> includes sell, provide and make available.</w:t>
      </w:r>
    </w:p>
    <w:p>
      <w:pPr>
        <w:pStyle w:val="Heading2"/>
        <w:spacing w:before="240"/>
      </w:pPr>
      <w:bookmarkStart w:id="46" w:name="_Toc511652546"/>
      <w:bookmarkStart w:id="47" w:name="_Toc511652694"/>
      <w:bookmarkStart w:id="48" w:name="_Toc511653022"/>
      <w:bookmarkStart w:id="49" w:name="_Toc511655993"/>
      <w:bookmarkStart w:id="50" w:name="_Toc511659452"/>
      <w:bookmarkStart w:id="51" w:name="_Toc511660542"/>
      <w:bookmarkStart w:id="52" w:name="_Toc511722410"/>
      <w:bookmarkStart w:id="53" w:name="_Toc511724183"/>
      <w:bookmarkStart w:id="54" w:name="_Toc511724313"/>
      <w:bookmarkStart w:id="55" w:name="_Toc511724457"/>
      <w:bookmarkStart w:id="56" w:name="_Toc511724563"/>
      <w:bookmarkStart w:id="57" w:name="_Toc511827184"/>
      <w:bookmarkStart w:id="58" w:name="_Toc511827776"/>
      <w:bookmarkStart w:id="59" w:name="_Toc511912824"/>
      <w:bookmarkStart w:id="60" w:name="_Toc511918875"/>
      <w:bookmarkStart w:id="61" w:name="_Toc511981580"/>
      <w:bookmarkStart w:id="62" w:name="_Toc511982518"/>
      <w:bookmarkStart w:id="63" w:name="_Toc511982723"/>
      <w:bookmarkStart w:id="64" w:name="_Toc512241327"/>
      <w:bookmarkStart w:id="65" w:name="_Toc512245513"/>
      <w:bookmarkStart w:id="66" w:name="_Toc512245564"/>
      <w:bookmarkStart w:id="67" w:name="_Toc512257132"/>
      <w:bookmarkStart w:id="68" w:name="_Toc512258005"/>
      <w:bookmarkStart w:id="69" w:name="_Toc512264775"/>
      <w:bookmarkStart w:id="70" w:name="_Toc512264808"/>
      <w:bookmarkStart w:id="71" w:name="_Toc512324394"/>
      <w:bookmarkStart w:id="72" w:name="_Toc517957809"/>
      <w:bookmarkStart w:id="73" w:name="_Toc517964382"/>
      <w:bookmarkStart w:id="74" w:name="_Toc518460903"/>
      <w:r>
        <w:rPr>
          <w:rStyle w:val="CharPartNo"/>
        </w:rPr>
        <w:t>Part 2</w:t>
      </w:r>
      <w:r>
        <w:rPr>
          <w:rStyle w:val="CharDivNo"/>
        </w:rPr>
        <w:t> </w:t>
      </w:r>
      <w:r>
        <w:t>—</w:t>
      </w:r>
      <w:r>
        <w:rPr>
          <w:rStyle w:val="CharDivText"/>
        </w:rPr>
        <w:t> </w:t>
      </w:r>
      <w:r>
        <w:rPr>
          <w:rStyle w:val="CharPartText"/>
        </w:rPr>
        <w:t>Offences relating to plastic bags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Ednotepart"/>
      </w:pPr>
      <w:r>
        <w:t>[Regulation 4 has not come into operation</w:t>
      </w:r>
      <w:r>
        <w:rPr>
          <w:i w:val="0"/>
          <w:vertAlign w:val="superscript"/>
        </w:rPr>
        <w:t> 2</w:t>
      </w:r>
      <w:r>
        <w:t>.]</w:t>
      </w:r>
    </w:p>
    <w:p>
      <w:pPr>
        <w:pStyle w:val="Heading5"/>
      </w:pPr>
      <w:bookmarkStart w:id="75" w:name="_Toc512264810"/>
      <w:bookmarkStart w:id="76" w:name="_Toc512324396"/>
      <w:bookmarkStart w:id="77" w:name="_Toc518460904"/>
      <w:r>
        <w:rPr>
          <w:rStyle w:val="CharSectno"/>
        </w:rPr>
        <w:t>5</w:t>
      </w:r>
      <w:r>
        <w:t>.</w:t>
      </w:r>
      <w:r>
        <w:tab/>
        <w:t>Offence to give false or misleading information about a prescribed plastic bag</w:t>
      </w:r>
      <w:bookmarkEnd w:id="75"/>
      <w:bookmarkEnd w:id="76"/>
      <w:bookmarkEnd w:id="77"/>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2"/>
        <w:spacing w:before="240"/>
      </w:pPr>
      <w:bookmarkStart w:id="78" w:name="_Toc511652549"/>
      <w:bookmarkStart w:id="79" w:name="_Toc511652697"/>
      <w:bookmarkStart w:id="80" w:name="_Toc511653025"/>
      <w:bookmarkStart w:id="81" w:name="_Toc511655996"/>
      <w:bookmarkStart w:id="82" w:name="_Toc511659455"/>
      <w:bookmarkStart w:id="83" w:name="_Toc511660545"/>
      <w:bookmarkStart w:id="84" w:name="_Toc511722413"/>
      <w:bookmarkStart w:id="85" w:name="_Toc511724186"/>
      <w:bookmarkStart w:id="86" w:name="_Toc511724316"/>
      <w:bookmarkStart w:id="87" w:name="_Toc511724460"/>
      <w:bookmarkStart w:id="88" w:name="_Toc511724566"/>
      <w:bookmarkStart w:id="89" w:name="_Toc511827187"/>
      <w:bookmarkStart w:id="90" w:name="_Toc511827779"/>
      <w:bookmarkStart w:id="91" w:name="_Toc511912827"/>
      <w:bookmarkStart w:id="92" w:name="_Toc511918878"/>
      <w:bookmarkStart w:id="93" w:name="_Toc511981583"/>
      <w:bookmarkStart w:id="94" w:name="_Toc511982521"/>
      <w:bookmarkStart w:id="95" w:name="_Toc511982726"/>
      <w:bookmarkStart w:id="96" w:name="_Toc512241330"/>
      <w:bookmarkStart w:id="97" w:name="_Toc512245516"/>
      <w:bookmarkStart w:id="98" w:name="_Toc512245567"/>
      <w:bookmarkStart w:id="99" w:name="_Toc512257135"/>
      <w:bookmarkStart w:id="100" w:name="_Toc512258008"/>
      <w:bookmarkStart w:id="101" w:name="_Toc512264778"/>
      <w:bookmarkStart w:id="102" w:name="_Toc512264811"/>
      <w:bookmarkStart w:id="103" w:name="_Toc512324397"/>
      <w:bookmarkStart w:id="104" w:name="_Toc517957811"/>
      <w:bookmarkStart w:id="105" w:name="_Toc517964384"/>
      <w:bookmarkStart w:id="106" w:name="_Toc518460905"/>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12264812"/>
      <w:bookmarkStart w:id="108" w:name="_Toc512324398"/>
      <w:bookmarkStart w:id="109" w:name="_Toc518460906"/>
      <w:r>
        <w:rPr>
          <w:rStyle w:val="CharSectno"/>
        </w:rPr>
        <w:t>6</w:t>
      </w:r>
      <w:r>
        <w:rPr>
          <w:snapToGrid w:val="0"/>
        </w:rPr>
        <w:t>.</w:t>
      </w:r>
      <w:r>
        <w:rPr>
          <w:snapToGrid w:val="0"/>
        </w:rPr>
        <w:tab/>
        <w:t>Regulations amended</w:t>
      </w:r>
      <w:bookmarkEnd w:id="107"/>
      <w:bookmarkEnd w:id="108"/>
      <w:bookmarkEnd w:id="109"/>
    </w:p>
    <w:p>
      <w:pPr>
        <w:pStyle w:val="Subsection"/>
        <w:rPr>
          <w:i/>
        </w:rPr>
      </w:pPr>
      <w:r>
        <w:tab/>
      </w:r>
      <w:r>
        <w:tab/>
        <w:t xml:space="preserve">This Part amends the </w:t>
      </w:r>
      <w:r>
        <w:rPr>
          <w:i/>
        </w:rPr>
        <w:t>Environmental Protection Regulations 1987.</w:t>
      </w:r>
    </w:p>
    <w:p>
      <w:pPr>
        <w:pStyle w:val="Heading5"/>
      </w:pPr>
      <w:bookmarkStart w:id="110" w:name="_Toc512264813"/>
      <w:bookmarkStart w:id="111" w:name="_Toc512324399"/>
      <w:bookmarkStart w:id="112" w:name="_Toc518460907"/>
      <w:r>
        <w:rPr>
          <w:rStyle w:val="CharSectno"/>
        </w:rPr>
        <w:t>7</w:t>
      </w:r>
      <w:r>
        <w:t>.</w:t>
      </w:r>
      <w:r>
        <w:tab/>
        <w:t>Schedule 6 amended</w:t>
      </w:r>
      <w:bookmarkEnd w:id="110"/>
      <w:bookmarkEnd w:id="111"/>
      <w:bookmarkEnd w:id="112"/>
    </w:p>
    <w:p>
      <w:pPr>
        <w:pStyle w:val="Subsection"/>
      </w:pPr>
      <w:r>
        <w:tab/>
        <w:t>(1)</w:t>
      </w:r>
      <w:r>
        <w:tab/>
        <w:t>At the end of Schedule 6 insert:</w:t>
      </w:r>
    </w:p>
    <w:p>
      <w:pPr>
        <w:pStyle w:val="BlankOpen"/>
        <w:rPr>
          <w:i/>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pPr>
            <w:r>
              <w:rPr>
                <w:i/>
                <w:iCs/>
              </w:rPr>
              <w:t>Environmental Protection (Plastic Bags) Regulations 2018</w:t>
            </w:r>
          </w:p>
        </w:tc>
        <w:tc>
          <w:tcPr>
            <w:tcW w:w="1701" w:type="dxa"/>
            <w:tcBorders>
              <w:top w:val="single" w:sz="4" w:space="0" w:color="auto"/>
              <w:bottom w:val="single" w:sz="4" w:space="0" w:color="auto"/>
            </w:tcBorders>
          </w:tcPr>
          <w:p>
            <w:pPr>
              <w:pStyle w:val="zyTableNAm"/>
              <w:jc w:val="center"/>
              <w:rPr>
                <w:b/>
                <w:i/>
              </w:rPr>
            </w:pPr>
          </w:p>
        </w:tc>
        <w:tc>
          <w:tcPr>
            <w:tcW w:w="1701" w:type="dxa"/>
            <w:tcBorders>
              <w:top w:val="single" w:sz="4" w:space="0" w:color="auto"/>
              <w:bottom w:val="single" w:sz="4" w:space="0" w:color="auto"/>
            </w:tcBorders>
          </w:tcPr>
          <w:p>
            <w:pPr>
              <w:pStyle w:val="yTableNAm"/>
            </w:pPr>
          </w:p>
        </w:tc>
      </w:tr>
      <w:tr>
        <w:tc>
          <w:tcPr>
            <w:tcW w:w="2551" w:type="dxa"/>
            <w:tcBorders>
              <w:top w:val="single" w:sz="4" w:space="0" w:color="auto"/>
              <w:bottom w:val="single" w:sz="4" w:space="0" w:color="auto"/>
            </w:tcBorders>
          </w:tcPr>
          <w:p>
            <w:pPr>
              <w:pStyle w:val="yTableNAm"/>
            </w:pPr>
            <w:r>
              <w:t>1.</w:t>
            </w:r>
            <w:r>
              <w:tab/>
              <w:t>regulation 5</w:t>
            </w:r>
          </w:p>
        </w:tc>
        <w:tc>
          <w:tcPr>
            <w:tcW w:w="1701" w:type="dxa"/>
            <w:tcBorders>
              <w:top w:val="single" w:sz="4" w:space="0" w:color="auto"/>
              <w:bottom w:val="single" w:sz="4" w:space="0" w:color="auto"/>
            </w:tcBorders>
          </w:tcPr>
          <w:p>
            <w:pPr>
              <w:pStyle w:val="yTableNAm"/>
            </w:pPr>
            <w:r>
              <w:t>250</w:t>
            </w:r>
          </w:p>
        </w:tc>
        <w:tc>
          <w:tcPr>
            <w:tcW w:w="1701" w:type="dxa"/>
            <w:tcBorders>
              <w:top w:val="single" w:sz="4" w:space="0" w:color="auto"/>
              <w:bottom w:val="single" w:sz="4" w:space="0" w:color="auto"/>
            </w:tcBorders>
          </w:tcPr>
          <w:p>
            <w:pPr>
              <w:pStyle w:val="yTableNAm"/>
            </w:pPr>
            <w:r>
              <w:t>500</w:t>
            </w:r>
          </w:p>
        </w:tc>
      </w:tr>
    </w:tbl>
    <w:p>
      <w:pPr>
        <w:pStyle w:val="BlankClose"/>
      </w:pPr>
    </w:p>
    <w:p>
      <w:pPr>
        <w:pStyle w:val="Ednotepart"/>
      </w:pPr>
      <w:r>
        <w:t>[Regulation 7(2) has not come into operation</w:t>
      </w:r>
      <w:r>
        <w:rPr>
          <w:i w:val="0"/>
          <w:vertAlign w:val="superscript"/>
        </w:rPr>
        <w:t> 2</w:t>
      </w:r>
      <w:r>
        <w:t>.]</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13" w:name="_Toc516479825"/>
      <w:bookmarkStart w:id="114" w:name="_Toc516564058"/>
      <w:bookmarkStart w:id="115" w:name="_Toc516564272"/>
      <w:bookmarkStart w:id="116" w:name="_Toc517957814"/>
      <w:bookmarkStart w:id="117" w:name="_Toc517964387"/>
      <w:bookmarkStart w:id="118" w:name="_Toc518460908"/>
      <w:r>
        <w:t>Notes</w:t>
      </w:r>
      <w:bookmarkEnd w:id="113"/>
      <w:bookmarkEnd w:id="114"/>
      <w:bookmarkEnd w:id="115"/>
      <w:bookmarkEnd w:id="116"/>
      <w:bookmarkEnd w:id="117"/>
      <w:bookmarkEnd w:id="118"/>
    </w:p>
    <w:p>
      <w:pPr>
        <w:pStyle w:val="nSubsection"/>
      </w:pPr>
      <w:r>
        <w:rPr>
          <w:vertAlign w:val="superscript"/>
        </w:rPr>
        <w:t>1</w:t>
      </w:r>
      <w:r>
        <w:tab/>
        <w:t xml:space="preserve">This is a compilation of the </w:t>
      </w:r>
      <w:r>
        <w:rPr>
          <w:i/>
          <w:noProof/>
        </w:rPr>
        <w:t>Environmental Protection (Plastic Bags) Regulations 2018</w:t>
      </w:r>
      <w:r>
        <w:t>.  The following table contains information about those regulations</w:t>
      </w:r>
      <w:r>
        <w:rPr>
          <w:vertAlign w:val="superscript"/>
        </w:rPr>
        <w:t> 1a</w:t>
      </w:r>
      <w:r>
        <w:t>.</w:t>
      </w:r>
    </w:p>
    <w:p>
      <w:pPr>
        <w:pStyle w:val="nHeading3"/>
      </w:pPr>
      <w:bookmarkStart w:id="119" w:name="_Toc518460909"/>
      <w:r>
        <w:t>Compilation table</w:t>
      </w:r>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Environmental Protection (Plastic Bags) Regulations 2018</w:t>
            </w:r>
            <w:r>
              <w:rPr>
                <w:noProof/>
              </w:rPr>
              <w:t xml:space="preserve"> (other than r. 4 and 7(2))</w:t>
            </w:r>
          </w:p>
        </w:tc>
        <w:tc>
          <w:tcPr>
            <w:tcW w:w="1276" w:type="dxa"/>
          </w:tcPr>
          <w:p>
            <w:pPr>
              <w:pStyle w:val="nTable"/>
              <w:spacing w:after="40"/>
            </w:pPr>
            <w:r>
              <w:t>12 Jun 2018 p. 1890</w:t>
            </w:r>
            <w:r>
              <w:noBreakHyphen/>
              <w:t>1</w:t>
            </w:r>
          </w:p>
        </w:tc>
        <w:tc>
          <w:tcPr>
            <w:tcW w:w="2693" w:type="dxa"/>
          </w:tcPr>
          <w:p>
            <w:pPr>
              <w:pStyle w:val="nTable"/>
              <w:spacing w:after="40"/>
            </w:pPr>
            <w:r>
              <w:t>r. 1 and 2: 12 Jun 2018 (see r. 2(a));</w:t>
            </w:r>
            <w:r>
              <w:br/>
              <w:t xml:space="preserve">Regulations </w:t>
            </w:r>
            <w:r>
              <w:rPr>
                <w:noProof/>
              </w:rPr>
              <w:t>(other than r. 1, 2, 4 and 7(2)): 1 Jul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 w:name="_Toc518460910"/>
      <w:r>
        <w:t>Provisions that have not come into operation</w:t>
      </w:r>
      <w:bookmarkEnd w:id="1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Environmental Protection (Plastic Bags) Regulations 2018</w:t>
            </w:r>
            <w:r>
              <w:rPr>
                <w:noProof/>
              </w:rPr>
              <w:t xml:space="preserve"> r. 4 and 7(2)</w:t>
            </w:r>
            <w:r>
              <w:rPr>
                <w:noProof/>
                <w:vertAlign w:val="superscript"/>
              </w:rPr>
              <w:t> 2</w:t>
            </w:r>
          </w:p>
        </w:tc>
        <w:tc>
          <w:tcPr>
            <w:tcW w:w="1276" w:type="dxa"/>
          </w:tcPr>
          <w:p>
            <w:pPr>
              <w:pStyle w:val="nTable"/>
              <w:spacing w:after="40"/>
            </w:pPr>
            <w:r>
              <w:t>12 Jun 2018 p. 1890</w:t>
            </w:r>
            <w:r>
              <w:noBreakHyphen/>
              <w:t>1</w:t>
            </w:r>
          </w:p>
        </w:tc>
        <w:tc>
          <w:tcPr>
            <w:tcW w:w="2693" w:type="dxa"/>
          </w:tcPr>
          <w:p>
            <w:pPr>
              <w:pStyle w:val="nTable"/>
              <w:spacing w:after="40"/>
            </w:pPr>
            <w:r>
              <w:t>1 Jan 2019 (see r. 2(b))</w:t>
            </w:r>
          </w:p>
        </w:tc>
      </w:tr>
    </w:tbl>
    <w:p>
      <w:pPr>
        <w:pStyle w:val="nSubsection"/>
        <w:spacing w:before="360"/>
      </w:pPr>
      <w:r>
        <w:rPr>
          <w:vertAlign w:val="superscript"/>
        </w:rPr>
        <w:t>2</w:t>
      </w:r>
      <w:r>
        <w:tab/>
        <w:t xml:space="preserve">On </w:t>
      </w:r>
      <w:r>
        <w:rPr>
          <w:snapToGrid w:val="0"/>
        </w:rPr>
        <w:t>the</w:t>
      </w:r>
      <w:r>
        <w:t xml:space="preserve"> date as at which this compilation was prepared, the </w:t>
      </w:r>
      <w:r>
        <w:rPr>
          <w:i/>
          <w:noProof/>
        </w:rPr>
        <w:t>Environmental Protection (Plastic Bags) Regulations 2018</w:t>
      </w:r>
      <w:r>
        <w:rPr>
          <w:noProof/>
        </w:rPr>
        <w:t xml:space="preserve"> r. 4 and 7(2) </w:t>
      </w:r>
      <w:r>
        <w:t>had not come into operation. They read as follows:</w:t>
      </w:r>
    </w:p>
    <w:p>
      <w:pPr>
        <w:pStyle w:val="nzHeading2"/>
      </w:pPr>
      <w:r>
        <w:rPr>
          <w:rStyle w:val="CharPartNo"/>
        </w:rPr>
        <w:t>Part 2</w:t>
      </w:r>
      <w:r>
        <w:rPr>
          <w:rStyle w:val="CharDivNo"/>
        </w:rPr>
        <w:t> </w:t>
      </w:r>
      <w:r>
        <w:t>—</w:t>
      </w:r>
      <w:r>
        <w:rPr>
          <w:rStyle w:val="CharDivText"/>
        </w:rPr>
        <w:t> </w:t>
      </w:r>
      <w:r>
        <w:rPr>
          <w:rStyle w:val="CharPartText"/>
        </w:rPr>
        <w:t>Offences relating to plastic bags</w:t>
      </w:r>
    </w:p>
    <w:p>
      <w:pPr>
        <w:pStyle w:val="nzHeading5"/>
      </w:pPr>
      <w:r>
        <w:rPr>
          <w:rStyle w:val="CharSectno"/>
        </w:rPr>
        <w:t>4</w:t>
      </w:r>
      <w:r>
        <w:t>.</w:t>
      </w:r>
      <w:r>
        <w:tab/>
        <w:t>Offence to supply prescribed plastic bag</w:t>
      </w:r>
    </w:p>
    <w:p>
      <w:pPr>
        <w:pStyle w:val="nzSubsection"/>
      </w:pPr>
      <w:r>
        <w:tab/>
      </w:r>
      <w:r>
        <w:tab/>
        <w:t>A retailer must not supply a prescribed plastic bag to a person for the person to carry goods sold by the retailer.</w:t>
      </w:r>
    </w:p>
    <w:p>
      <w:pPr>
        <w:pStyle w:val="nzPenstart"/>
      </w:pPr>
      <w:r>
        <w:tab/>
        <w:t>Penalty: a fine of $5 000.</w:t>
      </w:r>
    </w:p>
    <w:p>
      <w:pPr>
        <w:pStyle w:val="nzHeading2"/>
      </w:pPr>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p>
    <w:p>
      <w:pPr>
        <w:pStyle w:val="nzHeading5"/>
      </w:pPr>
      <w:r>
        <w:rPr>
          <w:rStyle w:val="CharSectno"/>
        </w:rPr>
        <w:t>7</w:t>
      </w:r>
      <w:r>
        <w:t>.</w:t>
      </w:r>
      <w:r>
        <w:tab/>
        <w:t>Schedule 6 amended</w:t>
      </w:r>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22" w:name="_Toc517964390"/>
      <w:bookmarkStart w:id="123" w:name="_Toc518460911"/>
      <w:r>
        <w:rPr>
          <w:sz w:val="28"/>
        </w:rPr>
        <w:t>Defined terms</w:t>
      </w:r>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barrier bag</w:t>
      </w:r>
      <w:r>
        <w:tab/>
        <w:t xml:space="preserve"> 3</w:t>
      </w:r>
    </w:p>
    <w:p>
      <w:pPr>
        <w:pStyle w:val="DefinedTerms"/>
      </w:pPr>
      <w:r>
        <w:t>medical care provider</w:t>
      </w:r>
      <w:r>
        <w:tab/>
        <w:t xml:space="preserve"> 3</w:t>
      </w:r>
    </w:p>
    <w:p>
      <w:pPr>
        <w:pStyle w:val="DefinedTerms"/>
      </w:pPr>
      <w:r>
        <w:t>prescribed plastic bag</w:t>
      </w:r>
      <w:r>
        <w:tab/>
        <w:t xml:space="preserve"> 3</w:t>
      </w:r>
    </w:p>
    <w:p>
      <w:pPr>
        <w:pStyle w:val="DefinedTerms"/>
      </w:pPr>
      <w:r>
        <w:t>retailer</w:t>
      </w:r>
      <w:r>
        <w:tab/>
        <w:t xml:space="preserve"> 3</w:t>
      </w:r>
    </w:p>
    <w:p>
      <w:pPr>
        <w:pStyle w:val="DefinedTerms"/>
      </w:pPr>
      <w:r>
        <w:t>supply</w:t>
      </w:r>
      <w:r>
        <w:tab/>
        <w:t xml:space="preserve"> 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Environmental Protection Regulations 1987 amended</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(Plastic Bags)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Offences relating to plastic bags</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40C7-DC0F-4A5C-B972-2BFE1893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875</Words>
  <Characters>4477</Characters>
  <Application>Microsoft Office Word</Application>
  <DocSecurity>0</DocSecurity>
  <Lines>194</Lines>
  <Paragraphs>140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(Plastic Bags) Regulations 2018 - 00-b0-01</dc:title>
  <dc:subject/>
  <dc:creator/>
  <cp:keywords/>
  <dc:description/>
  <cp:lastModifiedBy>svcMRProcess</cp:lastModifiedBy>
  <cp:revision>4</cp:revision>
  <cp:lastPrinted>2018-04-24T01:08:00Z</cp:lastPrinted>
  <dcterms:created xsi:type="dcterms:W3CDTF">2018-07-04T01:53:00Z</dcterms:created>
  <dcterms:modified xsi:type="dcterms:W3CDTF">2018-07-04T01:53:00Z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2018</vt:lpwstr>
  </property>
  <property fmtid="{D5CDD505-2E9C-101B-9397-08002B2CF9AE}" pid="4" name="Suffix">
    <vt:lpwstr>00-b0-01</vt:lpwstr>
  </property>
  <property fmtid="{D5CDD505-2E9C-101B-9397-08002B2CF9AE}" pid="5" name="CommencementDate">
    <vt:lpwstr>20180701</vt:lpwstr>
  </property>
</Properties>
</file>