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_Toc517959529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_Toc517959530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_Toc517959532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_Toc517959533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_Toc517959534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_Toc517959535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_Toc517959536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_Toc517959539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_Toc517959540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_Toc517959541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_Toc517959542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_Toc517959543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_Toc517959544 \h </w:instrText>
      </w:r>
      <w:r>
        <w:fldChar w:fldCharType="separate"/>
      </w:r>
      <w:r>
        <w:t>8</w:t>
      </w:r>
      <w:r>
        <w:fldChar w:fldCharType="end"/>
      </w:r>
    </w:p>
    <w:p>
      <w:pPr>
        <w:pStyle w:val="TOC8"/>
        <w:rPr>
          <w:rFonts w:asciiTheme="minorHAnsi" w:eastAsiaTheme="minorEastAsia" w:hAnsiTheme="minorHAnsi" w:cstheme="minorBidi"/>
          <w:szCs w:val="22"/>
        </w:rPr>
      </w:pPr>
      <w:r>
        <w:t>8G.</w:t>
      </w:r>
      <w:r>
        <w:tab/>
        <w:t>When r. 8C(1) commences to apply to lodging certain registry instruments</w:t>
      </w:r>
      <w:r>
        <w:tab/>
      </w:r>
      <w:r>
        <w:fldChar w:fldCharType="begin"/>
      </w:r>
      <w:r>
        <w:instrText xml:space="preserve"> PAGEREF _Toc517959545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_Toc517959547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_Toc517959548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_Toc517959550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_Toc517959552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_Toc517959555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_Toc517959557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_Toc517959558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_Toc517959559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_Toc517959560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_Toc517959561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_Toc517959572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517947457"/>
      <w:bookmarkStart w:id="4" w:name="_Toc517959528"/>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Gazette 22 May 2009 p. 1700.]</w:t>
      </w:r>
    </w:p>
    <w:p>
      <w:pPr>
        <w:pStyle w:val="Heading5"/>
      </w:pPr>
      <w:bookmarkStart w:id="5" w:name="_Toc517959529"/>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6" w:name="_Toc51795953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6 September 2004.</w:t>
      </w:r>
    </w:p>
    <w:p>
      <w:pPr>
        <w:pStyle w:val="Heading2"/>
      </w:pPr>
      <w:bookmarkStart w:id="7" w:name="_Toc517947460"/>
      <w:bookmarkStart w:id="8" w:name="_Toc517959531"/>
      <w:r>
        <w:rPr>
          <w:rStyle w:val="CharPartNo"/>
        </w:rPr>
        <w:t>Part 2</w:t>
      </w:r>
      <w:r>
        <w:rPr>
          <w:b w:val="0"/>
        </w:rPr>
        <w:t> </w:t>
      </w:r>
      <w:r>
        <w:t>—</w:t>
      </w:r>
      <w:r>
        <w:rPr>
          <w:b w:val="0"/>
        </w:rPr>
        <w:t> </w:t>
      </w:r>
      <w:r>
        <w:rPr>
          <w:rStyle w:val="CharPartText"/>
        </w:rPr>
        <w:t>General</w:t>
      </w:r>
      <w:bookmarkEnd w:id="7"/>
      <w:bookmarkEnd w:id="8"/>
    </w:p>
    <w:p>
      <w:pPr>
        <w:pStyle w:val="Footnoteheading"/>
      </w:pPr>
      <w:r>
        <w:tab/>
        <w:t>[Heading inserted: Gazette 22 May 2009 p. 1701.]</w:t>
      </w:r>
    </w:p>
    <w:p>
      <w:pPr>
        <w:pStyle w:val="Heading5"/>
      </w:pPr>
      <w:bookmarkStart w:id="9" w:name="_Toc517959532"/>
      <w:r>
        <w:rPr>
          <w:rStyle w:val="CharSectno"/>
        </w:rPr>
        <w:t>3A</w:t>
      </w:r>
      <w:r>
        <w:t>.</w:t>
      </w:r>
      <w:r>
        <w:tab/>
        <w:t>Immaterial differences between counterparts (Act s. 4(1CA)(b)(v))</w:t>
      </w:r>
      <w:bookmarkEnd w:id="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0" w:name="_Toc517959533"/>
      <w:r>
        <w:rPr>
          <w:rStyle w:val="CharSectno"/>
        </w:rPr>
        <w:t>3</w:t>
      </w:r>
      <w:r>
        <w:t>.</w:t>
      </w:r>
      <w:r>
        <w:tab/>
        <w:t>Paper documents for lodgment, requirements for</w:t>
      </w:r>
      <w:bookmarkEnd w:id="1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1" w:name="_Toc517959534"/>
      <w:r>
        <w:rPr>
          <w:rStyle w:val="CharSectno"/>
        </w:rPr>
        <w:t>4</w:t>
      </w:r>
      <w:r>
        <w:t>.</w:t>
      </w:r>
      <w:r>
        <w:tab/>
      </w:r>
      <w:r>
        <w:rPr>
          <w:snapToGrid w:val="0"/>
        </w:rPr>
        <w:t>Certificates of title for land in existing certificate</w:t>
      </w:r>
      <w:bookmarkEnd w:id="1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2" w:name="_Toc517959535"/>
      <w:r>
        <w:rPr>
          <w:rStyle w:val="CharSectno"/>
        </w:rPr>
        <w:t>5</w:t>
      </w:r>
      <w:r>
        <w:t>.</w:t>
      </w:r>
      <w:r>
        <w:tab/>
      </w:r>
      <w:r>
        <w:rPr>
          <w:snapToGrid w:val="0"/>
        </w:rPr>
        <w:t>New certificate of title if old one too full for further endorsement</w:t>
      </w:r>
      <w:bookmarkEnd w:id="1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3" w:name="_Toc517959536"/>
      <w:r>
        <w:rPr>
          <w:rStyle w:val="CharSectno"/>
        </w:rPr>
        <w:t>8</w:t>
      </w:r>
      <w:r>
        <w:t>.</w:t>
      </w:r>
      <w:r>
        <w:tab/>
      </w:r>
      <w:r>
        <w:rPr>
          <w:snapToGrid w:val="0"/>
        </w:rPr>
        <w:t>Area prescribed (Act s. 129C(1a))</w:t>
      </w:r>
      <w:bookmarkEnd w:id="1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4" w:name="_Toc517947466"/>
      <w:bookmarkStart w:id="15" w:name="_Toc517959537"/>
      <w:r>
        <w:rPr>
          <w:rStyle w:val="CharPartNo"/>
        </w:rPr>
        <w:t>Part 3A</w:t>
      </w:r>
      <w:r>
        <w:t> — </w:t>
      </w:r>
      <w:r>
        <w:rPr>
          <w:rStyle w:val="CharPartText"/>
        </w:rPr>
        <w:t xml:space="preserve">Provisions relating to </w:t>
      </w:r>
      <w:r>
        <w:rPr>
          <w:rStyle w:val="CharPartText"/>
          <w:i/>
        </w:rPr>
        <w:t>Electronic Conveyancing Act 2014</w:t>
      </w:r>
      <w:bookmarkEnd w:id="14"/>
      <w:bookmarkEnd w:id="15"/>
    </w:p>
    <w:p>
      <w:pPr>
        <w:pStyle w:val="Footnoteheading"/>
      </w:pPr>
      <w:r>
        <w:tab/>
        <w:t>[Heading inserted: Gazette 30 May 2014 p. 1685.]</w:t>
      </w:r>
    </w:p>
    <w:p>
      <w:pPr>
        <w:pStyle w:val="Heading3"/>
      </w:pPr>
      <w:bookmarkStart w:id="16" w:name="_Toc517947467"/>
      <w:bookmarkStart w:id="17" w:name="_Toc517959538"/>
      <w:r>
        <w:rPr>
          <w:rStyle w:val="CharDivNo"/>
        </w:rPr>
        <w:t>Division 1</w:t>
      </w:r>
      <w:r>
        <w:t> — </w:t>
      </w:r>
      <w:r>
        <w:rPr>
          <w:rStyle w:val="CharDivText"/>
        </w:rPr>
        <w:t>Certain registry instruments must be lodged by means of an ELN</w:t>
      </w:r>
      <w:bookmarkEnd w:id="16"/>
      <w:bookmarkEnd w:id="17"/>
    </w:p>
    <w:p>
      <w:pPr>
        <w:pStyle w:val="Footnoteheading"/>
      </w:pPr>
      <w:r>
        <w:tab/>
        <w:t>[Heading inserted: Gazette 24 Nov 2017 p. 5680.]</w:t>
      </w:r>
    </w:p>
    <w:p>
      <w:pPr>
        <w:pStyle w:val="Heading5"/>
      </w:pPr>
      <w:bookmarkStart w:id="18" w:name="_Toc517959539"/>
      <w:r>
        <w:rPr>
          <w:rStyle w:val="CharSectno"/>
        </w:rPr>
        <w:t>8A</w:t>
      </w:r>
      <w:r>
        <w:t>.</w:t>
      </w:r>
      <w:r>
        <w:tab/>
        <w:t>Terms used</w:t>
      </w:r>
      <w:bookmarkEnd w:id="18"/>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19" w:name="_Toc517959540"/>
      <w:r>
        <w:rPr>
          <w:rStyle w:val="CharSectno"/>
        </w:rPr>
        <w:t>8B</w:t>
      </w:r>
      <w:r>
        <w:t>.</w:t>
      </w:r>
      <w:r>
        <w:tab/>
        <w:t>Registry instruments to which this Division applies</w:t>
      </w:r>
      <w:bookmarkEnd w:id="19"/>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0" w:name="_Toc517959541"/>
      <w:r>
        <w:rPr>
          <w:rStyle w:val="CharSectno"/>
        </w:rPr>
        <w:t>8C</w:t>
      </w:r>
      <w:r>
        <w:t>.</w:t>
      </w:r>
      <w:r>
        <w:tab/>
        <w:t>Certain registry instruments must be lodged by means of an ELN</w:t>
      </w:r>
      <w:bookmarkEnd w:id="20"/>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1" w:name="_Toc517959542"/>
      <w:r>
        <w:rPr>
          <w:rStyle w:val="CharSectno"/>
        </w:rPr>
        <w:t>8D</w:t>
      </w:r>
      <w:r>
        <w:t>.</w:t>
      </w:r>
      <w:r>
        <w:tab/>
        <w:t>Where party to transaction is self</w:t>
      </w:r>
      <w:r>
        <w:noBreakHyphen/>
        <w:t>represented</w:t>
      </w:r>
      <w:bookmarkEnd w:id="2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22" w:name="_Toc517959543"/>
      <w:r>
        <w:rPr>
          <w:rStyle w:val="CharSectno"/>
        </w:rPr>
        <w:t>8E</w:t>
      </w:r>
      <w:r>
        <w:t>.</w:t>
      </w:r>
      <w:r>
        <w:tab/>
        <w:t>Where 2 or more registry instruments lodged simultaneously</w:t>
      </w:r>
      <w:bookmarkEnd w:id="22"/>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23" w:name="_Toc517959544"/>
      <w:r>
        <w:rPr>
          <w:rStyle w:val="CharSectno"/>
        </w:rPr>
        <w:t>8F</w:t>
      </w:r>
      <w:r>
        <w:t>.</w:t>
      </w:r>
      <w:r>
        <w:tab/>
        <w:t>Registrar’s power to exempt</w:t>
      </w:r>
      <w:bookmarkEnd w:id="23"/>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4" w:name="_Toc517959545"/>
      <w:r>
        <w:rPr>
          <w:rStyle w:val="CharSectno"/>
        </w:rPr>
        <w:t>8G</w:t>
      </w:r>
      <w:r>
        <w:t>.</w:t>
      </w:r>
      <w:r>
        <w:tab/>
        <w:t>When r. 8C(1) commences to apply to lodging certain registry instruments</w:t>
      </w:r>
      <w:bookmarkEnd w:id="24"/>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5" w:name="_Toc517947475"/>
      <w:bookmarkStart w:id="26" w:name="_Toc517959546"/>
      <w:r>
        <w:rPr>
          <w:rStyle w:val="CharDivNo"/>
        </w:rPr>
        <w:t>Division 2</w:t>
      </w:r>
      <w:r>
        <w:t> — </w:t>
      </w:r>
      <w:r>
        <w:rPr>
          <w:rStyle w:val="CharDivText"/>
        </w:rPr>
        <w:t>General requirements</w:t>
      </w:r>
      <w:bookmarkEnd w:id="25"/>
      <w:bookmarkEnd w:id="26"/>
    </w:p>
    <w:p>
      <w:pPr>
        <w:pStyle w:val="Footnoteheading"/>
      </w:pPr>
      <w:r>
        <w:tab/>
        <w:t>[Heading inserted: Gazette 24 Nov 2017 p. 5682.]</w:t>
      </w:r>
    </w:p>
    <w:p>
      <w:pPr>
        <w:pStyle w:val="Heading5"/>
      </w:pPr>
      <w:bookmarkStart w:id="27" w:name="_Toc517959547"/>
      <w:r>
        <w:rPr>
          <w:rStyle w:val="CharSectno"/>
        </w:rPr>
        <w:t>9AA</w:t>
      </w:r>
      <w:r>
        <w:t>.</w:t>
      </w:r>
      <w:r>
        <w:tab/>
        <w:t>Requirements relating to electronic lodgment of mortgages</w:t>
      </w:r>
      <w:bookmarkEnd w:id="2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28" w:name="_Toc517959548"/>
      <w:r>
        <w:rPr>
          <w:rStyle w:val="CharSectno"/>
        </w:rPr>
        <w:t>9AB</w:t>
      </w:r>
      <w:r>
        <w:t>.</w:t>
      </w:r>
      <w:r>
        <w:tab/>
        <w:t>Duplicate certificates of title where documents lodged electronically</w:t>
      </w:r>
      <w:bookmarkEnd w:id="2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29" w:name="_Toc517947478"/>
      <w:bookmarkStart w:id="30" w:name="_Toc517959549"/>
      <w:r>
        <w:rPr>
          <w:rStyle w:val="CharPartNo"/>
        </w:rPr>
        <w:t>Part 3B</w:t>
      </w:r>
      <w:r>
        <w:rPr>
          <w:rStyle w:val="CharDivNo"/>
        </w:rPr>
        <w:t> </w:t>
      </w:r>
      <w:r>
        <w:t>—</w:t>
      </w:r>
      <w:r>
        <w:rPr>
          <w:rStyle w:val="CharDivText"/>
        </w:rPr>
        <w:t> </w:t>
      </w:r>
      <w:r>
        <w:rPr>
          <w:rStyle w:val="CharPartText"/>
        </w:rPr>
        <w:t>Provisions relating to electronic service</w:t>
      </w:r>
      <w:bookmarkEnd w:id="29"/>
      <w:bookmarkEnd w:id="30"/>
    </w:p>
    <w:p>
      <w:pPr>
        <w:pStyle w:val="Footnoteheading"/>
      </w:pPr>
      <w:r>
        <w:tab/>
        <w:t>[Heading inserted: Gazette 22 Mar 2016 p. 835.]</w:t>
      </w:r>
    </w:p>
    <w:p>
      <w:pPr>
        <w:pStyle w:val="Heading5"/>
      </w:pPr>
      <w:bookmarkStart w:id="31" w:name="_Toc517959550"/>
      <w:r>
        <w:rPr>
          <w:rStyle w:val="CharSectno"/>
        </w:rPr>
        <w:t>9AC</w:t>
      </w:r>
      <w:r>
        <w:t>.</w:t>
      </w:r>
      <w:r>
        <w:tab/>
        <w:t>Electronic service of notices</w:t>
      </w:r>
      <w:bookmarkEnd w:id="3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32" w:name="_Toc517947480"/>
      <w:bookmarkStart w:id="33" w:name="_Toc517959551"/>
      <w:r>
        <w:rPr>
          <w:rStyle w:val="CharPartNo"/>
        </w:rPr>
        <w:t>Part 3</w:t>
      </w:r>
      <w:r>
        <w:t> — </w:t>
      </w:r>
      <w:r>
        <w:rPr>
          <w:rStyle w:val="CharPartText"/>
        </w:rPr>
        <w:t>Fees and forms</w:t>
      </w:r>
      <w:bookmarkEnd w:id="32"/>
      <w:bookmarkEnd w:id="33"/>
    </w:p>
    <w:p>
      <w:pPr>
        <w:pStyle w:val="Footnoteheading"/>
      </w:pPr>
      <w:r>
        <w:tab/>
        <w:t>[Heading inserted: Gazette 22 May 2009 p. 1701.]</w:t>
      </w:r>
    </w:p>
    <w:p>
      <w:pPr>
        <w:pStyle w:val="Heading5"/>
      </w:pPr>
      <w:bookmarkStart w:id="34" w:name="_Toc517959552"/>
      <w:r>
        <w:rPr>
          <w:rStyle w:val="CharSectno"/>
        </w:rPr>
        <w:t>9A</w:t>
      </w:r>
      <w:r>
        <w:t>.</w:t>
      </w:r>
      <w:r>
        <w:tab/>
        <w:t>Fees (Sch. 1)</w:t>
      </w:r>
      <w:bookmarkEnd w:id="3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w:t>
      </w:r>
    </w:p>
    <w:p>
      <w:pPr>
        <w:pStyle w:val="Ednotesection"/>
      </w:pPr>
      <w:r>
        <w:t>[</w:t>
      </w:r>
      <w:r>
        <w:rPr>
          <w:b/>
          <w:bCs/>
        </w:rPr>
        <w:t>9.</w:t>
      </w:r>
      <w:r>
        <w:rPr>
          <w:b/>
          <w:bCs/>
        </w:rPr>
        <w:tab/>
      </w:r>
      <w:r>
        <w:t>Deleted: Gazette 19 Jun 2009 p. 2236.]</w:t>
      </w:r>
    </w:p>
    <w:p>
      <w:pPr>
        <w:pStyle w:val="Heading2"/>
      </w:pPr>
      <w:bookmarkStart w:id="35" w:name="_Toc517947482"/>
      <w:bookmarkStart w:id="36" w:name="_Toc517959553"/>
      <w:r>
        <w:rPr>
          <w:rStyle w:val="CharPartNo"/>
        </w:rPr>
        <w:t>Part 4</w:t>
      </w:r>
      <w:r>
        <w:rPr>
          <w:b w:val="0"/>
        </w:rPr>
        <w:t> </w:t>
      </w:r>
      <w:r>
        <w:t>—</w:t>
      </w:r>
      <w:r>
        <w:rPr>
          <w:b w:val="0"/>
        </w:rPr>
        <w:t> </w:t>
      </w:r>
      <w:r>
        <w:rPr>
          <w:rStyle w:val="CharPartText"/>
        </w:rPr>
        <w:t>Inspection of Register</w:t>
      </w:r>
      <w:bookmarkEnd w:id="35"/>
      <w:bookmarkEnd w:id="36"/>
    </w:p>
    <w:p>
      <w:pPr>
        <w:pStyle w:val="Footnoteheading"/>
      </w:pPr>
      <w:r>
        <w:tab/>
        <w:t>[Heading inserted: Gazette 22 May 2009 p. 1702.]</w:t>
      </w:r>
    </w:p>
    <w:p>
      <w:pPr>
        <w:pStyle w:val="Heading3"/>
      </w:pPr>
      <w:bookmarkStart w:id="37" w:name="_Toc517947483"/>
      <w:bookmarkStart w:id="38" w:name="_Toc517959554"/>
      <w:r>
        <w:rPr>
          <w:rStyle w:val="CharDivNo"/>
        </w:rPr>
        <w:t>Division 1</w:t>
      </w:r>
      <w:r>
        <w:t> — </w:t>
      </w:r>
      <w:r>
        <w:rPr>
          <w:rStyle w:val="CharDivText"/>
        </w:rPr>
        <w:t>Times for inspection of Register and related documents</w:t>
      </w:r>
      <w:bookmarkEnd w:id="37"/>
      <w:bookmarkEnd w:id="38"/>
    </w:p>
    <w:p>
      <w:pPr>
        <w:pStyle w:val="Footnoteheading"/>
      </w:pPr>
      <w:r>
        <w:tab/>
        <w:t>[Heading inserted: Gazette 22 May 2009 p. 1702.]</w:t>
      </w:r>
    </w:p>
    <w:p>
      <w:pPr>
        <w:pStyle w:val="Heading5"/>
        <w:rPr>
          <w:snapToGrid w:val="0"/>
        </w:rPr>
      </w:pPr>
      <w:bookmarkStart w:id="39" w:name="_Toc517959555"/>
      <w:r>
        <w:rPr>
          <w:rStyle w:val="CharSectno"/>
        </w:rPr>
        <w:t>10</w:t>
      </w:r>
      <w:r>
        <w:rPr>
          <w:snapToGrid w:val="0"/>
        </w:rPr>
        <w:t>.</w:t>
      </w:r>
      <w:r>
        <w:rPr>
          <w:snapToGrid w:val="0"/>
        </w:rPr>
        <w:tab/>
        <w:t>Times for inspection prescribed (Act s. 239(1))</w:t>
      </w:r>
      <w:bookmarkEnd w:id="39"/>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w:t>
      </w:r>
    </w:p>
    <w:p>
      <w:pPr>
        <w:pStyle w:val="Heading3"/>
      </w:pPr>
      <w:bookmarkStart w:id="40" w:name="_Toc517947485"/>
      <w:bookmarkStart w:id="41" w:name="_Toc517959556"/>
      <w:r>
        <w:rPr>
          <w:rStyle w:val="CharDivNo"/>
        </w:rPr>
        <w:t>Division 2</w:t>
      </w:r>
      <w:r>
        <w:t> — </w:t>
      </w:r>
      <w:r>
        <w:rPr>
          <w:rStyle w:val="CharDivText"/>
        </w:rPr>
        <w:t>Names index</w:t>
      </w:r>
      <w:bookmarkEnd w:id="40"/>
      <w:bookmarkEnd w:id="41"/>
    </w:p>
    <w:p>
      <w:pPr>
        <w:pStyle w:val="Footnoteheading"/>
      </w:pPr>
      <w:r>
        <w:tab/>
        <w:t>[Heading inserted: Gazette 22 May 2009 p. 1703.]</w:t>
      </w:r>
    </w:p>
    <w:p>
      <w:pPr>
        <w:pStyle w:val="Heading5"/>
      </w:pPr>
      <w:bookmarkStart w:id="42" w:name="_Toc517959557"/>
      <w:r>
        <w:rPr>
          <w:rStyle w:val="CharSectno"/>
        </w:rPr>
        <w:t>11</w:t>
      </w:r>
      <w:r>
        <w:t>.</w:t>
      </w:r>
      <w:r>
        <w:tab/>
        <w:t>Terms used</w:t>
      </w:r>
      <w:bookmarkEnd w:id="4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43" w:name="_Toc517959558"/>
      <w:r>
        <w:rPr>
          <w:rStyle w:val="CharSectno"/>
        </w:rPr>
        <w:t>12</w:t>
      </w:r>
      <w:r>
        <w:t>.</w:t>
      </w:r>
      <w:r>
        <w:tab/>
        <w:t>Names index prescribed (Act s. 239(1)(k))</w:t>
      </w:r>
      <w:bookmarkEnd w:id="4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44" w:name="_Toc517959559"/>
      <w:r>
        <w:rPr>
          <w:rStyle w:val="CharSectno"/>
        </w:rPr>
        <w:t>13</w:t>
      </w:r>
      <w:r>
        <w:t>.</w:t>
      </w:r>
      <w:r>
        <w:tab/>
      </w:r>
      <w:r>
        <w:rPr>
          <w:snapToGrid w:val="0"/>
        </w:rPr>
        <w:t>Application for information in names index to be excluded from inspections</w:t>
      </w:r>
      <w:bookmarkEnd w:id="4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45" w:name="_Toc517959560"/>
      <w:r>
        <w:rPr>
          <w:rStyle w:val="CharSectno"/>
        </w:rPr>
        <w:t>14</w:t>
      </w:r>
      <w:r>
        <w:t>.</w:t>
      </w:r>
      <w:r>
        <w:tab/>
        <w:t>Suppressed information, provision of to government organisations</w:t>
      </w:r>
      <w:bookmarkEnd w:id="4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46" w:name="_Toc517959561"/>
      <w:r>
        <w:rPr>
          <w:rStyle w:val="CharSectno"/>
        </w:rPr>
        <w:t>15</w:t>
      </w:r>
      <w:r>
        <w:t>.</w:t>
      </w:r>
      <w:r>
        <w:tab/>
        <w:t>Suppressed information, provision of to others</w:t>
      </w:r>
      <w:bookmarkEnd w:id="4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517947491"/>
      <w:bookmarkStart w:id="48" w:name="_Toc517959562"/>
      <w:r>
        <w:rPr>
          <w:rStyle w:val="CharSchNo"/>
        </w:rPr>
        <w:t>Schedule 1</w:t>
      </w:r>
      <w:r>
        <w:t xml:space="preserve"> — </w:t>
      </w:r>
      <w:r>
        <w:rPr>
          <w:rStyle w:val="CharSchText"/>
        </w:rPr>
        <w:t>Fees</w:t>
      </w:r>
      <w:bookmarkEnd w:id="47"/>
      <w:bookmarkEnd w:id="48"/>
    </w:p>
    <w:p>
      <w:pPr>
        <w:pStyle w:val="yShoulderClause"/>
      </w:pPr>
      <w:r>
        <w:t>[r. 9A(1), (2), (3), (4), (5), (6), (7)]</w:t>
      </w:r>
    </w:p>
    <w:p>
      <w:pPr>
        <w:pStyle w:val="yFootnoteheading"/>
      </w:pPr>
      <w:r>
        <w:tab/>
        <w:t>[Heading inserted: Gazette 9 Jan 2009 p. 30; amended: Gazette 22 May 2009 p. 1705.]</w:t>
      </w:r>
    </w:p>
    <w:p>
      <w:pPr>
        <w:pStyle w:val="yHeading3"/>
      </w:pPr>
      <w:bookmarkStart w:id="49" w:name="_Toc517947492"/>
      <w:bookmarkStart w:id="50" w:name="_Toc517959563"/>
      <w:r>
        <w:rPr>
          <w:rStyle w:val="CharSDivNo"/>
        </w:rPr>
        <w:t>Division 1</w:t>
      </w:r>
      <w:r>
        <w:t> </w:t>
      </w:r>
      <w:r>
        <w:rPr>
          <w:snapToGrid w:val="0"/>
        </w:rPr>
        <w:t>— </w:t>
      </w:r>
      <w:r>
        <w:rPr>
          <w:rStyle w:val="CharSDivText"/>
        </w:rPr>
        <w:t>Registrations and recordings</w:t>
      </w:r>
      <w:bookmarkEnd w:id="49"/>
      <w:bookmarkEnd w:id="50"/>
    </w:p>
    <w:p>
      <w:pPr>
        <w:pStyle w:val="yFootnoteheading"/>
        <w:spacing w:after="120"/>
        <w:rPr>
          <w:snapToGrid w:val="0"/>
        </w:rPr>
      </w:pPr>
      <w:r>
        <w:tab/>
        <w:t>[Heading inserted: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$13.40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$181.20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$201.20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$171.20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$171.20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$171.20</w:t>
            </w:r>
          </w:p>
        </w:tc>
      </w:tr>
    </w:tbl>
    <w:p>
      <w:pPr>
        <w:pStyle w:val="yFootnotesection"/>
      </w:pPr>
      <w:r>
        <w:tab/>
        <w:t>[Division 1 inserted: Gazette 9 Jan 2009 p. 30-1; amended: Gazette 19 Jun 2009 p. 2236</w:t>
      </w:r>
      <w:r>
        <w:noBreakHyphen/>
        <w:t>7 and 2238</w:t>
      </w:r>
      <w:r>
        <w:noBreakHyphen/>
        <w:t>9; 18 Jun 2010 p. 2679-80; 14 Jun 2011 p. 2133</w:t>
      </w:r>
      <w:r>
        <w:noBreakHyphen/>
        <w:t>4; 19 Jun 2015 p. 2137; 24 Jun 2016 p. 2322; 23 Jun 2017 p. 3183; 15 Jun 2018 p. 1925.]</w:t>
      </w:r>
    </w:p>
    <w:p>
      <w:pPr>
        <w:pStyle w:val="yHeading3"/>
        <w:pageBreakBefore/>
        <w:spacing w:before="0"/>
      </w:pPr>
      <w:bookmarkStart w:id="51" w:name="_Toc517947493"/>
      <w:bookmarkStart w:id="52" w:name="_Toc517959564"/>
      <w:r>
        <w:rPr>
          <w:rStyle w:val="CharSDivNo"/>
        </w:rPr>
        <w:t>Division 2</w:t>
      </w:r>
      <w:r>
        <w:t> — </w:t>
      </w:r>
      <w:r>
        <w:rPr>
          <w:rStyle w:val="CharSDivText"/>
        </w:rPr>
        <w:t>Lodgments</w:t>
      </w:r>
      <w:bookmarkEnd w:id="51"/>
      <w:bookmarkEnd w:id="52"/>
    </w:p>
    <w:p>
      <w:pPr>
        <w:pStyle w:val="yFootnoteheading"/>
        <w:spacing w:after="120"/>
      </w:pPr>
      <w:r>
        <w:tab/>
        <w:t>[Heading inserted: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$277.00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$277.00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$277.00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$277.00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$85.60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$6.20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$171.20</w:t>
            </w:r>
          </w:p>
        </w:tc>
      </w:tr>
    </w:tbl>
    <w:p>
      <w:pPr>
        <w:pStyle w:val="yFootnotesection"/>
      </w:pPr>
      <w:r>
        <w:tab/>
        <w:t>[Division 2 inserted: Gazette 9 Jan 2009 p. 31; amended: Gazette 19 Jun 2009 p. 2237</w:t>
      </w:r>
      <w:r>
        <w:noBreakHyphen/>
        <w:t>8 and 2239; 18 Jun 2010 p. 2680; 14 Jun 2011 p. 2134; 22 Jun 2012 p. 2783; 26 Jul 2013 p. 3348; 19 Jun 2015 p. 2137</w:t>
      </w:r>
      <w:r>
        <w:noBreakHyphen/>
        <w:t>8; 24 Jun 2016 p. 2323; 23 Jun 2017 p. 3183</w:t>
      </w:r>
      <w:r>
        <w:noBreakHyphen/>
        <w:t>4; 15 Jun 2018 p. 1925.]</w:t>
      </w:r>
    </w:p>
    <w:p>
      <w:pPr>
        <w:pStyle w:val="yHeading3"/>
      </w:pPr>
      <w:bookmarkStart w:id="53" w:name="_Toc517947494"/>
      <w:bookmarkStart w:id="54" w:name="_Toc517959565"/>
      <w:r>
        <w:rPr>
          <w:rStyle w:val="CharSDivNo"/>
        </w:rPr>
        <w:t>Division 3</w:t>
      </w:r>
      <w:r>
        <w:t> — </w:t>
      </w:r>
      <w:r>
        <w:rPr>
          <w:rStyle w:val="CharSDivText"/>
        </w:rPr>
        <w:t>Withdrawals</w:t>
      </w:r>
      <w:bookmarkEnd w:id="53"/>
      <w:bookmarkEnd w:id="54"/>
    </w:p>
    <w:p>
      <w:pPr>
        <w:pStyle w:val="yFootnoteheading"/>
        <w:spacing w:after="120"/>
      </w:pPr>
      <w:r>
        <w:tab/>
        <w:t>[Heading inserted: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$171.20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$171.20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$85.60</w:t>
            </w:r>
          </w:p>
        </w:tc>
      </w:tr>
    </w:tbl>
    <w:p>
      <w:pPr>
        <w:pStyle w:val="yFootnotesection"/>
      </w:pPr>
      <w:r>
        <w:tab/>
        <w:t>[Division 3 inserted: Gazette 9 Jan 2009 p. 31-2; amended: Gazette 19 Jun 2009 p. 2239; 18 Jun 2010 p. 2680; 14 Jun 2011 p. 2134; 14 Nov 2013 p. 5079; 19 Jun 2015 p. 2138; 24 Jun 2016 p. 2323; 23 Jun 2017 p. 3184; 15 Jun 2018 p. 1925</w:t>
      </w:r>
      <w:r>
        <w:noBreakHyphen/>
        <w:t>6.]</w:t>
      </w:r>
    </w:p>
    <w:p>
      <w:pPr>
        <w:pStyle w:val="yHeading3"/>
      </w:pPr>
      <w:bookmarkStart w:id="55" w:name="_Toc517947495"/>
      <w:bookmarkStart w:id="56" w:name="_Toc517959566"/>
      <w:r>
        <w:rPr>
          <w:rStyle w:val="CharSDivNo"/>
        </w:rPr>
        <w:t>Division 4</w:t>
      </w:r>
      <w:r>
        <w:t> — </w:t>
      </w:r>
      <w:r>
        <w:rPr>
          <w:rStyle w:val="CharSDivText"/>
        </w:rPr>
        <w:t>Applications</w:t>
      </w:r>
      <w:bookmarkEnd w:id="55"/>
      <w:bookmarkEnd w:id="56"/>
    </w:p>
    <w:p>
      <w:pPr>
        <w:pStyle w:val="yFootnoteheading"/>
        <w:spacing w:after="120"/>
      </w:pPr>
      <w:r>
        <w:tab/>
        <w:t>[Heading inserted: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$6.20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$171.20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$320.40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$171.20</w:t>
            </w:r>
          </w:p>
        </w:tc>
      </w:tr>
    </w:tbl>
    <w:p>
      <w:pPr>
        <w:pStyle w:val="yFootnotesection"/>
      </w:pPr>
      <w:r>
        <w:tab/>
        <w:t>[Division 4 inserted: Gazette 9 Jan 2009 p. 32; amended: Gazette 22 May 2009 p. 1705; 19 Jun 2009 p. 2239; 18 Jun 2010 p. 2680-1; 14 Jun 2011 p. 2134</w:t>
      </w:r>
      <w:r>
        <w:noBreakHyphen/>
        <w:t>5; 19 Jun 2015 p. 2138; 24 Jun 2016 p. 2322 and 2323; 23 Jun 2017 p. 3184; 15 Jun 2018 p. 1926.]</w:t>
      </w:r>
    </w:p>
    <w:p>
      <w:pPr>
        <w:pStyle w:val="yHeading3"/>
        <w:pageBreakBefore/>
        <w:spacing w:before="0"/>
      </w:pPr>
      <w:bookmarkStart w:id="57" w:name="_Toc517947496"/>
      <w:bookmarkStart w:id="58" w:name="_Toc517959567"/>
      <w:r>
        <w:rPr>
          <w:rStyle w:val="CharSDivNo"/>
        </w:rPr>
        <w:t>Division 5</w:t>
      </w:r>
      <w:r>
        <w:t> — </w:t>
      </w:r>
      <w:r>
        <w:rPr>
          <w:rStyle w:val="CharSDivText"/>
        </w:rPr>
        <w:t>Certificates</w:t>
      </w:r>
      <w:bookmarkEnd w:id="57"/>
      <w:bookmarkEnd w:id="58"/>
    </w:p>
    <w:p>
      <w:pPr>
        <w:pStyle w:val="yFootnoteheading"/>
        <w:spacing w:after="120"/>
      </w:pPr>
      <w:r>
        <w:tab/>
        <w:t>[Heading inserted: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$171.20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$62.00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r>
            <w:r>
              <w:t>$62.00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Gazette 9 Jan 2009 p. 32; amended: Gazette 19 Jun 2009 p. 2239; 18 Jun 2010 p. 2681; 14 Jun 2011 p. 2135; 19 Jun 2015 p. 2138; 24 Jun 2016 p. 2323; 23 Jun 2017 p. 3184; 15 Jun 2018 p. 1926.]</w:t>
      </w:r>
    </w:p>
    <w:p>
      <w:pPr>
        <w:pStyle w:val="yHeading3"/>
      </w:pPr>
      <w:bookmarkStart w:id="59" w:name="_Toc517947497"/>
      <w:bookmarkStart w:id="60" w:name="_Toc517959568"/>
      <w:r>
        <w:rPr>
          <w:rStyle w:val="CharSDivNo"/>
        </w:rPr>
        <w:t>Division 6</w:t>
      </w:r>
      <w:r>
        <w:t> — </w:t>
      </w:r>
      <w:r>
        <w:rPr>
          <w:rStyle w:val="CharSDivText"/>
        </w:rPr>
        <w:t>Inspection and/or copies of documents</w:t>
      </w:r>
      <w:bookmarkEnd w:id="59"/>
      <w:bookmarkEnd w:id="60"/>
    </w:p>
    <w:p>
      <w:pPr>
        <w:pStyle w:val="yFootnoteheading"/>
        <w:spacing w:after="120"/>
      </w:pPr>
      <w:r>
        <w:tab/>
        <w:t>[Heading inserted: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$25.70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$25.70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$12.85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$25.70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$25.70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$12.85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$12.85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$25.70</w:t>
            </w:r>
          </w:p>
        </w:tc>
      </w:tr>
    </w:tbl>
    <w:p>
      <w:pPr>
        <w:pStyle w:val="yFootnotesection"/>
      </w:pPr>
      <w:r>
        <w:tab/>
        <w:t>[Division 6 inserted: Gazette 9 Jan 2009 p. 32-4; amended: Gazette 19 Jun 2009 p. 2238 and 2239</w:t>
      </w:r>
      <w:r>
        <w:noBreakHyphen/>
        <w:t>40; 18 Jun 2010 p. 2681-2; 14 Jun 2011 p. 2135; 22 Jun 2012 p. 2782; 19 Jun 2015 p. 2138</w:t>
      </w:r>
      <w:r>
        <w:noBreakHyphen/>
        <w:t>9; 24 Jun 2016 p. 2323-4; 23 Jun 2017 p. 3184</w:t>
      </w:r>
      <w:r>
        <w:noBreakHyphen/>
        <w:t>5; 15 Jun 2018 p. 1926</w:t>
      </w:r>
      <w:r>
        <w:noBreakHyphen/>
        <w:t>7.]</w:t>
      </w:r>
    </w:p>
    <w:p>
      <w:pPr>
        <w:pStyle w:val="yHeading3"/>
        <w:keepLines/>
      </w:pPr>
      <w:bookmarkStart w:id="61" w:name="_Toc517947498"/>
      <w:bookmarkStart w:id="62" w:name="_Toc517959569"/>
      <w:r>
        <w:rPr>
          <w:rStyle w:val="CharSDivNo"/>
        </w:rPr>
        <w:t>Division 7</w:t>
      </w:r>
      <w:r>
        <w:t> — </w:t>
      </w:r>
      <w:r>
        <w:rPr>
          <w:rStyle w:val="CharSDivText"/>
        </w:rPr>
        <w:t>Miscellaneous</w:t>
      </w:r>
      <w:bookmarkEnd w:id="61"/>
      <w:bookmarkEnd w:id="62"/>
    </w:p>
    <w:p>
      <w:pPr>
        <w:pStyle w:val="yFootnoteheading"/>
        <w:keepNext/>
        <w:keepLines/>
        <w:spacing w:after="120"/>
      </w:pPr>
      <w:r>
        <w:tab/>
        <w:t>[Heading inserted: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$171.20</w:t>
            </w:r>
            <w:r>
              <w:br/>
              <w:t xml:space="preserve"> plus actual cost above $171.20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$149.20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$149.20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$149.20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$111.60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$85.60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$149.20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$213.00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$6.20</w:t>
            </w:r>
          </w:p>
        </w:tc>
      </w:tr>
    </w:tbl>
    <w:p>
      <w:pPr>
        <w:pStyle w:val="yFootnotesection"/>
      </w:pPr>
      <w:r>
        <w:tab/>
        <w:t>[Division 7 inserted: Gazette 9 Jan 2009 p. 34-6; amended: Gazette 19 Jun 2009 p. 2238 and 2240</w:t>
      </w:r>
      <w:r>
        <w:noBreakHyphen/>
        <w:t>1; 18 Jun 2010 p. 2682; 14 Jun 2011 p. 2136; 22 Jun 2012 p. 2782-3; 26 Jul 2013 p. 3348; 19 Jun 2015 p. 2139; 22 Mar 2016 p. 836; 24 Jun 2016 p. 2322 and 2324; 23 Jun 2017 p. 3185; 15 Jun 2018 p. 1927.]</w:t>
      </w:r>
    </w:p>
    <w:p>
      <w:pPr>
        <w:pStyle w:val="yScheduleHeading"/>
      </w:pPr>
      <w:bookmarkStart w:id="63" w:name="_Toc517947499"/>
      <w:bookmarkStart w:id="64" w:name="_Toc517959570"/>
      <w:r>
        <w:rPr>
          <w:rStyle w:val="CharSchNo"/>
        </w:rPr>
        <w:t>Schedule 2</w:t>
      </w:r>
      <w:r>
        <w:rPr>
          <w:rStyle w:val="CharSDivNo"/>
        </w:rPr>
        <w:t> </w:t>
      </w:r>
      <w:r>
        <w:t>—</w:t>
      </w:r>
      <w:r>
        <w:rPr>
          <w:rStyle w:val="CharSDivText"/>
        </w:rPr>
        <w:t> </w:t>
      </w:r>
      <w:r>
        <w:rPr>
          <w:rStyle w:val="CharSchText"/>
        </w:rPr>
        <w:t>Services and matters for which fees cannot be charged</w:t>
      </w:r>
      <w:bookmarkEnd w:id="63"/>
      <w:bookmarkEnd w:id="64"/>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66" w:name="_Toc517947500"/>
      <w:bookmarkStart w:id="67" w:name="_Toc517959571"/>
      <w:r>
        <w:t>Notes</w:t>
      </w:r>
      <w:bookmarkEnd w:id="66"/>
      <w:bookmarkEnd w:id="67"/>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68" w:name="_Toc517959572"/>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rPr>
          <w:gridAfter w:val="1"/>
          <w:wAfter w:w="9" w:type="dxa"/>
        </w:trPr>
        <w:tc>
          <w:tcPr>
            <w:tcW w:w="7087" w:type="dxa"/>
            <w:gridSpan w:val="6"/>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70" w:name="_Toc517947503"/>
      <w:bookmarkStart w:id="71" w:name="_Toc517959573"/>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27"/>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7894</Words>
  <Characters>36710</Characters>
  <Application>Microsoft Office Word</Application>
  <DocSecurity>0</DocSecurity>
  <Lines>1468</Lines>
  <Paragraphs>874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2004 - 05-c0-01</dc:title>
  <dc:subject/>
  <dc:creator/>
  <cp:keywords/>
  <dc:description/>
  <cp:lastModifiedBy>svcMRProcess</cp:lastModifiedBy>
  <cp:revision>4</cp:revision>
  <cp:lastPrinted>2017-12-18T06:22:00Z</cp:lastPrinted>
  <dcterms:created xsi:type="dcterms:W3CDTF">2019-05-11T12:19:00Z</dcterms:created>
  <dcterms:modified xsi:type="dcterms:W3CDTF">2019-05-11T12:19:00Z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Jul 2018</vt:lpwstr>
  </property>
  <property fmtid="{D5CDD505-2E9C-101B-9397-08002B2CF9AE}" pid="8" name="Suffix">
    <vt:lpwstr>05-c0-01</vt:lpwstr>
  </property>
  <property fmtid="{D5CDD505-2E9C-101B-9397-08002B2CF9AE}" pid="9" name="CommencementDate">
    <vt:lpwstr>20180701</vt:lpwstr>
  </property>
</Properties>
</file>