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Auction Sales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Auction Sales Regulations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Auction Sales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_Toc517860793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_Toc517860794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_Toc517860795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_Toc517860796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 of application</w:t>
      </w:r>
      <w:r>
        <w:tab/>
      </w:r>
      <w:r>
        <w:fldChar w:fldCharType="begin"/>
      </w:r>
      <w:r>
        <w:instrText xml:space="preserve"> PAGEREF _Toc517860797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_Toc517860798 \h </w:instrText>
      </w:r>
      <w:r>
        <w:fldChar w:fldCharType="separate"/>
      </w:r>
      <w:r>
        <w:t>4</w:t>
      </w:r>
      <w:r>
        <w:fldChar w:fldCharType="end"/>
      </w:r>
    </w:p>
    <w:p>
      <w:pPr>
        <w:pStyle w:val="TOC8"/>
        <w:rPr>
          <w:rFonts w:asciiTheme="minorHAnsi" w:eastAsiaTheme="minorEastAsia" w:hAnsiTheme="minorHAnsi" w:cstheme="minorBidi"/>
          <w:szCs w:val="22"/>
        </w:rPr>
      </w:pPr>
      <w:r>
        <w:t>8A.</w:t>
      </w:r>
      <w:r>
        <w:tab/>
        <w:t>Prescribed period for general or restricted licence</w:t>
      </w:r>
      <w:r>
        <w:tab/>
      </w:r>
      <w:r>
        <w:fldChar w:fldCharType="begin"/>
      </w:r>
      <w:r>
        <w:instrText xml:space="preserve"> PAGEREF _Toc517860799 \h </w:instrText>
      </w:r>
      <w:r>
        <w:fldChar w:fldCharType="separate"/>
      </w:r>
      <w:r>
        <w:t>4</w:t>
      </w:r>
      <w:r>
        <w:fldChar w:fldCharType="end"/>
      </w:r>
    </w:p>
    <w:p>
      <w:pPr>
        <w:pStyle w:val="TOC8"/>
        <w:rPr>
          <w:rFonts w:asciiTheme="minorHAnsi" w:eastAsiaTheme="minorEastAsia" w:hAnsiTheme="minorHAnsi" w:cstheme="minorBidi"/>
          <w:szCs w:val="22"/>
        </w:rPr>
      </w:pPr>
      <w:r>
        <w:t>8B.</w:t>
      </w:r>
      <w:r>
        <w:tab/>
        <w:t>Prescribed period for renewed general or restricted licence</w:t>
      </w:r>
      <w:r>
        <w:tab/>
      </w:r>
      <w:r>
        <w:fldChar w:fldCharType="begin"/>
      </w:r>
      <w:r>
        <w:instrText xml:space="preserve"> PAGEREF _Toc517860800 \h </w:instrText>
      </w:r>
      <w:r>
        <w:fldChar w:fldCharType="separate"/>
      </w:r>
      <w:r>
        <w:t>4</w:t>
      </w:r>
      <w:r>
        <w:fldChar w:fldCharType="end"/>
      </w:r>
    </w:p>
    <w:p>
      <w:pPr>
        <w:pStyle w:val="TOC8"/>
        <w:rPr>
          <w:rFonts w:asciiTheme="minorHAnsi" w:eastAsiaTheme="minorEastAsia" w:hAnsiTheme="minorHAnsi" w:cstheme="minorBidi"/>
          <w:szCs w:val="22"/>
        </w:rPr>
      </w:pPr>
      <w:r>
        <w:t>8C.</w:t>
      </w:r>
      <w:r>
        <w:tab/>
        <w:t>Refund of prescribed fee if licence surrendered</w:t>
      </w:r>
      <w:r>
        <w:tab/>
      </w:r>
      <w:r>
        <w:fldChar w:fldCharType="begin"/>
      </w:r>
      <w:r>
        <w:instrText xml:space="preserve"> PAGEREF _Toc517860801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_Toc517860802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_Toc517860803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_Toc517860804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_Toc517860807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3" w:name="_Toc517860793"/>
      <w:r>
        <w:rPr>
          <w:rStyle w:val="CharSectno"/>
        </w:rPr>
        <w:t>1</w:t>
      </w:r>
      <w:r>
        <w:rPr>
          <w:snapToGrid w:val="0"/>
        </w:rPr>
        <w:t>.</w:t>
      </w:r>
      <w:r>
        <w:rPr>
          <w:snapToGrid w:val="0"/>
        </w:rPr>
        <w:tab/>
        <w:t>Citation</w:t>
      </w:r>
      <w:bookmarkEnd w:id="3"/>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Gazette 29 Aug 1986 p. 3205.] </w:t>
      </w:r>
    </w:p>
    <w:p>
      <w:pPr>
        <w:pStyle w:val="Heading5"/>
        <w:spacing w:before="180"/>
        <w:rPr>
          <w:snapToGrid w:val="0"/>
        </w:rPr>
      </w:pPr>
      <w:bookmarkStart w:id="4" w:name="_Toc517860794"/>
      <w:r>
        <w:rPr>
          <w:rStyle w:val="CharSectno"/>
        </w:rPr>
        <w:t>2</w:t>
      </w:r>
      <w:r>
        <w:rPr>
          <w:snapToGrid w:val="0"/>
        </w:rPr>
        <w:t>.</w:t>
      </w:r>
      <w:r>
        <w:rPr>
          <w:snapToGrid w:val="0"/>
        </w:rPr>
        <w:tab/>
        <w:t>Forms</w:t>
      </w:r>
      <w:bookmarkEnd w:id="4"/>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5" w:name="_Toc517860795"/>
      <w:r>
        <w:rPr>
          <w:rStyle w:val="CharSectno"/>
        </w:rPr>
        <w:t>3</w:t>
      </w:r>
      <w:r>
        <w:rPr>
          <w:snapToGrid w:val="0"/>
        </w:rPr>
        <w:t>.</w:t>
      </w:r>
      <w:r>
        <w:rPr>
          <w:snapToGrid w:val="0"/>
        </w:rPr>
        <w:tab/>
        <w:t>Applications</w:t>
      </w:r>
      <w:bookmarkEnd w:id="5"/>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pPr>
            <w:r>
              <w:t xml:space="preserve">General licence for a period of — </w:t>
            </w:r>
          </w:p>
          <w:p>
            <w:pPr>
              <w:pStyle w:val="TableNAm"/>
            </w:pPr>
            <w:r>
              <w:rPr>
                <w:sz w:val="18"/>
                <w:szCs w:val="18"/>
              </w:rPr>
              <w:t>●</w:t>
            </w:r>
            <w:r>
              <w:tab/>
              <w:t>1 year</w:t>
            </w:r>
          </w:p>
          <w:p>
            <w:pPr>
              <w:pStyle w:val="TableNAm"/>
            </w:pPr>
            <w:r>
              <w:rPr>
                <w:sz w:val="18"/>
                <w:szCs w:val="18"/>
              </w:rPr>
              <w:t>●</w:t>
            </w:r>
            <w:r>
              <w:tab/>
              <w:t>2 years</w:t>
            </w:r>
          </w:p>
          <w:p>
            <w:pPr>
              <w:pStyle w:val="TableNAm"/>
              <w:spacing w:before="100"/>
            </w:pPr>
            <w:r>
              <w:rPr>
                <w:sz w:val="18"/>
                <w:szCs w:val="18"/>
              </w:rPr>
              <w:t>●</w:t>
            </w:r>
            <w:r>
              <w:tab/>
              <w:t>3 years</w:t>
            </w:r>
          </w:p>
        </w:tc>
        <w:tc>
          <w:tcPr>
            <w:tcW w:w="2268" w:type="dxa"/>
          </w:tcPr>
          <w:p>
            <w:pPr>
              <w:pStyle w:val="TableNAm"/>
            </w:pPr>
            <w:r>
              <w:br/>
            </w:r>
          </w:p>
          <w:p>
            <w:pPr>
              <w:pStyle w:val="TableNAm"/>
            </w:pPr>
            <w:r>
              <w:rPr>
                <w:sz w:val="18"/>
                <w:szCs w:val="18"/>
              </w:rPr>
              <w:t>●</w:t>
            </w:r>
            <w:r>
              <w:tab/>
              <w:t>$187.95</w:t>
            </w:r>
          </w:p>
          <w:p>
            <w:pPr>
              <w:pStyle w:val="TableNAm"/>
            </w:pPr>
            <w:r>
              <w:rPr>
                <w:sz w:val="18"/>
                <w:szCs w:val="18"/>
              </w:rPr>
              <w:t>●</w:t>
            </w:r>
            <w:r>
              <w:tab/>
              <w:t>$375.90</w:t>
            </w:r>
          </w:p>
          <w:p>
            <w:pPr>
              <w:pStyle w:val="TableNAm"/>
              <w:spacing w:before="100"/>
            </w:pPr>
            <w:r>
              <w:rPr>
                <w:sz w:val="18"/>
                <w:szCs w:val="18"/>
              </w:rPr>
              <w:t>●</w:t>
            </w:r>
            <w:r>
              <w:tab/>
              <w:t>$563.85</w:t>
            </w:r>
          </w:p>
        </w:tc>
      </w:tr>
      <w:tr>
        <w:tc>
          <w:tcPr>
            <w:tcW w:w="1276" w:type="dxa"/>
          </w:tcPr>
          <w:p>
            <w:pPr>
              <w:pStyle w:val="TableNAm"/>
              <w:spacing w:before="100"/>
              <w:jc w:val="center"/>
            </w:pPr>
            <w:r>
              <w:t>2</w:t>
            </w:r>
          </w:p>
        </w:tc>
        <w:tc>
          <w:tcPr>
            <w:tcW w:w="2551" w:type="dxa"/>
          </w:tcPr>
          <w:p>
            <w:pPr>
              <w:pStyle w:val="TableNAm"/>
            </w:pPr>
            <w:r>
              <w:t xml:space="preserve">Restricted licence for a period of — </w:t>
            </w:r>
          </w:p>
          <w:p>
            <w:pPr>
              <w:pStyle w:val="TableNAm"/>
            </w:pPr>
            <w:r>
              <w:rPr>
                <w:sz w:val="18"/>
                <w:szCs w:val="18"/>
              </w:rPr>
              <w:t>●</w:t>
            </w:r>
            <w:r>
              <w:tab/>
              <w:t>1 year</w:t>
            </w:r>
          </w:p>
          <w:p>
            <w:pPr>
              <w:pStyle w:val="TableNAm"/>
            </w:pPr>
            <w:r>
              <w:rPr>
                <w:sz w:val="18"/>
                <w:szCs w:val="18"/>
              </w:rPr>
              <w:t>●</w:t>
            </w:r>
            <w:r>
              <w:tab/>
              <w:t>2 years</w:t>
            </w:r>
          </w:p>
          <w:p>
            <w:pPr>
              <w:pStyle w:val="TableNAm"/>
            </w:pPr>
            <w:r>
              <w:rPr>
                <w:sz w:val="18"/>
                <w:szCs w:val="18"/>
              </w:rPr>
              <w:t>●</w:t>
            </w:r>
            <w:r>
              <w:tab/>
              <w:t>3 years</w:t>
            </w:r>
          </w:p>
        </w:tc>
        <w:tc>
          <w:tcPr>
            <w:tcW w:w="2268" w:type="dxa"/>
          </w:tcPr>
          <w:p>
            <w:pPr>
              <w:pStyle w:val="TableNAm"/>
            </w:pPr>
            <w:r>
              <w:br/>
            </w:r>
          </w:p>
          <w:p>
            <w:pPr>
              <w:pStyle w:val="TableNAm"/>
            </w:pPr>
            <w:r>
              <w:rPr>
                <w:sz w:val="18"/>
                <w:szCs w:val="18"/>
              </w:rPr>
              <w:t>●</w:t>
            </w:r>
            <w:r>
              <w:tab/>
              <w:t>$187.95</w:t>
            </w:r>
          </w:p>
          <w:p>
            <w:pPr>
              <w:pStyle w:val="TableNAm"/>
            </w:pPr>
            <w:r>
              <w:rPr>
                <w:sz w:val="18"/>
                <w:szCs w:val="18"/>
              </w:rPr>
              <w:t>●</w:t>
            </w:r>
            <w:r>
              <w:tab/>
              <w:t>$375.90</w:t>
            </w:r>
          </w:p>
          <w:p>
            <w:pPr>
              <w:pStyle w:val="TableNAm"/>
            </w:pPr>
            <w:r>
              <w:rPr>
                <w:sz w:val="18"/>
                <w:szCs w:val="18"/>
              </w:rPr>
              <w:t>●</w:t>
            </w:r>
            <w:r>
              <w:tab/>
              <w:t>$563.85</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$66.15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$15.25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$15.25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$1.70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$52.90</w:t>
            </w:r>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 xml:space="preserve">9; 25 Jun 2018 p. 2329.] </w:t>
      </w:r>
    </w:p>
    <w:p>
      <w:pPr>
        <w:pStyle w:val="Heading5"/>
        <w:rPr>
          <w:snapToGrid w:val="0"/>
        </w:rPr>
      </w:pPr>
      <w:bookmarkStart w:id="6" w:name="_Toc517860796"/>
      <w:r>
        <w:rPr>
          <w:rStyle w:val="CharSectno"/>
        </w:rPr>
        <w:t>4</w:t>
      </w:r>
      <w:r>
        <w:rPr>
          <w:snapToGrid w:val="0"/>
        </w:rPr>
        <w:t>.</w:t>
      </w:r>
      <w:r>
        <w:rPr>
          <w:snapToGrid w:val="0"/>
        </w:rPr>
        <w:tab/>
        <w:t>Renewals</w:t>
      </w:r>
      <w:bookmarkEnd w:id="6"/>
      <w:r>
        <w:rPr>
          <w:snapToGrid w:val="0"/>
        </w:rPr>
        <w:t xml:space="preserve"> </w:t>
      </w:r>
    </w:p>
    <w:p>
      <w:pPr>
        <w:pStyle w:val="Subsection"/>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pPr>
      <w:r>
        <w:tab/>
        <w:t xml:space="preserve">[Regulation 4 amended: Gazette 6 Oct 1978 p. 3634; 27 Jun 2017 p. 3409.] </w:t>
      </w:r>
    </w:p>
    <w:p>
      <w:pPr>
        <w:pStyle w:val="Heading5"/>
        <w:rPr>
          <w:snapToGrid w:val="0"/>
        </w:rPr>
      </w:pPr>
      <w:bookmarkStart w:id="7" w:name="_Toc517860797"/>
      <w:r>
        <w:rPr>
          <w:rStyle w:val="CharSectno"/>
        </w:rPr>
        <w:t>5</w:t>
      </w:r>
      <w:r>
        <w:rPr>
          <w:snapToGrid w:val="0"/>
        </w:rPr>
        <w:t>.</w:t>
      </w:r>
      <w:r>
        <w:rPr>
          <w:snapToGrid w:val="0"/>
        </w:rPr>
        <w:tab/>
        <w:t>Method of application</w:t>
      </w:r>
      <w:bookmarkEnd w:id="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8" w:name="_Toc517860798"/>
      <w:r>
        <w:rPr>
          <w:rStyle w:val="CharSectno"/>
        </w:rPr>
        <w:t>8</w:t>
      </w:r>
      <w:r>
        <w:rPr>
          <w:snapToGrid w:val="0"/>
        </w:rPr>
        <w:t>.</w:t>
      </w:r>
      <w:r>
        <w:rPr>
          <w:snapToGrid w:val="0"/>
        </w:rPr>
        <w:tab/>
        <w:t>Police inquiries</w:t>
      </w:r>
      <w:bookmarkEnd w:id="8"/>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Pr>
      <w:bookmarkStart w:id="9" w:name="_Toc483319676"/>
      <w:bookmarkStart w:id="10" w:name="_Toc483319716"/>
      <w:bookmarkStart w:id="11" w:name="_Toc517860799"/>
      <w:r>
        <w:rPr>
          <w:rStyle w:val="CharSectno"/>
        </w:rPr>
        <w:t>8A</w:t>
      </w:r>
      <w:r>
        <w:t>.</w:t>
      </w:r>
      <w:r>
        <w:tab/>
        <w:t>Prescribed period for general or restricted licence</w:t>
      </w:r>
      <w:bookmarkEnd w:id="9"/>
      <w:bookmarkEnd w:id="10"/>
      <w:bookmarkEnd w:id="11"/>
    </w:p>
    <w:p>
      <w:pPr>
        <w:pStyle w:val="Subsection"/>
      </w:pPr>
      <w:r>
        <w:tab/>
      </w:r>
      <w:r>
        <w:tab/>
        <w:t>For the purposes of section 19(2A)(b) of the Act, the prescribed period for a general or restricted licence is 3 years.</w:t>
      </w:r>
    </w:p>
    <w:p>
      <w:pPr>
        <w:pStyle w:val="Footnotesection"/>
      </w:pPr>
      <w:bookmarkStart w:id="12" w:name="_Toc483319677"/>
      <w:bookmarkStart w:id="13" w:name="_Toc483319717"/>
      <w:r>
        <w:tab/>
        <w:t>[Regulation 8A inserted: Gazette 27 Jun 2017 p. 3409.]</w:t>
      </w:r>
    </w:p>
    <w:p>
      <w:pPr>
        <w:pStyle w:val="Heading5"/>
      </w:pPr>
      <w:bookmarkStart w:id="14" w:name="_Toc517860800"/>
      <w:r>
        <w:rPr>
          <w:rStyle w:val="CharSectno"/>
        </w:rPr>
        <w:t>8B</w:t>
      </w:r>
      <w:r>
        <w:t>.</w:t>
      </w:r>
      <w:r>
        <w:tab/>
        <w:t>Prescribed period for renewed general or restricted licence</w:t>
      </w:r>
      <w:bookmarkEnd w:id="12"/>
      <w:bookmarkEnd w:id="13"/>
      <w:bookmarkEnd w:id="14"/>
      <w:r>
        <w:t xml:space="preserve"> </w:t>
      </w:r>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—a period of 2 years; </w:t>
      </w:r>
    </w:p>
    <w:p>
      <w:pPr>
        <w:pStyle w:val="Indenta"/>
      </w:pPr>
      <w:r>
        <w:tab/>
        <w:t>(c)</w:t>
      </w:r>
      <w:r>
        <w:tab/>
        <w:t>for a licence that expires between 1 September and 31 December —a period of 1 year.</w:t>
      </w:r>
    </w:p>
    <w:p>
      <w:pPr>
        <w:pStyle w:val="Footnotesection"/>
      </w:pPr>
      <w:bookmarkStart w:id="15" w:name="_Toc483319678"/>
      <w:bookmarkStart w:id="16" w:name="_Toc483319718"/>
      <w:r>
        <w:tab/>
        <w:t>[Regulation 8B inserted: Gazette 27 Jun 2017 p. 3409</w:t>
      </w:r>
      <w:r>
        <w:noBreakHyphen/>
        <w:t>10.]</w:t>
      </w:r>
    </w:p>
    <w:p>
      <w:pPr>
        <w:pStyle w:val="Heading5"/>
      </w:pPr>
      <w:bookmarkStart w:id="17" w:name="_Toc517860801"/>
      <w:r>
        <w:rPr>
          <w:rStyle w:val="CharSectno"/>
        </w:rPr>
        <w:t>8C</w:t>
      </w:r>
      <w:r>
        <w:t>.</w:t>
      </w:r>
      <w:r>
        <w:tab/>
        <w:t>Refund of prescribed fee if licence surrendered</w:t>
      </w:r>
      <w:bookmarkEnd w:id="15"/>
      <w:bookmarkEnd w:id="16"/>
      <w:bookmarkEnd w:id="17"/>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18" w:name="_Toc517860802"/>
      <w:r>
        <w:rPr>
          <w:rStyle w:val="CharSectno"/>
        </w:rPr>
        <w:t>9</w:t>
      </w:r>
      <w:r>
        <w:rPr>
          <w:snapToGrid w:val="0"/>
        </w:rPr>
        <w:t>.</w:t>
      </w:r>
      <w:r>
        <w:rPr>
          <w:snapToGrid w:val="0"/>
        </w:rPr>
        <w:tab/>
        <w:t>Stock register</w:t>
      </w:r>
      <w:bookmarkEnd w:id="18"/>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19" w:name="_Toc517860803"/>
      <w:r>
        <w:rPr>
          <w:rStyle w:val="CharSectno"/>
        </w:rPr>
        <w:t>10</w:t>
      </w:r>
      <w:r>
        <w:rPr>
          <w:snapToGrid w:val="0"/>
        </w:rPr>
        <w:t>.</w:t>
      </w:r>
      <w:r>
        <w:rPr>
          <w:snapToGrid w:val="0"/>
        </w:rPr>
        <w:tab/>
        <w:t>Waybills</w:t>
      </w:r>
      <w:bookmarkEnd w:id="19"/>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20" w:name="_Toc517860804"/>
      <w:r>
        <w:rPr>
          <w:rStyle w:val="CharSectno"/>
        </w:rPr>
        <w:t>11</w:t>
      </w:r>
      <w:r>
        <w:rPr>
          <w:snapToGrid w:val="0"/>
        </w:rPr>
        <w:t>.</w:t>
      </w:r>
      <w:r>
        <w:rPr>
          <w:snapToGrid w:val="0"/>
        </w:rPr>
        <w:tab/>
        <w:t>Misrepresentation</w:t>
      </w:r>
      <w:bookmarkEnd w:id="20"/>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473717374"/>
      <w:bookmarkStart w:id="22" w:name="_Toc473717400"/>
      <w:bookmarkStart w:id="23" w:name="_Toc485979223"/>
      <w:bookmarkStart w:id="24" w:name="_Toc486422529"/>
      <w:bookmarkStart w:id="25" w:name="_Toc517860805"/>
      <w:bookmarkStart w:id="26" w:name="_Toc454977298"/>
      <w:r>
        <w:rPr>
          <w:rStyle w:val="CharSchNo"/>
        </w:rPr>
        <w:t>Schedule</w:t>
      </w:r>
      <w:bookmarkEnd w:id="21"/>
      <w:bookmarkEnd w:id="22"/>
      <w:bookmarkEnd w:id="23"/>
      <w:bookmarkEnd w:id="24"/>
      <w:bookmarkEnd w:id="25"/>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8" w:name="_Toc473717375"/>
      <w:bookmarkStart w:id="29" w:name="_Toc473717401"/>
      <w:bookmarkStart w:id="30" w:name="_Toc485979224"/>
      <w:bookmarkStart w:id="31" w:name="_Toc486422530"/>
      <w:bookmarkStart w:id="32" w:name="_Toc517860806"/>
      <w:r>
        <w:t>Notes</w:t>
      </w:r>
      <w:bookmarkEnd w:id="26"/>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 w:name="_Toc517860807"/>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Reprint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rFonts w:ascii="Times" w:hAnsi="Times"/>
                <w:b/>
                <w:bCs/>
                <w:snapToGrid w:val="0"/>
                <w:spacing w:val="-2"/>
              </w:rPr>
            </w:pPr>
            <w:r>
              <w:rPr>
                <w:i/>
              </w:rPr>
              <w:t>Auction Sales Amendment Regulations 2015</w:t>
            </w:r>
          </w:p>
        </w:tc>
        <w:tc>
          <w:tcPr>
            <w:tcW w:w="1276" w:type="dxa"/>
            <w:gridSpan w:val="2"/>
            <w:shd w:val="clear" w:color="auto" w:fill="auto"/>
          </w:tcPr>
          <w:p>
            <w:pPr>
              <w:pStyle w:val="nTable"/>
              <w:spacing w:after="40"/>
              <w:rPr>
                <w:rFonts w:ascii="Times" w:hAnsi="Times"/>
                <w:b/>
                <w:bCs/>
                <w:snapToGrid w:val="0"/>
                <w:spacing w:val="-2"/>
              </w:rPr>
            </w:pPr>
            <w:r>
              <w:t>23 Jun 2015 p. 2160</w:t>
            </w:r>
            <w:r>
              <w:noBreakHyphen/>
              <w:t>1</w:t>
            </w:r>
          </w:p>
        </w:tc>
        <w:tc>
          <w:tcPr>
            <w:tcW w:w="2664" w:type="dxa"/>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47" w:type="dxa"/>
            <w:gridSpan w:val="2"/>
            <w:shd w:val="clear" w:color="auto" w:fill="auto"/>
          </w:tcPr>
          <w:p>
            <w:pPr>
              <w:pStyle w:val="nTable"/>
              <w:spacing w:after="40"/>
              <w:rPr>
                <w:i/>
              </w:rPr>
            </w:pPr>
            <w:r>
              <w:rPr>
                <w:i/>
              </w:rPr>
              <w:t>Commerce Regulations Amendment (Fees and Charges) Regulations 2016</w:t>
            </w:r>
            <w:r>
              <w:t xml:space="preserve"> Pt. 2</w:t>
            </w:r>
          </w:p>
        </w:tc>
        <w:tc>
          <w:tcPr>
            <w:tcW w:w="1276" w:type="dxa"/>
            <w:gridSpan w:val="2"/>
            <w:shd w:val="clear" w:color="auto" w:fill="auto"/>
          </w:tcPr>
          <w:p>
            <w:pPr>
              <w:pStyle w:val="nTable"/>
              <w:spacing w:after="40"/>
            </w:pPr>
            <w:r>
              <w:t>3 Jun 2016 p. 1745-73</w:t>
            </w:r>
          </w:p>
        </w:tc>
        <w:tc>
          <w:tcPr>
            <w:tcW w:w="2664"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gridSpan w:val="2"/>
          </w:tcPr>
          <w:p>
            <w:pPr>
              <w:pStyle w:val="nTable"/>
              <w:spacing w:after="40"/>
            </w:pPr>
            <w:r>
              <w:t>23 Jun 2017 p. 3213</w:t>
            </w:r>
            <w:r>
              <w:noBreakHyphen/>
              <w:t>52</w:t>
            </w:r>
          </w:p>
        </w:tc>
        <w:tc>
          <w:tcPr>
            <w:tcW w:w="2693" w:type="dxa"/>
            <w:gridSpan w:val="2"/>
          </w:tcPr>
          <w:p>
            <w:pPr>
              <w:pStyle w:val="nTable"/>
              <w:spacing w:after="40"/>
            </w:pPr>
            <w:r>
              <w:t>1 Jul 2017 (see r. 2(b))</w:t>
            </w:r>
          </w:p>
        </w:tc>
      </w:tr>
      <w:tr>
        <w:tc>
          <w:tcPr>
            <w:tcW w:w="3118" w:type="dxa"/>
          </w:tcPr>
          <w:p>
            <w:pPr>
              <w:pStyle w:val="nTable"/>
              <w:spacing w:after="40"/>
              <w:rPr>
                <w:i/>
              </w:rPr>
            </w:pPr>
            <w:r>
              <w:rPr>
                <w:i/>
              </w:rPr>
              <w:t>Licensing Provisions Regulations Amendment Regulations 2017</w:t>
            </w:r>
            <w:r>
              <w:t xml:space="preserve"> Pt. 2</w:t>
            </w:r>
          </w:p>
        </w:tc>
        <w:tc>
          <w:tcPr>
            <w:tcW w:w="1276" w:type="dxa"/>
            <w:gridSpan w:val="2"/>
          </w:tcPr>
          <w:p>
            <w:pPr>
              <w:pStyle w:val="nTable"/>
              <w:spacing w:after="40"/>
            </w:pPr>
            <w:r>
              <w:t>27 Jun 2017 p. 3408</w:t>
            </w:r>
            <w:r>
              <w:noBreakHyphen/>
              <w:t>16</w:t>
            </w:r>
          </w:p>
        </w:tc>
        <w:tc>
          <w:tcPr>
            <w:tcW w:w="2693" w:type="dxa"/>
            <w:gridSpan w:val="2"/>
          </w:tcPr>
          <w:p>
            <w:pPr>
              <w:pStyle w:val="nTable"/>
              <w:spacing w:after="40"/>
            </w:pPr>
            <w:r>
              <w:rPr>
                <w:rFonts w:ascii="Times" w:hAnsi="Times"/>
                <w:bCs/>
                <w:snapToGrid w:val="0"/>
                <w:spacing w:val="-2"/>
              </w:rPr>
              <w:t>1 Jul 2017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3</w:t>
            </w:r>
          </w:p>
        </w:tc>
        <w:tc>
          <w:tcPr>
            <w:tcW w:w="1276" w:type="dxa"/>
            <w:gridSpan w:val="2"/>
            <w:tcBorders>
              <w:top w:val="nil"/>
              <w:bottom w:val="single" w:sz="4" w:space="0" w:color="auto"/>
            </w:tcBorders>
          </w:tcPr>
          <w:p>
            <w:pPr>
              <w:pStyle w:val="nTable"/>
              <w:spacing w:after="40"/>
            </w:pPr>
            <w:r>
              <w:t>25 Jun 2018 p. 2325</w:t>
            </w:r>
            <w:r>
              <w:noBreakHyphen/>
              <w:t>53</w:t>
            </w:r>
          </w:p>
        </w:tc>
        <w:tc>
          <w:tcPr>
            <w:tcW w:w="2693"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5" w:name="_Toc486422532"/>
      <w:bookmarkStart w:id="36" w:name="_Toc517860808"/>
      <w:r>
        <w:rPr>
          <w:sz w:val="28"/>
        </w:rPr>
        <w:t>Defined terms</w:t>
      </w:r>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8C(1)</w:t>
      </w:r>
    </w:p>
    <w:p>
      <w:pPr>
        <w:pStyle w:val="DefinedTerms"/>
      </w:pPr>
      <w:r>
        <w:t>transition period</w:t>
      </w:r>
      <w:r>
        <w:tab/>
        <w:t>8B(1)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29151716"/>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A51A-76BA-42C5-B6C7-DDBBF5CC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4935</Words>
  <Characters>44958</Characters>
  <Application>Microsoft Office Word</Application>
  <DocSecurity>0</DocSecurity>
  <Lines>881</Lines>
  <Paragraphs>674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1974 - 02-f0-01</dc:title>
  <dc:subject/>
  <dc:creator/>
  <cp:keywords/>
  <dc:description/>
  <cp:lastModifiedBy>svcMRProcess</cp:lastModifiedBy>
  <cp:revision>4</cp:revision>
  <cp:lastPrinted>2014-11-17T03:45:00Z</cp:lastPrinted>
  <dcterms:created xsi:type="dcterms:W3CDTF">2019-01-15T05:55:00Z</dcterms:created>
  <dcterms:modified xsi:type="dcterms:W3CDTF">2019-01-15T05:56:00Z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01 Jul 2018</vt:lpwstr>
  </property>
  <property fmtid="{D5CDD505-2E9C-101B-9397-08002B2CF9AE}" pid="8" name="Suffix">
    <vt:lpwstr>02-f0-01</vt:lpwstr>
  </property>
  <property fmtid="{D5CDD505-2E9C-101B-9397-08002B2CF9AE}" pid="9" name="CommencementDate">
    <vt:lpwstr>20180701</vt:lpwstr>
  </property>
</Properties>
</file>