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_Toc517861431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_Toc517861432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_Toc517861433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_Toc517861434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_Toc517861435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_Toc517861436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_Toc517861437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_Toc517861438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_Toc517861439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_Toc517861440 \h </w:instrText>
      </w:r>
      <w:r>
        <w:fldChar w:fldCharType="separate"/>
      </w:r>
      <w:r>
        <w:t>8</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_Toc517861441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_Toc517861444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_Toc517861446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_Toc517861447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_Toc517861448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_Toc517861449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_Toc517861450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_Toc517861451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_Toc517861452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_Toc517861453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_Toc517861454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_Toc517861456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_Toc517861457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_Toc517861458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_Toc517861459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_Toc517861460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_Toc517861461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_Toc517861462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_Toc517861464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_Toc517861465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_Toc517861466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_Toc517861467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_Toc517861468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_Toc517861469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_Toc517861470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_Toc517861471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_Toc517861472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_Toc517861473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_Toc517861474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_Toc517861476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_Toc517861477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_Toc517861478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_Toc517861479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_Toc517861480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_Toc517861481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_Toc517861482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_Toc517861483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_Toc517861484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_Toc517861487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_Toc517861488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_Toc517861489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_Toc517861490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_Toc517861491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_Toc517861492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_Toc517861494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_Toc517861495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_Toc517861496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_Toc517861497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_Toc517861499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_Toc517861500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_Toc517861501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_Toc517861502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_Toc517861503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_Toc517861511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_Toc517861512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_Toc517861514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_Toc517861515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_Toc517861517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_Toc517861518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_Toc517861520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_Toc517861521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02846980"/>
      <w:bookmarkStart w:id="4" w:name="_Toc502908709"/>
      <w:bookmarkStart w:id="5" w:name="_Toc517861430"/>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51786143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8" w:name="_Toc51786143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9" w:name="_Toc517861433"/>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0" w:name="_Toc517861434"/>
      <w:r>
        <w:rPr>
          <w:rStyle w:val="CharSectno"/>
        </w:rPr>
        <w:t>4</w:t>
      </w:r>
      <w:r>
        <w:t>.</w:t>
      </w:r>
      <w:r>
        <w:tab/>
        <w:t>Prescribed building services</w:t>
      </w:r>
      <w:bookmarkEnd w:id="1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1" w:name="_Toc517861435"/>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2" w:name="_Toc517861436"/>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3" w:name="_Toc517861437"/>
      <w:r>
        <w:rPr>
          <w:rStyle w:val="CharSectno"/>
        </w:rPr>
        <w:t>7</w:t>
      </w:r>
      <w:r>
        <w:t>.</w:t>
      </w:r>
      <w:r>
        <w:tab/>
        <w:t>Registration and renewal of registration</w:t>
      </w:r>
      <w:bookmarkEnd w:id="13"/>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14" w:name="_Toc517861438"/>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5" w:name="_Toc517861439"/>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Heading5"/>
        <w:spacing w:before="180"/>
      </w:pPr>
      <w:bookmarkStart w:id="16" w:name="_Toc517861440"/>
      <w:r>
        <w:rPr>
          <w:rStyle w:val="CharSectno"/>
        </w:rPr>
        <w:t>10</w:t>
      </w:r>
      <w:r>
        <w:t>.</w:t>
      </w:r>
      <w:r>
        <w:tab/>
        <w:t>Refund of fees for certain cancelled or suspended registrations</w:t>
      </w:r>
      <w:bookmarkEnd w:id="16"/>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7" w:name="_Toc517861441"/>
      <w:r>
        <w:rPr>
          <w:rStyle w:val="CharSectno"/>
        </w:rPr>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18" w:name="_Toc502846992"/>
      <w:bookmarkStart w:id="19" w:name="_Toc502908721"/>
      <w:bookmarkStart w:id="20" w:name="_Toc517861442"/>
      <w:r>
        <w:rPr>
          <w:rStyle w:val="CharPartNo"/>
        </w:rPr>
        <w:t>Part 2</w:t>
      </w:r>
      <w:r>
        <w:t> — </w:t>
      </w:r>
      <w:r>
        <w:rPr>
          <w:rStyle w:val="CharPartText"/>
        </w:rPr>
        <w:t>Builders</w:t>
      </w:r>
      <w:bookmarkEnd w:id="18"/>
      <w:bookmarkEnd w:id="19"/>
      <w:bookmarkEnd w:id="20"/>
    </w:p>
    <w:p>
      <w:pPr>
        <w:pStyle w:val="Heading3"/>
      </w:pPr>
      <w:bookmarkStart w:id="21" w:name="_Toc502846993"/>
      <w:bookmarkStart w:id="22" w:name="_Toc502908722"/>
      <w:bookmarkStart w:id="23" w:name="_Toc517861443"/>
      <w:r>
        <w:rPr>
          <w:rStyle w:val="CharDivNo"/>
        </w:rPr>
        <w:t>Division 1</w:t>
      </w:r>
      <w:r>
        <w:t> — </w:t>
      </w:r>
      <w:r>
        <w:rPr>
          <w:rStyle w:val="CharDivText"/>
        </w:rPr>
        <w:t>Preliminary</w:t>
      </w:r>
      <w:bookmarkEnd w:id="21"/>
      <w:bookmarkEnd w:id="22"/>
      <w:bookmarkEnd w:id="23"/>
    </w:p>
    <w:p>
      <w:pPr>
        <w:pStyle w:val="Heading5"/>
      </w:pPr>
      <w:bookmarkStart w:id="24" w:name="_Toc517861444"/>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502846995"/>
      <w:bookmarkStart w:id="26" w:name="_Toc502908724"/>
      <w:bookmarkStart w:id="27" w:name="_Toc517861445"/>
      <w:r>
        <w:rPr>
          <w:rStyle w:val="CharDivNo"/>
        </w:rPr>
        <w:t>Division 2</w:t>
      </w:r>
      <w:r>
        <w:t> — </w:t>
      </w:r>
      <w:r>
        <w:rPr>
          <w:rStyle w:val="CharDivText"/>
        </w:rPr>
        <w:t>Building service providers</w:t>
      </w:r>
      <w:bookmarkEnd w:id="25"/>
      <w:bookmarkEnd w:id="26"/>
      <w:bookmarkEnd w:id="27"/>
    </w:p>
    <w:p>
      <w:pPr>
        <w:pStyle w:val="Heading5"/>
      </w:pPr>
      <w:bookmarkStart w:id="28" w:name="_Toc517861446"/>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29" w:name="_Toc517861447"/>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517861448"/>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31" w:name="_Toc517861449"/>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32" w:name="_Toc517861450"/>
      <w:r>
        <w:rPr>
          <w:rStyle w:val="CharSectno"/>
        </w:rPr>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33" w:name="_Toc517861451"/>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517861452"/>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517861453"/>
      <w:r>
        <w:rPr>
          <w:rStyle w:val="CharSectno"/>
        </w:rPr>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517861454"/>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37" w:name="_Toc502847005"/>
      <w:bookmarkStart w:id="38" w:name="_Toc502908734"/>
      <w:bookmarkStart w:id="39" w:name="_Toc517861455"/>
      <w:r>
        <w:rPr>
          <w:rStyle w:val="CharDivNo"/>
        </w:rPr>
        <w:t>Division 3</w:t>
      </w:r>
      <w:r>
        <w:t> — </w:t>
      </w:r>
      <w:r>
        <w:rPr>
          <w:rStyle w:val="CharDivText"/>
        </w:rPr>
        <w:t>Owner</w:t>
      </w:r>
      <w:r>
        <w:rPr>
          <w:rStyle w:val="CharDivText"/>
        </w:rPr>
        <w:noBreakHyphen/>
        <w:t>builders</w:t>
      </w:r>
      <w:bookmarkEnd w:id="37"/>
      <w:bookmarkEnd w:id="38"/>
      <w:bookmarkEnd w:id="39"/>
    </w:p>
    <w:p>
      <w:pPr>
        <w:pStyle w:val="Heading5"/>
      </w:pPr>
      <w:bookmarkStart w:id="40" w:name="_Toc517861456"/>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517861457"/>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517861458"/>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43" w:name="_Toc517861459"/>
      <w:r>
        <w:rPr>
          <w:rStyle w:val="CharSectno"/>
        </w:rPr>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517861460"/>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45" w:name="_Toc517861461"/>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517861462"/>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47" w:name="_Toc502847013"/>
      <w:bookmarkStart w:id="48" w:name="_Toc502908742"/>
      <w:bookmarkStart w:id="49" w:name="_Toc517861463"/>
      <w:r>
        <w:rPr>
          <w:rStyle w:val="CharPartNo"/>
        </w:rPr>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in Gazette 12 Mar 2012 p. 992.]</w:t>
      </w:r>
    </w:p>
    <w:p>
      <w:pPr>
        <w:pStyle w:val="Heading5"/>
      </w:pPr>
      <w:bookmarkStart w:id="50" w:name="_Toc517861464"/>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in Gazette 12 Mar 2012 p. 992-3; amended in Gazette 8 Aug 2017 p. 4345.]</w:t>
      </w:r>
    </w:p>
    <w:p>
      <w:pPr>
        <w:pStyle w:val="Heading5"/>
      </w:pPr>
      <w:bookmarkStart w:id="51" w:name="_Toc517861465"/>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52" w:name="_Toc517861466"/>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53" w:name="_Toc517861467"/>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54" w:name="_Toc517861468"/>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55" w:name="_Toc517861469"/>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56" w:name="_Toc517861470"/>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57" w:name="_Toc517861471"/>
      <w:r>
        <w:rPr>
          <w:rStyle w:val="CharSectno"/>
        </w:rPr>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58" w:name="_Toc517861472"/>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59" w:name="_Toc517861473"/>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60" w:name="_Toc517861474"/>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61" w:name="_Toc502847025"/>
      <w:bookmarkStart w:id="62" w:name="_Toc502908754"/>
      <w:bookmarkStart w:id="63" w:name="_Toc517861475"/>
      <w:r>
        <w:rPr>
          <w:rStyle w:val="CharPartNo"/>
        </w:rPr>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517861476"/>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65" w:name="_Toc517861477"/>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517861478"/>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517861479"/>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68" w:name="_Toc517861480"/>
      <w:r>
        <w:rPr>
          <w:rStyle w:val="CharSectno"/>
        </w:rPr>
        <w:t>32</w:t>
      </w:r>
      <w:r>
        <w:t>.</w:t>
      </w:r>
      <w:r>
        <w:tab/>
        <w:t>Conduct of examinations</w:t>
      </w:r>
      <w:bookmarkEnd w:id="6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69" w:name="_Toc517861481"/>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0" w:name="_Toc517861482"/>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517861483"/>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72" w:name="_Toc517861484"/>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73" w:name="_Toc502847035"/>
      <w:bookmarkStart w:id="74" w:name="_Toc502908764"/>
      <w:bookmarkStart w:id="75" w:name="_Toc517861485"/>
      <w:r>
        <w:rPr>
          <w:rStyle w:val="CharPartNo"/>
        </w:rPr>
        <w:t>Part 4</w:t>
      </w:r>
      <w:r>
        <w:t> — </w:t>
      </w:r>
      <w:r>
        <w:rPr>
          <w:rStyle w:val="CharPartText"/>
        </w:rPr>
        <w:t>Transitional provisions</w:t>
      </w:r>
      <w:bookmarkEnd w:id="73"/>
      <w:bookmarkEnd w:id="74"/>
      <w:bookmarkEnd w:id="75"/>
    </w:p>
    <w:p>
      <w:pPr>
        <w:pStyle w:val="Heading3"/>
      </w:pPr>
      <w:bookmarkStart w:id="76" w:name="_Toc502847036"/>
      <w:bookmarkStart w:id="77" w:name="_Toc502908765"/>
      <w:bookmarkStart w:id="78" w:name="_Toc517861486"/>
      <w:r>
        <w:rPr>
          <w:rStyle w:val="CharDivNo"/>
        </w:rPr>
        <w:t>Division 1</w:t>
      </w:r>
      <w:r>
        <w:t> — </w:t>
      </w:r>
      <w:r>
        <w:rPr>
          <w:rStyle w:val="CharDivText"/>
          <w:i/>
        </w:rPr>
        <w:t>Builders’ Registration Act 1939</w:t>
      </w:r>
      <w:bookmarkEnd w:id="76"/>
      <w:bookmarkEnd w:id="77"/>
      <w:bookmarkEnd w:id="78"/>
    </w:p>
    <w:p>
      <w:pPr>
        <w:pStyle w:val="Heading5"/>
      </w:pPr>
      <w:bookmarkStart w:id="79" w:name="_Toc517861487"/>
      <w:r>
        <w:rPr>
          <w:rStyle w:val="CharSectno"/>
        </w:rPr>
        <w:t>37</w:t>
      </w:r>
      <w:r>
        <w:t>.</w:t>
      </w:r>
      <w:r>
        <w:tab/>
        <w:t>Terms used</w:t>
      </w:r>
      <w:bookmarkEnd w:id="7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80" w:name="_Toc517861488"/>
      <w:r>
        <w:rPr>
          <w:rStyle w:val="CharSectno"/>
        </w:rPr>
        <w:t>38</w:t>
      </w:r>
      <w:r>
        <w:t>.</w:t>
      </w:r>
      <w:r>
        <w:tab/>
        <w:t>Continuation of registration (Act s. 114)</w:t>
      </w:r>
      <w:bookmarkEnd w:id="8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1" w:name="_Toc517861489"/>
      <w:r>
        <w:rPr>
          <w:rStyle w:val="CharSectno"/>
        </w:rPr>
        <w:t>39</w:t>
      </w:r>
      <w:r>
        <w:t>.</w:t>
      </w:r>
      <w:r>
        <w:tab/>
        <w:t>Continuation of declaration of ineligible persons</w:t>
      </w:r>
      <w:bookmarkEnd w:id="8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2" w:name="_Toc517861490"/>
      <w:r>
        <w:rPr>
          <w:rStyle w:val="CharSectno"/>
        </w:rPr>
        <w:t>40</w:t>
      </w:r>
      <w:r>
        <w:t>.</w:t>
      </w:r>
      <w:r>
        <w:tab/>
        <w:t>Membership of Board — experience as builder</w:t>
      </w:r>
      <w:bookmarkEnd w:id="8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3" w:name="_Toc517861491"/>
      <w:r>
        <w:rPr>
          <w:rStyle w:val="CharSectno"/>
        </w:rPr>
        <w:t>41</w:t>
      </w:r>
      <w:r>
        <w:t>.</w:t>
      </w:r>
      <w:r>
        <w:tab/>
        <w:t>Continuation of owner</w:t>
      </w:r>
      <w:r>
        <w:noBreakHyphen/>
        <w:t>builder authorisation</w:t>
      </w:r>
      <w:bookmarkEnd w:id="83"/>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84" w:name="_Toc517861492"/>
      <w:r>
        <w:rPr>
          <w:rStyle w:val="CharSectno"/>
        </w:rPr>
        <w:t>42</w:t>
      </w:r>
      <w:r>
        <w:t>.</w:t>
      </w:r>
      <w:r>
        <w:tab/>
        <w:t>Building Commissioner may exercise powers</w:t>
      </w:r>
      <w:bookmarkEnd w:id="8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5" w:name="_Toc502847043"/>
      <w:bookmarkStart w:id="86" w:name="_Toc502908772"/>
      <w:bookmarkStart w:id="87" w:name="_Toc517861493"/>
      <w:r>
        <w:rPr>
          <w:rStyle w:val="CharDivNo"/>
        </w:rPr>
        <w:t>Division 2</w:t>
      </w:r>
      <w:r>
        <w:t> — </w:t>
      </w:r>
      <w:r>
        <w:rPr>
          <w:rStyle w:val="CharDivText"/>
          <w:i/>
        </w:rPr>
        <w:t>Painters’ Registration Act 1961</w:t>
      </w:r>
      <w:bookmarkEnd w:id="85"/>
      <w:bookmarkEnd w:id="86"/>
      <w:bookmarkEnd w:id="87"/>
    </w:p>
    <w:p>
      <w:pPr>
        <w:pStyle w:val="Heading5"/>
      </w:pPr>
      <w:bookmarkStart w:id="88" w:name="_Toc517861494"/>
      <w:r>
        <w:rPr>
          <w:rStyle w:val="CharSectno"/>
        </w:rPr>
        <w:t>43</w:t>
      </w:r>
      <w:r>
        <w:t>.</w:t>
      </w:r>
      <w:r>
        <w:tab/>
        <w:t>Terms used</w:t>
      </w:r>
      <w:bookmarkEnd w:id="8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89" w:name="_Toc517861495"/>
      <w:r>
        <w:rPr>
          <w:rStyle w:val="CharSectno"/>
        </w:rPr>
        <w:t>44</w:t>
      </w:r>
      <w:r>
        <w:t>.</w:t>
      </w:r>
      <w:r>
        <w:tab/>
        <w:t>Continuation of registration (Act s. 127)</w:t>
      </w:r>
      <w:bookmarkEnd w:id="8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0" w:name="_Toc517861496"/>
      <w:r>
        <w:rPr>
          <w:rStyle w:val="CharSectno"/>
        </w:rPr>
        <w:t>45</w:t>
      </w:r>
      <w:r>
        <w:t>.</w:t>
      </w:r>
      <w:r>
        <w:tab/>
        <w:t>Membership of Board — experience as painter</w:t>
      </w:r>
      <w:bookmarkEnd w:id="9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91" w:name="_Toc517861497"/>
      <w:r>
        <w:rPr>
          <w:rStyle w:val="CharSectno"/>
        </w:rPr>
        <w:t>46</w:t>
      </w:r>
      <w:r>
        <w:t>.</w:t>
      </w:r>
      <w:r>
        <w:tab/>
        <w:t>Building Commissioner may exercise powers</w:t>
      </w:r>
      <w:bookmarkEnd w:id="9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2" w:name="_Toc502847048"/>
      <w:bookmarkStart w:id="93" w:name="_Toc502908777"/>
      <w:bookmarkStart w:id="94" w:name="_Toc517861498"/>
      <w:r>
        <w:rPr>
          <w:rStyle w:val="CharDivNo"/>
        </w:rPr>
        <w:t>Division 3</w:t>
      </w:r>
      <w:r>
        <w:t> — </w:t>
      </w:r>
      <w:r>
        <w:rPr>
          <w:rStyle w:val="CharDivText"/>
          <w:i/>
        </w:rPr>
        <w:t>Local Government (Building Surveyors) Regulations 2008</w:t>
      </w:r>
      <w:bookmarkEnd w:id="92"/>
      <w:bookmarkEnd w:id="93"/>
      <w:bookmarkEnd w:id="94"/>
    </w:p>
    <w:p>
      <w:pPr>
        <w:pStyle w:val="Footnoteheading"/>
      </w:pPr>
      <w:r>
        <w:tab/>
        <w:t>[Heading inserted in Gazette 12 Mar 2012 p. 1002.]</w:t>
      </w:r>
    </w:p>
    <w:p>
      <w:pPr>
        <w:pStyle w:val="Heading5"/>
      </w:pPr>
      <w:bookmarkStart w:id="95" w:name="_Toc517861499"/>
      <w:r>
        <w:rPr>
          <w:rStyle w:val="CharSectno"/>
        </w:rPr>
        <w:t>47</w:t>
      </w:r>
      <w:r>
        <w:t>.</w:t>
      </w:r>
      <w:r>
        <w:tab/>
        <w:t>Terms used</w:t>
      </w:r>
      <w:bookmarkEnd w:id="95"/>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96" w:name="_Toc517861500"/>
      <w:r>
        <w:rPr>
          <w:rStyle w:val="CharSectno"/>
        </w:rPr>
        <w:t>48</w:t>
      </w:r>
      <w:r>
        <w:t>.</w:t>
      </w:r>
      <w:r>
        <w:tab/>
        <w:t>Continuation of registration</w:t>
      </w:r>
      <w:bookmarkEnd w:id="9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97" w:name="_Toc517861501"/>
      <w:r>
        <w:rPr>
          <w:rStyle w:val="CharSectno"/>
        </w:rPr>
        <w:t>49</w:t>
      </w:r>
      <w:r>
        <w:t>.</w:t>
      </w:r>
      <w:r>
        <w:tab/>
        <w:t>Nominated supervisors for contractors before repeal day</w:t>
      </w:r>
      <w:bookmarkEnd w:id="9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98" w:name="_Toc517861502"/>
      <w:r>
        <w:rPr>
          <w:rStyle w:val="CharSectno"/>
        </w:rPr>
        <w:t>50</w:t>
      </w:r>
      <w:r>
        <w:t>.</w:t>
      </w:r>
      <w:r>
        <w:tab/>
        <w:t>Cancellation of certificate</w:t>
      </w:r>
      <w:bookmarkEnd w:id="9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99" w:name="_Toc517861503"/>
      <w:r>
        <w:rPr>
          <w:rStyle w:val="CharSectno"/>
        </w:rPr>
        <w:t>51</w:t>
      </w:r>
      <w:r>
        <w:t>.</w:t>
      </w:r>
      <w:r>
        <w:tab/>
        <w:t>Membership of Board — experience as a building surveyor</w:t>
      </w:r>
      <w:bookmarkEnd w:id="9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0" w:name="_Toc513797986"/>
      <w:bookmarkStart w:id="101" w:name="_Toc513798055"/>
      <w:bookmarkStart w:id="102" w:name="_Toc514232405"/>
      <w:bookmarkStart w:id="103" w:name="_Toc517861504"/>
      <w:bookmarkStart w:id="104" w:name="_Toc502847054"/>
      <w:bookmarkStart w:id="105" w:name="_Toc502908783"/>
      <w:r>
        <w:rPr>
          <w:rStyle w:val="CharSchNo"/>
        </w:rPr>
        <w:t>Schedule 1</w:t>
      </w:r>
      <w:r>
        <w:t> — </w:t>
      </w:r>
      <w:r>
        <w:rPr>
          <w:rStyle w:val="CharSchText"/>
        </w:rPr>
        <w:t>Fees</w:t>
      </w:r>
      <w:bookmarkEnd w:id="100"/>
      <w:bookmarkEnd w:id="101"/>
      <w:bookmarkEnd w:id="102"/>
      <w:bookmarkEnd w:id="103"/>
    </w:p>
    <w:p>
      <w:pPr>
        <w:pStyle w:val="yShoulderClause"/>
      </w:pPr>
      <w:r>
        <w:t>[r. 9]</w:t>
      </w:r>
    </w:p>
    <w:p>
      <w:pPr>
        <w:pStyle w:val="yFootnoteheading"/>
        <w:spacing w:after="60"/>
      </w:pPr>
      <w:bookmarkStart w:id="106" w:name="_Toc513797987"/>
      <w:bookmarkStart w:id="107" w:name="_Toc513798056"/>
      <w:bookmarkStart w:id="108" w:name="_Toc514232406"/>
      <w:r>
        <w:tab/>
        <w:t>[Heading inserted in Gazette 25 Jun 2018 p. 2331.]</w:t>
      </w:r>
    </w:p>
    <w:p>
      <w:pPr>
        <w:pStyle w:val="yHeading3"/>
      </w:pPr>
      <w:bookmarkStart w:id="109" w:name="_Toc517861505"/>
      <w:r>
        <w:rPr>
          <w:rStyle w:val="CharSDivNo"/>
        </w:rPr>
        <w:t>Division 1</w:t>
      </w:r>
      <w:r>
        <w:t> — </w:t>
      </w:r>
      <w:r>
        <w:rPr>
          <w:rStyle w:val="CharSDivText"/>
        </w:rPr>
        <w:t>General</w:t>
      </w:r>
      <w:bookmarkEnd w:id="106"/>
      <w:bookmarkEnd w:id="107"/>
      <w:bookmarkEnd w:id="108"/>
      <w:bookmarkEnd w:id="109"/>
    </w:p>
    <w:p>
      <w:pPr>
        <w:pStyle w:val="yFootnoteheading"/>
        <w:spacing w:after="120"/>
      </w:pPr>
      <w:r>
        <w:tab/>
        <w:t>[Heading inserted in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bookmarkStart w:id="110" w:name="_Toc513797988"/>
      <w:bookmarkStart w:id="111" w:name="_Toc513798057"/>
      <w:bookmarkStart w:id="112" w:name="_Toc514232407"/>
      <w:r>
        <w:tab/>
        <w:t>[Division 1 inserted in Gazette 25 Jun 2018 p. 2331.]</w:t>
      </w:r>
    </w:p>
    <w:p>
      <w:pPr>
        <w:pStyle w:val="yHeading3"/>
      </w:pPr>
      <w:bookmarkStart w:id="113" w:name="_Toc517861506"/>
      <w:r>
        <w:rPr>
          <w:rStyle w:val="CharSDivNo"/>
        </w:rPr>
        <w:t>Division 2</w:t>
      </w:r>
      <w:r>
        <w:t> — </w:t>
      </w:r>
      <w:r>
        <w:rPr>
          <w:rStyle w:val="CharSDivText"/>
        </w:rPr>
        <w:t>Builders</w:t>
      </w:r>
      <w:bookmarkEnd w:id="110"/>
      <w:bookmarkEnd w:id="111"/>
      <w:bookmarkEnd w:id="112"/>
      <w:bookmarkEnd w:id="113"/>
    </w:p>
    <w:p>
      <w:pPr>
        <w:pStyle w:val="yFootnoteheading"/>
        <w:spacing w:after="120"/>
      </w:pPr>
      <w:r>
        <w:tab/>
        <w:t>[Heading inserted in Gazette 25 Jun 2018 p. 2332.]</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 xml:space="preserve">Application for registration as building practitioner </w:t>
            </w:r>
          </w:p>
        </w:tc>
        <w:tc>
          <w:tcPr>
            <w:tcW w:w="1134" w:type="dxa"/>
          </w:tcPr>
          <w:p>
            <w:pPr>
              <w:pStyle w:val="yTableNAm"/>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pPr>
            <w:r>
              <w:br/>
              <w:t>350.45</w:t>
            </w:r>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pPr>
            <w:r>
              <w:t>614.30</w:t>
            </w:r>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pPr>
            <w:r>
              <w:br/>
              <w:t>410.25</w:t>
            </w:r>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pPr>
            <w:r>
              <w:br/>
              <w:t>1 378.25</w:t>
            </w:r>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pPr>
            <w:r>
              <w:br/>
            </w:r>
            <w:r>
              <w:rPr>
                <w:color w:val="000000"/>
              </w:rPr>
              <w:t>3 136.75</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r>
              <w:rPr>
                <w:color w:val="000000"/>
              </w:rPr>
              <w:t>57.15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r>
            <w:r>
              <w:rPr>
                <w:color w:val="000000"/>
              </w:rPr>
              <w:t>192.30</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r>
            <w:r>
              <w:rPr>
                <w:color w:val="000000"/>
              </w:rPr>
              <w:t>58.75</w:t>
            </w:r>
          </w:p>
        </w:tc>
      </w:tr>
    </w:tbl>
    <w:p>
      <w:pPr>
        <w:pStyle w:val="yFootnotesection"/>
      </w:pPr>
      <w:bookmarkStart w:id="114" w:name="_Toc513797989"/>
      <w:bookmarkStart w:id="115" w:name="_Toc513798058"/>
      <w:bookmarkStart w:id="116" w:name="_Toc514232408"/>
      <w:r>
        <w:tab/>
        <w:t>[Division 2 inserted in Gazette 25 Jun 2018 p. 2332</w:t>
      </w:r>
      <w:r>
        <w:noBreakHyphen/>
        <w:t>3.]</w:t>
      </w:r>
    </w:p>
    <w:p>
      <w:pPr>
        <w:pStyle w:val="yHeading3"/>
      </w:pPr>
      <w:bookmarkStart w:id="117" w:name="_Toc517861507"/>
      <w:r>
        <w:rPr>
          <w:rStyle w:val="CharSDivNo"/>
        </w:rPr>
        <w:t>Division 3</w:t>
      </w:r>
      <w:r>
        <w:t> — </w:t>
      </w:r>
      <w:r>
        <w:rPr>
          <w:rStyle w:val="CharSDivText"/>
        </w:rPr>
        <w:t>Owner</w:t>
      </w:r>
      <w:r>
        <w:rPr>
          <w:rStyle w:val="CharSDivText"/>
        </w:rPr>
        <w:noBreakHyphen/>
        <w:t>builders</w:t>
      </w:r>
      <w:bookmarkEnd w:id="114"/>
      <w:bookmarkEnd w:id="115"/>
      <w:bookmarkEnd w:id="116"/>
      <w:bookmarkEnd w:id="117"/>
    </w:p>
    <w:p>
      <w:pPr>
        <w:pStyle w:val="yFootnoteheading"/>
        <w:spacing w:after="120"/>
      </w:pPr>
      <w:r>
        <w:tab/>
        <w:t>[Heading inserted in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bookmarkStart w:id="118" w:name="_Toc513797990"/>
      <w:bookmarkStart w:id="119" w:name="_Toc513798059"/>
      <w:bookmarkStart w:id="120" w:name="_Toc514232409"/>
      <w:r>
        <w:tab/>
        <w:t>[Division 3 inserted in Gazette 25 Jun 2018 p. 2333.]</w:t>
      </w:r>
    </w:p>
    <w:p>
      <w:pPr>
        <w:pStyle w:val="yHeading3"/>
      </w:pPr>
      <w:bookmarkStart w:id="121" w:name="_Toc517861508"/>
      <w:r>
        <w:rPr>
          <w:rStyle w:val="CharSDivNo"/>
        </w:rPr>
        <w:t>Division 4</w:t>
      </w:r>
      <w:r>
        <w:t> — </w:t>
      </w:r>
      <w:r>
        <w:rPr>
          <w:rStyle w:val="CharSDivText"/>
        </w:rPr>
        <w:t>Building surveyors</w:t>
      </w:r>
      <w:bookmarkEnd w:id="118"/>
      <w:bookmarkEnd w:id="119"/>
      <w:bookmarkEnd w:id="120"/>
      <w:bookmarkEnd w:id="121"/>
    </w:p>
    <w:p>
      <w:pPr>
        <w:pStyle w:val="yFootnoteheading"/>
        <w:spacing w:after="120"/>
      </w:pPr>
      <w:r>
        <w:tab/>
        <w:t>[Heading inserted in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pPr>
            <w:r>
              <w:br/>
            </w:r>
            <w:r>
              <w:rPr>
                <w:color w:val="000000"/>
              </w:rPr>
              <w:t>927.35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pPr>
            <w:r>
              <w:br/>
            </w:r>
            <w:r>
              <w:rPr>
                <w:color w:val="000000"/>
              </w:rPr>
              <w:t>647.95</w:t>
            </w:r>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pPr>
            <w:r>
              <w:br/>
            </w:r>
            <w:r>
              <w:rPr>
                <w:color w:val="000000"/>
              </w:rPr>
              <w:t>2 112.20</w:t>
            </w:r>
          </w:p>
        </w:tc>
      </w:tr>
      <w:tr>
        <w:trPr>
          <w:cantSplit/>
        </w:trPr>
        <w:tc>
          <w:tcPr>
            <w:tcW w:w="992" w:type="dxa"/>
          </w:tcPr>
          <w:p>
            <w:pPr>
              <w:pStyle w:val="yTableNAm"/>
            </w:pPr>
            <w:r>
              <w:t>16.</w:t>
            </w:r>
          </w:p>
        </w:tc>
        <w:tc>
          <w:tcPr>
            <w:tcW w:w="4678" w:type="dxa"/>
          </w:tcPr>
          <w:p>
            <w:pPr>
              <w:pStyle w:val="yTableNAm"/>
            </w:pPr>
            <w:r>
              <w:t>Late fee for application for renewal made after the renewal period</w:t>
            </w:r>
          </w:p>
        </w:tc>
        <w:tc>
          <w:tcPr>
            <w:tcW w:w="1134" w:type="dxa"/>
          </w:tcPr>
          <w:p>
            <w:pPr>
              <w:pStyle w:val="yTableNAm"/>
            </w:pPr>
            <w:r>
              <w:br/>
              <w:t>54.45</w:t>
            </w:r>
          </w:p>
        </w:tc>
      </w:tr>
    </w:tbl>
    <w:p>
      <w:pPr>
        <w:pStyle w:val="yFootnotesection"/>
      </w:pPr>
      <w:bookmarkStart w:id="122" w:name="_Toc513797991"/>
      <w:bookmarkStart w:id="123" w:name="_Toc513798060"/>
      <w:bookmarkStart w:id="124" w:name="_Toc514232410"/>
      <w:r>
        <w:tab/>
        <w:t>[Division 4 inserted in Gazette 25 Jun 2018 p. 2333</w:t>
      </w:r>
      <w:r>
        <w:noBreakHyphen/>
        <w:t>4.]</w:t>
      </w:r>
    </w:p>
    <w:p>
      <w:pPr>
        <w:pStyle w:val="yHeading3"/>
      </w:pPr>
      <w:bookmarkStart w:id="125" w:name="_Toc517861509"/>
      <w:r>
        <w:rPr>
          <w:rStyle w:val="CharSDivNo"/>
        </w:rPr>
        <w:t>Division 5</w:t>
      </w:r>
      <w:r>
        <w:t> — </w:t>
      </w:r>
      <w:r>
        <w:rPr>
          <w:rStyle w:val="CharSDivText"/>
        </w:rPr>
        <w:t>Painters</w:t>
      </w:r>
      <w:bookmarkEnd w:id="122"/>
      <w:bookmarkEnd w:id="123"/>
      <w:bookmarkEnd w:id="124"/>
      <w:bookmarkEnd w:id="125"/>
    </w:p>
    <w:p>
      <w:pPr>
        <w:pStyle w:val="yFootnoteheading"/>
        <w:spacing w:after="120"/>
      </w:pPr>
      <w:r>
        <w:tab/>
        <w:t>[Heading inserted in Gazette 25 Jun 2018 p. 2334.]</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pPr>
            <w:r>
              <w:rPr>
                <w:color w:val="000000"/>
              </w:rPr>
              <w:t>454.05</w:t>
            </w:r>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pPr>
            <w:r>
              <w:br/>
            </w:r>
            <w:r>
              <w:rPr>
                <w:color w:val="000000"/>
              </w:rPr>
              <w:t>304.50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pPr>
            <w:r>
              <w:br/>
            </w:r>
            <w:r>
              <w:rPr>
                <w:color w:val="000000"/>
              </w:rPr>
              <w:t>480.80</w:t>
            </w:r>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pPr>
            <w:r>
              <w:br/>
            </w:r>
            <w:r>
              <w:rPr>
                <w:color w:val="000000"/>
              </w:rPr>
              <w:t>1 143.20</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r>
              <w:rPr>
                <w:color w:val="000000"/>
              </w:rPr>
              <w:t>42.75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t>55.95</w:t>
            </w:r>
          </w:p>
        </w:tc>
      </w:tr>
    </w:tbl>
    <w:p>
      <w:pPr>
        <w:pStyle w:val="yFootnotesection"/>
      </w:pPr>
      <w:r>
        <w:tab/>
        <w:t>[Division 5 inserted in Gazette 25 Jun 2018 p. 2334</w:t>
      </w:r>
      <w:r>
        <w:noBreakHyphen/>
        <w:t>5.]</w:t>
      </w:r>
    </w:p>
    <w:p>
      <w:pPr>
        <w:pStyle w:val="yScheduleHeading"/>
      </w:pPr>
      <w:bookmarkStart w:id="126" w:name="_Toc502847060"/>
      <w:bookmarkStart w:id="127" w:name="_Toc502908789"/>
      <w:bookmarkStart w:id="128" w:name="_Toc517861510"/>
      <w:bookmarkEnd w:id="104"/>
      <w:bookmarkEnd w:id="105"/>
      <w:r>
        <w:rPr>
          <w:rStyle w:val="CharSchNo"/>
        </w:rPr>
        <w:t>Schedule 2</w:t>
      </w:r>
      <w:r>
        <w:rPr>
          <w:rStyle w:val="CharSDivNo"/>
        </w:rPr>
        <w:t> </w:t>
      </w:r>
      <w:r>
        <w:t>—</w:t>
      </w:r>
      <w:r>
        <w:rPr>
          <w:rStyle w:val="CharSDivText"/>
        </w:rPr>
        <w:t> </w:t>
      </w:r>
      <w:r>
        <w:rPr>
          <w:rStyle w:val="CharSchText"/>
        </w:rPr>
        <w:t>Estimating the value of work</w:t>
      </w:r>
      <w:bookmarkEnd w:id="126"/>
      <w:bookmarkEnd w:id="127"/>
      <w:bookmarkEnd w:id="128"/>
    </w:p>
    <w:p>
      <w:pPr>
        <w:pStyle w:val="yShoulderClause"/>
      </w:pPr>
      <w:r>
        <w:t>[r. 13(1), 28(1)]</w:t>
      </w:r>
    </w:p>
    <w:p>
      <w:pPr>
        <w:pStyle w:val="yHeading5"/>
      </w:pPr>
      <w:bookmarkStart w:id="129" w:name="_Toc517861511"/>
      <w:r>
        <w:rPr>
          <w:rStyle w:val="CharSClsNo"/>
        </w:rPr>
        <w:t>1</w:t>
      </w:r>
      <w:r>
        <w:t>.</w:t>
      </w:r>
      <w:r>
        <w:tab/>
        <w:t>Terms used</w:t>
      </w:r>
      <w:bookmarkEnd w:id="12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0" w:name="_Toc517861512"/>
      <w:r>
        <w:rPr>
          <w:rStyle w:val="CharSClsNo"/>
        </w:rPr>
        <w:t>2</w:t>
      </w:r>
      <w:r>
        <w:t>.</w:t>
      </w:r>
      <w:r>
        <w:tab/>
        <w:t>Estimated value of work</w:t>
      </w:r>
      <w:bookmarkEnd w:id="13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1" w:name="_Toc502847063"/>
      <w:bookmarkStart w:id="132" w:name="_Toc502908792"/>
      <w:bookmarkStart w:id="133" w:name="_Toc517861513"/>
      <w:r>
        <w:rPr>
          <w:rStyle w:val="CharSchNo"/>
        </w:rPr>
        <w:t>Schedule 3</w:t>
      </w:r>
      <w:r>
        <w:rPr>
          <w:rStyle w:val="CharSDivNo"/>
        </w:rPr>
        <w:t> </w:t>
      </w:r>
      <w:r>
        <w:t>—</w:t>
      </w:r>
      <w:r>
        <w:rPr>
          <w:rStyle w:val="CharSDivText"/>
        </w:rPr>
        <w:t> </w:t>
      </w:r>
      <w:r>
        <w:rPr>
          <w:rStyle w:val="CharSchText"/>
        </w:rPr>
        <w:t>Builder work: areas of State for purposes of definition</w:t>
      </w:r>
      <w:bookmarkEnd w:id="131"/>
      <w:bookmarkEnd w:id="132"/>
      <w:bookmarkEnd w:id="133"/>
    </w:p>
    <w:p>
      <w:pPr>
        <w:pStyle w:val="yShoulderClause"/>
      </w:pPr>
      <w:r>
        <w:t>[r. 13(1)]</w:t>
      </w:r>
    </w:p>
    <w:p>
      <w:pPr>
        <w:pStyle w:val="yHeading5"/>
      </w:pPr>
      <w:bookmarkStart w:id="134" w:name="_Toc517861514"/>
      <w:r>
        <w:rPr>
          <w:rStyle w:val="CharSClsNo"/>
        </w:rPr>
        <w:t>1</w:t>
      </w:r>
      <w:r>
        <w:t>.</w:t>
      </w:r>
      <w:r>
        <w:tab/>
        <w:t>Term used: townsite</w:t>
      </w:r>
      <w:bookmarkEnd w:id="13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5" w:name="_Toc517861515"/>
      <w:r>
        <w:rPr>
          <w:rStyle w:val="CharSClsNo"/>
        </w:rPr>
        <w:t>2</w:t>
      </w:r>
      <w:r>
        <w:t>.</w:t>
      </w:r>
      <w:r>
        <w:tab/>
        <w:t>Areas of State</w:t>
      </w:r>
      <w:bookmarkEnd w:id="13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36" w:name="_Toc502847066"/>
      <w:bookmarkStart w:id="137" w:name="_Toc502908795"/>
      <w:bookmarkStart w:id="138" w:name="_Toc517861516"/>
      <w:r>
        <w:rPr>
          <w:rStyle w:val="CharSchNo"/>
        </w:rPr>
        <w:t>Schedule 4</w:t>
      </w:r>
      <w:r>
        <w:rPr>
          <w:rStyle w:val="CharSDivNo"/>
        </w:rPr>
        <w:t> </w:t>
      </w:r>
      <w:r>
        <w:t>—</w:t>
      </w:r>
      <w:r>
        <w:rPr>
          <w:rStyle w:val="CharSDivText"/>
        </w:rPr>
        <w:t> </w:t>
      </w:r>
      <w:r>
        <w:rPr>
          <w:rStyle w:val="CharSchText"/>
        </w:rPr>
        <w:t>Painter work: areas of the State for purposes of definition</w:t>
      </w:r>
      <w:bookmarkEnd w:id="136"/>
      <w:bookmarkEnd w:id="137"/>
      <w:bookmarkEnd w:id="138"/>
    </w:p>
    <w:p>
      <w:pPr>
        <w:pStyle w:val="yShoulderClause"/>
      </w:pPr>
      <w:r>
        <w:t>[r. 28]</w:t>
      </w:r>
    </w:p>
    <w:p>
      <w:pPr>
        <w:pStyle w:val="yHeading5"/>
      </w:pPr>
      <w:bookmarkStart w:id="139" w:name="_Toc517861517"/>
      <w:r>
        <w:rPr>
          <w:rStyle w:val="CharSClsNo"/>
        </w:rPr>
        <w:t>1</w:t>
      </w:r>
      <w:r>
        <w:t>.</w:t>
      </w:r>
      <w:r>
        <w:tab/>
        <w:t>Term used: townsite</w:t>
      </w:r>
      <w:bookmarkEnd w:id="13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0" w:name="_Toc517861518"/>
      <w:r>
        <w:rPr>
          <w:rStyle w:val="CharSClsNo"/>
        </w:rPr>
        <w:t>2</w:t>
      </w:r>
      <w:r>
        <w:t>.</w:t>
      </w:r>
      <w:r>
        <w:tab/>
        <w:t>Areas of State</w:t>
      </w:r>
      <w:bookmarkEnd w:id="14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41" w:name="_Toc502847069"/>
      <w:bookmarkStart w:id="142" w:name="_Toc502908798"/>
      <w:bookmarkStart w:id="143" w:name="_Toc517861519"/>
      <w:r>
        <w:t>Notes</w:t>
      </w:r>
      <w:bookmarkEnd w:id="141"/>
      <w:bookmarkEnd w:id="142"/>
      <w:bookmarkEnd w:id="143"/>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44" w:name="_Toc517861520"/>
      <w:r>
        <w:t>Compilation table</w:t>
      </w:r>
      <w:bookmarkEnd w:id="144"/>
    </w:p>
    <w:tbl>
      <w:tblPr>
        <w:tblW w:w="7166"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697"/>
        <w:gridCol w:w="19"/>
        <w:gridCol w:w="47"/>
      </w:tblGrid>
      <w:tr>
        <w:trPr>
          <w:gridAfter w:val="1"/>
          <w:wAfter w:w="42" w:type="dxa"/>
          <w:tblHeader/>
        </w:trPr>
        <w:tc>
          <w:tcPr>
            <w:tcW w:w="3123" w:type="dxa"/>
            <w:tcBorders>
              <w:bottom w:val="single" w:sz="8" w:space="0" w:color="auto"/>
            </w:tcBorders>
            <w:shd w:val="clear" w:color="auto" w:fill="auto"/>
          </w:tcPr>
          <w:p>
            <w:pPr>
              <w:pStyle w:val="nTable"/>
              <w:spacing w:after="40"/>
              <w:rPr>
                <w:b/>
              </w:rPr>
            </w:pPr>
            <w:r>
              <w:rPr>
                <w:b/>
              </w:rPr>
              <w:t>Citation</w:t>
            </w:r>
          </w:p>
        </w:tc>
        <w:tc>
          <w:tcPr>
            <w:tcW w:w="1280" w:type="dxa"/>
            <w:tcBorders>
              <w:bottom w:val="single" w:sz="8" w:space="0" w:color="auto"/>
            </w:tcBorders>
            <w:shd w:val="clear" w:color="auto" w:fill="auto"/>
          </w:tcPr>
          <w:p>
            <w:pPr>
              <w:pStyle w:val="nTable"/>
              <w:spacing w:after="40"/>
              <w:rPr>
                <w:b/>
              </w:rPr>
            </w:pPr>
            <w:r>
              <w:rPr>
                <w:b/>
              </w:rPr>
              <w:t>Gazettal</w:t>
            </w:r>
          </w:p>
        </w:tc>
        <w:tc>
          <w:tcPr>
            <w:tcW w:w="2716"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42" w:type="dxa"/>
        </w:trPr>
        <w:tc>
          <w:tcPr>
            <w:tcW w:w="3123" w:type="dxa"/>
            <w:tcBorders>
              <w:top w:val="single" w:sz="8" w:space="0" w:color="auto"/>
              <w:bottom w:val="nil"/>
            </w:tcBorders>
          </w:tcPr>
          <w:p>
            <w:pPr>
              <w:pStyle w:val="nTable"/>
              <w:spacing w:after="40"/>
            </w:pPr>
            <w:r>
              <w:rPr>
                <w:i/>
                <w:snapToGrid w:val="0"/>
              </w:rPr>
              <w:t>Building Services (Registration) Regulations 2011</w:t>
            </w:r>
          </w:p>
        </w:tc>
        <w:tc>
          <w:tcPr>
            <w:tcW w:w="1280" w:type="dxa"/>
            <w:tcBorders>
              <w:top w:val="single" w:sz="8" w:space="0" w:color="auto"/>
              <w:bottom w:val="nil"/>
            </w:tcBorders>
          </w:tcPr>
          <w:p>
            <w:pPr>
              <w:pStyle w:val="nTable"/>
              <w:spacing w:after="40"/>
            </w:pPr>
            <w:r>
              <w:t>26 Aug 2011 p. 3411-52</w:t>
            </w:r>
          </w:p>
        </w:tc>
        <w:tc>
          <w:tcPr>
            <w:tcW w:w="2716"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80" w:type="dxa"/>
            <w:tcBorders>
              <w:top w:val="nil"/>
              <w:left w:val="nil"/>
              <w:bottom w:val="nil"/>
              <w:right w:val="nil"/>
            </w:tcBorders>
          </w:tcPr>
          <w:p>
            <w:pPr>
              <w:pStyle w:val="nTable"/>
              <w:spacing w:after="40"/>
            </w:pPr>
            <w:r>
              <w:t>31 Jan 2012 p. 591</w:t>
            </w:r>
            <w:r>
              <w:noBreakHyphen/>
              <w:t>601</w:t>
            </w:r>
          </w:p>
        </w:tc>
        <w:tc>
          <w:tcPr>
            <w:tcW w:w="2716"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42" w:type="dxa"/>
        </w:trPr>
        <w:tc>
          <w:tcPr>
            <w:tcW w:w="3123"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80" w:type="dxa"/>
            <w:tcBorders>
              <w:top w:val="nil"/>
              <w:left w:val="nil"/>
              <w:bottom w:val="nil"/>
              <w:right w:val="nil"/>
            </w:tcBorders>
          </w:tcPr>
          <w:p>
            <w:pPr>
              <w:pStyle w:val="nTable"/>
              <w:spacing w:after="40"/>
            </w:pPr>
            <w:r>
              <w:t>12 Mar 2012 p. 989-1011</w:t>
            </w:r>
          </w:p>
        </w:tc>
        <w:tc>
          <w:tcPr>
            <w:tcW w:w="2716"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80" w:type="dxa"/>
            <w:tcBorders>
              <w:top w:val="nil"/>
              <w:left w:val="nil"/>
              <w:bottom w:val="nil"/>
              <w:right w:val="nil"/>
            </w:tcBorders>
          </w:tcPr>
          <w:p>
            <w:pPr>
              <w:pStyle w:val="nTable"/>
              <w:spacing w:after="40"/>
            </w:pPr>
            <w:r>
              <w:t>15 Jun 2012 p. 2617-20</w:t>
            </w:r>
          </w:p>
        </w:tc>
        <w:tc>
          <w:tcPr>
            <w:tcW w:w="2716"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80" w:type="dxa"/>
            <w:tcBorders>
              <w:top w:val="nil"/>
              <w:left w:val="nil"/>
              <w:bottom w:val="nil"/>
              <w:right w:val="nil"/>
            </w:tcBorders>
          </w:tcPr>
          <w:p>
            <w:pPr>
              <w:pStyle w:val="nTable"/>
              <w:spacing w:after="40"/>
            </w:pPr>
            <w:r>
              <w:t>6 Nov 2012 p. 5293-4</w:t>
            </w:r>
          </w:p>
        </w:tc>
        <w:tc>
          <w:tcPr>
            <w:tcW w:w="2716"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42" w:type="dxa"/>
        </w:trPr>
        <w:tc>
          <w:tcPr>
            <w:tcW w:w="3123"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80" w:type="dxa"/>
            <w:tcBorders>
              <w:top w:val="nil"/>
              <w:left w:val="nil"/>
              <w:bottom w:val="nil"/>
              <w:right w:val="nil"/>
            </w:tcBorders>
          </w:tcPr>
          <w:p>
            <w:pPr>
              <w:pStyle w:val="nTable"/>
              <w:spacing w:after="40"/>
            </w:pPr>
            <w:r>
              <w:t>18 Dec 2012 p. 6585-9</w:t>
            </w:r>
          </w:p>
        </w:tc>
        <w:tc>
          <w:tcPr>
            <w:tcW w:w="2716"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42" w:type="dxa"/>
        </w:trPr>
        <w:tc>
          <w:tcPr>
            <w:tcW w:w="3123"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80" w:type="dxa"/>
            <w:tcBorders>
              <w:top w:val="nil"/>
              <w:left w:val="nil"/>
              <w:bottom w:val="nil"/>
              <w:right w:val="nil"/>
            </w:tcBorders>
            <w:shd w:val="clear" w:color="auto" w:fill="auto"/>
          </w:tcPr>
          <w:p>
            <w:pPr>
              <w:pStyle w:val="nTable"/>
              <w:spacing w:after="40"/>
            </w:pPr>
            <w:r>
              <w:t>22 Jan 2013 p. 211</w:t>
            </w:r>
          </w:p>
        </w:tc>
        <w:tc>
          <w:tcPr>
            <w:tcW w:w="2716"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42" w:type="dxa"/>
        </w:trPr>
        <w:tc>
          <w:tcPr>
            <w:tcW w:w="7119"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42" w:type="dxa"/>
        </w:trPr>
        <w:tc>
          <w:tcPr>
            <w:tcW w:w="3123"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80" w:type="dxa"/>
            <w:tcBorders>
              <w:top w:val="nil"/>
              <w:left w:val="nil"/>
              <w:bottom w:val="nil"/>
              <w:right w:val="nil"/>
            </w:tcBorders>
            <w:shd w:val="clear" w:color="auto" w:fill="auto"/>
          </w:tcPr>
          <w:p>
            <w:pPr>
              <w:pStyle w:val="nTable"/>
              <w:keepNext/>
              <w:spacing w:after="40"/>
            </w:pPr>
            <w:r>
              <w:t>27 Jun 2013 p. 2665-9</w:t>
            </w:r>
          </w:p>
        </w:tc>
        <w:tc>
          <w:tcPr>
            <w:tcW w:w="2716"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42" w:type="dxa"/>
        </w:trPr>
        <w:tc>
          <w:tcPr>
            <w:tcW w:w="3123"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80" w:type="dxa"/>
            <w:tcBorders>
              <w:top w:val="nil"/>
              <w:left w:val="nil"/>
              <w:bottom w:val="nil"/>
              <w:right w:val="nil"/>
            </w:tcBorders>
            <w:shd w:val="clear" w:color="auto" w:fill="auto"/>
          </w:tcPr>
          <w:p>
            <w:pPr>
              <w:pStyle w:val="nTable"/>
              <w:spacing w:after="40"/>
            </w:pPr>
            <w:r>
              <w:t>14 Nov 2013 p. 5029</w:t>
            </w:r>
          </w:p>
        </w:tc>
        <w:tc>
          <w:tcPr>
            <w:tcW w:w="2716"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80" w:type="dxa"/>
            <w:tcBorders>
              <w:top w:val="nil"/>
              <w:left w:val="nil"/>
              <w:bottom w:val="nil"/>
              <w:right w:val="nil"/>
            </w:tcBorders>
            <w:shd w:val="clear" w:color="auto" w:fill="auto"/>
          </w:tcPr>
          <w:p>
            <w:pPr>
              <w:pStyle w:val="nTable"/>
              <w:spacing w:after="40"/>
            </w:pPr>
            <w:r>
              <w:t>31 Dec 2013 p. 6535</w:t>
            </w:r>
            <w:r>
              <w:noBreakHyphen/>
              <w:t>9</w:t>
            </w:r>
          </w:p>
        </w:tc>
        <w:tc>
          <w:tcPr>
            <w:tcW w:w="2716"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80" w:type="dxa"/>
            <w:tcBorders>
              <w:top w:val="nil"/>
              <w:left w:val="nil"/>
              <w:bottom w:val="nil"/>
              <w:right w:val="nil"/>
            </w:tcBorders>
            <w:shd w:val="clear" w:color="auto" w:fill="auto"/>
          </w:tcPr>
          <w:p>
            <w:pPr>
              <w:pStyle w:val="nTable"/>
              <w:spacing w:after="40"/>
            </w:pPr>
            <w:r>
              <w:t>17 Jun 2014 p. 1959</w:t>
            </w:r>
            <w:r>
              <w:noBreakHyphen/>
              <w:t>61</w:t>
            </w:r>
          </w:p>
        </w:tc>
        <w:tc>
          <w:tcPr>
            <w:tcW w:w="2716" w:type="dxa"/>
            <w:gridSpan w:val="2"/>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80" w:type="dxa"/>
            <w:tcBorders>
              <w:top w:val="nil"/>
              <w:left w:val="nil"/>
              <w:bottom w:val="nil"/>
              <w:right w:val="nil"/>
            </w:tcBorders>
            <w:shd w:val="clear" w:color="auto" w:fill="auto"/>
          </w:tcPr>
          <w:p>
            <w:pPr>
              <w:pStyle w:val="nTable"/>
              <w:spacing w:after="40"/>
            </w:pPr>
            <w:r>
              <w:t>19 Dec 2014 p. 4841</w:t>
            </w:r>
            <w:r>
              <w:noBreakHyphen/>
              <w:t>2</w:t>
            </w:r>
          </w:p>
        </w:tc>
        <w:tc>
          <w:tcPr>
            <w:tcW w:w="2716" w:type="dxa"/>
            <w:gridSpan w:val="2"/>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42" w:type="dxa"/>
        </w:trPr>
        <w:tc>
          <w:tcPr>
            <w:tcW w:w="7119" w:type="dxa"/>
            <w:gridSpan w:val="4"/>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42" w:type="dxa"/>
        </w:trPr>
        <w:tc>
          <w:tcPr>
            <w:tcW w:w="3123"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80"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gridSpan w:val="2"/>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42" w:type="dxa"/>
        </w:trPr>
        <w:tc>
          <w:tcPr>
            <w:tcW w:w="3123" w:type="dxa"/>
            <w:tcBorders>
              <w:top w:val="nil"/>
              <w:bottom w:val="nil"/>
            </w:tcBorders>
          </w:tcPr>
          <w:p>
            <w:pPr>
              <w:pStyle w:val="nTable"/>
              <w:spacing w:after="40"/>
            </w:pPr>
            <w:r>
              <w:rPr>
                <w:i/>
              </w:rPr>
              <w:t>Commerce Regulations Amendment (Fees and Charges) Regulations 2016</w:t>
            </w:r>
            <w:r>
              <w:t xml:space="preserve"> Pt. 4</w:t>
            </w:r>
          </w:p>
        </w:tc>
        <w:tc>
          <w:tcPr>
            <w:tcW w:w="1280" w:type="dxa"/>
            <w:tcBorders>
              <w:top w:val="nil"/>
              <w:bottom w:val="nil"/>
            </w:tcBorders>
          </w:tcPr>
          <w:p>
            <w:pPr>
              <w:pStyle w:val="nTable"/>
              <w:spacing w:after="40"/>
            </w:pPr>
            <w:r>
              <w:t>3 Jun 2016 p. 1745-73</w:t>
            </w:r>
          </w:p>
        </w:tc>
        <w:tc>
          <w:tcPr>
            <w:tcW w:w="2716" w:type="dxa"/>
            <w:gridSpan w:val="2"/>
            <w:tcBorders>
              <w:top w:val="nil"/>
              <w:bottom w:val="nil"/>
            </w:tcBorders>
          </w:tcPr>
          <w:p>
            <w:pPr>
              <w:pStyle w:val="nTable"/>
              <w:spacing w:after="40"/>
            </w:pPr>
            <w:r>
              <w:t>1 Jul 2016 (see r. 2(b))</w:t>
            </w:r>
          </w:p>
        </w:tc>
      </w:tr>
      <w:tr>
        <w:trPr>
          <w:gridAfter w:val="1"/>
          <w:wAfter w:w="42" w:type="dxa"/>
        </w:trPr>
        <w:tc>
          <w:tcPr>
            <w:tcW w:w="3123" w:type="dxa"/>
            <w:tcBorders>
              <w:top w:val="nil"/>
              <w:bottom w:val="nil"/>
            </w:tcBorders>
          </w:tcPr>
          <w:p>
            <w:pPr>
              <w:pStyle w:val="nTable"/>
              <w:spacing w:after="40"/>
              <w:rPr>
                <w:i/>
              </w:rPr>
            </w:pPr>
            <w:r>
              <w:rPr>
                <w:i/>
              </w:rPr>
              <w:t>Building Services (Registration) Amendment Regulations 2017</w:t>
            </w:r>
          </w:p>
        </w:tc>
        <w:tc>
          <w:tcPr>
            <w:tcW w:w="1280" w:type="dxa"/>
            <w:tcBorders>
              <w:top w:val="nil"/>
              <w:bottom w:val="nil"/>
            </w:tcBorders>
          </w:tcPr>
          <w:p>
            <w:pPr>
              <w:pStyle w:val="nTable"/>
              <w:spacing w:after="40"/>
            </w:pPr>
            <w:r>
              <w:t>31 Mar 2017 p. 1941-2</w:t>
            </w:r>
          </w:p>
        </w:tc>
        <w:tc>
          <w:tcPr>
            <w:tcW w:w="2716" w:type="dxa"/>
            <w:gridSpan w:val="2"/>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23"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80" w:type="dxa"/>
            <w:tcBorders>
              <w:top w:val="nil"/>
              <w:bottom w:val="nil"/>
            </w:tcBorders>
          </w:tcPr>
          <w:p>
            <w:pPr>
              <w:pStyle w:val="nTable"/>
              <w:spacing w:after="40"/>
            </w:pPr>
            <w:r>
              <w:t>23 Jun 2017 p. 3213</w:t>
            </w:r>
            <w:r>
              <w:noBreakHyphen/>
              <w:t>52</w:t>
            </w:r>
          </w:p>
        </w:tc>
        <w:tc>
          <w:tcPr>
            <w:tcW w:w="2758" w:type="dxa"/>
            <w:gridSpan w:val="3"/>
            <w:tcBorders>
              <w:top w:val="nil"/>
              <w:bottom w:val="nil"/>
            </w:tcBorders>
          </w:tcPr>
          <w:p>
            <w:pPr>
              <w:pStyle w:val="nTable"/>
              <w:spacing w:after="40"/>
            </w:pPr>
            <w:r>
              <w:t>1 Jul 2017 (see r. 2(b))</w:t>
            </w:r>
          </w:p>
        </w:tc>
      </w:tr>
      <w:tr>
        <w:tc>
          <w:tcPr>
            <w:tcW w:w="3123" w:type="dxa"/>
            <w:tcBorders>
              <w:top w:val="nil"/>
              <w:bottom w:val="nil"/>
            </w:tcBorders>
          </w:tcPr>
          <w:p>
            <w:pPr>
              <w:pStyle w:val="nTable"/>
              <w:spacing w:after="40"/>
            </w:pPr>
            <w:r>
              <w:rPr>
                <w:i/>
              </w:rPr>
              <w:t>Building Regulations Amendment Regulations 2017</w:t>
            </w:r>
            <w:r>
              <w:t xml:space="preserve"> Pt. 3</w:t>
            </w:r>
          </w:p>
        </w:tc>
        <w:tc>
          <w:tcPr>
            <w:tcW w:w="1280" w:type="dxa"/>
            <w:tcBorders>
              <w:top w:val="nil"/>
              <w:bottom w:val="nil"/>
            </w:tcBorders>
          </w:tcPr>
          <w:p>
            <w:pPr>
              <w:pStyle w:val="nTable"/>
              <w:spacing w:after="40"/>
            </w:pPr>
            <w:r>
              <w:t>8 Aug 2017 p. 4343</w:t>
            </w:r>
            <w:r>
              <w:noBreakHyphen/>
              <w:t>5</w:t>
            </w:r>
          </w:p>
        </w:tc>
        <w:tc>
          <w:tcPr>
            <w:tcW w:w="2758"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After w:val="2"/>
          <w:wAfter w:w="66" w:type="dxa"/>
        </w:trPr>
        <w:tc>
          <w:tcPr>
            <w:tcW w:w="3123" w:type="dxa"/>
            <w:tcBorders>
              <w:top w:val="nil"/>
              <w:bottom w:val="single" w:sz="4" w:space="0" w:color="auto"/>
            </w:tcBorders>
          </w:tcPr>
          <w:p>
            <w:pPr>
              <w:pStyle w:val="nTable"/>
              <w:keepNext/>
              <w:spacing w:after="40"/>
              <w:rPr>
                <w:noProof/>
              </w:rPr>
            </w:pPr>
            <w:r>
              <w:rPr>
                <w:i/>
              </w:rPr>
              <w:t>Commerce and Industrial Relations Regulations Amendment (Fees and Charges) Regulations 2018</w:t>
            </w:r>
            <w:r>
              <w:t xml:space="preserve"> Pt. 5</w:t>
            </w:r>
          </w:p>
        </w:tc>
        <w:tc>
          <w:tcPr>
            <w:tcW w:w="1280" w:type="dxa"/>
            <w:tcBorders>
              <w:top w:val="nil"/>
              <w:bottom w:val="single" w:sz="4" w:space="0" w:color="auto"/>
            </w:tcBorders>
          </w:tcPr>
          <w:p>
            <w:pPr>
              <w:pStyle w:val="nTable"/>
              <w:keepNext/>
              <w:spacing w:after="40"/>
            </w:pPr>
            <w:r>
              <w:t>25 Jun 2018 p. 2325</w:t>
            </w:r>
            <w:r>
              <w:noBreakHyphen/>
              <w:t>53</w:t>
            </w:r>
          </w:p>
        </w:tc>
        <w:tc>
          <w:tcPr>
            <w:tcW w:w="2697" w:type="dxa"/>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 w:name="_Toc517861521"/>
      <w:r>
        <w:t>Provisions that have not come into operation</w:t>
      </w:r>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Building Services (Registration) Amendment Regulations (No. 2) 2017</w:t>
            </w:r>
            <w:r>
              <w:t xml:space="preserve"> r. 3</w:t>
            </w:r>
            <w:r>
              <w:noBreakHyphen/>
              <w:t>6 </w:t>
            </w:r>
            <w:r>
              <w:rPr>
                <w:vertAlign w:val="superscript"/>
              </w:rPr>
              <w:t>6</w:t>
            </w:r>
          </w:p>
        </w:tc>
        <w:tc>
          <w:tcPr>
            <w:tcW w:w="1276" w:type="dxa"/>
          </w:tcPr>
          <w:p>
            <w:pPr>
              <w:pStyle w:val="nTable"/>
              <w:spacing w:after="40"/>
            </w:pPr>
            <w:r>
              <w:t>5 Jan 2018 p. 4</w:t>
            </w:r>
            <w:r>
              <w:noBreakHyphen/>
              <w:t>8</w:t>
            </w:r>
          </w:p>
        </w:tc>
        <w:tc>
          <w:tcPr>
            <w:tcW w:w="2693" w:type="dxa"/>
          </w:tcPr>
          <w:p>
            <w:pPr>
              <w:pStyle w:val="nTable"/>
              <w:spacing w:after="40"/>
            </w:pPr>
            <w:r>
              <w:t>1 Sep 2018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keepLines/>
        <w:rPr>
          <w:snapToGrid w:val="0"/>
        </w:rPr>
      </w:pPr>
      <w:r>
        <w:rPr>
          <w:snapToGrid w:val="0"/>
          <w:vertAlign w:val="superscript"/>
        </w:rPr>
        <w:t>6</w:t>
      </w:r>
      <w:r>
        <w:rPr>
          <w:snapToGrid w:val="0"/>
        </w:rPr>
        <w:t xml:space="preserve"> </w:t>
      </w:r>
      <w:r>
        <w:rPr>
          <w:snapToGrid w:val="0"/>
        </w:rPr>
        <w:tab/>
        <w:t>On the date as at which this compilation was prepared, the</w:t>
      </w:r>
      <w:r>
        <w:t xml:space="preserve"> </w:t>
      </w:r>
      <w:r>
        <w:rPr>
          <w:i/>
          <w:snapToGrid w:val="0"/>
        </w:rPr>
        <w:t xml:space="preserve">Building Services (Registration) Amendment Regulations (No. 2) 2017 </w:t>
      </w:r>
      <w:r>
        <w:rPr>
          <w:snapToGrid w:val="0"/>
        </w:rPr>
        <w:t>r. 3</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rPr>
          <w:snapToGrid w:val="0"/>
        </w:rPr>
      </w:pPr>
      <w:bookmarkStart w:id="146" w:name="_Toc495499474"/>
      <w:bookmarkStart w:id="147" w:name="_Toc495501100"/>
      <w:r>
        <w:rPr>
          <w:rStyle w:val="CharSectno"/>
        </w:rPr>
        <w:t>3</w:t>
      </w:r>
      <w:r>
        <w:rPr>
          <w:snapToGrid w:val="0"/>
        </w:rPr>
        <w:t>.</w:t>
      </w:r>
      <w:r>
        <w:rPr>
          <w:snapToGrid w:val="0"/>
        </w:rPr>
        <w:tab/>
        <w:t>Regulations amended</w:t>
      </w:r>
      <w:bookmarkEnd w:id="146"/>
      <w:bookmarkEnd w:id="147"/>
    </w:p>
    <w:p>
      <w:pPr>
        <w:pStyle w:val="nzSubsection"/>
      </w:pPr>
      <w:r>
        <w:tab/>
      </w:r>
      <w:r>
        <w:tab/>
        <w:t xml:space="preserve">These </w:t>
      </w:r>
      <w:r>
        <w:rPr>
          <w:spacing w:val="-2"/>
        </w:rPr>
        <w:t>regulations amend</w:t>
      </w:r>
      <w:r>
        <w:t xml:space="preserve"> the </w:t>
      </w:r>
      <w:r>
        <w:rPr>
          <w:i/>
        </w:rPr>
        <w:t>Building Services (Registration) Regulations 2011</w:t>
      </w:r>
      <w:r>
        <w:t>.</w:t>
      </w:r>
    </w:p>
    <w:p>
      <w:pPr>
        <w:pStyle w:val="nzHeading5"/>
      </w:pPr>
      <w:bookmarkStart w:id="148" w:name="_Toc495499475"/>
      <w:bookmarkStart w:id="149" w:name="_Toc495501101"/>
      <w:r>
        <w:rPr>
          <w:rStyle w:val="CharSectno"/>
        </w:rPr>
        <w:t>4</w:t>
      </w:r>
      <w:r>
        <w:t>.</w:t>
      </w:r>
      <w:r>
        <w:tab/>
        <w:t>Regulation 31 amended</w:t>
      </w:r>
      <w:bookmarkEnd w:id="148"/>
      <w:bookmarkEnd w:id="149"/>
    </w:p>
    <w:p>
      <w:pPr>
        <w:pStyle w:val="nzSubsection"/>
      </w:pPr>
      <w:r>
        <w:tab/>
        <w:t>(1)</w:t>
      </w:r>
      <w:r>
        <w:tab/>
        <w:t>In regulation 31(1) delete the Table and insert:</w:t>
      </w:r>
    </w:p>
    <w:p>
      <w:pPr>
        <w:pStyle w:val="BlankOpen"/>
        <w:widowControl w:val="0"/>
      </w:pP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sz w:val="20"/>
              </w:rPr>
            </w:pPr>
          </w:p>
        </w:tc>
        <w:tc>
          <w:tcPr>
            <w:tcW w:w="2835" w:type="dxa"/>
          </w:tcPr>
          <w:p>
            <w:pPr>
              <w:pStyle w:val="TableNAm"/>
              <w:ind w:left="567" w:hanging="567"/>
              <w:rPr>
                <w:sz w:val="20"/>
              </w:rPr>
            </w:pPr>
            <w:r>
              <w:rPr>
                <w:b/>
                <w:bCs/>
                <w:sz w:val="20"/>
              </w:rPr>
              <w:t>Qualifications</w:t>
            </w:r>
          </w:p>
        </w:tc>
        <w:tc>
          <w:tcPr>
            <w:tcW w:w="2552" w:type="dxa"/>
          </w:tcPr>
          <w:p>
            <w:pPr>
              <w:pStyle w:val="TableNAm"/>
              <w:ind w:left="567" w:hanging="567"/>
              <w:rPr>
                <w:sz w:val="20"/>
              </w:rPr>
            </w:pPr>
            <w:r>
              <w:rPr>
                <w:b/>
                <w:bCs/>
                <w:sz w:val="20"/>
              </w:rPr>
              <w:t>Experience</w:t>
            </w:r>
          </w:p>
        </w:tc>
      </w:tr>
      <w:tr>
        <w:tc>
          <w:tcPr>
            <w:tcW w:w="822" w:type="dxa"/>
          </w:tcPr>
          <w:p>
            <w:pPr>
              <w:pStyle w:val="TableNAm"/>
              <w:rPr>
                <w:sz w:val="20"/>
              </w:rPr>
            </w:pPr>
            <w:r>
              <w:rPr>
                <w:sz w:val="20"/>
              </w:rPr>
              <w:t>Set 1</w:t>
            </w:r>
          </w:p>
        </w:tc>
        <w:tc>
          <w:tcPr>
            <w:tcW w:w="2835"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rPr>
                <w:sz w:val="20"/>
              </w:rPr>
            </w:pPr>
            <w:r>
              <w:rPr>
                <w:sz w:val="20"/>
              </w:rPr>
              <w:t>(b)</w:t>
            </w:r>
            <w:r>
              <w:rPr>
                <w:sz w:val="20"/>
              </w:rPr>
              <w:tab/>
              <w:t>an equivalent qualification as determined by the Board</w:t>
            </w:r>
          </w:p>
        </w:tc>
        <w:tc>
          <w:tcPr>
            <w:tcW w:w="2552"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Borders>
              <w:bottom w:val="nil"/>
            </w:tcBorders>
          </w:tcPr>
          <w:p>
            <w:pPr>
              <w:pStyle w:val="TableNAm"/>
              <w:rPr>
                <w:sz w:val="20"/>
              </w:rPr>
            </w:pPr>
            <w:r>
              <w:rPr>
                <w:sz w:val="20"/>
              </w:rPr>
              <w:t>Set 2</w:t>
            </w:r>
          </w:p>
        </w:tc>
        <w:tc>
          <w:tcPr>
            <w:tcW w:w="2835" w:type="dxa"/>
            <w:tcBorders>
              <w:bottom w:val="nil"/>
            </w:tcBorders>
          </w:tcPr>
          <w:p>
            <w:pPr>
              <w:pStyle w:val="TableNAm"/>
              <w:ind w:left="567" w:hanging="567"/>
              <w:rPr>
                <w:sz w:val="20"/>
              </w:rPr>
            </w:pPr>
            <w:r>
              <w:rPr>
                <w:sz w:val="20"/>
              </w:rPr>
              <w:t>(a)</w:t>
            </w:r>
            <w:r>
              <w:rPr>
                <w:sz w:val="20"/>
              </w:rPr>
              <w:tab/>
              <w:t xml:space="preserve">either — </w:t>
            </w:r>
          </w:p>
          <w:p>
            <w:pPr>
              <w:pStyle w:val="TableNAm"/>
              <w:ind w:left="567" w:hanging="567"/>
              <w:rPr>
                <w:sz w:val="20"/>
              </w:rPr>
            </w:pPr>
            <w:r>
              <w:rPr>
                <w:sz w:val="20"/>
              </w:rPr>
              <w:t>(i)</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tc>
        <w:tc>
          <w:tcPr>
            <w:tcW w:w="2552" w:type="dxa"/>
            <w:tcBorders>
              <w:bottom w:val="nil"/>
            </w:tcBorders>
          </w:tcPr>
          <w:p>
            <w:pPr>
              <w:pStyle w:val="TableNAm"/>
              <w:tabs>
                <w:tab w:val="clear" w:pos="567"/>
              </w:tabs>
              <w:ind w:left="34" w:hanging="34"/>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rPr>
          <w:cantSplit/>
        </w:trPr>
        <w:tc>
          <w:tcPr>
            <w:tcW w:w="822" w:type="dxa"/>
            <w:tcBorders>
              <w:top w:val="nil"/>
              <w:bottom w:val="nil"/>
            </w:tcBorders>
          </w:tcPr>
          <w:p>
            <w:pPr>
              <w:pStyle w:val="zTableNAm"/>
              <w:rPr>
                <w:sz w:val="20"/>
              </w:rPr>
            </w:pPr>
          </w:p>
        </w:tc>
        <w:tc>
          <w:tcPr>
            <w:tcW w:w="2835" w:type="dxa"/>
            <w:tcBorders>
              <w:top w:val="nil"/>
              <w:bottom w:val="nil"/>
            </w:tcBorders>
          </w:tcPr>
          <w:p>
            <w:pPr>
              <w:pStyle w:val="TableNAm"/>
              <w:ind w:left="567" w:hanging="567"/>
              <w:rPr>
                <w:sz w:val="20"/>
              </w:rPr>
            </w:pPr>
            <w:r>
              <w:rPr>
                <w:sz w:val="20"/>
              </w:rPr>
              <w:t>(ii)</w:t>
            </w:r>
            <w:r>
              <w:rPr>
                <w:sz w:val="20"/>
              </w:rPr>
              <w:tab/>
              <w:t>an equivalent qualification as determined by the Board;</w:t>
            </w:r>
          </w:p>
          <w:p>
            <w:pPr>
              <w:pStyle w:val="TableNAm"/>
              <w:ind w:left="567" w:hanging="567"/>
              <w:rPr>
                <w:sz w:val="20"/>
              </w:rPr>
            </w:pPr>
            <w:r>
              <w:rPr>
                <w:sz w:val="20"/>
              </w:rPr>
              <w:tab/>
              <w:t>and</w:t>
            </w:r>
          </w:p>
        </w:tc>
        <w:tc>
          <w:tcPr>
            <w:tcW w:w="2552" w:type="dxa"/>
            <w:tcBorders>
              <w:top w:val="nil"/>
              <w:bottom w:val="nil"/>
            </w:tcBorders>
          </w:tcPr>
          <w:p>
            <w:pPr>
              <w:pStyle w:val="TableNAm"/>
              <w:ind w:left="567" w:hanging="567"/>
              <w:rPr>
                <w:sz w:val="20"/>
              </w:rPr>
            </w:pPr>
          </w:p>
        </w:tc>
      </w:tr>
      <w:tr>
        <w:trPr>
          <w:cantSplit/>
        </w:trPr>
        <w:tc>
          <w:tcPr>
            <w:tcW w:w="822" w:type="dxa"/>
            <w:tcBorders>
              <w:top w:val="nil"/>
            </w:tcBorders>
          </w:tcPr>
          <w:p>
            <w:pPr>
              <w:pStyle w:val="zTableNAm"/>
              <w:rPr>
                <w:sz w:val="20"/>
              </w:rPr>
            </w:pPr>
          </w:p>
        </w:tc>
        <w:tc>
          <w:tcPr>
            <w:tcW w:w="2835" w:type="dxa"/>
            <w:tcBorders>
              <w:top w:val="nil"/>
            </w:tcBorders>
          </w:tcPr>
          <w:p>
            <w:pPr>
              <w:pStyle w:val="TableNAm"/>
              <w:ind w:left="567" w:hanging="567"/>
              <w:rPr>
                <w:sz w:val="20"/>
              </w:rPr>
            </w:pPr>
            <w:r>
              <w:rPr>
                <w:sz w:val="20"/>
              </w:rPr>
              <w:t>(b)</w:t>
            </w:r>
            <w:r>
              <w:rPr>
                <w:sz w:val="20"/>
              </w:rPr>
              <w:tab/>
              <w:t xml:space="preserve">successful completion of a practical trades test, as determined by the Board, conducted by a person authorised under the </w:t>
            </w:r>
            <w:r>
              <w:rPr>
                <w:i/>
                <w:sz w:val="20"/>
              </w:rPr>
              <w:t>Vocational Education and Training Act 1996</w:t>
            </w:r>
            <w:r>
              <w:rPr>
                <w:sz w:val="20"/>
              </w:rPr>
              <w:t xml:space="preserve"> to provide 52784WA Course in Painters Registration</w:t>
            </w:r>
          </w:p>
        </w:tc>
        <w:tc>
          <w:tcPr>
            <w:tcW w:w="2552" w:type="dxa"/>
            <w:tcBorders>
              <w:top w:val="nil"/>
            </w:tcBorders>
          </w:tcPr>
          <w:p>
            <w:pPr>
              <w:pStyle w:val="TableNAm"/>
              <w:ind w:left="567" w:hanging="567"/>
              <w:rPr>
                <w:sz w:val="20"/>
              </w:rPr>
            </w:pPr>
          </w:p>
        </w:tc>
      </w:tr>
    </w:tbl>
    <w:p>
      <w:pPr>
        <w:pStyle w:val="BlankClose"/>
      </w:pPr>
    </w:p>
    <w:p>
      <w:pPr>
        <w:pStyle w:val="nzSubsection"/>
      </w:pPr>
      <w:r>
        <w:tab/>
        <w:t>(2)</w:t>
      </w:r>
      <w:r>
        <w:tab/>
        <w:t xml:space="preserve">In regulation 31(4) delete the definition of </w:t>
      </w:r>
      <w:r>
        <w:rPr>
          <w:rStyle w:val="CharDefText"/>
        </w:rPr>
        <w:t>previously registered</w:t>
      </w:r>
      <w:r>
        <w:t>.</w:t>
      </w:r>
    </w:p>
    <w:p>
      <w:pPr>
        <w:pStyle w:val="nzSubsection"/>
      </w:pPr>
      <w:r>
        <w:tab/>
        <w:t>(3)</w:t>
      </w:r>
      <w:r>
        <w:tab/>
        <w:t xml:space="preserve">In regulation 31(4) in the definition of </w:t>
      </w:r>
      <w:r>
        <w:rPr>
          <w:rStyle w:val="CharDefText"/>
        </w:rPr>
        <w:t>eligible person</w:t>
      </w:r>
      <w:r>
        <w:t xml:space="preserve"> paragraph (a) after “registered” insert:</w:t>
      </w:r>
    </w:p>
    <w:p>
      <w:pPr>
        <w:pStyle w:val="BlankOpen"/>
      </w:pPr>
    </w:p>
    <w:p>
      <w:pPr>
        <w:pStyle w:val="nzSubsection"/>
      </w:pPr>
      <w:r>
        <w:tab/>
      </w:r>
      <w:r>
        <w:tab/>
        <w:t>as a painting practitioner</w:t>
      </w:r>
    </w:p>
    <w:p>
      <w:pPr>
        <w:pStyle w:val="BlankClose"/>
      </w:pPr>
    </w:p>
    <w:p>
      <w:pPr>
        <w:pStyle w:val="nzHeading5"/>
      </w:pPr>
      <w:bookmarkStart w:id="150" w:name="_Toc495499476"/>
      <w:bookmarkStart w:id="151" w:name="_Toc495501102"/>
      <w:r>
        <w:rPr>
          <w:rStyle w:val="CharSectno"/>
        </w:rPr>
        <w:t>5</w:t>
      </w:r>
      <w:r>
        <w:t>.</w:t>
      </w:r>
      <w:r>
        <w:tab/>
        <w:t>Regulation 32 amended</w:t>
      </w:r>
      <w:bookmarkEnd w:id="150"/>
      <w:bookmarkEnd w:id="151"/>
    </w:p>
    <w:p>
      <w:pPr>
        <w:pStyle w:val="nzSubsection"/>
      </w:pPr>
      <w:r>
        <w:tab/>
      </w:r>
      <w:r>
        <w:tab/>
        <w:t>In regulation 32 delete “small business management or estimating and specification,”.</w:t>
      </w:r>
    </w:p>
    <w:p>
      <w:pPr>
        <w:pStyle w:val="nzHeading5"/>
      </w:pPr>
      <w:bookmarkStart w:id="152" w:name="_Toc495499477"/>
      <w:bookmarkStart w:id="153" w:name="_Toc495501103"/>
      <w:r>
        <w:rPr>
          <w:rStyle w:val="CharSectno"/>
        </w:rPr>
        <w:t>6</w:t>
      </w:r>
      <w:r>
        <w:t>.</w:t>
      </w:r>
      <w:r>
        <w:tab/>
        <w:t>Part 4 Division 4 inserted</w:t>
      </w:r>
      <w:bookmarkEnd w:id="152"/>
      <w:bookmarkEnd w:id="153"/>
    </w:p>
    <w:p>
      <w:pPr>
        <w:pStyle w:val="nzSubsection"/>
      </w:pPr>
      <w:r>
        <w:tab/>
      </w:r>
      <w:r>
        <w:tab/>
        <w:t>At the end of Part 4 insert:</w:t>
      </w:r>
    </w:p>
    <w:p>
      <w:pPr>
        <w:pStyle w:val="BlankOpen"/>
      </w:pPr>
    </w:p>
    <w:p>
      <w:pPr>
        <w:pStyle w:val="nzHeading3"/>
      </w:pPr>
      <w:bookmarkStart w:id="154" w:name="_Toc495497271"/>
      <w:bookmarkStart w:id="155" w:name="_Toc495497279"/>
      <w:bookmarkStart w:id="156" w:name="_Toc495498052"/>
      <w:bookmarkStart w:id="157" w:name="_Toc495499478"/>
      <w:bookmarkStart w:id="158" w:name="_Toc495499503"/>
      <w:bookmarkStart w:id="159" w:name="_Toc495501104"/>
      <w:r>
        <w:t>Division 4 — </w:t>
      </w:r>
      <w:r>
        <w:rPr>
          <w:i/>
        </w:rPr>
        <w:t>Building Services (Registration) Amendment Regulations (No. 2) 2017</w:t>
      </w:r>
      <w:bookmarkEnd w:id="154"/>
      <w:bookmarkEnd w:id="155"/>
      <w:bookmarkEnd w:id="156"/>
      <w:bookmarkEnd w:id="157"/>
      <w:bookmarkEnd w:id="158"/>
      <w:bookmarkEnd w:id="159"/>
    </w:p>
    <w:p>
      <w:pPr>
        <w:pStyle w:val="nzHeading5"/>
      </w:pPr>
      <w:bookmarkStart w:id="160" w:name="_Toc495499479"/>
      <w:bookmarkStart w:id="161" w:name="_Toc495501105"/>
      <w:r>
        <w:t>52.</w:t>
      </w:r>
      <w:r>
        <w:tab/>
        <w:t>Painting practitioners: applications for registration made before 1 September 2018</w:t>
      </w:r>
      <w:bookmarkEnd w:id="160"/>
      <w:bookmarkEnd w:id="161"/>
    </w:p>
    <w:p>
      <w:pPr>
        <w:pStyle w:val="nz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rPr>
                <w:sz w:val="20"/>
              </w:rPr>
            </w:pPr>
          </w:p>
        </w:tc>
        <w:tc>
          <w:tcPr>
            <w:tcW w:w="2694" w:type="dxa"/>
          </w:tcPr>
          <w:p>
            <w:pPr>
              <w:pStyle w:val="TableNAm"/>
              <w:ind w:left="567" w:hanging="567"/>
              <w:rPr>
                <w:sz w:val="20"/>
              </w:rPr>
            </w:pPr>
            <w:r>
              <w:rPr>
                <w:b/>
                <w:sz w:val="20"/>
              </w:rPr>
              <w:t>Qualifications</w:t>
            </w:r>
          </w:p>
        </w:tc>
        <w:tc>
          <w:tcPr>
            <w:tcW w:w="2693" w:type="dxa"/>
          </w:tcPr>
          <w:p>
            <w:pPr>
              <w:pStyle w:val="TableNAm"/>
              <w:ind w:left="567" w:hanging="567"/>
              <w:rPr>
                <w:sz w:val="20"/>
              </w:rPr>
            </w:pPr>
            <w:r>
              <w:rPr>
                <w:b/>
                <w:sz w:val="20"/>
              </w:rPr>
              <w:t>Experience</w:t>
            </w:r>
          </w:p>
        </w:tc>
      </w:tr>
      <w:tr>
        <w:tc>
          <w:tcPr>
            <w:tcW w:w="822" w:type="dxa"/>
          </w:tcPr>
          <w:p>
            <w:pPr>
              <w:pStyle w:val="TableNAm"/>
              <w:rPr>
                <w:sz w:val="20"/>
              </w:rPr>
            </w:pPr>
            <w:r>
              <w:rPr>
                <w:sz w:val="20"/>
              </w:rPr>
              <w:t>Set 1</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Pr>
          <w:p>
            <w:pPr>
              <w:pStyle w:val="TableNAm"/>
              <w:rPr>
                <w:sz w:val="20"/>
              </w:rPr>
            </w:pPr>
            <w:r>
              <w:rPr>
                <w:sz w:val="20"/>
              </w:rPr>
              <w:t>Set 2</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for periods totalling at least the equivalent of 4 years full</w:t>
            </w:r>
            <w:r>
              <w:rPr>
                <w:sz w:val="20"/>
              </w:rPr>
              <w:noBreakHyphen/>
              <w:t>time covering a significant range of painting techniques; and</w:t>
            </w:r>
          </w:p>
          <w:p>
            <w:pPr>
              <w:pStyle w:val="TableNAm"/>
              <w:ind w:left="567" w:hanging="567"/>
              <w:rPr>
                <w:sz w:val="20"/>
              </w:rPr>
            </w:pPr>
            <w:r>
              <w:rPr>
                <w:sz w:val="20"/>
              </w:rPr>
              <w:t>(b)</w:t>
            </w:r>
            <w:r>
              <w:rPr>
                <w:sz w:val="20"/>
              </w:rP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rPr>
                <w:sz w:val="20"/>
              </w:rPr>
            </w:pPr>
            <w:r>
              <w:rPr>
                <w:sz w:val="20"/>
              </w:rPr>
              <w:t>Set 3</w:t>
            </w:r>
          </w:p>
        </w:tc>
        <w:tc>
          <w:tcPr>
            <w:tcW w:w="2694" w:type="dxa"/>
          </w:tcPr>
          <w:p>
            <w:pPr>
              <w:pStyle w:val="TableNAm"/>
              <w:ind w:left="567" w:hanging="567"/>
              <w:rPr>
                <w:sz w:val="20"/>
              </w:rPr>
            </w:pPr>
            <w:r>
              <w:rPr>
                <w:sz w:val="20"/>
              </w:rPr>
              <w:t>(a)</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tabs>
                <w:tab w:val="clear" w:pos="567"/>
              </w:tabs>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c>
          <w:tcPr>
            <w:tcW w:w="822" w:type="dxa"/>
          </w:tcPr>
          <w:p>
            <w:pPr>
              <w:pStyle w:val="TableNAm"/>
              <w:rPr>
                <w:sz w:val="20"/>
              </w:rPr>
            </w:pPr>
            <w:r>
              <w:rPr>
                <w:sz w:val="20"/>
              </w:rPr>
              <w:t>Set 4</w:t>
            </w:r>
          </w:p>
        </w:tc>
        <w:tc>
          <w:tcPr>
            <w:tcW w:w="2694" w:type="dxa"/>
          </w:tcPr>
          <w:p>
            <w:pPr>
              <w:pStyle w:val="zTableNAm"/>
              <w:keepNext/>
              <w:keepLines/>
              <w:widowControl w:val="0"/>
              <w:ind w:left="567" w:hanging="567"/>
              <w:jc w:val="center"/>
              <w:rPr>
                <w:sz w:val="20"/>
              </w:rPr>
            </w:pPr>
          </w:p>
        </w:tc>
        <w:tc>
          <w:tcPr>
            <w:tcW w:w="2693" w:type="dxa"/>
          </w:tcPr>
          <w:p>
            <w:pPr>
              <w:pStyle w:val="TableNAm"/>
              <w:tabs>
                <w:tab w:val="clear" w:pos="567"/>
              </w:tabs>
              <w:rPr>
                <w:sz w:val="20"/>
              </w:rPr>
            </w:pPr>
            <w:r>
              <w:rPr>
                <w:sz w:val="20"/>
              </w:rPr>
              <w:t xml:space="preserve">experience in carrying out painting work — </w:t>
            </w:r>
          </w:p>
          <w:p>
            <w:pPr>
              <w:pStyle w:val="TableNAm"/>
              <w:ind w:left="567" w:hanging="567"/>
              <w:rPr>
                <w:sz w:val="20"/>
              </w:rPr>
            </w:pPr>
            <w:r>
              <w:rPr>
                <w:sz w:val="20"/>
              </w:rPr>
              <w:t>(a)</w:t>
            </w:r>
            <w:r>
              <w:rPr>
                <w:sz w:val="20"/>
              </w:rPr>
              <w:tab/>
              <w:t>covering a significant range of painting techniques for periods totalling at least the equivalent of 5 years full</w:t>
            </w:r>
            <w:r>
              <w:rPr>
                <w:sz w:val="20"/>
              </w:rPr>
              <w:noBreakHyphen/>
              <w:t>time; and</w:t>
            </w:r>
          </w:p>
          <w:p>
            <w:pPr>
              <w:pStyle w:val="TableNAm"/>
              <w:ind w:left="567" w:hanging="567"/>
              <w:rPr>
                <w:sz w:val="20"/>
              </w:rPr>
            </w:pPr>
            <w:r>
              <w:rPr>
                <w:sz w:val="20"/>
              </w:rPr>
              <w:t>(b)</w:t>
            </w:r>
            <w:r>
              <w:rPr>
                <w:sz w:val="20"/>
              </w:rPr>
              <w:tab/>
              <w:t>sufficient to gain knowledge and skills equivalent to those possessed by a person who has successfully completed a qualification referred to in set 3</w:t>
            </w:r>
          </w:p>
        </w:tc>
      </w:tr>
    </w:tbl>
    <w:p>
      <w:pPr>
        <w:pStyle w:val="BlankClose"/>
      </w:pPr>
    </w:p>
    <w:p>
      <w:pPr>
        <w:pStyle w:val="BlankClose"/>
      </w:pPr>
    </w:p>
    <w:p>
      <w:pPr>
        <w:pStyle w:val="BlankOpen"/>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63" w:name="_Toc502847072"/>
      <w:bookmarkStart w:id="164" w:name="_Toc502908801"/>
      <w:bookmarkStart w:id="165" w:name="_Toc517861522"/>
      <w:r>
        <w:rPr>
          <w:sz w:val="28"/>
        </w:rPr>
        <w:t>Defined terms</w:t>
      </w:r>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041416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31CA-C8AC-4B67-955A-914B884A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13401</Words>
  <Characters>71831</Characters>
  <Application>Microsoft Office Word</Application>
  <DocSecurity>0</DocSecurity>
  <Lines>2660</Lines>
  <Paragraphs>1495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2011 - 02-i0-00</dc:title>
  <dc:subject/>
  <dc:creator/>
  <cp:keywords/>
  <dc:description/>
  <cp:lastModifiedBy>svcMRProcess</cp:lastModifiedBy>
  <cp:revision>4</cp:revision>
  <cp:lastPrinted>2015-05-15T03:21:00Z</cp:lastPrinted>
  <dcterms:created xsi:type="dcterms:W3CDTF">2018-09-18T19:03:00Z</dcterms:created>
  <dcterms:modified xsi:type="dcterms:W3CDTF">2018-09-18T19:03:00Z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2018</vt:lpwstr>
  </property>
  <property fmtid="{D5CDD505-2E9C-101B-9397-08002B2CF9AE}" pid="7" name="Suffix">
    <vt:lpwstr>02-i0-00</vt:lpwstr>
  </property>
  <property fmtid="{D5CDD505-2E9C-101B-9397-08002B2CF9AE}" pid="8" name="CommencementDate">
    <vt:lpwstr>20180701</vt:lpwstr>
  </property>
</Properties>
</file>