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_Toc517866263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_Toc517866264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_Toc517866265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_Toc517866266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_Toc517866267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_Toc517866268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_Toc517866269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_Toc517866270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_Toc517866271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_Toc517866272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_Toc517866273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_Toc517866274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_Toc517866275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_Toc517866276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_Toc517866277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4"/>
        <w:tabs>
          <w:tab w:val="right" w:pos="7077"/>
        </w:tabs>
        <w:rPr>
          <w:rFonts w:asciiTheme="minorHAnsi" w:eastAsiaTheme="minorEastAsia" w:hAnsiTheme="minorHAnsi" w:cstheme="minorBidi"/>
          <w:b w:val="0"/>
          <w:szCs w:val="22"/>
        </w:rPr>
      </w:pPr>
      <w:r>
        <w:t>Division 1</w:t>
      </w:r>
      <w:r>
        <w:rPr>
          <w:b w:val="0"/>
        </w:rPr>
        <w:t> — </w:t>
      </w:r>
      <w:r>
        <w:t>General</w:t>
      </w:r>
    </w:p>
    <w:p>
      <w:pPr>
        <w:pStyle w:val="TOC4"/>
        <w:tabs>
          <w:tab w:val="righ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_Toc517866283 \h </w:instrText>
      </w:r>
      <w:r>
        <w:fldChar w:fldCharType="separate"/>
      </w:r>
      <w:r>
        <w:t>16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17866263"/>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7866264"/>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17866265"/>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517866266"/>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517866267"/>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8" w:name="_Toc517866268"/>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17866269"/>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17866270"/>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1" w:name="_Toc517866271"/>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2" w:name="_Toc517866272"/>
      <w:r>
        <w:rPr>
          <w:rStyle w:val="CharSectno"/>
        </w:rPr>
        <w:t>9B</w:t>
      </w:r>
      <w:r>
        <w:t>.</w:t>
      </w:r>
      <w:r>
        <w:tab/>
        <w:t>Recognition as eligible individual</w:t>
      </w:r>
      <w:bookmarkEnd w:id="12"/>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3" w:name="_Toc517866273"/>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4" w:name="_Toc517866274"/>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15" w:name="_Toc517866275"/>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16" w:name="_Toc517866276"/>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17" w:name="_Toc517866277"/>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14321200"/>
      <w:bookmarkStart w:id="19" w:name="_Toc514321265"/>
      <w:bookmarkStart w:id="20" w:name="_Toc514330259"/>
      <w:bookmarkStart w:id="21" w:name="_Toc514334924"/>
      <w:bookmarkStart w:id="22" w:name="_Toc514336273"/>
      <w:bookmarkStart w:id="23" w:name="_Toc514336475"/>
      <w:bookmarkStart w:id="24" w:name="_Toc514414449"/>
      <w:bookmarkStart w:id="25" w:name="_Toc514414514"/>
      <w:bookmarkStart w:id="26" w:name="_Toc514657424"/>
      <w:bookmarkStart w:id="27" w:name="_Toc514666245"/>
      <w:bookmarkStart w:id="28" w:name="_Toc517770816"/>
      <w:bookmarkStart w:id="29" w:name="_Toc517771407"/>
      <w:bookmarkStart w:id="30" w:name="_Toc517773378"/>
      <w:bookmarkStart w:id="31" w:name="_Toc517774161"/>
      <w:bookmarkStart w:id="32" w:name="_Toc517788264"/>
      <w:bookmarkStart w:id="33" w:name="_Toc517866278"/>
      <w:r>
        <w:rPr>
          <w:rStyle w:val="CharSchNo"/>
        </w:rPr>
        <w:t>Schedule 1</w:t>
      </w:r>
      <w:r>
        <w:t> — </w:t>
      </w:r>
      <w:r>
        <w:rPr>
          <w:rStyle w:val="CharSchText"/>
        </w:rPr>
        <w:t>Fees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yShoulderClause"/>
      </w:pPr>
      <w:r>
        <w:t>[r. 4]</w:t>
      </w:r>
    </w:p>
    <w:p>
      <w:pPr>
        <w:pStyle w:val="yFootnoteheading"/>
      </w:pPr>
      <w:r>
        <w:tab/>
        <w:t>[Heading inserted in Gazette 15 Jun 2018 p. 1964.]</w:t>
      </w:r>
    </w:p>
    <w:p>
      <w:pPr>
        <w:pStyle w:val="yHeading3"/>
      </w:pPr>
      <w:bookmarkStart w:id="34" w:name="_Toc514321201"/>
      <w:bookmarkStart w:id="35" w:name="_Toc514321266"/>
      <w:bookmarkStart w:id="36" w:name="_Toc514330260"/>
      <w:bookmarkStart w:id="37" w:name="_Toc514334925"/>
      <w:bookmarkStart w:id="38" w:name="_Toc514336274"/>
      <w:bookmarkStart w:id="39" w:name="_Toc514336476"/>
      <w:bookmarkStart w:id="40" w:name="_Toc514414450"/>
      <w:bookmarkStart w:id="41" w:name="_Toc514414515"/>
      <w:bookmarkStart w:id="42" w:name="_Toc514657425"/>
      <w:bookmarkStart w:id="43" w:name="_Toc514666246"/>
      <w:bookmarkStart w:id="44" w:name="_Toc517770817"/>
      <w:bookmarkStart w:id="45" w:name="_Toc517771408"/>
      <w:bookmarkStart w:id="46" w:name="_Toc517773379"/>
      <w:bookmarkStart w:id="47" w:name="_Toc517774162"/>
      <w:bookmarkStart w:id="48" w:name="_Toc517788265"/>
      <w:bookmarkStart w:id="49" w:name="_Toc517866279"/>
      <w:r>
        <w:rPr>
          <w:rStyle w:val="CharSDivNo"/>
        </w:rPr>
        <w:t>Division 1</w:t>
      </w:r>
      <w:r>
        <w:rPr>
          <w:b w:val="0"/>
        </w:rPr>
        <w:t> — </w:t>
      </w:r>
      <w:r>
        <w:rPr>
          <w:rStyle w:val="CharSDivText"/>
        </w:rPr>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Footnoteheading"/>
      </w:pPr>
      <w:r>
        <w:tab/>
        <w:t>[Heading inserted in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ind w:left="601" w:hanging="601"/>
            </w:pPr>
            <w:r>
              <w:t>(a)</w:t>
            </w:r>
            <w:r>
              <w:tab/>
              <w:t xml:space="preserve">for each kilometre travelled (1 way) in the metropolitan area </w:t>
            </w:r>
          </w:p>
          <w:p>
            <w:pPr>
              <w:pStyle w:val="yTableNAm"/>
              <w:ind w:left="601" w:hanging="601"/>
            </w:pPr>
            <w:r>
              <w:t>(b)</w:t>
            </w:r>
            <w:r>
              <w:tab/>
              <w:t xml:space="preserve">for each kilometre travelled (1 way) outside the metropolitan area </w:t>
            </w:r>
          </w:p>
        </w:tc>
        <w:tc>
          <w:tcPr>
            <w:tcW w:w="1417" w:type="dxa"/>
          </w:tcPr>
          <w:p>
            <w:pPr>
              <w:pStyle w:val="yTableNAm"/>
            </w:pPr>
            <w:r>
              <w:br/>
            </w:r>
            <w:r>
              <w:br/>
              <w:t>2.00</w:t>
            </w:r>
          </w:p>
          <w:p>
            <w:pPr>
              <w:pStyle w:val="yTableNAm"/>
            </w:pPr>
            <w:r>
              <w:br/>
            </w:r>
            <w:r>
              <w:br/>
              <w:t>2.20</w:t>
            </w:r>
          </w:p>
        </w:tc>
        <w:tc>
          <w:tcPr>
            <w:tcW w:w="1418" w:type="dxa"/>
          </w:tcPr>
          <w:p>
            <w:pPr>
              <w:pStyle w:val="yTableNAm"/>
            </w:pPr>
            <w:r>
              <w:br/>
            </w:r>
            <w:r>
              <w:br/>
              <w:t>2.00</w:t>
            </w:r>
          </w:p>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r>
            <w:r>
              <w:br/>
              <w:t>65.50</w:t>
            </w:r>
          </w:p>
        </w:tc>
        <w:tc>
          <w:tcPr>
            <w:tcW w:w="1418" w:type="dxa"/>
          </w:tcPr>
          <w:p>
            <w:pPr>
              <w:pStyle w:val="yTableNAm"/>
            </w:pPr>
            <w:r>
              <w:br/>
            </w: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50" w:name="_Toc514321202"/>
      <w:bookmarkStart w:id="51" w:name="_Toc514321267"/>
      <w:bookmarkStart w:id="52" w:name="_Toc514330261"/>
      <w:bookmarkStart w:id="53" w:name="_Toc514334926"/>
      <w:bookmarkStart w:id="54" w:name="_Toc514336275"/>
      <w:bookmarkStart w:id="55" w:name="_Toc514336477"/>
      <w:bookmarkStart w:id="56" w:name="_Toc514414451"/>
      <w:bookmarkStart w:id="57" w:name="_Toc514414516"/>
      <w:bookmarkStart w:id="58" w:name="_Toc514657426"/>
      <w:bookmarkStart w:id="59" w:name="_Toc514666247"/>
      <w:r>
        <w:tab/>
        <w:t>[Division 1 inserted in Gazette 15 Jun 2018 p. 1964</w:t>
      </w:r>
      <w:r>
        <w:noBreakHyphen/>
        <w:t>7.]</w:t>
      </w:r>
    </w:p>
    <w:p>
      <w:pPr>
        <w:pStyle w:val="yHeading3"/>
      </w:pPr>
      <w:bookmarkStart w:id="60" w:name="_Toc517770818"/>
      <w:bookmarkStart w:id="61" w:name="_Toc517771409"/>
      <w:bookmarkStart w:id="62" w:name="_Toc517773380"/>
      <w:bookmarkStart w:id="63" w:name="_Toc517774163"/>
      <w:bookmarkStart w:id="64" w:name="_Toc517788266"/>
      <w:bookmarkStart w:id="65" w:name="_Toc517866280"/>
      <w:r>
        <w:rPr>
          <w:rStyle w:val="CharSDivNo"/>
        </w:rPr>
        <w:t>Division 2</w:t>
      </w:r>
      <w:r>
        <w:rPr>
          <w:b w:val="0"/>
        </w:rPr>
        <w:t> — </w:t>
      </w:r>
      <w:r>
        <w:rPr>
          <w:rStyle w:val="CharSDivText"/>
        </w:rPr>
        <w:t>Civil jurisdiction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Footnoteheading"/>
        <w:keepNext/>
      </w:pPr>
      <w:r>
        <w:tab/>
        <w:t>[Heading inserted in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bookmarkStart w:id="66" w:name="_Toc514321203"/>
      <w:bookmarkStart w:id="67" w:name="_Toc514321268"/>
      <w:bookmarkStart w:id="68" w:name="_Toc514330262"/>
      <w:bookmarkStart w:id="69" w:name="_Toc514334927"/>
      <w:bookmarkStart w:id="70" w:name="_Toc514336276"/>
      <w:bookmarkStart w:id="71" w:name="_Toc514336478"/>
      <w:bookmarkStart w:id="72" w:name="_Toc514414452"/>
      <w:bookmarkStart w:id="73" w:name="_Toc514414517"/>
      <w:bookmarkStart w:id="74" w:name="_Toc514657427"/>
      <w:bookmarkStart w:id="75" w:name="_Toc514666248"/>
      <w:r>
        <w:tab/>
        <w:t>[Division 2 inserted in Gazette 15 Jun 2018 p. 1968</w:t>
      </w:r>
      <w:r>
        <w:noBreakHyphen/>
        <w:t>9.]</w:t>
      </w:r>
    </w:p>
    <w:p>
      <w:pPr>
        <w:pStyle w:val="yHeading3"/>
      </w:pPr>
      <w:bookmarkStart w:id="76" w:name="_Toc517770819"/>
      <w:bookmarkStart w:id="77" w:name="_Toc517771410"/>
      <w:bookmarkStart w:id="78" w:name="_Toc517773381"/>
      <w:bookmarkStart w:id="79" w:name="_Toc517774164"/>
      <w:bookmarkStart w:id="80" w:name="_Toc517788267"/>
      <w:bookmarkStart w:id="81" w:name="_Toc517866281"/>
      <w:r>
        <w:rPr>
          <w:rStyle w:val="CharSDivNo"/>
        </w:rPr>
        <w:t>Division 3</w:t>
      </w:r>
      <w:r>
        <w:t> — </w:t>
      </w:r>
      <w:r>
        <w:rPr>
          <w:rStyle w:val="CharSDivText"/>
        </w:rPr>
        <w:t>Criminal jurisdiction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Footnoteheading"/>
      </w:pPr>
      <w:r>
        <w:tab/>
        <w:t>[Heading inserted in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in Gazette 15 Jun 2018 p. 1969.]</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83" w:name="_Toc517770820"/>
      <w:bookmarkStart w:id="84" w:name="_Toc517771411"/>
      <w:bookmarkStart w:id="85" w:name="_Toc517773382"/>
      <w:bookmarkStart w:id="86" w:name="_Toc517774165"/>
      <w:bookmarkStart w:id="87" w:name="_Toc517788268"/>
      <w:bookmarkStart w:id="88" w:name="_Toc517866282"/>
    </w:p>
    <w:p>
      <w:pPr>
        <w:pStyle w:val="nHeading2"/>
      </w:pPr>
      <w:r>
        <w:t>Notes</w:t>
      </w:r>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9" w:name="_Toc517866283"/>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2</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Borders>
              <w:bottom w:val="single" w:sz="4" w:space="0" w:color="auto"/>
            </w:tcBorders>
            <w:shd w:val="clear" w:color="auto" w:fill="auto"/>
          </w:tcPr>
          <w:p>
            <w:pPr>
              <w:pStyle w:val="nTable"/>
              <w:keepNext/>
              <w:spacing w:after="40"/>
            </w:pPr>
            <w:r>
              <w:rPr>
                <w:i/>
              </w:rPr>
              <w:t>Attorney General Regulations Amendment (Fees and Charges) Regulations 2018</w:t>
            </w:r>
            <w:r>
              <w:t xml:space="preserve"> Pt. 2</w:t>
            </w:r>
          </w:p>
        </w:tc>
        <w:tc>
          <w:tcPr>
            <w:tcW w:w="1276" w:type="dxa"/>
            <w:tcBorders>
              <w:bottom w:val="single" w:sz="4" w:space="0" w:color="auto"/>
            </w:tcBorders>
            <w:shd w:val="clear" w:color="auto" w:fill="auto"/>
          </w:tcPr>
          <w:p>
            <w:pPr>
              <w:pStyle w:val="nTable"/>
              <w:keepNext/>
              <w:spacing w:after="40"/>
            </w:pPr>
            <w:r>
              <w:t>15 Jun 2018 p. 1963</w:t>
            </w:r>
            <w:r>
              <w:noBreakHyphen/>
              <w:t>2049</w:t>
            </w:r>
          </w:p>
        </w:tc>
        <w:tc>
          <w:tcPr>
            <w:tcW w:w="2693" w:type="dxa"/>
            <w:tcBorders>
              <w:bottom w:val="single" w:sz="4" w:space="0" w:color="auto"/>
            </w:tcBorders>
            <w:shd w:val="clear" w:color="auto" w:fill="auto"/>
          </w:tcPr>
          <w:p>
            <w:pPr>
              <w:pStyle w:val="nTable"/>
              <w:keepNext/>
              <w:spacing w:after="40"/>
              <w:rPr>
                <w:bCs/>
                <w:snapToGrid w:val="0"/>
              </w:rPr>
            </w:pPr>
            <w:r>
              <w:rPr>
                <w:bCs/>
                <w:snapToGrid w:val="0"/>
              </w:rPr>
              <w:t>1 Jul 2018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1" w:name="_Toc517770823"/>
      <w:bookmarkStart w:id="92" w:name="_Toc517771414"/>
      <w:bookmarkStart w:id="93" w:name="_Toc517773385"/>
      <w:bookmarkStart w:id="94" w:name="_Toc517774168"/>
      <w:bookmarkStart w:id="95" w:name="_Toc517788271"/>
      <w:bookmarkStart w:id="96" w:name="_Toc517866284"/>
      <w:r>
        <w:rPr>
          <w:sz w:val="28"/>
        </w:rPr>
        <w:t>Defined terms</w:t>
      </w:r>
      <w:bookmarkEnd w:id="91"/>
      <w:bookmarkEnd w:id="92"/>
      <w:bookmarkEnd w:id="93"/>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14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 w:name="WAFER_20180625153143" w:val="RemoveTocBookmarks,RemoveUnusedBookmarks,RemoveLanguageTags,UsedStyles,ResetPageSize"/>
    <w:docVar w:name="WAFER_20180625153143_GUID" w:val="8aa4007e-4159-4ea1-beb7-defb295b7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D579-FCBF-431A-9FD3-864450D6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3820</Words>
  <Characters>17726</Characters>
  <Application>Microsoft Office Word</Application>
  <DocSecurity>0</DocSecurity>
  <Lines>932</Lines>
  <Paragraphs>489</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2005 - 02-l0-02</dc:title>
  <dc:subject/>
  <dc:creator/>
  <cp:keywords/>
  <dc:description/>
  <cp:lastModifiedBy>svcMRProcess</cp:lastModifiedBy>
  <cp:revision>4</cp:revision>
  <cp:lastPrinted>2012-06-26T00:02:00Z</cp:lastPrinted>
  <dcterms:created xsi:type="dcterms:W3CDTF">2018-09-10T06:45:00Z</dcterms:created>
  <dcterms:modified xsi:type="dcterms:W3CDTF">2018-09-10T06:45:00Z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01 Jul 2018</vt:lpwstr>
  </property>
  <property fmtid="{D5CDD505-2E9C-101B-9397-08002B2CF9AE}" pid="8" name="Suffix">
    <vt:lpwstr>02-l0-02</vt:lpwstr>
  </property>
  <property fmtid="{D5CDD505-2E9C-101B-9397-08002B2CF9AE}" pid="9" name="CommencementDate">
    <vt:lpwstr>20180701</vt:lpwstr>
  </property>
</Properties>
</file>