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_Toc517866205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_Toc517866206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_Toc517866207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_Toc517866208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_Toc517866209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_Toc517866210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_Toc517866212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_Toc517866213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_Toc517866215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517866205"/>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517866206"/>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5" w:name="_Toc517866207"/>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Gazette 9 Mar 2012 p. 932.]</w:t>
      </w:r>
    </w:p>
    <w:p>
      <w:pPr>
        <w:pStyle w:val="Heading5"/>
      </w:pPr>
      <w:bookmarkStart w:id="6" w:name="_Toc517866208"/>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517866209"/>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517866210"/>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514321225"/>
      <w:bookmarkStart w:id="10" w:name="_Toc514321290"/>
      <w:bookmarkStart w:id="11" w:name="_Toc514330284"/>
      <w:bookmarkStart w:id="12" w:name="_Toc514334949"/>
      <w:bookmarkStart w:id="13" w:name="_Toc514336298"/>
      <w:bookmarkStart w:id="14" w:name="_Toc514336500"/>
      <w:bookmarkStart w:id="15" w:name="_Toc514414474"/>
      <w:bookmarkStart w:id="16" w:name="_Toc514414539"/>
      <w:bookmarkStart w:id="17" w:name="_Toc514657449"/>
      <w:bookmarkStart w:id="18" w:name="_Toc514666270"/>
      <w:bookmarkStart w:id="19" w:name="_Toc517781760"/>
      <w:bookmarkStart w:id="20" w:name="_Toc517781791"/>
      <w:bookmarkStart w:id="21" w:name="_Toc517788752"/>
      <w:bookmarkStart w:id="22" w:name="_Toc517866211"/>
      <w:r>
        <w:rPr>
          <w:rStyle w:val="CharSchNo"/>
        </w:rPr>
        <w:t>Schedule 1</w:t>
      </w:r>
      <w:r>
        <w:rPr>
          <w:rStyle w:val="CharSDivNo"/>
        </w:rPr>
        <w:t> </w:t>
      </w:r>
      <w:r>
        <w:t>—</w:t>
      </w:r>
      <w:r>
        <w:rPr>
          <w:rStyle w:val="CharSDivNo"/>
        </w:rPr>
        <w:t> </w:t>
      </w:r>
      <w:r>
        <w:rPr>
          <w:rStyle w:val="CharSchText"/>
        </w:rPr>
        <w:t>Fees</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yShoulderClause"/>
      </w:pPr>
      <w:r>
        <w:t>[r. 2 and 3]</w:t>
      </w:r>
    </w:p>
    <w:p>
      <w:pPr>
        <w:pStyle w:val="yFootnoteheading"/>
      </w:pPr>
      <w:r>
        <w:tab/>
        <w:t>[Heading inserted: Gazette 15 Jun 2018 p. 1998.]</w:t>
      </w:r>
    </w:p>
    <w:p>
      <w:pPr>
        <w:pStyle w:val="yHeading5"/>
      </w:pPr>
      <w:bookmarkStart w:id="23" w:name="_Toc514414475"/>
      <w:bookmarkStart w:id="24" w:name="_Toc514666271"/>
      <w:bookmarkStart w:id="25" w:name="_Toc517866212"/>
      <w:r>
        <w:rPr>
          <w:rStyle w:val="CharSClsNo"/>
        </w:rPr>
        <w:t>1</w:t>
      </w:r>
      <w:r>
        <w:t>.</w:t>
      </w:r>
      <w:r>
        <w:tab/>
        <w:t>Booking fee</w:t>
      </w:r>
      <w:bookmarkEnd w:id="23"/>
      <w:bookmarkEnd w:id="24"/>
      <w:bookmarkEnd w:id="25"/>
    </w:p>
    <w:p>
      <w:pPr>
        <w:pStyle w:val="yIndenta"/>
      </w:pPr>
      <w:r>
        <w:tab/>
        <w:t>(a)</w:t>
      </w:r>
      <w:r>
        <w:tab/>
        <w:t xml:space="preserve">Intrastate link </w:t>
      </w:r>
      <w:r>
        <w:tab/>
      </w:r>
      <w:r>
        <w:tab/>
        <w:t>$118.50</w:t>
      </w:r>
    </w:p>
    <w:p>
      <w:pPr>
        <w:pStyle w:val="yIndenta"/>
      </w:pPr>
      <w:r>
        <w:tab/>
        <w:t>(b)</w:t>
      </w:r>
      <w:r>
        <w:tab/>
        <w:t xml:space="preserve">Interstate or overseas link </w:t>
      </w:r>
      <w:r>
        <w:tab/>
        <w:t>$176.00</w:t>
      </w:r>
    </w:p>
    <w:p>
      <w:pPr>
        <w:pStyle w:val="yHeading5"/>
      </w:pPr>
      <w:bookmarkStart w:id="26" w:name="_Toc514414476"/>
      <w:bookmarkStart w:id="27" w:name="_Toc514666272"/>
      <w:bookmarkStart w:id="28" w:name="_Toc517866213"/>
      <w:r>
        <w:t>2.</w:t>
      </w:r>
      <w:r>
        <w:tab/>
        <w:t>Hourly fee</w:t>
      </w:r>
      <w:bookmarkEnd w:id="26"/>
      <w:bookmarkEnd w:id="27"/>
      <w:bookmarkEnd w:id="28"/>
    </w:p>
    <w:p>
      <w:pPr>
        <w:pStyle w:val="ySubsection"/>
      </w:pPr>
      <w:r>
        <w:tab/>
      </w:r>
      <w:r>
        <w:tab/>
        <w:t xml:space="preserve">Per hour or part of an hour </w:t>
      </w:r>
      <w:r>
        <w:tab/>
      </w:r>
      <w:r>
        <w:tab/>
        <w:t>$92.50</w:t>
      </w:r>
    </w:p>
    <w:p>
      <w:pPr>
        <w:pStyle w:val="yFootnotesection"/>
      </w:pPr>
      <w:r>
        <w:tab/>
        <w:t>[Schedule 1 inserted: Gazette 15 Jun 2018 p. 1998.]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0" w:name="_Toc517781763"/>
      <w:bookmarkStart w:id="31" w:name="_Toc517781794"/>
      <w:bookmarkStart w:id="32" w:name="_Toc517788755"/>
      <w:bookmarkStart w:id="33" w:name="_Toc517866214"/>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4" w:name="_Toc517866215"/>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gridCol w:w="29"/>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Borders>
              <w:top w:val="single" w:sz="8" w:space="0" w:color="auto"/>
            </w:tcBorders>
          </w:tcPr>
          <w:p>
            <w:pPr>
              <w:pStyle w:val="nTable"/>
              <w:spacing w:after="40"/>
            </w:pPr>
            <w:r>
              <w:rPr>
                <w:i/>
              </w:rPr>
              <w:t>Evidence (Video and Audio Links Fees and Expenses) Regulations 1999</w:t>
            </w:r>
          </w:p>
        </w:tc>
        <w:tc>
          <w:tcPr>
            <w:tcW w:w="1276" w:type="dxa"/>
            <w:gridSpan w:val="2"/>
            <w:tcBorders>
              <w:top w:val="single" w:sz="8" w:space="0" w:color="auto"/>
            </w:tcBorders>
          </w:tcPr>
          <w:p>
            <w:pPr>
              <w:pStyle w:val="nTable"/>
            </w:pPr>
            <w:r>
              <w:t>7 Dec 1999 p. 5995</w:t>
            </w:r>
            <w:r>
              <w:noBreakHyphen/>
              <w:t>6</w:t>
            </w:r>
          </w:p>
        </w:tc>
        <w:tc>
          <w:tcPr>
            <w:tcW w:w="2722" w:type="dxa"/>
            <w:gridSpan w:val="3"/>
            <w:tcBorders>
              <w:top w:val="single" w:sz="8" w:space="0" w:color="auto"/>
            </w:tcBorders>
          </w:tcPr>
          <w:p>
            <w:pPr>
              <w:pStyle w:val="nTable"/>
            </w:pPr>
            <w:r>
              <w:t>7 Dec 1999</w:t>
            </w:r>
          </w:p>
        </w:tc>
      </w:tr>
      <w:tr>
        <w:trPr>
          <w:gridBefore w:val="1"/>
          <w:wBefore w:w="28" w:type="dxa"/>
        </w:trPr>
        <w:tc>
          <w:tcPr>
            <w:tcW w:w="3118" w:type="dxa"/>
            <w:gridSpan w:val="2"/>
          </w:tcPr>
          <w:p>
            <w:pPr>
              <w:pStyle w:val="nTable"/>
              <w:spacing w:after="40"/>
              <w:rPr>
                <w:i/>
              </w:rPr>
            </w:pPr>
            <w:r>
              <w:rPr>
                <w:i/>
              </w:rPr>
              <w:t>Evidence (Video and Audio Links Fees and Expenses) Amendment Regulations 2003</w:t>
            </w:r>
          </w:p>
        </w:tc>
        <w:tc>
          <w:tcPr>
            <w:tcW w:w="1276" w:type="dxa"/>
            <w:gridSpan w:val="2"/>
          </w:tcPr>
          <w:p>
            <w:pPr>
              <w:pStyle w:val="nTable"/>
            </w:pPr>
            <w:r>
              <w:t>30 Dec 2003 p. 5718</w:t>
            </w:r>
          </w:p>
        </w:tc>
        <w:tc>
          <w:tcPr>
            <w:tcW w:w="2722" w:type="dxa"/>
            <w:gridSpan w:val="3"/>
          </w:tcPr>
          <w:p>
            <w:pPr>
              <w:pStyle w:val="nTable"/>
            </w:pPr>
            <w:r>
              <w:t>1 Jan 2004 (see r. 2)</w:t>
            </w:r>
          </w:p>
        </w:tc>
      </w:tr>
      <w:tr>
        <w:trPr>
          <w:gridBefore w:val="1"/>
          <w:wBefore w:w="28" w:type="dxa"/>
          <w:cantSplit/>
        </w:trPr>
        <w:tc>
          <w:tcPr>
            <w:tcW w:w="7116" w:type="dxa"/>
            <w:gridSpan w:val="7"/>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2005</w:t>
            </w:r>
          </w:p>
        </w:tc>
        <w:tc>
          <w:tcPr>
            <w:tcW w:w="1276" w:type="dxa"/>
            <w:gridSpan w:val="2"/>
          </w:tcPr>
          <w:p>
            <w:pPr>
              <w:pStyle w:val="nTable"/>
            </w:pPr>
            <w:r>
              <w:t>23 Jun 2005 p. 2689</w:t>
            </w:r>
          </w:p>
        </w:tc>
        <w:tc>
          <w:tcPr>
            <w:tcW w:w="2722" w:type="dxa"/>
            <w:gridSpan w:val="3"/>
          </w:tcPr>
          <w:p>
            <w:pPr>
              <w:pStyle w:val="nTable"/>
            </w:pPr>
            <w:r>
              <w:t>1 Jul 2005 (see r. 2)</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2006</w:t>
            </w:r>
          </w:p>
        </w:tc>
        <w:tc>
          <w:tcPr>
            <w:tcW w:w="1276" w:type="dxa"/>
            <w:gridSpan w:val="2"/>
          </w:tcPr>
          <w:p>
            <w:pPr>
              <w:pStyle w:val="nTable"/>
            </w:pPr>
            <w:r>
              <w:t>23 Jun 2006 p. 2190</w:t>
            </w:r>
          </w:p>
        </w:tc>
        <w:tc>
          <w:tcPr>
            <w:tcW w:w="2722" w:type="dxa"/>
            <w:gridSpan w:val="3"/>
          </w:tcPr>
          <w:p>
            <w:pPr>
              <w:pStyle w:val="nTable"/>
            </w:pPr>
            <w:r>
              <w:t>1 Jul 2006 (see r. 2)</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2007</w:t>
            </w:r>
          </w:p>
        </w:tc>
        <w:tc>
          <w:tcPr>
            <w:tcW w:w="1276" w:type="dxa"/>
            <w:gridSpan w:val="2"/>
          </w:tcPr>
          <w:p>
            <w:pPr>
              <w:pStyle w:val="nTable"/>
            </w:pPr>
            <w:r>
              <w:t>26 Jun 2007 p. 3030-1</w:t>
            </w:r>
          </w:p>
        </w:tc>
        <w:tc>
          <w:tcPr>
            <w:tcW w:w="2722" w:type="dxa"/>
            <w:gridSpan w:val="3"/>
          </w:tcPr>
          <w:p>
            <w:pPr>
              <w:pStyle w:val="nTable"/>
            </w:pPr>
            <w:r>
              <w:t>r. 1 and 2: 26 Jun 2007 (see r. 2(a));</w:t>
            </w:r>
            <w:r>
              <w:br/>
              <w:t>Regulations other than r. 1 and 2: 1 Jul 2007 (see r. 2(b))</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2008</w:t>
            </w:r>
          </w:p>
        </w:tc>
        <w:tc>
          <w:tcPr>
            <w:tcW w:w="1276" w:type="dxa"/>
            <w:gridSpan w:val="2"/>
          </w:tcPr>
          <w:p>
            <w:pPr>
              <w:pStyle w:val="nTable"/>
            </w:pPr>
            <w:r>
              <w:t>27 Jun 2008 p. 3072-3</w:t>
            </w:r>
          </w:p>
        </w:tc>
        <w:tc>
          <w:tcPr>
            <w:tcW w:w="2722" w:type="dxa"/>
            <w:gridSpan w:val="3"/>
          </w:tcPr>
          <w:p>
            <w:pPr>
              <w:pStyle w:val="nTable"/>
            </w:pPr>
            <w:r>
              <w:t>r. 1 and 2: 27 Jun 2008 (see r. 2(a));</w:t>
            </w:r>
            <w:r>
              <w:br/>
              <w:t>Regulations other than r. 1 and 2: 1 Jul 2008 (see r. 2(b))</w:t>
            </w:r>
          </w:p>
        </w:tc>
      </w:tr>
      <w:tr>
        <w:trPr>
          <w:gridBefore w:val="1"/>
          <w:wBefore w:w="28" w:type="dxa"/>
          <w:cantSplit/>
        </w:trPr>
        <w:tc>
          <w:tcPr>
            <w:tcW w:w="7116" w:type="dxa"/>
            <w:gridSpan w:val="7"/>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2009</w:t>
            </w:r>
          </w:p>
        </w:tc>
        <w:tc>
          <w:tcPr>
            <w:tcW w:w="1276" w:type="dxa"/>
            <w:gridSpan w:val="2"/>
          </w:tcPr>
          <w:p>
            <w:pPr>
              <w:pStyle w:val="nTable"/>
              <w:spacing w:after="40"/>
            </w:pPr>
            <w:r>
              <w:t>4 Sep 2009 p. 3494</w:t>
            </w:r>
          </w:p>
        </w:tc>
        <w:tc>
          <w:tcPr>
            <w:tcW w:w="2722" w:type="dxa"/>
            <w:gridSpan w:val="3"/>
          </w:tcPr>
          <w:p>
            <w:pPr>
              <w:pStyle w:val="nTable"/>
              <w:spacing w:after="40"/>
            </w:pPr>
            <w:r>
              <w:rPr>
                <w:snapToGrid w:val="0"/>
              </w:rPr>
              <w:t>r. 1 and 2: 4 Sep 2009 (see r. 2(a));</w:t>
            </w:r>
            <w:r>
              <w:rPr>
                <w:snapToGrid w:val="0"/>
              </w:rPr>
              <w:br/>
              <w:t>Regulations other than r. 1 and 2: 5 Sep 2009 (see r. 2(b))</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2011</w:t>
            </w:r>
          </w:p>
        </w:tc>
        <w:tc>
          <w:tcPr>
            <w:tcW w:w="1276" w:type="dxa"/>
            <w:gridSpan w:val="2"/>
          </w:tcPr>
          <w:p>
            <w:pPr>
              <w:pStyle w:val="nTable"/>
              <w:spacing w:after="40"/>
            </w:pPr>
            <w:r>
              <w:t>8 Mar 2011 p. 798</w:t>
            </w:r>
            <w:r>
              <w:noBreakHyphen/>
              <w:t>9</w:t>
            </w:r>
          </w:p>
        </w:tc>
        <w:tc>
          <w:tcPr>
            <w:tcW w:w="2722" w:type="dxa"/>
            <w:gridSpan w:val="3"/>
          </w:tcPr>
          <w:p>
            <w:pPr>
              <w:pStyle w:val="nTable"/>
              <w:spacing w:after="40"/>
              <w:rPr>
                <w:snapToGrid w:val="0"/>
              </w:rPr>
            </w:pPr>
            <w:r>
              <w:rPr>
                <w:snapToGrid w:val="0"/>
              </w:rPr>
              <w:t>r. 1 and 2: 8 Mar 2011 (see r. 2(a));</w:t>
            </w:r>
            <w:r>
              <w:rPr>
                <w:snapToGrid w:val="0"/>
              </w:rPr>
              <w:br/>
              <w:t>Regulations other than r. 1 and 2: 9 Mar 2011 (see r. 2(b))</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(No. 2) 2011</w:t>
            </w:r>
          </w:p>
        </w:tc>
        <w:tc>
          <w:tcPr>
            <w:tcW w:w="1276" w:type="dxa"/>
            <w:gridSpan w:val="2"/>
          </w:tcPr>
          <w:p>
            <w:pPr>
              <w:pStyle w:val="nTable"/>
              <w:spacing w:after="40"/>
            </w:pPr>
            <w:r>
              <w:t>20 Dec 2011 p. 5395</w:t>
            </w:r>
            <w:r>
              <w:noBreakHyphen/>
              <w:t>6</w:t>
            </w:r>
          </w:p>
        </w:tc>
        <w:tc>
          <w:tcPr>
            <w:tcW w:w="2722" w:type="dxa"/>
            <w:gridSpan w:val="3"/>
          </w:tcPr>
          <w:p>
            <w:pPr>
              <w:pStyle w:val="nTable"/>
              <w:spacing w:after="40"/>
              <w:rPr>
                <w:snapToGrid w:val="0"/>
              </w:rPr>
            </w:pPr>
            <w:r>
              <w:rPr>
                <w:snapToGrid w:val="0"/>
              </w:rPr>
              <w:t>r. 1 and 2: 20 Dec 2011 (see r. 2(a));</w:t>
            </w:r>
            <w:r>
              <w:rPr>
                <w:snapToGrid w:val="0"/>
              </w:rPr>
              <w:br/>
              <w:t>Regulations other than r. 1 and 2: 21 Dec 2011 (see r. 2(b))</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2012</w:t>
            </w:r>
          </w:p>
        </w:tc>
        <w:tc>
          <w:tcPr>
            <w:tcW w:w="1276" w:type="dxa"/>
            <w:gridSpan w:val="2"/>
          </w:tcPr>
          <w:p>
            <w:pPr>
              <w:pStyle w:val="nTable"/>
              <w:spacing w:after="40"/>
            </w:pPr>
            <w:r>
              <w:t>9 Mar 2012 p. 931</w:t>
            </w:r>
            <w:r>
              <w:noBreakHyphen/>
              <w:t>2</w:t>
            </w:r>
          </w:p>
        </w:tc>
        <w:tc>
          <w:tcPr>
            <w:tcW w:w="2722" w:type="dxa"/>
            <w:gridSpan w:val="3"/>
          </w:tcPr>
          <w:p>
            <w:pPr>
              <w:pStyle w:val="nTable"/>
              <w:spacing w:after="40"/>
              <w:rPr>
                <w:snapToGrid w:val="0"/>
              </w:rPr>
            </w:pPr>
            <w:r>
              <w:rPr>
                <w:snapToGrid w:val="0"/>
              </w:rPr>
              <w:t>r. 1 and 2: 9 Mar 2012 (see r. 2(a));</w:t>
            </w:r>
            <w:r>
              <w:rPr>
                <w:snapToGrid w:val="0"/>
              </w:rPr>
              <w:br/>
              <w:t>Regulations other than r. 1 and 2: 10 Mar 2012 (see r. 2(b))</w:t>
            </w:r>
          </w:p>
        </w:tc>
      </w:tr>
      <w:tr>
        <w:trPr>
          <w:gridBefore w:val="1"/>
          <w:wBefore w:w="28" w:type="dxa"/>
          <w:cantSplit/>
        </w:trPr>
        <w:tc>
          <w:tcPr>
            <w:tcW w:w="3118" w:type="dxa"/>
            <w:gridSpan w:val="2"/>
          </w:tcPr>
          <w:p>
            <w:pPr>
              <w:pStyle w:val="nTable"/>
              <w:spacing w:after="40"/>
              <w:rPr>
                <w:i/>
                <w:iCs/>
              </w:rPr>
            </w:pPr>
            <w:r>
              <w:rPr>
                <w:i/>
                <w:iCs/>
              </w:rPr>
              <w:t>Evidence (Video and Audio Links Fees and Expenses) Amendment Regulations (No. 2) 2012</w:t>
            </w:r>
          </w:p>
        </w:tc>
        <w:tc>
          <w:tcPr>
            <w:tcW w:w="1276" w:type="dxa"/>
            <w:gridSpan w:val="2"/>
          </w:tcPr>
          <w:p>
            <w:pPr>
              <w:pStyle w:val="nTable"/>
              <w:spacing w:after="40"/>
            </w:pPr>
            <w:r>
              <w:t>30 Nov 2012 p. 5800</w:t>
            </w:r>
          </w:p>
        </w:tc>
        <w:tc>
          <w:tcPr>
            <w:tcW w:w="2722" w:type="dxa"/>
            <w:gridSpan w:val="3"/>
          </w:tcPr>
          <w:p>
            <w:pPr>
              <w:pStyle w:val="nTable"/>
              <w:spacing w:after="40"/>
              <w:rPr>
                <w:snapToGrid w:val="0"/>
              </w:rPr>
            </w:pPr>
            <w:r>
              <w:rPr>
                <w:snapToGrid w:val="0"/>
              </w:rPr>
              <w:t>r. 1 and 2: 30 Nov 2012 (see r. 2(a));</w:t>
            </w:r>
            <w:r>
              <w:rPr>
                <w:snapToGrid w:val="0"/>
              </w:rPr>
              <w:br/>
              <w:t>Regulations other than r. 1 and 2: 1 Dec 2012 (see r. 2(b))</w:t>
            </w:r>
          </w:p>
        </w:tc>
      </w:tr>
      <w:tr>
        <w:trPr>
          <w:gridBefore w:val="1"/>
          <w:wBefore w:w="28" w:type="dxa"/>
          <w:cantSplit/>
        </w:trPr>
        <w:tc>
          <w:tcPr>
            <w:tcW w:w="3118" w:type="dxa"/>
            <w:gridSpan w:val="2"/>
            <w:shd w:val="clear" w:color="auto" w:fill="auto"/>
          </w:tcPr>
          <w:p>
            <w:pPr>
              <w:pStyle w:val="nTable"/>
              <w:spacing w:after="40"/>
              <w:rPr>
                <w:i/>
                <w:iCs/>
              </w:rPr>
            </w:pPr>
            <w:r>
              <w:rPr>
                <w:i/>
                <w:iCs/>
              </w:rPr>
              <w:t>Evidence (Video and Audio Links Fees and Expenses) Amendment Regulations 2013</w:t>
            </w:r>
          </w:p>
        </w:tc>
        <w:tc>
          <w:tcPr>
            <w:tcW w:w="1276" w:type="dxa"/>
            <w:gridSpan w:val="2"/>
            <w:shd w:val="clear" w:color="auto" w:fill="auto"/>
          </w:tcPr>
          <w:p>
            <w:pPr>
              <w:pStyle w:val="nTable"/>
              <w:spacing w:after="40"/>
            </w:pPr>
            <w:r>
              <w:t>15 Nov 2013 p. 5256</w:t>
            </w:r>
          </w:p>
        </w:tc>
        <w:tc>
          <w:tcPr>
            <w:tcW w:w="2722" w:type="dxa"/>
            <w:gridSpan w:val="3"/>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gridBefore w:val="1"/>
          <w:wBefore w:w="28" w:type="dxa"/>
          <w:cantSplit/>
        </w:trPr>
        <w:tc>
          <w:tcPr>
            <w:tcW w:w="7116" w:type="dxa"/>
            <w:gridSpan w:val="7"/>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gridBefore w:val="1"/>
          <w:wBefore w:w="28" w:type="dxa"/>
          <w:cantSplit/>
        </w:trPr>
        <w:tc>
          <w:tcPr>
            <w:tcW w:w="3118" w:type="dxa"/>
            <w:gridSpan w:val="2"/>
            <w:shd w:val="clear" w:color="auto" w:fill="auto"/>
          </w:tcPr>
          <w:p>
            <w:pPr>
              <w:pStyle w:val="nTable"/>
              <w:spacing w:after="40"/>
              <w:rPr>
                <w:i/>
                <w:iCs/>
              </w:rPr>
            </w:pPr>
            <w:r>
              <w:rPr>
                <w:i/>
                <w:iCs/>
              </w:rPr>
              <w:t>Evidence (Video and Audio Links Fees and Expenses) Amendment Regulations 2014</w:t>
            </w:r>
          </w:p>
        </w:tc>
        <w:tc>
          <w:tcPr>
            <w:tcW w:w="1276" w:type="dxa"/>
            <w:gridSpan w:val="2"/>
            <w:shd w:val="clear" w:color="auto" w:fill="auto"/>
          </w:tcPr>
          <w:p>
            <w:pPr>
              <w:pStyle w:val="nTable"/>
              <w:spacing w:after="40"/>
            </w:pPr>
            <w:r>
              <w:t>27 Jun 2014 p. 2341</w:t>
            </w:r>
          </w:p>
        </w:tc>
        <w:tc>
          <w:tcPr>
            <w:tcW w:w="2722" w:type="dxa"/>
            <w:gridSpan w:val="3"/>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gridBefore w:val="1"/>
          <w:wBefore w:w="28" w:type="dxa"/>
          <w:cantSplit/>
        </w:trPr>
        <w:tc>
          <w:tcPr>
            <w:tcW w:w="3118" w:type="dxa"/>
            <w:gridSpan w:val="2"/>
            <w:shd w:val="clear" w:color="auto" w:fill="auto"/>
          </w:tcPr>
          <w:p>
            <w:pPr>
              <w:pStyle w:val="nTable"/>
              <w:spacing w:after="40"/>
              <w:rPr>
                <w:i/>
                <w:iCs/>
              </w:rPr>
            </w:pPr>
            <w:r>
              <w:rPr>
                <w:i/>
                <w:iCs/>
              </w:rPr>
              <w:t>Evidence (Video and Audio Links Fees and Expenses) Amendment Regulations 2015</w:t>
            </w:r>
          </w:p>
        </w:tc>
        <w:tc>
          <w:tcPr>
            <w:tcW w:w="1276" w:type="dxa"/>
            <w:gridSpan w:val="2"/>
            <w:shd w:val="clear" w:color="auto" w:fill="auto"/>
          </w:tcPr>
          <w:p>
            <w:pPr>
              <w:pStyle w:val="nTable"/>
              <w:spacing w:after="40"/>
            </w:pPr>
            <w:r>
              <w:t>19 Jun 2015 p. 2122</w:t>
            </w:r>
            <w:r>
              <w:noBreakHyphen/>
              <w:t>3</w:t>
            </w:r>
          </w:p>
        </w:tc>
        <w:tc>
          <w:tcPr>
            <w:tcW w:w="2722" w:type="dxa"/>
            <w:gridSpan w:val="3"/>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gridBefore w:val="1"/>
          <w:wBefore w:w="28" w:type="dxa"/>
          <w:cantSplit/>
        </w:trPr>
        <w:tc>
          <w:tcPr>
            <w:tcW w:w="3118" w:type="dxa"/>
            <w:gridSpan w:val="2"/>
            <w:shd w:val="clear" w:color="auto" w:fill="auto"/>
          </w:tcPr>
          <w:p>
            <w:pPr>
              <w:pStyle w:val="nTable"/>
              <w:spacing w:after="40"/>
              <w:rPr>
                <w:i/>
                <w:iCs/>
              </w:rPr>
            </w:pPr>
            <w:r>
              <w:rPr>
                <w:i/>
              </w:rPr>
              <w:t>Attorney General Regulations Amendment (Fees) Regulations 2016</w:t>
            </w:r>
            <w:r>
              <w:t xml:space="preserve"> Pt. 6</w:t>
            </w:r>
          </w:p>
        </w:tc>
        <w:tc>
          <w:tcPr>
            <w:tcW w:w="1276" w:type="dxa"/>
            <w:gridSpan w:val="2"/>
            <w:shd w:val="clear" w:color="auto" w:fill="auto"/>
          </w:tcPr>
          <w:p>
            <w:pPr>
              <w:pStyle w:val="nTable"/>
              <w:spacing w:after="40"/>
            </w:pPr>
            <w:r>
              <w:t>14 Jun 2016 p. 1849</w:t>
            </w:r>
            <w:r>
              <w:noBreakHyphen/>
              <w:t>986</w:t>
            </w:r>
          </w:p>
        </w:tc>
        <w:tc>
          <w:tcPr>
            <w:tcW w:w="2722" w:type="dxa"/>
            <w:gridSpan w:val="3"/>
            <w:shd w:val="clear" w:color="auto" w:fill="auto"/>
          </w:tcPr>
          <w:p>
            <w:pPr>
              <w:pStyle w:val="nTable"/>
              <w:spacing w:after="40"/>
              <w:rPr>
                <w:bCs/>
                <w:snapToGrid w:val="0"/>
              </w:rPr>
            </w:pPr>
            <w:r>
              <w:t>4 Jul 2016 (see r. 2(b))</w:t>
            </w:r>
          </w:p>
        </w:tc>
      </w:tr>
      <w:tr>
        <w:trPr>
          <w:gridBefore w:val="1"/>
          <w:gridAfter w:val="1"/>
          <w:wBefore w:w="28" w:type="dxa"/>
          <w:wAfter w:w="29" w:type="dxa"/>
        </w:trPr>
        <w:tc>
          <w:tcPr>
            <w:tcW w:w="3118" w:type="dxa"/>
            <w:gridSpan w:val="2"/>
            <w:shd w:val="clear" w:color="auto" w:fill="auto"/>
          </w:tcPr>
          <w:p>
            <w:pPr>
              <w:pStyle w:val="nTable"/>
              <w:spacing w:after="40"/>
            </w:pPr>
            <w:r>
              <w:rPr>
                <w:i/>
              </w:rPr>
              <w:t xml:space="preserve">Attorney General Regulations Amendment (Fees and Charges) Regulations 2017 </w:t>
            </w:r>
            <w:r>
              <w:t>Pt. 6</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2"/>
          <w:wAfter w:w="57" w:type="dxa"/>
        </w:trPr>
        <w:tc>
          <w:tcPr>
            <w:tcW w:w="3118" w:type="dxa"/>
            <w:gridSpan w:val="2"/>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6</w:t>
            </w:r>
          </w:p>
        </w:tc>
        <w:tc>
          <w:tcPr>
            <w:tcW w:w="1276" w:type="dxa"/>
            <w:gridSpan w:val="2"/>
            <w:tcBorders>
              <w:bottom w:val="single" w:sz="4" w:space="0" w:color="auto"/>
            </w:tcBorders>
            <w:shd w:val="clear" w:color="auto" w:fill="auto"/>
          </w:tcPr>
          <w:p>
            <w:pPr>
              <w:pStyle w:val="nTable"/>
              <w:spacing w:after="40"/>
            </w:pPr>
            <w:r>
              <w:t>15 Jun 2018 p. 1963-2049</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29" w:name="Schedule"/>
        <w:bookmarkEnd w:id="29"/>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33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1282</Words>
  <Characters>5644</Characters>
  <Application>Microsoft Office Word</Application>
  <DocSecurity>0</DocSecurity>
  <Lines>256</Lines>
  <Paragraphs>150</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1999 - 03-h0-02</dc:title>
  <dc:subject/>
  <dc:creator/>
  <cp:keywords/>
  <dc:description/>
  <cp:lastModifiedBy>svcMRProcess</cp:lastModifiedBy>
  <cp:revision>4</cp:revision>
  <cp:lastPrinted>2015-07-16T04:23:00Z</cp:lastPrinted>
  <dcterms:created xsi:type="dcterms:W3CDTF">2019-01-17T08:35:00Z</dcterms:created>
  <dcterms:modified xsi:type="dcterms:W3CDTF">2019-01-17T08:35:00Z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01 Jul 2018</vt:lpwstr>
  </property>
  <property fmtid="{D5CDD505-2E9C-101B-9397-08002B2CF9AE}" pid="8" name="Suffix">
    <vt:lpwstr>03-h0-02</vt:lpwstr>
  </property>
  <property fmtid="{D5CDD505-2E9C-101B-9397-08002B2CF9AE}" pid="9" name="CommencementDate">
    <vt:lpwstr>20180701</vt:lpwstr>
  </property>
</Properties>
</file>