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_Toc517866696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_Toc517866697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_Toc517866698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_Toc517866699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_Toc517866700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_Toc517866701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_Toc517866702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_Toc517866703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_Toc517866704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_Toc517866705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_Toc517866706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_Toc517866707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_Toc517866708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_Toc517866709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_Toc517866710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_Toc517866711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_Toc517866712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_Toc517866713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_Toc517866714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4"/>
        <w:tabs>
          <w:tab w:val="right" w:pos="7077"/>
        </w:tabs>
        <w:rPr>
          <w:rFonts w:asciiTheme="minorHAnsi" w:eastAsiaTheme="minorEastAsia" w:hAnsiTheme="minorHAnsi" w:cstheme="minorBidi"/>
          <w:b w:val="0"/>
          <w:szCs w:val="22"/>
        </w:rPr>
      </w:pPr>
      <w:r>
        <w:t>Division 1 — General</w:t>
      </w:r>
    </w:p>
    <w:p>
      <w:pPr>
        <w:pStyle w:val="TOC4"/>
        <w:tabs>
          <w:tab w:val="right" w:pos="7077"/>
        </w:tabs>
        <w:rPr>
          <w:rFonts w:asciiTheme="minorHAnsi" w:eastAsiaTheme="minorEastAsia" w:hAnsiTheme="minorHAnsi" w:cstheme="minorBidi"/>
          <w:b w:val="0"/>
          <w:szCs w:val="22"/>
        </w:rPr>
      </w:pPr>
      <w:r>
        <w:t>Division 2 — 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_Toc517866720 \h </w:instrText>
      </w:r>
      <w:r>
        <w:fldChar w:fldCharType="separate"/>
      </w:r>
      <w:r>
        <w:t>33</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_Toc517866721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_Toc517866723 \h </w:instrText>
      </w:r>
      <w:r>
        <w:fldChar w:fldCharType="separate"/>
      </w:r>
      <w:r>
        <w:t>36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1786669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17866697"/>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17866698"/>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517866699"/>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517866700"/>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517866701"/>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9" w:name="_Toc517866702"/>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517866703"/>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17866704"/>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517866705"/>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517866706"/>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517866707"/>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517866708"/>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517866709"/>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517866710"/>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517866711"/>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517866712"/>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17866713"/>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17866714"/>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514321238"/>
      <w:bookmarkStart w:id="23" w:name="_Toc514321303"/>
      <w:bookmarkStart w:id="24" w:name="_Toc514330297"/>
      <w:bookmarkStart w:id="25" w:name="_Toc514334962"/>
      <w:bookmarkStart w:id="26" w:name="_Toc514336311"/>
      <w:bookmarkStart w:id="27" w:name="_Toc514336513"/>
      <w:bookmarkStart w:id="28" w:name="_Toc514414487"/>
      <w:bookmarkStart w:id="29" w:name="_Toc514414552"/>
      <w:bookmarkStart w:id="30" w:name="_Toc514657462"/>
      <w:bookmarkStart w:id="31" w:name="_Toc514666283"/>
      <w:bookmarkStart w:id="32" w:name="_Toc517785592"/>
      <w:bookmarkStart w:id="33" w:name="_Toc517785626"/>
      <w:bookmarkStart w:id="34" w:name="_Toc517788944"/>
      <w:bookmarkStart w:id="35" w:name="_Toc517866715"/>
      <w:r>
        <w:rPr>
          <w:rStyle w:val="CharSchNo"/>
        </w:rPr>
        <w:t>Schedule 1</w:t>
      </w:r>
      <w:r>
        <w:t> — </w:t>
      </w:r>
      <w:r>
        <w:rPr>
          <w:rStyle w:val="CharSchText"/>
        </w:rPr>
        <w:t>Fees</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yShoulderClause"/>
      </w:pPr>
      <w:r>
        <w:t>[r. 4]</w:t>
      </w:r>
    </w:p>
    <w:p>
      <w:pPr>
        <w:pStyle w:val="yFootnoteheading"/>
      </w:pPr>
      <w:bookmarkStart w:id="36" w:name="_Toc514321239"/>
      <w:bookmarkStart w:id="37" w:name="_Toc514321304"/>
      <w:bookmarkStart w:id="38" w:name="_Toc514330298"/>
      <w:bookmarkStart w:id="39" w:name="_Toc514334963"/>
      <w:bookmarkStart w:id="40" w:name="_Toc514336312"/>
      <w:bookmarkStart w:id="41" w:name="_Toc514336514"/>
      <w:bookmarkStart w:id="42" w:name="_Toc514414488"/>
      <w:bookmarkStart w:id="43" w:name="_Toc514414553"/>
      <w:bookmarkStart w:id="44" w:name="_Toc514657463"/>
      <w:bookmarkStart w:id="45" w:name="_Toc514666284"/>
      <w:r>
        <w:tab/>
        <w:t>[Heading inserted in Gazette 15 Jun 2018 p. 2002.]</w:t>
      </w:r>
    </w:p>
    <w:p>
      <w:pPr>
        <w:pStyle w:val="yHeading3"/>
      </w:pPr>
      <w:bookmarkStart w:id="46" w:name="_Toc517785593"/>
      <w:bookmarkStart w:id="47" w:name="_Toc517785627"/>
      <w:bookmarkStart w:id="48" w:name="_Toc517788945"/>
      <w:bookmarkStart w:id="49" w:name="_Toc517866716"/>
      <w:r>
        <w:rPr>
          <w:rStyle w:val="CharSDivNo"/>
        </w:rPr>
        <w:t>Division 1</w:t>
      </w:r>
      <w:r>
        <w:t> — </w:t>
      </w:r>
      <w:r>
        <w:rPr>
          <w:rStyle w:val="CharSDivText"/>
        </w:rPr>
        <w:t>General</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Footnoteheading"/>
      </w:pPr>
      <w:r>
        <w:tab/>
        <w:t>[Heading inserted in Gazette 15 Jun 2018 p. 2002.]</w:t>
      </w:r>
    </w:p>
    <w:tbl>
      <w:tblPr>
        <w:tblW w:w="7229" w:type="dxa"/>
        <w:tblInd w:w="250" w:type="dxa"/>
        <w:tblLayout w:type="fixed"/>
        <w:tblLook w:val="0000" w:firstRow="0" w:lastRow="0" w:firstColumn="0" w:lastColumn="0" w:noHBand="0" w:noVBand="0"/>
      </w:tblPr>
      <w:tblGrid>
        <w:gridCol w:w="709"/>
        <w:gridCol w:w="2693"/>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5"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cantSplit/>
        </w:trPr>
        <w:tc>
          <w:tcPr>
            <w:tcW w:w="709" w:type="dxa"/>
          </w:tcPr>
          <w:p>
            <w:pPr>
              <w:pStyle w:val="zyTableNAm"/>
              <w:keepLines/>
              <w:widowControl w:val="0"/>
            </w:pPr>
          </w:p>
        </w:tc>
        <w:tc>
          <w:tcPr>
            <w:tcW w:w="2693" w:type="dxa"/>
          </w:tcPr>
          <w:p>
            <w:pPr>
              <w:pStyle w:val="yTableNAm"/>
              <w:ind w:left="601" w:hanging="601"/>
            </w:pPr>
            <w:r>
              <w:t>(b)</w:t>
            </w:r>
            <w:r>
              <w:tab/>
              <w:t>For issue of a duplicate document or order</w:t>
            </w:r>
          </w:p>
        </w:tc>
        <w:tc>
          <w:tcPr>
            <w:tcW w:w="1275" w:type="dxa"/>
          </w:tcPr>
          <w:p>
            <w:pPr>
              <w:pStyle w:val="yTableNAm"/>
            </w:pPr>
            <w:r>
              <w:rPr>
                <w:szCs w:val="22"/>
              </w:rPr>
              <w:br/>
            </w:r>
            <w:r>
              <w:rPr>
                <w:szCs w:val="22"/>
              </w:rPr>
              <w:br/>
              <w:t>17.65</w:t>
            </w:r>
          </w:p>
        </w:tc>
        <w:tc>
          <w:tcPr>
            <w:tcW w:w="1276" w:type="dxa"/>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cantSplit/>
        </w:trPr>
        <w:tc>
          <w:tcPr>
            <w:tcW w:w="709" w:type="dxa"/>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5"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cantSplit/>
        </w:trPr>
        <w:tc>
          <w:tcPr>
            <w:tcW w:w="709" w:type="dxa"/>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5" w:type="dxa"/>
          </w:tcPr>
          <w:p>
            <w:pPr>
              <w:pStyle w:val="yTableNAm"/>
            </w:pPr>
            <w:r>
              <w:rPr>
                <w:szCs w:val="22"/>
              </w:rPr>
              <w:br/>
            </w:r>
            <w:r>
              <w:rPr>
                <w:szCs w:val="22"/>
              </w:rPr>
              <w:br/>
              <w:t>2.00</w:t>
            </w:r>
          </w:p>
          <w:p>
            <w:pPr>
              <w:pStyle w:val="yTableNAm"/>
            </w:pPr>
            <w:r>
              <w:br/>
            </w:r>
            <w:r>
              <w:br/>
            </w:r>
            <w: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cantSplit/>
        </w:trPr>
        <w:tc>
          <w:tcPr>
            <w:tcW w:w="709" w:type="dxa"/>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709" w:type="dxa"/>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5" w:type="dxa"/>
          </w:tcPr>
          <w:p>
            <w:pPr>
              <w:pStyle w:val="yTableNAm"/>
            </w:pPr>
            <w:r>
              <w:rPr>
                <w:szCs w:val="22"/>
              </w:rPr>
              <w:br/>
              <w:t>2.00</w:t>
            </w:r>
          </w:p>
          <w:p>
            <w:pPr>
              <w:pStyle w:val="yTableNAm"/>
            </w:pPr>
            <w:r>
              <w:br/>
            </w:r>
            <w:r>
              <w:br/>
              <w:t>64 047.00</w:t>
            </w:r>
          </w:p>
        </w:tc>
        <w:tc>
          <w:tcPr>
            <w:tcW w:w="1276" w:type="dxa"/>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rPr>
                <w:szCs w:val="22"/>
              </w:rPr>
              <w:br/>
              <w:t>65.50</w:t>
            </w:r>
          </w:p>
        </w:tc>
        <w:tc>
          <w:tcPr>
            <w:tcW w:w="1276" w:type="dxa"/>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cantSplit/>
        </w:trPr>
        <w:tc>
          <w:tcPr>
            <w:tcW w:w="709" w:type="dxa"/>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cantSplit/>
        </w:trPr>
        <w:tc>
          <w:tcPr>
            <w:tcW w:w="709" w:type="dxa"/>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5" w:type="dxa"/>
          </w:tcPr>
          <w:p>
            <w:pPr>
              <w:pStyle w:val="yTableNAm"/>
            </w:pPr>
            <w:r>
              <w:br/>
            </w:r>
            <w:r>
              <w:br/>
            </w:r>
            <w:r>
              <w:br/>
            </w:r>
            <w:r>
              <w:br/>
            </w:r>
            <w:r>
              <w:rPr>
                <w:szCs w:val="22"/>
              </w:rPr>
              <w:t>1.85</w:t>
            </w:r>
          </w:p>
        </w:tc>
        <w:tc>
          <w:tcPr>
            <w:tcW w:w="1276" w:type="dxa"/>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cantSplit/>
        </w:trPr>
        <w:tc>
          <w:tcPr>
            <w:tcW w:w="709" w:type="dxa"/>
          </w:tcPr>
          <w:p>
            <w:pPr>
              <w:pStyle w:val="zyTableNAm"/>
              <w:keepNext/>
              <w:keepLines/>
            </w:pPr>
          </w:p>
        </w:tc>
        <w:tc>
          <w:tcPr>
            <w:tcW w:w="2693" w:type="dxa"/>
          </w:tcPr>
          <w:p>
            <w:pPr>
              <w:pStyle w:val="yTableNAm"/>
              <w:ind w:left="601" w:hanging="601"/>
            </w:pPr>
            <w:r>
              <w:t>(b)</w:t>
            </w:r>
            <w:r>
              <w:tab/>
              <w:t>For a copy of reasons for judgment —</w:t>
            </w:r>
          </w:p>
        </w:tc>
        <w:tc>
          <w:tcPr>
            <w:tcW w:w="1275" w:type="dxa"/>
          </w:tcPr>
          <w:p>
            <w:pPr>
              <w:pStyle w:val="zyTableNAm"/>
              <w:keepNext/>
              <w:keepLines/>
            </w:pPr>
          </w:p>
        </w:tc>
        <w:tc>
          <w:tcPr>
            <w:tcW w:w="1276" w:type="dxa"/>
          </w:tcPr>
          <w:p>
            <w:pPr>
              <w:pStyle w:val="zyTableNAm"/>
              <w:keepNext/>
              <w:keepLines/>
            </w:pPr>
          </w:p>
        </w:tc>
        <w:tc>
          <w:tcPr>
            <w:tcW w:w="1276" w:type="dxa"/>
          </w:tcPr>
          <w:p>
            <w:pPr>
              <w:pStyle w:val="yTableNAm"/>
            </w:pPr>
          </w:p>
        </w:tc>
      </w:tr>
      <w:tr>
        <w:trPr>
          <w:cantSplit/>
        </w:trPr>
        <w:tc>
          <w:tcPr>
            <w:tcW w:w="709" w:type="dxa"/>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9" w:type="dxa"/>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cantSplit/>
        </w:trPr>
        <w:tc>
          <w:tcPr>
            <w:tcW w:w="709" w:type="dxa"/>
          </w:tcPr>
          <w:p>
            <w:pPr>
              <w:pStyle w:val="zyTableNAm"/>
            </w:pPr>
          </w:p>
        </w:tc>
        <w:tc>
          <w:tcPr>
            <w:tcW w:w="2693" w:type="dxa"/>
          </w:tcPr>
          <w:p>
            <w:pPr>
              <w:pStyle w:val="yTableNAm"/>
              <w:ind w:left="601" w:hanging="601"/>
            </w:pPr>
            <w:r>
              <w:t>(c)</w:t>
            </w:r>
            <w:r>
              <w:tab/>
              <w:t>For certifying that a document is a true copy, an additional fee of</w:t>
            </w:r>
          </w:p>
        </w:tc>
        <w:tc>
          <w:tcPr>
            <w:tcW w:w="1275"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693" w:type="dxa"/>
            <w:tcBorders>
              <w:top w:val="nil"/>
              <w:left w:val="nil"/>
              <w:bottom w:val="nil"/>
              <w:right w:val="nil"/>
            </w:tcBorders>
          </w:tcPr>
          <w:p>
            <w:pPr>
              <w:pStyle w:val="yTableNAm"/>
              <w:ind w:left="601" w:hanging="601"/>
            </w:pPr>
            <w:r>
              <w:t>(a)</w:t>
            </w:r>
            <w:r>
              <w:tab/>
              <w:t xml:space="preserve">For a copy of a transcript, or part of a transcript — </w:t>
            </w:r>
          </w:p>
        </w:tc>
        <w:tc>
          <w:tcPr>
            <w:tcW w:w="1275"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provided within 1 day after the day on which the fee is paid</w:t>
            </w:r>
          </w:p>
        </w:tc>
        <w:tc>
          <w:tcPr>
            <w:tcW w:w="1275" w:type="dxa"/>
            <w:tcBorders>
              <w:top w:val="nil"/>
              <w:left w:val="nil"/>
              <w:bottom w:val="nil"/>
              <w:right w:val="nil"/>
            </w:tcBorders>
          </w:tcPr>
          <w:p>
            <w:pPr>
              <w:pStyle w:val="yTableNAm"/>
            </w:pPr>
            <w:r>
              <w:br/>
            </w:r>
            <w:r>
              <w:br/>
              <w:t>20.50 plus 8.45 per page</w:t>
            </w:r>
          </w:p>
        </w:tc>
        <w:tc>
          <w:tcPr>
            <w:tcW w:w="1276" w:type="dxa"/>
            <w:tcBorders>
              <w:top w:val="nil"/>
              <w:left w:val="nil"/>
              <w:bottom w:val="nil"/>
              <w:right w:val="nil"/>
            </w:tcBorders>
          </w:tcPr>
          <w:p>
            <w:pPr>
              <w:pStyle w:val="yTableNAm"/>
            </w:pPr>
            <w:r>
              <w:br/>
            </w:r>
            <w:r>
              <w:br/>
              <w:t>20.50 plus 16.90 per page</w:t>
            </w:r>
          </w:p>
        </w:tc>
        <w:tc>
          <w:tcPr>
            <w:tcW w:w="1276" w:type="dxa"/>
            <w:tcBorders>
              <w:top w:val="nil"/>
              <w:left w:val="nil"/>
              <w:bottom w:val="nil"/>
              <w:right w:val="nil"/>
            </w:tcBorders>
          </w:tcPr>
          <w:p>
            <w:pPr>
              <w:pStyle w:val="yTableNAm"/>
            </w:pPr>
            <w:r>
              <w:br/>
            </w:r>
            <w:r>
              <w:br/>
              <w:t xml:space="preserve">6.15 plus </w:t>
            </w:r>
            <w:r>
              <w:br/>
              <w:t>2.55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20.50 plus </w:t>
            </w:r>
            <w:r>
              <w:br/>
              <w:t>7.30 per page</w:t>
            </w:r>
          </w:p>
        </w:tc>
        <w:tc>
          <w:tcPr>
            <w:tcW w:w="1276" w:type="dxa"/>
            <w:tcBorders>
              <w:top w:val="nil"/>
              <w:left w:val="nil"/>
              <w:bottom w:val="nil"/>
              <w:right w:val="nil"/>
            </w:tcBorders>
          </w:tcPr>
          <w:p>
            <w:pPr>
              <w:pStyle w:val="yTableNAm"/>
            </w:pPr>
            <w:r>
              <w:br/>
            </w:r>
            <w:r>
              <w:br/>
              <w:t xml:space="preserve">20.50 plus </w:t>
            </w:r>
            <w:r>
              <w:br/>
              <w:t>14.75 per page</w:t>
            </w:r>
          </w:p>
        </w:tc>
        <w:tc>
          <w:tcPr>
            <w:tcW w:w="1276" w:type="dxa"/>
            <w:tcBorders>
              <w:top w:val="nil"/>
              <w:left w:val="nil"/>
              <w:bottom w:val="nil"/>
              <w:right w:val="nil"/>
            </w:tcBorders>
          </w:tcPr>
          <w:p>
            <w:pPr>
              <w:pStyle w:val="yTableNAm"/>
            </w:pPr>
            <w:r>
              <w:br/>
            </w:r>
            <w:r>
              <w:br/>
              <w:t>6.15 plus 2.20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(iii)</w:t>
            </w:r>
            <w:r>
              <w:tab/>
              <w:t>provided within 7 days after the day on which the fee is paid</w:t>
            </w:r>
          </w:p>
        </w:tc>
        <w:tc>
          <w:tcPr>
            <w:tcW w:w="1275" w:type="dxa"/>
            <w:tcBorders>
              <w:top w:val="nil"/>
              <w:left w:val="nil"/>
              <w:bottom w:val="nil"/>
              <w:right w:val="nil"/>
            </w:tcBorders>
          </w:tcPr>
          <w:p>
            <w:pPr>
              <w:pStyle w:val="yTableNAm"/>
            </w:pPr>
            <w:r>
              <w:br/>
            </w:r>
            <w:r>
              <w:br/>
              <w:t xml:space="preserve">20.50 plus </w:t>
            </w:r>
            <w:r>
              <w:br/>
              <w:t>7.05 per page</w:t>
            </w:r>
          </w:p>
        </w:tc>
        <w:tc>
          <w:tcPr>
            <w:tcW w:w="1276" w:type="dxa"/>
            <w:tcBorders>
              <w:top w:val="nil"/>
              <w:left w:val="nil"/>
              <w:bottom w:val="nil"/>
              <w:right w:val="nil"/>
            </w:tcBorders>
          </w:tcPr>
          <w:p>
            <w:pPr>
              <w:pStyle w:val="yTableNAm"/>
            </w:pPr>
            <w:r>
              <w:br/>
            </w:r>
            <w:r>
              <w:br/>
              <w:t>20.50 plus</w:t>
            </w:r>
            <w:r>
              <w:br/>
              <w:t>14.05 per page</w:t>
            </w:r>
          </w:p>
        </w:tc>
        <w:tc>
          <w:tcPr>
            <w:tcW w:w="1276" w:type="dxa"/>
            <w:tcBorders>
              <w:top w:val="nil"/>
              <w:left w:val="nil"/>
              <w:bottom w:val="nil"/>
              <w:right w:val="nil"/>
            </w:tcBorders>
          </w:tcPr>
          <w:p>
            <w:pPr>
              <w:pStyle w:val="yTableNAm"/>
            </w:pPr>
            <w:r>
              <w:br/>
            </w:r>
            <w:r>
              <w:br/>
              <w:t xml:space="preserve">6.15 plus </w:t>
            </w:r>
            <w:r>
              <w:br/>
              <w:t>2.15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601" w:hanging="601"/>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in electronic format</w:t>
            </w:r>
          </w:p>
        </w:tc>
        <w:tc>
          <w:tcPr>
            <w:tcW w:w="1275"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6.45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pPr>
            <w:r>
              <w:tab/>
              <w:t>(ii)</w:t>
            </w:r>
            <w:r>
              <w:tab/>
              <w:t>paper copy</w:t>
            </w:r>
          </w:p>
        </w:tc>
        <w:tc>
          <w:tcPr>
            <w:tcW w:w="1275"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tcPr>
          <w:p>
            <w:pPr>
              <w:pStyle w:val="zyTableNAm"/>
              <w:rPr>
                <w:rFonts w:ascii="Arial" w:hAnsi="Arial" w:cs="Arial"/>
                <w:sz w:val="18"/>
                <w:szCs w:val="18"/>
              </w:rPr>
            </w:pPr>
          </w:p>
        </w:tc>
        <w:tc>
          <w:tcPr>
            <w:tcW w:w="6520" w:type="dxa"/>
            <w:gridSpan w:val="4"/>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50" w:name="_Toc514321240"/>
      <w:bookmarkStart w:id="51" w:name="_Toc514321305"/>
      <w:bookmarkStart w:id="52" w:name="_Toc514330299"/>
      <w:bookmarkStart w:id="53" w:name="_Toc514334964"/>
      <w:bookmarkStart w:id="54" w:name="_Toc514336313"/>
      <w:bookmarkStart w:id="55" w:name="_Toc514336515"/>
      <w:bookmarkStart w:id="56" w:name="_Toc514414489"/>
      <w:bookmarkStart w:id="57" w:name="_Toc514414554"/>
      <w:bookmarkStart w:id="58" w:name="_Toc514657464"/>
      <w:bookmarkStart w:id="59" w:name="_Toc514666285"/>
      <w:r>
        <w:tab/>
        <w:t>[Division 1 inserted in Gazette 15 Jun 2018 p. 2002</w:t>
      </w:r>
      <w:r>
        <w:noBreakHyphen/>
        <w:t>9.]</w:t>
      </w:r>
    </w:p>
    <w:p>
      <w:pPr>
        <w:pStyle w:val="yHeading3"/>
        <w:spacing w:before="0"/>
      </w:pPr>
      <w:bookmarkStart w:id="60" w:name="_Toc517785594"/>
      <w:bookmarkStart w:id="61" w:name="_Toc517785628"/>
      <w:bookmarkStart w:id="62" w:name="_Toc517788946"/>
      <w:bookmarkStart w:id="63" w:name="_Toc517866717"/>
      <w:r>
        <w:rPr>
          <w:rStyle w:val="CharSDivNo"/>
        </w:rPr>
        <w:t>Division 2</w:t>
      </w:r>
      <w:r>
        <w:t> — </w:t>
      </w:r>
      <w:r>
        <w:rPr>
          <w:rStyle w:val="CharSDivText"/>
        </w:rPr>
        <w:t>Civil jurisdiction</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Footnoteheading"/>
        <w:keepNext/>
      </w:pPr>
      <w:r>
        <w:tab/>
        <w:t>[Heading inserted in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bookmarkStart w:id="64" w:name="_Toc514321241"/>
      <w:bookmarkStart w:id="65" w:name="_Toc514321306"/>
      <w:bookmarkStart w:id="66" w:name="_Toc514330300"/>
      <w:bookmarkStart w:id="67" w:name="_Toc514334965"/>
      <w:bookmarkStart w:id="68" w:name="_Toc514336314"/>
      <w:bookmarkStart w:id="69" w:name="_Toc514336516"/>
      <w:bookmarkStart w:id="70" w:name="_Toc514414490"/>
      <w:bookmarkStart w:id="71" w:name="_Toc514414555"/>
      <w:bookmarkStart w:id="72" w:name="_Toc514657465"/>
      <w:bookmarkStart w:id="73" w:name="_Toc514666286"/>
      <w:r>
        <w:tab/>
        <w:t>[Division 2 inserted in Gazette 15 Jun 2018 p. 2009</w:t>
      </w:r>
      <w:r>
        <w:noBreakHyphen/>
        <w:t>18.]</w:t>
      </w:r>
    </w:p>
    <w:p>
      <w:pPr>
        <w:pStyle w:val="yHeading3"/>
        <w:keepLines/>
        <w:pageBreakBefore/>
        <w:spacing w:before="0"/>
      </w:pPr>
      <w:bookmarkStart w:id="74" w:name="_Toc517785595"/>
      <w:bookmarkStart w:id="75" w:name="_Toc517785629"/>
      <w:bookmarkStart w:id="76" w:name="_Toc517788947"/>
      <w:bookmarkStart w:id="77" w:name="_Toc517866718"/>
      <w:r>
        <w:rPr>
          <w:rStyle w:val="CharSDivNo"/>
        </w:rPr>
        <w:t>Division 3</w:t>
      </w:r>
      <w:r>
        <w:t> — </w:t>
      </w:r>
      <w:r>
        <w:rPr>
          <w:rStyle w:val="CharSDivText"/>
        </w:rPr>
        <w:t>Criminal jurisdiction</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Footnoteheading"/>
      </w:pPr>
      <w:r>
        <w:tab/>
        <w:t>[Heading inserted in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in Gazette 15 Jun 2018 p. 2018</w:t>
      </w:r>
      <w:r>
        <w:noBreakHyphen/>
        <w:t>19.]</w:t>
      </w:r>
    </w:p>
    <w:p>
      <w:pPr>
        <w:outlineLvl w:val="0"/>
        <w:sectPr>
          <w:headerReference w:type="even" r:id="rId25"/>
          <w:headerReference w:type="default" r:id="rId26"/>
          <w:pgSz w:w="11907" w:h="16840" w:code="9"/>
          <w:pgMar w:top="2381" w:right="2410" w:bottom="3544" w:left="2410" w:header="720" w:footer="3544" w:gutter="0"/>
          <w:cols w:space="720"/>
        </w:sectPr>
      </w:pPr>
      <w:bookmarkStart w:id="79" w:name="_Toc517785596"/>
      <w:bookmarkStart w:id="80" w:name="_Toc517785630"/>
      <w:bookmarkStart w:id="81" w:name="_Toc517788948"/>
      <w:bookmarkStart w:id="82" w:name="_Toc517866719"/>
    </w:p>
    <w:p>
      <w:pPr>
        <w:pStyle w:val="yScheduleHeading"/>
      </w:pPr>
      <w:r>
        <w:rPr>
          <w:rStyle w:val="CharSchNo"/>
        </w:rPr>
        <w:t>Schedule 2</w:t>
      </w:r>
      <w:r>
        <w:rPr>
          <w:rStyle w:val="CharSDivNo"/>
        </w:rPr>
        <w:t> </w:t>
      </w:r>
      <w:r>
        <w:t>—</w:t>
      </w:r>
      <w:r>
        <w:rPr>
          <w:rStyle w:val="CharSDivText"/>
        </w:rPr>
        <w:t> </w:t>
      </w:r>
      <w:r>
        <w:rPr>
          <w:rStyle w:val="CharSchText"/>
        </w:rPr>
        <w:t>Forms</w:t>
      </w:r>
      <w:bookmarkEnd w:id="79"/>
      <w:bookmarkEnd w:id="80"/>
      <w:bookmarkEnd w:id="81"/>
      <w:bookmarkEnd w:id="82"/>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83" w:name="_Toc517866720"/>
      <w:r>
        <w:rPr>
          <w:rStyle w:val="CharSClsNo"/>
        </w:rPr>
        <w:t>1</w:t>
      </w:r>
      <w:r>
        <w:t>.</w:t>
      </w:r>
      <w:r>
        <w:tab/>
        <w:t>Declaration that a person is a small business or a non</w:t>
      </w:r>
      <w:r>
        <w:noBreakHyphen/>
        <w:t>profit association</w:t>
      </w:r>
      <w:bookmarkEnd w:id="8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84" w:name="_Toc517866721"/>
      <w:r>
        <w:rPr>
          <w:rStyle w:val="CharSClsNo"/>
        </w:rPr>
        <w:t>3</w:t>
      </w:r>
      <w:r>
        <w:t>.</w:t>
      </w:r>
      <w:r>
        <w:tab/>
        <w:t>Application for determination of dispute about fees</w:t>
      </w:r>
      <w:bookmarkEnd w:id="8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85" w:name="_Toc517785599"/>
      <w:bookmarkStart w:id="86" w:name="_Toc517785633"/>
      <w:bookmarkStart w:id="87" w:name="_Toc517788951"/>
      <w:bookmarkStart w:id="88" w:name="_Toc517866722"/>
      <w:r>
        <w:t>Notes</w:t>
      </w:r>
      <w:bookmarkEnd w:id="85"/>
      <w:bookmarkEnd w:id="86"/>
      <w:bookmarkEnd w:id="87"/>
      <w:bookmarkEnd w:id="88"/>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89" w:name="_Toc517866723"/>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8</w:t>
            </w:r>
          </w:p>
        </w:tc>
        <w:tc>
          <w:tcPr>
            <w:tcW w:w="1276" w:type="dxa"/>
            <w:gridSpan w:val="2"/>
            <w:tcBorders>
              <w:bottom w:val="single" w:sz="4" w:space="0" w:color="auto"/>
            </w:tcBorders>
            <w:shd w:val="clear" w:color="auto" w:fill="auto"/>
          </w:tcPr>
          <w:p>
            <w:pPr>
              <w:pStyle w:val="nTable"/>
              <w:spacing w:after="40"/>
            </w:pPr>
            <w:r>
              <w:t>15 Jun 2018 p. 1963</w:t>
            </w:r>
            <w:r>
              <w:noBreakHyphen/>
              <w:t>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180"/>
        <w:rPr>
          <w:vertAlign w:val="superscript"/>
        </w:rPr>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1" w:name="_Toc517785606"/>
      <w:bookmarkStart w:id="92" w:name="_Toc517785640"/>
      <w:bookmarkStart w:id="93" w:name="_Toc517788958"/>
      <w:bookmarkStart w:id="94" w:name="_Toc517866724"/>
      <w:r>
        <w:rPr>
          <w:sz w:val="28"/>
        </w:rPr>
        <w:t>Defined terms</w:t>
      </w:r>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54"/>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6F52-3A45-4F72-846D-22227C66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7629</Words>
  <Characters>37386</Characters>
  <Application>Microsoft Office Word</Application>
  <DocSecurity>0</DocSecurity>
  <Lines>2492</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2005 - 03-h0-01</dc:title>
  <dc:subject/>
  <dc:creator/>
  <cp:keywords/>
  <dc:description/>
  <cp:lastModifiedBy>svcMRProcess</cp:lastModifiedBy>
  <cp:revision>4</cp:revision>
  <cp:lastPrinted>2015-12-03T08:22:00Z</cp:lastPrinted>
  <dcterms:created xsi:type="dcterms:W3CDTF">2018-09-12T19:52:00Z</dcterms:created>
  <dcterms:modified xsi:type="dcterms:W3CDTF">2018-09-12T19:52:00Z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Jul 2018</vt:lpwstr>
  </property>
  <property fmtid="{D5CDD505-2E9C-101B-9397-08002B2CF9AE}" pid="8" name="Suffix">
    <vt:lpwstr>03-h0-01</vt:lpwstr>
  </property>
  <property fmtid="{D5CDD505-2E9C-101B-9397-08002B2CF9AE}" pid="9" name="CommencementDate">
    <vt:lpwstr>20180701</vt:lpwstr>
  </property>
</Properties>
</file>