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_Toc517880616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_Toc517880617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_Toc517880618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_Toc517880619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_Toc517880620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_Toc517880621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_Toc517880622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_Toc517880623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_Toc517880624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_Toc517880625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_Toc517880626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_Toc517880628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_Toc517880629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_Toc517880630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_Toc517880631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_Toc517880632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_Toc517880633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_Toc517880634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_Toc517880635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_Toc517880636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_Toc517880637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_Toc517880641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_Toc517880642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_Toc517880643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_Toc517880647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517880616"/>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517880617"/>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17880618"/>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 16 Feb 2018 p. 470.]</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6" w:name="_Toc517880619"/>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7" w:name="_Toc517880620"/>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517880621"/>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517880622"/>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0" w:name="_Toc517880623"/>
      <w:r>
        <w:rPr>
          <w:rStyle w:val="CharSectno"/>
        </w:rPr>
        <w:t>8</w:t>
      </w:r>
      <w:r>
        <w:t>.</w:t>
      </w:r>
      <w:r>
        <w:tab/>
        <w:t>When charges payable; interest on unpaid charges</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1" w:name="_Toc517880624"/>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517880625"/>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17880626"/>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15013339"/>
      <w:bookmarkStart w:id="15" w:name="_Toc515013362"/>
      <w:bookmarkStart w:id="16" w:name="_Toc515029216"/>
      <w:bookmarkStart w:id="17" w:name="_Toc515267980"/>
      <w:bookmarkStart w:id="18" w:name="_Toc515268003"/>
      <w:bookmarkStart w:id="19" w:name="_Toc515268026"/>
      <w:bookmarkStart w:id="20" w:name="_Toc515268104"/>
      <w:bookmarkStart w:id="21" w:name="_Toc517880627"/>
      <w:bookmarkStart w:id="22" w:name="_Toc506543771"/>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bookmarkEnd w:id="18"/>
      <w:bookmarkEnd w:id="19"/>
      <w:bookmarkEnd w:id="20"/>
      <w:bookmarkEnd w:id="21"/>
    </w:p>
    <w:p>
      <w:pPr>
        <w:pStyle w:val="yShoulderClause"/>
      </w:pPr>
      <w:r>
        <w:t>[bl. 3, 4(1) and 10(1)]</w:t>
      </w:r>
    </w:p>
    <w:p>
      <w:pPr>
        <w:pStyle w:val="yFootnoteheading"/>
      </w:pPr>
      <w:bookmarkStart w:id="23" w:name="_Toc515029217"/>
      <w:bookmarkStart w:id="24" w:name="_Toc515268105"/>
      <w:r>
        <w:tab/>
        <w:t>[Heading inserted in Gazette 26 Jun 2018 p. 2372.]</w:t>
      </w:r>
    </w:p>
    <w:p>
      <w:pPr>
        <w:pStyle w:val="yHeading5"/>
      </w:pPr>
      <w:bookmarkStart w:id="25" w:name="_Toc517880628"/>
      <w:r>
        <w:rPr>
          <w:rStyle w:val="CharSClsNo"/>
        </w:rPr>
        <w:t>1</w:t>
      </w:r>
      <w:r>
        <w:t>.</w:t>
      </w:r>
      <w:r>
        <w:tab/>
        <w:t>Tariff L1 (general supply — low/medium voltage tariff)</w:t>
      </w:r>
      <w:bookmarkEnd w:id="23"/>
      <w:bookmarkEnd w:id="24"/>
      <w:bookmarkEnd w:id="2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26" w:name="_Toc515029218"/>
      <w:bookmarkStart w:id="27" w:name="_Toc515268106"/>
      <w:r>
        <w:tab/>
        <w:t>[Clause 1 inserted in Gazette 26 Jun 2018 p. 2372.]</w:t>
      </w:r>
    </w:p>
    <w:p>
      <w:pPr>
        <w:pStyle w:val="yHeading5"/>
      </w:pPr>
      <w:bookmarkStart w:id="28" w:name="_Toc517880629"/>
      <w:r>
        <w:rPr>
          <w:rStyle w:val="CharSClsNo"/>
        </w:rPr>
        <w:t>2</w:t>
      </w:r>
      <w:r>
        <w:t>.</w:t>
      </w:r>
      <w:r>
        <w:tab/>
        <w:t>Tariff L3 (general supply — low/medium voltage tariff)</w:t>
      </w:r>
      <w:bookmarkEnd w:id="26"/>
      <w:bookmarkEnd w:id="27"/>
      <w:bookmarkEnd w:id="28"/>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29" w:name="_Toc515029219"/>
      <w:bookmarkStart w:id="30" w:name="_Toc515268107"/>
      <w:r>
        <w:tab/>
        <w:t>[Clause 2 inserted in Gazette 26 Jun 2018 p. 2372.]</w:t>
      </w:r>
    </w:p>
    <w:p>
      <w:pPr>
        <w:pStyle w:val="yHeading5"/>
      </w:pPr>
      <w:bookmarkStart w:id="31" w:name="_Toc517880630"/>
      <w:r>
        <w:rPr>
          <w:rStyle w:val="CharSClsNo"/>
        </w:rPr>
        <w:t>3</w:t>
      </w:r>
      <w:r>
        <w:t>.</w:t>
      </w:r>
      <w:r>
        <w:tab/>
        <w:t>Tariff R1 (time</w:t>
      </w:r>
      <w:r>
        <w:noBreakHyphen/>
        <w:t>of</w:t>
      </w:r>
      <w:r>
        <w:noBreakHyphen/>
        <w:t>use tariff)</w:t>
      </w:r>
      <w:bookmarkEnd w:id="29"/>
      <w:bookmarkEnd w:id="30"/>
      <w:bookmarkEnd w:id="31"/>
    </w:p>
    <w:p>
      <w:pPr>
        <w:pStyle w:val="ySubsection"/>
      </w:pPr>
      <w:r>
        <w:tab/>
        <w:t>(1)</w:t>
      </w:r>
      <w:r>
        <w:tab/>
        <w:t>Tariff R1 comprises —</w:t>
      </w:r>
    </w:p>
    <w:p>
      <w:pPr>
        <w:pStyle w:val="yIndenta"/>
      </w:pPr>
      <w:r>
        <w:tab/>
        <w:t>(a)</w:t>
      </w:r>
      <w:r>
        <w:tab/>
        <w:t>a fixed charge at the rate of $3.3090 per day; and</w:t>
      </w:r>
    </w:p>
    <w:p>
      <w:pPr>
        <w:pStyle w:val="yIndenta"/>
      </w:pPr>
      <w:r>
        <w:tab/>
        <w:t>(b)</w:t>
      </w:r>
      <w:r>
        <w:tab/>
        <w:t>an energy charge consisting of — </w:t>
      </w:r>
    </w:p>
    <w:p>
      <w:pPr>
        <w:pStyle w:val="yIndenti0"/>
      </w:pPr>
      <w:r>
        <w:tab/>
        <w:t>(i)</w:t>
      </w:r>
      <w:r>
        <w:tab/>
        <w:t>an on peak energy charge at the rate of 35.8882 cents per unit; and</w:t>
      </w:r>
    </w:p>
    <w:p>
      <w:pPr>
        <w:pStyle w:val="yIndenti0"/>
      </w:pPr>
      <w:r>
        <w:tab/>
        <w:t>(ii)</w:t>
      </w:r>
      <w:r>
        <w:tab/>
        <w:t>an off peak energy charge at the rate of 10.7665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32" w:name="_Toc515029220"/>
      <w:bookmarkStart w:id="33" w:name="_Toc515268108"/>
      <w:r>
        <w:tab/>
        <w:t>[Clause 3 inserted in Gazette 26 Jun 2018 p. 2372</w:t>
      </w:r>
      <w:r>
        <w:noBreakHyphen/>
        <w:t>3.]</w:t>
      </w:r>
    </w:p>
    <w:p>
      <w:pPr>
        <w:pStyle w:val="yHeading5"/>
      </w:pPr>
      <w:bookmarkStart w:id="34" w:name="_Toc517880631"/>
      <w:r>
        <w:rPr>
          <w:rStyle w:val="CharSClsNo"/>
        </w:rPr>
        <w:t>4</w:t>
      </w:r>
      <w:r>
        <w:t>.</w:t>
      </w:r>
      <w:r>
        <w:tab/>
        <w:t>Tariff R3 (time</w:t>
      </w:r>
      <w:r>
        <w:noBreakHyphen/>
        <w:t>of</w:t>
      </w:r>
      <w:r>
        <w:noBreakHyphen/>
        <w:t>use tariff)</w:t>
      </w:r>
      <w:bookmarkEnd w:id="32"/>
      <w:bookmarkEnd w:id="33"/>
      <w:bookmarkEnd w:id="34"/>
    </w:p>
    <w:p>
      <w:pPr>
        <w:pStyle w:val="ySubsection"/>
      </w:pPr>
      <w:r>
        <w:tab/>
        <w:t>(1)</w:t>
      </w:r>
      <w:r>
        <w:tab/>
        <w:t>Tariff R3 comprises —</w:t>
      </w:r>
    </w:p>
    <w:p>
      <w:pPr>
        <w:pStyle w:val="yIndenta"/>
      </w:pPr>
      <w:r>
        <w:tab/>
        <w:t>(a)</w:t>
      </w:r>
      <w:r>
        <w:tab/>
        <w:t xml:space="preserve">a fixed charge at the rate of </w:t>
      </w:r>
      <w:r>
        <w:rPr>
          <w:szCs w:val="22"/>
        </w:rPr>
        <w:t>$2.8126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49.2442 </w:t>
      </w:r>
      <w:r>
        <w:t>cents per unit; and</w:t>
      </w:r>
    </w:p>
    <w:p>
      <w:pPr>
        <w:pStyle w:val="yIndenti0"/>
      </w:pPr>
      <w:r>
        <w:tab/>
        <w:t>(ii)</w:t>
      </w:r>
      <w:r>
        <w:tab/>
        <w:t xml:space="preserve">an off peak energy charge at the rate of </w:t>
      </w:r>
      <w:r>
        <w:rPr>
          <w:szCs w:val="22"/>
        </w:rPr>
        <w:t xml:space="preserve">15.1600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35" w:name="_Toc515029221"/>
      <w:bookmarkStart w:id="36" w:name="_Toc515268109"/>
      <w:r>
        <w:tab/>
        <w:t>[Clause 4 inserted in Gazette 26 Jun 2018 p. 2373.]</w:t>
      </w:r>
    </w:p>
    <w:p>
      <w:pPr>
        <w:pStyle w:val="yHeading5"/>
      </w:pPr>
      <w:bookmarkStart w:id="37" w:name="_Toc517880632"/>
      <w:r>
        <w:rPr>
          <w:rStyle w:val="CharSClsNo"/>
        </w:rPr>
        <w:t>5</w:t>
      </w:r>
      <w:r>
        <w:t>.</w:t>
      </w:r>
      <w:r>
        <w:tab/>
        <w:t>Standby charges</w:t>
      </w:r>
      <w:bookmarkEnd w:id="35"/>
      <w:bookmarkEnd w:id="36"/>
      <w:bookmarkEnd w:id="37"/>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ParaPr>
          <m:jc m:val="right"/>
        </m:oMathParaPr>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m:rPr>
                  <m:sty m:val="p"/>
                </m:rPr>
                <w:rPr>
                  <w:rFonts w:ascii="Cambria Math" w:hAnsi="Cambria Math"/>
                </w:rPr>
                <m:t>×0.4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38" w:name="_Toc515029222"/>
      <w:bookmarkStart w:id="39" w:name="_Toc515268110"/>
      <w:r>
        <w:tab/>
        <w:t>[Clause 5 inserted in Gazette 26 Jun 2018 p. 2373</w:t>
      </w:r>
      <w:r>
        <w:noBreakHyphen/>
        <w:t>4.]</w:t>
      </w:r>
    </w:p>
    <w:p>
      <w:pPr>
        <w:pStyle w:val="yHeading5"/>
      </w:pPr>
      <w:bookmarkStart w:id="40" w:name="_Toc517880633"/>
      <w:r>
        <w:rPr>
          <w:rStyle w:val="CharSClsNo"/>
        </w:rPr>
        <w:t>6</w:t>
      </w:r>
      <w:r>
        <w:t>.</w:t>
      </w:r>
      <w:r>
        <w:tab/>
        <w:t>Tariff A1 (residential tariff)</w:t>
      </w:r>
      <w:bookmarkEnd w:id="38"/>
      <w:bookmarkEnd w:id="39"/>
      <w:bookmarkEnd w:id="40"/>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$1.0155 cents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41" w:name="_Toc515029223"/>
      <w:bookmarkStart w:id="42" w:name="_Toc515268111"/>
      <w:r>
        <w:tab/>
        <w:t>[Clause 6 inserted in Gazette 26 Jun 2018 p. 2374.]</w:t>
      </w:r>
    </w:p>
    <w:p>
      <w:pPr>
        <w:pStyle w:val="yHeading5"/>
      </w:pPr>
      <w:bookmarkStart w:id="43" w:name="_Toc517880634"/>
      <w:r>
        <w:rPr>
          <w:rStyle w:val="CharSClsNo"/>
        </w:rPr>
        <w:t>7</w:t>
      </w:r>
      <w:r>
        <w:t>.</w:t>
      </w:r>
      <w:r>
        <w:tab/>
        <w:t>Tariff B1 (residential water heating tariff)</w:t>
      </w:r>
      <w:bookmarkEnd w:id="41"/>
      <w:bookmarkEnd w:id="42"/>
      <w:bookmarkEnd w:id="43"/>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21.0903 cents per day or, for multiple dwellings supplied through one metered supply point, a fixed charge at the rate of 21.0903 cents per day for each dwelling; and</w:t>
      </w:r>
    </w:p>
    <w:p>
      <w:pPr>
        <w:pStyle w:val="yIndenta"/>
        <w:keepNext/>
      </w:pPr>
      <w:r>
        <w:tab/>
        <w:t>(b)</w:t>
      </w:r>
      <w:r>
        <w:tab/>
        <w:t>a charge for metered consumption at the rate of 11.6511 cents per unit.</w:t>
      </w:r>
    </w:p>
    <w:p>
      <w:pPr>
        <w:pStyle w:val="yFootnotesection"/>
      </w:pPr>
      <w:bookmarkStart w:id="44" w:name="_Toc515029224"/>
      <w:bookmarkStart w:id="45" w:name="_Toc515268112"/>
      <w:r>
        <w:tab/>
        <w:t>[Clause 7 inserted in Gazette 26 Jun 2018 p. 2374.]</w:t>
      </w:r>
    </w:p>
    <w:p>
      <w:pPr>
        <w:pStyle w:val="yHeading5"/>
      </w:pPr>
      <w:bookmarkStart w:id="46" w:name="_Toc517880635"/>
      <w:r>
        <w:rPr>
          <w:rStyle w:val="CharSClsNo"/>
        </w:rPr>
        <w:t>8</w:t>
      </w:r>
      <w:r>
        <w:t>.</w:t>
      </w:r>
      <w:r>
        <w:tab/>
        <w:t>Tariff C1 (special community service tariff)</w:t>
      </w:r>
      <w:bookmarkEnd w:id="44"/>
      <w:bookmarkEnd w:id="45"/>
      <w:bookmarkEnd w:id="46"/>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47" w:name="_Toc515029225"/>
      <w:bookmarkStart w:id="48" w:name="_Toc515268113"/>
      <w:r>
        <w:tab/>
        <w:t>[Clause 8 inserted in Gazette 26 Jun 2018 p. 2375.]</w:t>
      </w:r>
    </w:p>
    <w:p>
      <w:pPr>
        <w:pStyle w:val="yHeading5"/>
      </w:pPr>
      <w:bookmarkStart w:id="49" w:name="_Toc517880636"/>
      <w:r>
        <w:rPr>
          <w:rStyle w:val="CharSClsNo"/>
        </w:rPr>
        <w:t>9</w:t>
      </w:r>
      <w:r>
        <w:t>.</w:t>
      </w:r>
      <w:r>
        <w:tab/>
        <w:t>Tariff D1 (special tariff for certain premises)</w:t>
      </w:r>
      <w:bookmarkEnd w:id="47"/>
      <w:bookmarkEnd w:id="48"/>
      <w:bookmarkEnd w:id="49"/>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50" w:name="_Toc515029226"/>
      <w:bookmarkStart w:id="51" w:name="_Toc515268114"/>
      <w:r>
        <w:tab/>
        <w:t>[Clause 9 inserted in Gazette 26 Jun 2018 p. 2375</w:t>
      </w:r>
      <w:r>
        <w:noBreakHyphen/>
        <w:t>6.]</w:t>
      </w:r>
    </w:p>
    <w:p>
      <w:pPr>
        <w:pStyle w:val="yHeading5"/>
      </w:pPr>
      <w:bookmarkStart w:id="52" w:name="_Toc517880637"/>
      <w:r>
        <w:rPr>
          <w:rStyle w:val="CharSClsNo"/>
        </w:rPr>
        <w:t>10</w:t>
      </w:r>
      <w:r>
        <w:t>.</w:t>
      </w:r>
      <w:r>
        <w:tab/>
        <w:t>Tariff K1 (general supply with residential tariff)</w:t>
      </w:r>
      <w:bookmarkEnd w:id="50"/>
      <w:bookmarkEnd w:id="51"/>
      <w:bookmarkEnd w:id="52"/>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r>
        <w:tab/>
        <w:t>[Clause 10 inserted in Gazette 26 Jun 2018 p. 2376.]</w:t>
      </w:r>
    </w:p>
    <w:bookmarkEnd w:id="22"/>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4" w:name="_Toc515013350"/>
      <w:bookmarkStart w:id="55" w:name="_Toc515013373"/>
      <w:bookmarkStart w:id="56" w:name="_Toc515029227"/>
      <w:bookmarkStart w:id="57" w:name="_Toc515267991"/>
      <w:bookmarkStart w:id="58" w:name="_Toc515268014"/>
      <w:bookmarkStart w:id="59" w:name="_Toc515268037"/>
      <w:bookmarkStart w:id="60" w:name="_Toc515268115"/>
      <w:bookmarkStart w:id="61" w:name="_Toc517880638"/>
      <w:bookmarkStart w:id="62" w:name="_Toc506543782"/>
      <w:r>
        <w:rPr>
          <w:rStyle w:val="CharSchNo"/>
        </w:rPr>
        <w:t>Schedule 2</w:t>
      </w:r>
      <w:r>
        <w:t> — </w:t>
      </w:r>
      <w:r>
        <w:rPr>
          <w:rStyle w:val="CharSchText"/>
        </w:rPr>
        <w:t>Unmetered supply</w:t>
      </w:r>
      <w:bookmarkEnd w:id="54"/>
      <w:bookmarkEnd w:id="55"/>
      <w:bookmarkEnd w:id="56"/>
      <w:bookmarkEnd w:id="57"/>
      <w:bookmarkEnd w:id="58"/>
      <w:bookmarkEnd w:id="59"/>
      <w:bookmarkEnd w:id="60"/>
      <w:bookmarkEnd w:id="61"/>
    </w:p>
    <w:p>
      <w:pPr>
        <w:pStyle w:val="yShoulderClause"/>
      </w:pPr>
      <w:r>
        <w:t>[bl. 4(2) and (3)]</w:t>
      </w:r>
    </w:p>
    <w:p>
      <w:pPr>
        <w:pStyle w:val="yFootnoteheading"/>
      </w:pPr>
      <w:bookmarkStart w:id="63" w:name="_Toc515013351"/>
      <w:bookmarkStart w:id="64" w:name="_Toc515013374"/>
      <w:bookmarkStart w:id="65" w:name="_Toc515029228"/>
      <w:bookmarkStart w:id="66" w:name="_Toc515267992"/>
      <w:bookmarkStart w:id="67" w:name="_Toc515268015"/>
      <w:bookmarkStart w:id="68" w:name="_Toc515268038"/>
      <w:bookmarkStart w:id="69" w:name="_Toc515268116"/>
      <w:r>
        <w:tab/>
        <w:t>[Heading inserted in Gazette 26 Jun 2018 p. 2376.]</w:t>
      </w:r>
    </w:p>
    <w:p>
      <w:pPr>
        <w:pStyle w:val="yHeading3"/>
      </w:pPr>
      <w:bookmarkStart w:id="70" w:name="_Toc517880639"/>
      <w:r>
        <w:rPr>
          <w:rStyle w:val="CharSDivNo"/>
        </w:rPr>
        <w:t>Division 1</w:t>
      </w:r>
      <w:r>
        <w:t> — </w:t>
      </w:r>
      <w:r>
        <w:rPr>
          <w:rStyle w:val="CharSDivText"/>
        </w:rPr>
        <w:t>Street lighting</w:t>
      </w:r>
      <w:bookmarkEnd w:id="63"/>
      <w:bookmarkEnd w:id="64"/>
      <w:bookmarkEnd w:id="65"/>
      <w:bookmarkEnd w:id="66"/>
      <w:bookmarkEnd w:id="67"/>
      <w:bookmarkEnd w:id="68"/>
      <w:bookmarkEnd w:id="69"/>
      <w:bookmarkEnd w:id="70"/>
    </w:p>
    <w:p>
      <w:pPr>
        <w:pStyle w:val="yFootnoteheading"/>
        <w:spacing w:after="120"/>
      </w:pPr>
      <w:r>
        <w:tab/>
        <w:t>[Heading inserted in Gazette 26 Jun 2018 p. 2376.]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32.7338</w:t>
            </w:r>
          </w:p>
        </w:tc>
        <w:tc>
          <w:tcPr>
            <w:tcW w:w="1512" w:type="dxa"/>
          </w:tcPr>
          <w:p>
            <w:pPr>
              <w:pStyle w:val="yTableNAm"/>
              <w:rPr>
                <w:sz w:val="18"/>
                <w:szCs w:val="18"/>
              </w:rPr>
            </w:pPr>
            <w:r>
              <w:rPr>
                <w:sz w:val="18"/>
                <w:szCs w:val="18"/>
              </w:rPr>
              <w:t>33.4901</w:t>
            </w:r>
          </w:p>
        </w:tc>
        <w:tc>
          <w:tcPr>
            <w:tcW w:w="1370" w:type="dxa"/>
          </w:tcPr>
          <w:p>
            <w:pPr>
              <w:pStyle w:val="yTableNAm"/>
              <w:rPr>
                <w:sz w:val="18"/>
                <w:szCs w:val="18"/>
              </w:rPr>
            </w:pPr>
            <w:r>
              <w:rPr>
                <w:sz w:val="18"/>
                <w:szCs w:val="18"/>
              </w:rPr>
              <w:t>36.2736</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39.8997</w:t>
            </w:r>
          </w:p>
        </w:tc>
        <w:tc>
          <w:tcPr>
            <w:tcW w:w="1512" w:type="dxa"/>
          </w:tcPr>
          <w:p>
            <w:pPr>
              <w:pStyle w:val="yTableNAm"/>
              <w:rPr>
                <w:sz w:val="18"/>
                <w:szCs w:val="18"/>
              </w:rPr>
            </w:pPr>
            <w:r>
              <w:rPr>
                <w:sz w:val="18"/>
                <w:szCs w:val="18"/>
              </w:rPr>
              <w:t>40.9299</w:t>
            </w:r>
          </w:p>
        </w:tc>
        <w:tc>
          <w:tcPr>
            <w:tcW w:w="1370" w:type="dxa"/>
          </w:tcPr>
          <w:p>
            <w:pPr>
              <w:pStyle w:val="yTableNAm"/>
              <w:rPr>
                <w:sz w:val="18"/>
                <w:szCs w:val="18"/>
              </w:rPr>
            </w:pPr>
            <w:r>
              <w:rPr>
                <w:sz w:val="18"/>
                <w:szCs w:val="18"/>
              </w:rPr>
              <w:t>45.3137</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49.1011</w:t>
            </w:r>
          </w:p>
        </w:tc>
        <w:tc>
          <w:tcPr>
            <w:tcW w:w="1512" w:type="dxa"/>
          </w:tcPr>
          <w:p>
            <w:pPr>
              <w:pStyle w:val="yTableNAm"/>
              <w:rPr>
                <w:sz w:val="18"/>
                <w:szCs w:val="18"/>
              </w:rPr>
            </w:pPr>
            <w:r>
              <w:rPr>
                <w:sz w:val="18"/>
                <w:szCs w:val="18"/>
              </w:rPr>
              <w:t>50.8492</w:t>
            </w:r>
          </w:p>
        </w:tc>
        <w:tc>
          <w:tcPr>
            <w:tcW w:w="1370" w:type="dxa"/>
          </w:tcPr>
          <w:p>
            <w:pPr>
              <w:pStyle w:val="yTableNAm"/>
              <w:rPr>
                <w:sz w:val="18"/>
                <w:szCs w:val="18"/>
              </w:rPr>
            </w:pPr>
            <w:r>
              <w:rPr>
                <w:sz w:val="18"/>
                <w:szCs w:val="18"/>
              </w:rPr>
              <w:t>57.2876</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63.1971</w:t>
            </w:r>
          </w:p>
        </w:tc>
        <w:tc>
          <w:tcPr>
            <w:tcW w:w="1512" w:type="dxa"/>
          </w:tcPr>
          <w:p>
            <w:pPr>
              <w:pStyle w:val="yTableNAm"/>
              <w:rPr>
                <w:sz w:val="18"/>
                <w:szCs w:val="18"/>
              </w:rPr>
            </w:pPr>
            <w:r>
              <w:rPr>
                <w:sz w:val="18"/>
                <w:szCs w:val="18"/>
              </w:rPr>
              <w:t>66.6382</w:t>
            </w:r>
          </w:p>
        </w:tc>
        <w:tc>
          <w:tcPr>
            <w:tcW w:w="1370" w:type="dxa"/>
          </w:tcPr>
          <w:p>
            <w:pPr>
              <w:pStyle w:val="yTableNAm"/>
              <w:rPr>
                <w:sz w:val="18"/>
                <w:szCs w:val="18"/>
              </w:rPr>
            </w:pPr>
            <w:r>
              <w:rPr>
                <w:sz w:val="18"/>
                <w:szCs w:val="18"/>
              </w:rPr>
              <w:t>79.5699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77.4388</w:t>
            </w:r>
          </w:p>
        </w:tc>
        <w:tc>
          <w:tcPr>
            <w:tcW w:w="1512" w:type="dxa"/>
          </w:tcPr>
          <w:p>
            <w:pPr>
              <w:pStyle w:val="yTableNAm"/>
              <w:rPr>
                <w:sz w:val="18"/>
                <w:szCs w:val="18"/>
              </w:rPr>
            </w:pPr>
            <w:r>
              <w:rPr>
                <w:sz w:val="18"/>
                <w:szCs w:val="18"/>
              </w:rPr>
              <w:t>80.5998</w:t>
            </w:r>
          </w:p>
        </w:tc>
        <w:tc>
          <w:tcPr>
            <w:tcW w:w="1370" w:type="dxa"/>
          </w:tcPr>
          <w:p>
            <w:pPr>
              <w:pStyle w:val="yTableNAm"/>
              <w:rPr>
                <w:sz w:val="18"/>
                <w:szCs w:val="18"/>
              </w:rPr>
            </w:pPr>
            <w:r>
              <w:rPr>
                <w:sz w:val="18"/>
                <w:szCs w:val="18"/>
              </w:rPr>
              <w:t>112.7212</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48.8872</w:t>
            </w:r>
          </w:p>
        </w:tc>
        <w:tc>
          <w:tcPr>
            <w:tcW w:w="1512" w:type="dxa"/>
          </w:tcPr>
          <w:p>
            <w:pPr>
              <w:pStyle w:val="yTableNAm"/>
              <w:rPr>
                <w:sz w:val="18"/>
                <w:szCs w:val="18"/>
              </w:rPr>
            </w:pPr>
            <w:r>
              <w:rPr>
                <w:sz w:val="18"/>
                <w:szCs w:val="18"/>
              </w:rPr>
              <w:t>50.8489</w:t>
            </w:r>
          </w:p>
        </w:tc>
        <w:tc>
          <w:tcPr>
            <w:tcW w:w="1370" w:type="dxa"/>
          </w:tcPr>
          <w:p>
            <w:pPr>
              <w:pStyle w:val="yTableNAm"/>
              <w:rPr>
                <w:sz w:val="18"/>
                <w:szCs w:val="18"/>
              </w:rPr>
            </w:pPr>
            <w:r>
              <w:rPr>
                <w:sz w:val="18"/>
                <w:szCs w:val="18"/>
              </w:rPr>
              <w:t>60.3506</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66.2096</w:t>
            </w:r>
          </w:p>
        </w:tc>
        <w:tc>
          <w:tcPr>
            <w:tcW w:w="1512" w:type="dxa"/>
          </w:tcPr>
          <w:p>
            <w:pPr>
              <w:pStyle w:val="yTableNAm"/>
              <w:rPr>
                <w:sz w:val="18"/>
                <w:szCs w:val="18"/>
              </w:rPr>
            </w:pPr>
            <w:r>
              <w:rPr>
                <w:sz w:val="18"/>
                <w:szCs w:val="18"/>
              </w:rPr>
              <w:t>70.0344</w:t>
            </w:r>
          </w:p>
        </w:tc>
        <w:tc>
          <w:tcPr>
            <w:tcW w:w="1370" w:type="dxa"/>
          </w:tcPr>
          <w:p>
            <w:pPr>
              <w:pStyle w:val="yTableNAm"/>
              <w:rPr>
                <w:sz w:val="18"/>
                <w:szCs w:val="18"/>
              </w:rPr>
            </w:pPr>
            <w:r>
              <w:rPr>
                <w:sz w:val="18"/>
                <w:szCs w:val="18"/>
              </w:rPr>
              <w:t>84.7089</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260.3999</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75.6409</w:t>
            </w:r>
          </w:p>
        </w:tc>
        <w:tc>
          <w:tcPr>
            <w:tcW w:w="1512" w:type="dxa"/>
          </w:tcPr>
          <w:p>
            <w:pPr>
              <w:pStyle w:val="yTableNAm"/>
              <w:keepNext/>
              <w:keepLines/>
              <w:rPr>
                <w:sz w:val="18"/>
                <w:szCs w:val="18"/>
              </w:rPr>
            </w:pPr>
            <w:r>
              <w:rPr>
                <w:sz w:val="18"/>
                <w:szCs w:val="18"/>
              </w:rPr>
              <w:t>78.7803</w:t>
            </w:r>
          </w:p>
        </w:tc>
        <w:tc>
          <w:tcPr>
            <w:tcW w:w="1370" w:type="dxa"/>
          </w:tcPr>
          <w:p>
            <w:pPr>
              <w:pStyle w:val="yTableNAm"/>
              <w:keepNext/>
              <w:keepLines/>
              <w:rPr>
                <w:sz w:val="18"/>
                <w:szCs w:val="18"/>
              </w:rPr>
            </w:pPr>
            <w:r>
              <w:rPr>
                <w:sz w:val="18"/>
                <w:szCs w:val="18"/>
              </w:rPr>
              <w:t>91.9121</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69.6119</w:t>
            </w:r>
          </w:p>
        </w:tc>
        <w:tc>
          <w:tcPr>
            <w:tcW w:w="1512" w:type="dxa"/>
          </w:tcPr>
          <w:p>
            <w:pPr>
              <w:pStyle w:val="yTableNAm"/>
              <w:rPr>
                <w:sz w:val="18"/>
                <w:szCs w:val="18"/>
              </w:rPr>
            </w:pPr>
            <w:r>
              <w:rPr>
                <w:sz w:val="18"/>
                <w:szCs w:val="18"/>
              </w:rPr>
              <w:t>72.7295</w:t>
            </w:r>
          </w:p>
        </w:tc>
        <w:tc>
          <w:tcPr>
            <w:tcW w:w="1370" w:type="dxa"/>
          </w:tcPr>
          <w:p>
            <w:pPr>
              <w:pStyle w:val="yTableNAm"/>
              <w:rPr>
                <w:sz w:val="18"/>
                <w:szCs w:val="18"/>
              </w:rPr>
            </w:pPr>
            <w:r>
              <w:rPr>
                <w:sz w:val="18"/>
                <w:szCs w:val="18"/>
              </w:rPr>
              <w:t>85.8833</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75.6409</w:t>
            </w:r>
          </w:p>
        </w:tc>
        <w:tc>
          <w:tcPr>
            <w:tcW w:w="1512" w:type="dxa"/>
          </w:tcPr>
          <w:p>
            <w:pPr>
              <w:pStyle w:val="yTableNAm"/>
              <w:rPr>
                <w:sz w:val="18"/>
                <w:szCs w:val="18"/>
              </w:rPr>
            </w:pPr>
            <w:r>
              <w:rPr>
                <w:sz w:val="18"/>
                <w:szCs w:val="18"/>
              </w:rPr>
              <w:t>78.7803</w:t>
            </w:r>
          </w:p>
        </w:tc>
        <w:tc>
          <w:tcPr>
            <w:tcW w:w="1370" w:type="dxa"/>
          </w:tcPr>
          <w:p>
            <w:pPr>
              <w:pStyle w:val="yTableNAm"/>
              <w:rPr>
                <w:sz w:val="18"/>
                <w:szCs w:val="18"/>
              </w:rPr>
            </w:pPr>
            <w:r>
              <w:rPr>
                <w:sz w:val="18"/>
                <w:szCs w:val="18"/>
              </w:rPr>
              <w:t>91.9121</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93.7972</w:t>
            </w:r>
          </w:p>
        </w:tc>
        <w:tc>
          <w:tcPr>
            <w:tcW w:w="1512" w:type="dxa"/>
          </w:tcPr>
          <w:p>
            <w:pPr>
              <w:pStyle w:val="yTableNAm"/>
              <w:rPr>
                <w:sz w:val="18"/>
                <w:szCs w:val="18"/>
              </w:rPr>
            </w:pPr>
            <w:r>
              <w:rPr>
                <w:sz w:val="18"/>
                <w:szCs w:val="18"/>
              </w:rPr>
              <w:t>98.6909</w:t>
            </w:r>
          </w:p>
        </w:tc>
        <w:tc>
          <w:tcPr>
            <w:tcW w:w="1370" w:type="dxa"/>
          </w:tcPr>
          <w:p>
            <w:pPr>
              <w:pStyle w:val="yTableNAm"/>
              <w:rPr>
                <w:sz w:val="18"/>
                <w:szCs w:val="18"/>
              </w:rPr>
            </w:pPr>
            <w:r>
              <w:rPr>
                <w:sz w:val="18"/>
                <w:szCs w:val="18"/>
              </w:rPr>
              <w:t>119.3336</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65.9286</w:t>
            </w:r>
          </w:p>
        </w:tc>
        <w:tc>
          <w:tcPr>
            <w:tcW w:w="1512" w:type="dxa"/>
          </w:tcPr>
          <w:p>
            <w:pPr>
              <w:pStyle w:val="yTableNAm"/>
              <w:rPr>
                <w:sz w:val="18"/>
                <w:szCs w:val="18"/>
              </w:rPr>
            </w:pPr>
            <w:r>
              <w:rPr>
                <w:sz w:val="18"/>
                <w:szCs w:val="18"/>
              </w:rPr>
              <w:t>67.6938</w:t>
            </w:r>
          </w:p>
        </w:tc>
        <w:tc>
          <w:tcPr>
            <w:tcW w:w="1370" w:type="dxa"/>
          </w:tcPr>
          <w:p>
            <w:pPr>
              <w:pStyle w:val="yTableNAm"/>
              <w:rPr>
                <w:sz w:val="18"/>
                <w:szCs w:val="18"/>
              </w:rPr>
            </w:pPr>
            <w:r>
              <w:rPr>
                <w:sz w:val="18"/>
                <w:szCs w:val="18"/>
              </w:rPr>
              <w:t>77.2873</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75.6643</w:t>
            </w:r>
          </w:p>
        </w:tc>
        <w:tc>
          <w:tcPr>
            <w:tcW w:w="1512" w:type="dxa"/>
          </w:tcPr>
          <w:p>
            <w:pPr>
              <w:pStyle w:val="yTableNAm"/>
              <w:rPr>
                <w:sz w:val="18"/>
                <w:szCs w:val="18"/>
              </w:rPr>
            </w:pPr>
            <w:r>
              <w:rPr>
                <w:sz w:val="18"/>
                <w:szCs w:val="18"/>
              </w:rPr>
              <w:t>79.2202</w:t>
            </w:r>
          </w:p>
        </w:tc>
        <w:tc>
          <w:tcPr>
            <w:tcW w:w="1370" w:type="dxa"/>
          </w:tcPr>
          <w:p>
            <w:pPr>
              <w:pStyle w:val="yTableNAm"/>
              <w:rPr>
                <w:sz w:val="18"/>
                <w:szCs w:val="18"/>
              </w:rPr>
            </w:pPr>
            <w:r>
              <w:rPr>
                <w:sz w:val="18"/>
                <w:szCs w:val="18"/>
              </w:rPr>
              <w:t>94.0621</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84.6637</w:t>
            </w:r>
          </w:p>
        </w:tc>
        <w:tc>
          <w:tcPr>
            <w:tcW w:w="1512" w:type="dxa"/>
          </w:tcPr>
          <w:p>
            <w:pPr>
              <w:pStyle w:val="yTableNAm"/>
              <w:rPr>
                <w:sz w:val="18"/>
                <w:szCs w:val="18"/>
              </w:rPr>
            </w:pPr>
            <w:r>
              <w:rPr>
                <w:sz w:val="18"/>
                <w:szCs w:val="18"/>
              </w:rPr>
              <w:t>88.2525</w:t>
            </w:r>
          </w:p>
        </w:tc>
        <w:tc>
          <w:tcPr>
            <w:tcW w:w="1370" w:type="dxa"/>
          </w:tcPr>
          <w:p>
            <w:pPr>
              <w:pStyle w:val="yTableNAm"/>
              <w:rPr>
                <w:sz w:val="18"/>
                <w:szCs w:val="18"/>
              </w:rPr>
            </w:pPr>
            <w:r>
              <w:rPr>
                <w:sz w:val="18"/>
                <w:szCs w:val="18"/>
              </w:rPr>
              <w:t>103.1054</w:t>
            </w:r>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33.8972</w:t>
            </w:r>
          </w:p>
        </w:tc>
        <w:tc>
          <w:tcPr>
            <w:tcW w:w="1512" w:type="dxa"/>
          </w:tcPr>
          <w:p>
            <w:pPr>
              <w:pStyle w:val="yTableNAm"/>
              <w:rPr>
                <w:sz w:val="18"/>
                <w:szCs w:val="18"/>
              </w:rPr>
            </w:pPr>
            <w:r>
              <w:rPr>
                <w:sz w:val="18"/>
                <w:szCs w:val="18"/>
              </w:rPr>
              <w:t>34.9331</w:t>
            </w:r>
          </w:p>
        </w:tc>
        <w:tc>
          <w:tcPr>
            <w:tcW w:w="1370" w:type="dxa"/>
          </w:tcPr>
          <w:p>
            <w:pPr>
              <w:pStyle w:val="yTableNAm"/>
              <w:rPr>
                <w:sz w:val="18"/>
                <w:szCs w:val="18"/>
              </w:rPr>
            </w:pPr>
            <w:r>
              <w:rPr>
                <w:sz w:val="18"/>
                <w:szCs w:val="18"/>
              </w:rPr>
              <w:t>38.8330</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32.5011</w:t>
            </w:r>
          </w:p>
        </w:tc>
        <w:tc>
          <w:tcPr>
            <w:tcW w:w="1512" w:type="dxa"/>
          </w:tcPr>
          <w:p>
            <w:pPr>
              <w:pStyle w:val="yTableNAm"/>
              <w:rPr>
                <w:sz w:val="18"/>
                <w:szCs w:val="18"/>
              </w:rPr>
            </w:pPr>
            <w:r>
              <w:rPr>
                <w:sz w:val="18"/>
                <w:szCs w:val="18"/>
              </w:rPr>
              <w:t>33.2026</w:t>
            </w:r>
          </w:p>
        </w:tc>
        <w:tc>
          <w:tcPr>
            <w:tcW w:w="1370" w:type="dxa"/>
          </w:tcPr>
          <w:p>
            <w:pPr>
              <w:pStyle w:val="yTableNAm"/>
              <w:rPr>
                <w:sz w:val="18"/>
                <w:szCs w:val="18"/>
              </w:rPr>
            </w:pPr>
            <w:r>
              <w:rPr>
                <w:sz w:val="18"/>
                <w:szCs w:val="18"/>
              </w:rPr>
              <w:t>35.7780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71" w:name="_Toc515013352"/>
      <w:bookmarkStart w:id="72" w:name="_Toc515013375"/>
      <w:bookmarkStart w:id="73" w:name="_Toc515029229"/>
      <w:bookmarkStart w:id="74" w:name="_Toc515267993"/>
      <w:bookmarkStart w:id="75" w:name="_Toc515268016"/>
      <w:bookmarkStart w:id="76" w:name="_Toc515268039"/>
      <w:bookmarkStart w:id="77" w:name="_Toc515268117"/>
      <w:r>
        <w:tab/>
        <w:t>[Division 1 inserted in Gazette 26 Jun 2018 p. 2376</w:t>
      </w:r>
      <w:r>
        <w:noBreakHyphen/>
        <w:t>7.]</w:t>
      </w:r>
    </w:p>
    <w:p>
      <w:pPr>
        <w:pStyle w:val="yHeading3"/>
      </w:pPr>
      <w:bookmarkStart w:id="78" w:name="_Toc517880640"/>
      <w:r>
        <w:rPr>
          <w:rStyle w:val="CharSDivNo"/>
        </w:rPr>
        <w:t>Division 2</w:t>
      </w:r>
      <w:r>
        <w:t> — </w:t>
      </w:r>
      <w:r>
        <w:rPr>
          <w:rStyle w:val="CharSDivText"/>
        </w:rPr>
        <w:t>Miscellaneous</w:t>
      </w:r>
      <w:bookmarkEnd w:id="71"/>
      <w:bookmarkEnd w:id="72"/>
      <w:bookmarkEnd w:id="73"/>
      <w:bookmarkEnd w:id="74"/>
      <w:bookmarkEnd w:id="75"/>
      <w:bookmarkEnd w:id="76"/>
      <w:bookmarkEnd w:id="77"/>
      <w:bookmarkEnd w:id="78"/>
    </w:p>
    <w:p>
      <w:pPr>
        <w:pStyle w:val="yFootnoteheading"/>
        <w:spacing w:after="120"/>
      </w:pPr>
      <w:bookmarkStart w:id="79" w:name="_Toc515029230"/>
      <w:bookmarkStart w:id="80" w:name="_Toc515268118"/>
      <w:r>
        <w:tab/>
        <w:t>[Heading inserted in Gazette 26 Jun 2018 p. 2377.]</w:t>
      </w:r>
    </w:p>
    <w:p>
      <w:pPr>
        <w:pStyle w:val="yHeading5"/>
      </w:pPr>
      <w:bookmarkStart w:id="81" w:name="_Toc517880641"/>
      <w:r>
        <w:t>1.</w:t>
      </w:r>
      <w:r>
        <w:tab/>
        <w:t>Traffic light installation</w:t>
      </w:r>
      <w:bookmarkEnd w:id="79"/>
      <w:bookmarkEnd w:id="80"/>
      <w:bookmarkEnd w:id="81"/>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Footnotesection"/>
      </w:pPr>
      <w:bookmarkStart w:id="82" w:name="_Toc515029231"/>
      <w:bookmarkStart w:id="83" w:name="_Toc515268119"/>
      <w:r>
        <w:tab/>
        <w:t>[Clause 1 inserted in Gazette 26 Jun 2018 p. 2377.]</w:t>
      </w:r>
    </w:p>
    <w:p>
      <w:pPr>
        <w:pStyle w:val="yHeading5"/>
      </w:pPr>
      <w:bookmarkStart w:id="84" w:name="_Toc517880642"/>
      <w:r>
        <w:t>2.</w:t>
      </w:r>
      <w:r>
        <w:tab/>
        <w:t>Public telephone facility</w:t>
      </w:r>
      <w:bookmarkEnd w:id="82"/>
      <w:bookmarkEnd w:id="83"/>
      <w:bookmarkEnd w:id="84"/>
    </w:p>
    <w:p>
      <w:pPr>
        <w:pStyle w:val="ySubsection"/>
      </w:pPr>
      <w:r>
        <w:tab/>
      </w:r>
      <w:r>
        <w:tab/>
        <w:t xml:space="preserve">Supply of electricity to a standard public telephone facility where supply is not independently metered comprises a charge of </w:t>
      </w:r>
      <w:r>
        <w:rPr>
          <w:szCs w:val="22"/>
        </w:rPr>
        <w:t>62.8063</w:t>
      </w:r>
      <w:r>
        <w:t xml:space="preserve"> cents per day.</w:t>
      </w:r>
    </w:p>
    <w:p>
      <w:pPr>
        <w:pStyle w:val="yFootnotesection"/>
      </w:pPr>
      <w:bookmarkStart w:id="85" w:name="_Toc515029232"/>
      <w:bookmarkStart w:id="86" w:name="_Toc515268120"/>
      <w:r>
        <w:tab/>
        <w:t>[Clause 2 inserted in Gazette 26 Jun 2018 p. 2378.]</w:t>
      </w:r>
    </w:p>
    <w:p>
      <w:pPr>
        <w:pStyle w:val="yHeading5"/>
      </w:pPr>
      <w:bookmarkStart w:id="87" w:name="_Toc517880643"/>
      <w:r>
        <w:t>3.</w:t>
      </w:r>
      <w:r>
        <w:tab/>
        <w:t>Railway crossing</w:t>
      </w:r>
      <w:bookmarkEnd w:id="85"/>
      <w:bookmarkEnd w:id="86"/>
      <w:bookmarkEnd w:id="87"/>
    </w:p>
    <w:p>
      <w:pPr>
        <w:pStyle w:val="ySubsection"/>
      </w:pPr>
      <w:r>
        <w:tab/>
      </w:r>
      <w:r>
        <w:tab/>
        <w:t xml:space="preserve">Supply of electricity to standard railway crossing lights comprises a charge of </w:t>
      </w:r>
      <w:r>
        <w:rPr>
          <w:szCs w:val="22"/>
        </w:rPr>
        <w:t xml:space="preserve">80.2623 </w:t>
      </w:r>
      <w:r>
        <w:t>cents per day.</w:t>
      </w:r>
    </w:p>
    <w:p>
      <w:pPr>
        <w:pStyle w:val="yFootnotesection"/>
      </w:pPr>
      <w:r>
        <w:tab/>
        <w:t>[Clause 3 inserted in Gazette 26 Jun 2018 p. 2378.]</w:t>
      </w:r>
    </w:p>
    <w:p>
      <w:pPr>
        <w:pStyle w:val="yScheduleHeading"/>
      </w:pPr>
      <w:bookmarkStart w:id="88" w:name="_Toc506543788"/>
      <w:bookmarkStart w:id="89" w:name="_Toc517880644"/>
      <w:bookmarkEnd w:id="62"/>
      <w:r>
        <w:rPr>
          <w:rStyle w:val="CharSchNo"/>
        </w:rPr>
        <w:t>Schedule 3</w:t>
      </w:r>
      <w:r>
        <w:rPr>
          <w:rStyle w:val="CharSDivNo"/>
        </w:rPr>
        <w:t> </w:t>
      </w:r>
      <w:r>
        <w:t>—</w:t>
      </w:r>
      <w:r>
        <w:rPr>
          <w:rStyle w:val="CharSDivText"/>
        </w:rPr>
        <w:t> </w:t>
      </w:r>
      <w:r>
        <w:rPr>
          <w:rStyle w:val="CharSchText"/>
        </w:rPr>
        <w:t>Meter rental</w:t>
      </w:r>
      <w:bookmarkEnd w:id="88"/>
      <w:bookmarkEnd w:id="89"/>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90" w:name="_Toc515013357"/>
      <w:bookmarkStart w:id="91" w:name="_Toc515013380"/>
      <w:bookmarkStart w:id="92" w:name="_Toc515029234"/>
      <w:bookmarkStart w:id="93" w:name="_Toc515267998"/>
      <w:bookmarkStart w:id="94" w:name="_Toc515268021"/>
      <w:bookmarkStart w:id="95" w:name="_Toc515268044"/>
      <w:bookmarkStart w:id="96" w:name="_Toc515268122"/>
      <w:bookmarkStart w:id="97" w:name="_Toc517880645"/>
      <w:bookmarkStart w:id="98" w:name="_Toc506543789"/>
      <w:r>
        <w:rPr>
          <w:rStyle w:val="CharSchNo"/>
        </w:rPr>
        <w:t>Schedule 4 </w:t>
      </w:r>
      <w:r>
        <w:t>—</w:t>
      </w:r>
      <w:r>
        <w:rPr>
          <w:rStyle w:val="CharSchText"/>
        </w:rPr>
        <w:t> Fees</w:t>
      </w:r>
      <w:bookmarkEnd w:id="90"/>
      <w:bookmarkEnd w:id="91"/>
      <w:bookmarkEnd w:id="92"/>
      <w:bookmarkEnd w:id="93"/>
      <w:bookmarkEnd w:id="94"/>
      <w:bookmarkEnd w:id="95"/>
      <w:bookmarkEnd w:id="96"/>
      <w:bookmarkEnd w:id="97"/>
    </w:p>
    <w:p>
      <w:pPr>
        <w:pStyle w:val="yShoulderClause"/>
      </w:pPr>
      <w:r>
        <w:t>[bl. 7]</w:t>
      </w:r>
    </w:p>
    <w:p>
      <w:pPr>
        <w:pStyle w:val="yFootnoteheading"/>
        <w:spacing w:after="120"/>
      </w:pPr>
      <w:r>
        <w:tab/>
        <w:t>[Heading inserted in Gazette 26 Jun 2018 p. 2378.]</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$17.30</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$5.25</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$1.27</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in Gazette 26 Jun 2018 p. 2378</w:t>
      </w:r>
      <w:r>
        <w:noBreakHyphen/>
        <w:t>9.]</w:t>
      </w:r>
    </w:p>
    <w:bookmarkEnd w:id="98"/>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9" w:name="_Toc506543790"/>
      <w:bookmarkStart w:id="100" w:name="_Toc517880646"/>
      <w:r>
        <w:t>Notes</w:t>
      </w:r>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01" w:name="_Toc517880647"/>
      <w:r>
        <w:t>Compilation table</w:t>
      </w:r>
      <w:bookmarkEnd w:id="1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spacing w:after="40"/>
            </w:pPr>
            <w:r>
              <w:t>30 Jun 2017 p. 3564</w:t>
            </w:r>
            <w:r>
              <w:noBreakHyphen/>
              <w:t>6</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tcBorders>
              <w:bottom w:val="single" w:sz="4" w:space="0" w:color="auto"/>
            </w:tcBorders>
            <w:shd w:val="clear" w:color="auto" w:fill="auto"/>
          </w:tcPr>
          <w:p>
            <w:pPr>
              <w:pStyle w:val="nTable"/>
              <w:spacing w:after="40"/>
              <w:rPr>
                <w:caps/>
              </w:rPr>
            </w:pPr>
            <w:r>
              <w:t>26 Jun 2018 p. 2371</w:t>
            </w:r>
            <w:r>
              <w:noBreakHyphen/>
              <w:t>9</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3" w:name="_Toc506543792"/>
      <w:bookmarkStart w:id="104" w:name="_Toc517880648"/>
      <w:r>
        <w:rPr>
          <w:sz w:val="28"/>
        </w:rPr>
        <w:t>Defined terms</w:t>
      </w:r>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61058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4654</Words>
  <Characters>22805</Characters>
  <Application>Microsoft Office Word</Application>
  <DocSecurity>0</DocSecurity>
  <Lines>950</Lines>
  <Paragraphs>653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2006 - 03-j0-01</dc:title>
  <dc:subject/>
  <dc:creator/>
  <cp:keywords/>
  <dc:description/>
  <cp:lastModifiedBy>svcMRProcess</cp:lastModifiedBy>
  <cp:revision>4</cp:revision>
  <cp:lastPrinted>2016-12-05T03:03:00Z</cp:lastPrinted>
  <dcterms:created xsi:type="dcterms:W3CDTF">2020-02-24T16:01:00Z</dcterms:created>
  <dcterms:modified xsi:type="dcterms:W3CDTF">2020-02-24T16:01:00Z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2018</vt:lpwstr>
  </property>
  <property fmtid="{D5CDD505-2E9C-101B-9397-08002B2CF9AE}" pid="8" name="Suffix">
    <vt:lpwstr>03-j0-01</vt:lpwstr>
  </property>
  <property fmtid="{D5CDD505-2E9C-101B-9397-08002B2CF9AE}" pid="9" name="CommencementDate">
    <vt:lpwstr>20180701</vt:lpwstr>
  </property>
</Properties>
</file>