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_Toc517878124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_Toc517878125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_Toc517878126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_Toc517878127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_Toc517878128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_Toc517878129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_Toc517878130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_Toc517878131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_Toc517878132 \h </w:instrText>
      </w:r>
      <w:r>
        <w:fldChar w:fldCharType="separate"/>
      </w:r>
      <w:r>
        <w:t>5</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_Toc517878133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_Toc517878134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_Toc517878137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_Toc517878138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_Toc517878139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_Toc517878140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_Toc517878141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_Toc517878142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_Toc517878144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_Toc517878145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_Toc517878146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_Toc517878150 \h </w:instrText>
      </w:r>
      <w:r>
        <w:fldChar w:fldCharType="separate"/>
      </w:r>
      <w:r>
        <w:t>17</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_Toc517878151 \h </w:instrText>
      </w:r>
      <w:r>
        <w:fldChar w:fldCharType="separate"/>
      </w:r>
      <w:r>
        <w:t>17</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_Toc517878152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_Toc517878156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517878124"/>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517878125"/>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17878126"/>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517878127"/>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7" w:name="_Toc517878128"/>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517878129"/>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517878130"/>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517878131"/>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517878132"/>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Gazette 27 Jun 2014 p. 2320.]</w:t>
      </w:r>
    </w:p>
    <w:p>
      <w:pPr>
        <w:pStyle w:val="Heading5"/>
      </w:pPr>
      <w:bookmarkStart w:id="12" w:name="_Toc517878133"/>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17878134"/>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14925376"/>
      <w:bookmarkStart w:id="15" w:name="_Toc514925425"/>
      <w:bookmarkStart w:id="16" w:name="_Toc514926057"/>
      <w:bookmarkStart w:id="17" w:name="_Toc514927933"/>
      <w:bookmarkStart w:id="18" w:name="_Toc514930157"/>
      <w:bookmarkStart w:id="19" w:name="_Toc514931739"/>
      <w:bookmarkStart w:id="20" w:name="_Toc514934396"/>
      <w:bookmarkStart w:id="21" w:name="_Toc515024459"/>
      <w:bookmarkStart w:id="22" w:name="_Toc515024598"/>
      <w:bookmarkStart w:id="23" w:name="_Toc515026535"/>
      <w:bookmarkStart w:id="24" w:name="_Toc515027465"/>
      <w:bookmarkStart w:id="25" w:name="_Toc515027885"/>
      <w:bookmarkStart w:id="26" w:name="_Toc515267656"/>
      <w:bookmarkStart w:id="27" w:name="_Toc517878101"/>
      <w:bookmarkStart w:id="28" w:name="_Toc517878135"/>
      <w:bookmarkStart w:id="29" w:name="_Toc501633152"/>
      <w:bookmarkStart w:id="30" w:name="_Toc501633205"/>
      <w:bookmarkStart w:id="31" w:name="_Toc502736800"/>
      <w:r>
        <w:rPr>
          <w:rStyle w:val="CharSchNo"/>
        </w:rPr>
        <w:t>Schedule 1</w:t>
      </w:r>
      <w:r>
        <w:t> — </w:t>
      </w:r>
      <w:r>
        <w:rPr>
          <w:rStyle w:val="CharSchText"/>
        </w:rPr>
        <w:t>Supply charges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[bl. 3, 4(1) and 10(1)]</w:t>
      </w:r>
    </w:p>
    <w:p>
      <w:pPr>
        <w:pStyle w:val="yFootnoteheading"/>
      </w:pPr>
      <w:bookmarkStart w:id="32" w:name="_Toc515026536"/>
      <w:bookmarkStart w:id="33" w:name="_Toc515027466"/>
      <w:bookmarkStart w:id="34" w:name="_Toc515027886"/>
      <w:bookmarkStart w:id="35" w:name="_Toc515267657"/>
      <w:r>
        <w:tab/>
        <w:t>[Heading inserted: Gazette 26 Jun 2018 p. 2362.]</w:t>
      </w:r>
    </w:p>
    <w:p>
      <w:pPr>
        <w:pStyle w:val="yHeading3"/>
      </w:pPr>
      <w:bookmarkStart w:id="36" w:name="_Toc517878102"/>
      <w:bookmarkStart w:id="37" w:name="_Toc517878136"/>
      <w:r>
        <w:rPr>
          <w:rStyle w:val="CharSDivNo"/>
        </w:rPr>
        <w:t>Division 1</w:t>
      </w:r>
      <w:r>
        <w:t> — </w:t>
      </w:r>
      <w:r>
        <w:rPr>
          <w:rStyle w:val="CharSDivText"/>
        </w:rPr>
        <w:t>Tariffs other than MyPower tariffs</w:t>
      </w:r>
      <w:bookmarkEnd w:id="32"/>
      <w:bookmarkEnd w:id="33"/>
      <w:bookmarkEnd w:id="34"/>
      <w:bookmarkEnd w:id="35"/>
      <w:bookmarkEnd w:id="36"/>
      <w:bookmarkEnd w:id="37"/>
    </w:p>
    <w:p>
      <w:pPr>
        <w:pStyle w:val="yFootnoteheading"/>
      </w:pPr>
      <w:bookmarkStart w:id="38" w:name="_Toc484511999"/>
      <w:bookmarkStart w:id="39" w:name="_Toc484513764"/>
      <w:bookmarkStart w:id="40" w:name="_Toc515027887"/>
      <w:bookmarkStart w:id="41" w:name="_Toc515267658"/>
      <w:r>
        <w:tab/>
        <w:t>[Heading inserted: Gazette 26 Jun 2018 p. 2362.]</w:t>
      </w:r>
    </w:p>
    <w:p>
      <w:pPr>
        <w:pStyle w:val="yHeading5"/>
      </w:pPr>
      <w:bookmarkStart w:id="42" w:name="_Toc517878137"/>
      <w:r>
        <w:rPr>
          <w:rStyle w:val="CharSClsNo"/>
        </w:rPr>
        <w:t>1</w:t>
      </w:r>
      <w:r>
        <w:t>.</w:t>
      </w:r>
      <w:r>
        <w:tab/>
        <w:t>Tariff L2 (general supply — low/medium voltage tariff)</w:t>
      </w:r>
      <w:bookmarkEnd w:id="38"/>
      <w:bookmarkEnd w:id="39"/>
      <w:bookmarkEnd w:id="40"/>
      <w:bookmarkEnd w:id="41"/>
      <w:bookmarkEnd w:id="42"/>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bookmarkStart w:id="43" w:name="_Toc484512000"/>
      <w:bookmarkStart w:id="44" w:name="_Toc484513765"/>
      <w:bookmarkStart w:id="45" w:name="_Toc515027888"/>
      <w:bookmarkStart w:id="46" w:name="_Toc515267659"/>
      <w:r>
        <w:tab/>
        <w:t>[Clause 1 inserted: Gazette 26 Jun 2018 p. 2362.]</w:t>
      </w:r>
    </w:p>
    <w:p>
      <w:pPr>
        <w:pStyle w:val="yHeading5"/>
      </w:pPr>
      <w:bookmarkStart w:id="47" w:name="_Toc517878138"/>
      <w:r>
        <w:rPr>
          <w:rStyle w:val="CharSClsNo"/>
        </w:rPr>
        <w:t>2</w:t>
      </w:r>
      <w:r>
        <w:t>.</w:t>
      </w:r>
      <w:r>
        <w:tab/>
        <w:t>Tariff L4 (general supply — low/medium voltage tariff)</w:t>
      </w:r>
      <w:bookmarkEnd w:id="43"/>
      <w:bookmarkEnd w:id="44"/>
      <w:bookmarkEnd w:id="45"/>
      <w:bookmarkEnd w:id="46"/>
      <w:bookmarkEnd w:id="47"/>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bookmarkStart w:id="48" w:name="_Toc484512001"/>
      <w:bookmarkStart w:id="49" w:name="_Toc484513766"/>
      <w:bookmarkStart w:id="50" w:name="_Toc515027889"/>
      <w:bookmarkStart w:id="51" w:name="_Toc515267660"/>
      <w:r>
        <w:tab/>
        <w:t>[Clause 2 inserted: Gazette 26 Jun 2018 p. 2363.]</w:t>
      </w:r>
    </w:p>
    <w:p>
      <w:pPr>
        <w:pStyle w:val="yHeading5"/>
      </w:pPr>
      <w:bookmarkStart w:id="52" w:name="_Toc517878139"/>
      <w:r>
        <w:rPr>
          <w:rStyle w:val="CharSClsNo"/>
        </w:rPr>
        <w:t>3</w:t>
      </w:r>
      <w:r>
        <w:t>.</w:t>
      </w:r>
      <w:r>
        <w:tab/>
        <w:t>Tariff A2 (residential tariff)</w:t>
      </w:r>
      <w:bookmarkEnd w:id="48"/>
      <w:bookmarkEnd w:id="49"/>
      <w:bookmarkEnd w:id="50"/>
      <w:bookmarkEnd w:id="51"/>
      <w:bookmarkEnd w:id="52"/>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$1.0155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53" w:name="_Toc484512002"/>
      <w:bookmarkStart w:id="54" w:name="_Toc484513767"/>
      <w:bookmarkStart w:id="55" w:name="_Toc515027890"/>
      <w:bookmarkStart w:id="56" w:name="_Toc515267661"/>
      <w:r>
        <w:tab/>
        <w:t>[Clause 3 inserted: Gazette 26 Jun 2018 p. 2363.]</w:t>
      </w:r>
    </w:p>
    <w:p>
      <w:pPr>
        <w:pStyle w:val="yHeading5"/>
      </w:pPr>
      <w:bookmarkStart w:id="57" w:name="_Toc517878140"/>
      <w:r>
        <w:rPr>
          <w:rStyle w:val="CharSClsNo"/>
        </w:rPr>
        <w:t>4</w:t>
      </w:r>
      <w:r>
        <w:t>.</w:t>
      </w:r>
      <w:r>
        <w:tab/>
        <w:t>Tariff C2 (special community service tariff)</w:t>
      </w:r>
      <w:bookmarkEnd w:id="53"/>
      <w:bookmarkEnd w:id="54"/>
      <w:bookmarkEnd w:id="55"/>
      <w:bookmarkEnd w:id="56"/>
      <w:bookmarkEnd w:id="5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58" w:name="_Toc484512003"/>
      <w:bookmarkStart w:id="59" w:name="_Toc484513768"/>
      <w:bookmarkStart w:id="60" w:name="_Toc515027891"/>
      <w:bookmarkStart w:id="61" w:name="_Toc515267662"/>
      <w:r>
        <w:tab/>
        <w:t>[Clause 4 inserted: Gazette 26 Jun 2018 p. 2363</w:t>
      </w:r>
      <w:r>
        <w:noBreakHyphen/>
        <w:t>4.]</w:t>
      </w:r>
    </w:p>
    <w:p>
      <w:pPr>
        <w:pStyle w:val="yHeading5"/>
      </w:pPr>
      <w:bookmarkStart w:id="62" w:name="_Toc517878141"/>
      <w:r>
        <w:rPr>
          <w:rStyle w:val="CharSClsNo"/>
        </w:rPr>
        <w:t>5</w:t>
      </w:r>
      <w:r>
        <w:t>.</w:t>
      </w:r>
      <w:r>
        <w:tab/>
        <w:t>Tariff D2 (special tariff for certain premises)</w:t>
      </w:r>
      <w:bookmarkEnd w:id="58"/>
      <w:bookmarkEnd w:id="59"/>
      <w:bookmarkEnd w:id="60"/>
      <w:bookmarkEnd w:id="61"/>
      <w:bookmarkEnd w:id="62"/>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63" w:name="_Toc484512004"/>
      <w:bookmarkStart w:id="64" w:name="_Toc484513769"/>
      <w:bookmarkStart w:id="65" w:name="_Toc515027892"/>
      <w:bookmarkStart w:id="66" w:name="_Toc515267663"/>
      <w:r>
        <w:tab/>
        <w:t>[Clause 5 inserted: Gazette 26 Jun 2018 p. 2364.]</w:t>
      </w:r>
    </w:p>
    <w:p>
      <w:pPr>
        <w:pStyle w:val="yHeading5"/>
      </w:pPr>
      <w:bookmarkStart w:id="67" w:name="_Toc517878142"/>
      <w:r>
        <w:rPr>
          <w:rStyle w:val="CharSClsNo"/>
        </w:rPr>
        <w:t>6</w:t>
      </w:r>
      <w:r>
        <w:t>.</w:t>
      </w:r>
      <w:r>
        <w:tab/>
        <w:t>Tariff K2 (general supply with residential tariff)</w:t>
      </w:r>
      <w:bookmarkEnd w:id="63"/>
      <w:bookmarkEnd w:id="64"/>
      <w:bookmarkEnd w:id="65"/>
      <w:bookmarkEnd w:id="66"/>
      <w:bookmarkEnd w:id="6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bookmarkStart w:id="68" w:name="_Toc500409574"/>
      <w:bookmarkStart w:id="69" w:name="_Toc500409586"/>
      <w:bookmarkStart w:id="70" w:name="_Toc500580940"/>
      <w:bookmarkStart w:id="71" w:name="_Toc500580951"/>
      <w:bookmarkStart w:id="72" w:name="_Toc500581032"/>
      <w:bookmarkStart w:id="73" w:name="_Toc500745780"/>
      <w:bookmarkStart w:id="74" w:name="_Toc500746224"/>
      <w:bookmarkStart w:id="75" w:name="_Toc514925383"/>
      <w:bookmarkStart w:id="76" w:name="_Toc514925432"/>
      <w:bookmarkStart w:id="77" w:name="_Toc514926064"/>
      <w:bookmarkStart w:id="78" w:name="_Toc514927940"/>
      <w:bookmarkStart w:id="79" w:name="_Toc514930164"/>
      <w:bookmarkStart w:id="80" w:name="_Toc514931746"/>
      <w:bookmarkStart w:id="81" w:name="_Toc514934403"/>
      <w:bookmarkStart w:id="82" w:name="_Toc515024467"/>
      <w:bookmarkStart w:id="83" w:name="_Toc515024606"/>
      <w:bookmarkStart w:id="84" w:name="_Toc515026543"/>
      <w:bookmarkStart w:id="85" w:name="_Toc515027473"/>
      <w:bookmarkStart w:id="86" w:name="_Toc515027893"/>
      <w:bookmarkStart w:id="87" w:name="_Toc515267664"/>
      <w:r>
        <w:tab/>
        <w:t>[Clause 6 inserted: Gazette 26 Jun 2018 p. 2364.]</w:t>
      </w:r>
    </w:p>
    <w:p>
      <w:pPr>
        <w:pStyle w:val="yHeading3"/>
      </w:pPr>
      <w:bookmarkStart w:id="88" w:name="_Toc517878109"/>
      <w:bookmarkStart w:id="89" w:name="_Toc517878143"/>
      <w:r>
        <w:rPr>
          <w:rStyle w:val="CharSDivNo"/>
        </w:rPr>
        <w:t>Division 2</w:t>
      </w:r>
      <w:r>
        <w:t> — </w:t>
      </w:r>
      <w:r>
        <w:rPr>
          <w:rStyle w:val="CharSDivText"/>
        </w:rPr>
        <w:t>MyPower tariffs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Footnoteheading"/>
      </w:pPr>
      <w:bookmarkStart w:id="90" w:name="_Toc500745781"/>
      <w:bookmarkStart w:id="91" w:name="_Toc500746225"/>
      <w:bookmarkStart w:id="92" w:name="_Toc515027894"/>
      <w:bookmarkStart w:id="93" w:name="_Toc515267665"/>
      <w:r>
        <w:tab/>
        <w:t>[Heading inserted: Gazette 26 Jun 2018 p. 2365.]</w:t>
      </w:r>
    </w:p>
    <w:p>
      <w:pPr>
        <w:pStyle w:val="yHeading5"/>
      </w:pPr>
      <w:bookmarkStart w:id="94" w:name="_Toc517878144"/>
      <w:r>
        <w:rPr>
          <w:rStyle w:val="CharSClsNo"/>
        </w:rPr>
        <w:t>7</w:t>
      </w:r>
      <w:r>
        <w:t>.</w:t>
      </w:r>
      <w:r>
        <w:tab/>
        <w:t>Terms used</w:t>
      </w:r>
      <w:bookmarkEnd w:id="90"/>
      <w:bookmarkEnd w:id="91"/>
      <w:bookmarkEnd w:id="92"/>
      <w:bookmarkEnd w:id="93"/>
      <w:bookmarkEnd w:id="94"/>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bookmarkStart w:id="95" w:name="_Toc500745782"/>
      <w:bookmarkStart w:id="96" w:name="_Toc500746226"/>
      <w:bookmarkStart w:id="97" w:name="_Toc515027895"/>
      <w:bookmarkStart w:id="98" w:name="_Toc515267666"/>
      <w:r>
        <w:tab/>
        <w:t>[Clause 7 inserted: Gazette 26 Jun 2018 p. 2365.]</w:t>
      </w:r>
    </w:p>
    <w:p>
      <w:pPr>
        <w:pStyle w:val="yHeading5"/>
      </w:pPr>
      <w:bookmarkStart w:id="99" w:name="_Toc517878145"/>
      <w:r>
        <w:rPr>
          <w:rStyle w:val="CharSClsNo"/>
        </w:rPr>
        <w:t>8</w:t>
      </w:r>
      <w:r>
        <w:t>.</w:t>
      </w:r>
      <w:r>
        <w:tab/>
        <w:t>MyPower residential tariffs</w:t>
      </w:r>
      <w:bookmarkEnd w:id="95"/>
      <w:bookmarkEnd w:id="96"/>
      <w:bookmarkEnd w:id="97"/>
      <w:bookmarkEnd w:id="98"/>
      <w:bookmarkEnd w:id="99"/>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keepNext/>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pPr>
            <w:r>
              <w:rPr>
                <w:b/>
              </w:rPr>
              <w:t>Tariff name</w:t>
            </w:r>
          </w:p>
        </w:tc>
        <w:tc>
          <w:tcPr>
            <w:tcW w:w="1417" w:type="dxa"/>
          </w:tcPr>
          <w:p>
            <w:pPr>
              <w:pStyle w:val="yTableNAm"/>
            </w:pPr>
            <w:r>
              <w:rPr>
                <w:b/>
              </w:rPr>
              <w:t>Rate of fixed charge</w:t>
            </w:r>
          </w:p>
        </w:tc>
        <w:tc>
          <w:tcPr>
            <w:tcW w:w="1560" w:type="dxa"/>
          </w:tcPr>
          <w:p>
            <w:pPr>
              <w:pStyle w:val="yTableNAm"/>
            </w:pPr>
            <w:r>
              <w:rPr>
                <w:b/>
              </w:rPr>
              <w:t>Rate of metered consumption charge</w:t>
            </w:r>
          </w:p>
        </w:tc>
        <w:tc>
          <w:tcPr>
            <w:tcW w:w="1275" w:type="dxa"/>
          </w:tcPr>
          <w:p>
            <w:pPr>
              <w:pStyle w:val="yTableNAm"/>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$1.085704 per day</w:t>
            </w:r>
          </w:p>
        </w:tc>
        <w:tc>
          <w:tcPr>
            <w:tcW w:w="1560" w:type="dxa"/>
          </w:tcPr>
          <w:p>
            <w:pPr>
              <w:pStyle w:val="yTableNAm"/>
            </w:pPr>
            <w:r>
              <w:t>$0.100000 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$2.349424 per day</w:t>
            </w:r>
          </w:p>
        </w:tc>
        <w:tc>
          <w:tcPr>
            <w:tcW w:w="1560" w:type="dxa"/>
          </w:tcPr>
          <w:p>
            <w:pPr>
              <w:pStyle w:val="yTableNAm"/>
            </w:pPr>
            <w:r>
              <w:t>$0.100000 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$4.754144 per day</w:t>
            </w:r>
          </w:p>
        </w:tc>
        <w:tc>
          <w:tcPr>
            <w:tcW w:w="1560" w:type="dxa"/>
          </w:tcPr>
          <w:p>
            <w:pPr>
              <w:pStyle w:val="yTableNAm"/>
            </w:pPr>
            <w:r>
              <w:t>$0.100000 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$7.830263 per day</w:t>
            </w:r>
          </w:p>
        </w:tc>
        <w:tc>
          <w:tcPr>
            <w:tcW w:w="1560" w:type="dxa"/>
          </w:tcPr>
          <w:p>
            <w:pPr>
              <w:pStyle w:val="yTableNAm"/>
            </w:pPr>
            <w:r>
              <w:t>$0.100000 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$11.820120 per day</w:t>
            </w:r>
          </w:p>
        </w:tc>
        <w:tc>
          <w:tcPr>
            <w:tcW w:w="1560" w:type="dxa"/>
          </w:tcPr>
          <w:p>
            <w:pPr>
              <w:pStyle w:val="yTableNAm"/>
            </w:pPr>
            <w:r>
              <w:t>$0.100000 per unit</w:t>
            </w:r>
          </w:p>
        </w:tc>
        <w:tc>
          <w:tcPr>
            <w:tcW w:w="1275" w:type="dxa"/>
          </w:tcPr>
          <w:p>
            <w:pPr>
              <w:pStyle w:val="yTableNAm"/>
            </w:pPr>
            <w:r>
              <w:t>10 units per hour</w:t>
            </w:r>
          </w:p>
        </w:tc>
      </w:tr>
      <w:tr>
        <w:trPr>
          <w:cantSplit/>
        </w:trPr>
        <w:tc>
          <w:tcPr>
            <w:tcW w:w="1276" w:type="dxa"/>
          </w:tcPr>
          <w:p>
            <w:pPr>
              <w:pStyle w:val="yTableNAm"/>
            </w:pPr>
            <w:r>
              <w:t>MyPower residential 15 fixed plan price</w:t>
            </w:r>
          </w:p>
        </w:tc>
        <w:tc>
          <w:tcPr>
            <w:tcW w:w="1417" w:type="dxa"/>
          </w:tcPr>
          <w:p>
            <w:pPr>
              <w:pStyle w:val="yTableNAm"/>
            </w:pPr>
            <w:r>
              <w:t>$24.069593 per day</w:t>
            </w:r>
          </w:p>
        </w:tc>
        <w:tc>
          <w:tcPr>
            <w:tcW w:w="1560" w:type="dxa"/>
          </w:tcPr>
          <w:p>
            <w:pPr>
              <w:pStyle w:val="yTableNAm"/>
            </w:pPr>
            <w:r>
              <w:t>$0.100000 per unit</w:t>
            </w:r>
          </w:p>
        </w:tc>
        <w:tc>
          <w:tcPr>
            <w:tcW w:w="1275" w:type="dxa"/>
          </w:tcPr>
          <w:p>
            <w:pPr>
              <w:pStyle w:val="yTableNAm"/>
            </w:pPr>
            <w:r>
              <w:t>15 units per hour</w:t>
            </w:r>
          </w:p>
        </w:tc>
      </w:tr>
    </w:tbl>
    <w:p>
      <w:pPr>
        <w:pStyle w:val="yFootnotesection"/>
      </w:pPr>
      <w:bookmarkStart w:id="100" w:name="_Toc500745783"/>
      <w:bookmarkStart w:id="101" w:name="_Toc500746227"/>
      <w:bookmarkStart w:id="102" w:name="_Toc515027896"/>
      <w:bookmarkStart w:id="103" w:name="_Toc515267667"/>
      <w:r>
        <w:tab/>
        <w:t>[Clause 8 inserted: Gazette 26 Jun 2018 p. 2365</w:t>
      </w:r>
      <w:r>
        <w:noBreakHyphen/>
        <w:t>6.]</w:t>
      </w:r>
    </w:p>
    <w:p>
      <w:pPr>
        <w:pStyle w:val="yHeading5"/>
      </w:pPr>
      <w:bookmarkStart w:id="104" w:name="_Toc517878146"/>
      <w:r>
        <w:rPr>
          <w:rStyle w:val="CharSClsNo"/>
        </w:rPr>
        <w:t>9</w:t>
      </w:r>
      <w:r>
        <w:t>.</w:t>
      </w:r>
      <w:r>
        <w:tab/>
        <w:t>MyPower non</w:t>
      </w:r>
      <w:r>
        <w:noBreakHyphen/>
        <w:t>residential tariffs</w:t>
      </w:r>
      <w:bookmarkEnd w:id="100"/>
      <w:bookmarkEnd w:id="101"/>
      <w:bookmarkEnd w:id="102"/>
      <w:bookmarkEnd w:id="103"/>
      <w:bookmarkEnd w:id="104"/>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pPr>
            <w:r>
              <w:rPr>
                <w:b/>
              </w:rPr>
              <w:t>Tariff name</w:t>
            </w:r>
          </w:p>
        </w:tc>
        <w:tc>
          <w:tcPr>
            <w:tcW w:w="1417" w:type="dxa"/>
          </w:tcPr>
          <w:p>
            <w:pPr>
              <w:pStyle w:val="yTableNAm"/>
              <w:keepNext/>
            </w:pPr>
            <w:r>
              <w:rPr>
                <w:b/>
              </w:rPr>
              <w:t>Rate of fixed charge</w:t>
            </w:r>
          </w:p>
        </w:tc>
        <w:tc>
          <w:tcPr>
            <w:tcW w:w="1560" w:type="dxa"/>
          </w:tcPr>
          <w:p>
            <w:pPr>
              <w:pStyle w:val="yTableNAm"/>
              <w:keepNext/>
            </w:pPr>
            <w:r>
              <w:rPr>
                <w:b/>
              </w:rPr>
              <w:t>Rate of metered consumption charge</w:t>
            </w:r>
          </w:p>
        </w:tc>
        <w:tc>
          <w:tcPr>
            <w:tcW w:w="1275" w:type="dxa"/>
          </w:tcPr>
          <w:p>
            <w:pPr>
              <w:pStyle w:val="yTableNAm"/>
              <w:keepNext/>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$2.471406 per day</w:t>
            </w:r>
          </w:p>
        </w:tc>
        <w:tc>
          <w:tcPr>
            <w:tcW w:w="1560" w:type="dxa"/>
          </w:tcPr>
          <w:p>
            <w:pPr>
              <w:pStyle w:val="yTableNAm"/>
            </w:pPr>
            <w:r>
              <w:t>$0.100000 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$5.880557 per day</w:t>
            </w:r>
          </w:p>
        </w:tc>
        <w:tc>
          <w:tcPr>
            <w:tcW w:w="1560" w:type="dxa"/>
          </w:tcPr>
          <w:p>
            <w:pPr>
              <w:pStyle w:val="yTableNAm"/>
            </w:pPr>
            <w:r>
              <w:t>$0.100000 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$10.522735 per day</w:t>
            </w:r>
          </w:p>
        </w:tc>
        <w:tc>
          <w:tcPr>
            <w:tcW w:w="1560" w:type="dxa"/>
          </w:tcPr>
          <w:p>
            <w:pPr>
              <w:pStyle w:val="yTableNAm"/>
            </w:pPr>
            <w:r>
              <w:t>$0.100000 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$15.678374 per day</w:t>
            </w:r>
          </w:p>
        </w:tc>
        <w:tc>
          <w:tcPr>
            <w:tcW w:w="1560" w:type="dxa"/>
          </w:tcPr>
          <w:p>
            <w:pPr>
              <w:pStyle w:val="yTableNAm"/>
            </w:pPr>
            <w:r>
              <w:t>$0.100000 per unit</w:t>
            </w:r>
          </w:p>
        </w:tc>
        <w:tc>
          <w:tcPr>
            <w:tcW w:w="1275" w:type="dxa"/>
          </w:tcPr>
          <w:p>
            <w:pPr>
              <w:pStyle w:val="yTableNAm"/>
            </w:pPr>
            <w:r>
              <w:t>10 units per hour</w:t>
            </w:r>
          </w:p>
        </w:tc>
      </w:tr>
      <w:tr>
        <w:trPr>
          <w:cantSplit/>
        </w:trPr>
        <w:tc>
          <w:tcPr>
            <w:tcW w:w="1276" w:type="dxa"/>
          </w:tcPr>
          <w:p>
            <w:pPr>
              <w:pStyle w:val="yTableNAm"/>
            </w:pPr>
            <w:r>
              <w:t>MyPower business 15 fixed plan price</w:t>
            </w:r>
          </w:p>
        </w:tc>
        <w:tc>
          <w:tcPr>
            <w:tcW w:w="1417" w:type="dxa"/>
          </w:tcPr>
          <w:p>
            <w:pPr>
              <w:pStyle w:val="yTableNAm"/>
            </w:pPr>
            <w:r>
              <w:t>$24.069593 per day</w:t>
            </w:r>
          </w:p>
        </w:tc>
        <w:tc>
          <w:tcPr>
            <w:tcW w:w="1560" w:type="dxa"/>
          </w:tcPr>
          <w:p>
            <w:pPr>
              <w:pStyle w:val="yTableNAm"/>
            </w:pPr>
            <w:r>
              <w:t>$0.100000 per unit</w:t>
            </w:r>
          </w:p>
        </w:tc>
        <w:tc>
          <w:tcPr>
            <w:tcW w:w="1275" w:type="dxa"/>
          </w:tcPr>
          <w:p>
            <w:pPr>
              <w:pStyle w:val="yTableNAm"/>
            </w:pPr>
            <w:r>
              <w:t>15 units per hour</w:t>
            </w:r>
          </w:p>
        </w:tc>
      </w:tr>
      <w:tr>
        <w:trPr>
          <w:cantSplit/>
        </w:trPr>
        <w:tc>
          <w:tcPr>
            <w:tcW w:w="1276" w:type="dxa"/>
          </w:tcPr>
          <w:p>
            <w:pPr>
              <w:pStyle w:val="yTableNAm"/>
            </w:pPr>
            <w:r>
              <w:t>MyPower business 20 fixed plan price</w:t>
            </w:r>
          </w:p>
        </w:tc>
        <w:tc>
          <w:tcPr>
            <w:tcW w:w="1417" w:type="dxa"/>
          </w:tcPr>
          <w:p>
            <w:pPr>
              <w:pStyle w:val="yTableNAm"/>
            </w:pPr>
            <w:r>
              <w:t>$42.912920 per day</w:t>
            </w:r>
          </w:p>
        </w:tc>
        <w:tc>
          <w:tcPr>
            <w:tcW w:w="1560" w:type="dxa"/>
          </w:tcPr>
          <w:p>
            <w:pPr>
              <w:pStyle w:val="yTableNAm"/>
            </w:pPr>
            <w:r>
              <w:t>$0.100000 per unit</w:t>
            </w:r>
          </w:p>
        </w:tc>
        <w:tc>
          <w:tcPr>
            <w:tcW w:w="1275" w:type="dxa"/>
          </w:tcPr>
          <w:p>
            <w:pPr>
              <w:pStyle w:val="yTableNAm"/>
            </w:pPr>
            <w:r>
              <w:t>20 units per hour</w:t>
            </w:r>
          </w:p>
        </w:tc>
      </w:tr>
      <w:tr>
        <w:trPr>
          <w:cantSplit/>
        </w:trPr>
        <w:tc>
          <w:tcPr>
            <w:tcW w:w="1276" w:type="dxa"/>
          </w:tcPr>
          <w:p>
            <w:pPr>
              <w:pStyle w:val="yTableNAm"/>
            </w:pPr>
            <w:r>
              <w:t>MyPower business 30 fixed plan price</w:t>
            </w:r>
          </w:p>
        </w:tc>
        <w:tc>
          <w:tcPr>
            <w:tcW w:w="1417" w:type="dxa"/>
          </w:tcPr>
          <w:p>
            <w:pPr>
              <w:pStyle w:val="yTableNAm"/>
            </w:pPr>
            <w:r>
              <w:t>$60.549730 per day</w:t>
            </w:r>
          </w:p>
        </w:tc>
        <w:tc>
          <w:tcPr>
            <w:tcW w:w="1560" w:type="dxa"/>
          </w:tcPr>
          <w:p>
            <w:pPr>
              <w:pStyle w:val="yTableNAm"/>
            </w:pPr>
            <w:r>
              <w:t>$0.100000 per unit</w:t>
            </w:r>
          </w:p>
        </w:tc>
        <w:tc>
          <w:tcPr>
            <w:tcW w:w="1275" w:type="dxa"/>
          </w:tcPr>
          <w:p>
            <w:pPr>
              <w:pStyle w:val="yTableNAm"/>
            </w:pPr>
            <w:r>
              <w:t>30 units per hour</w:t>
            </w:r>
          </w:p>
        </w:tc>
      </w:tr>
      <w:tr>
        <w:trPr>
          <w:cantSplit/>
        </w:trPr>
        <w:tc>
          <w:tcPr>
            <w:tcW w:w="1276" w:type="dxa"/>
          </w:tcPr>
          <w:p>
            <w:pPr>
              <w:pStyle w:val="yTableNAm"/>
            </w:pPr>
            <w:r>
              <w:t>MyPower business 40 fixed plan price</w:t>
            </w:r>
          </w:p>
        </w:tc>
        <w:tc>
          <w:tcPr>
            <w:tcW w:w="1417" w:type="dxa"/>
          </w:tcPr>
          <w:p>
            <w:pPr>
              <w:pStyle w:val="yTableNAm"/>
            </w:pPr>
            <w:r>
              <w:t>$88.342663 per day</w:t>
            </w:r>
          </w:p>
        </w:tc>
        <w:tc>
          <w:tcPr>
            <w:tcW w:w="1560" w:type="dxa"/>
          </w:tcPr>
          <w:p>
            <w:pPr>
              <w:pStyle w:val="yTableNAm"/>
            </w:pPr>
            <w:r>
              <w:t>$0.100000 per unit</w:t>
            </w:r>
          </w:p>
        </w:tc>
        <w:tc>
          <w:tcPr>
            <w:tcW w:w="1275" w:type="dxa"/>
          </w:tcPr>
          <w:p>
            <w:pPr>
              <w:pStyle w:val="yTableNAm"/>
            </w:pPr>
            <w:r>
              <w:t>40 units per hour</w:t>
            </w:r>
          </w:p>
        </w:tc>
      </w:tr>
      <w:tr>
        <w:trPr>
          <w:cantSplit/>
        </w:trPr>
        <w:tc>
          <w:tcPr>
            <w:tcW w:w="1276" w:type="dxa"/>
          </w:tcPr>
          <w:p>
            <w:pPr>
              <w:pStyle w:val="yTableNAm"/>
            </w:pPr>
            <w:r>
              <w:t>MyPower business 50 fixed plan price</w:t>
            </w:r>
          </w:p>
        </w:tc>
        <w:tc>
          <w:tcPr>
            <w:tcW w:w="1417" w:type="dxa"/>
          </w:tcPr>
          <w:p>
            <w:pPr>
              <w:pStyle w:val="yTableNAm"/>
            </w:pPr>
            <w:r>
              <w:t>$121.159230 per day</w:t>
            </w:r>
          </w:p>
        </w:tc>
        <w:tc>
          <w:tcPr>
            <w:tcW w:w="1560" w:type="dxa"/>
          </w:tcPr>
          <w:p>
            <w:pPr>
              <w:pStyle w:val="yTableNAm"/>
            </w:pPr>
            <w:r>
              <w:t>$0.100000 per unit</w:t>
            </w:r>
          </w:p>
        </w:tc>
        <w:tc>
          <w:tcPr>
            <w:tcW w:w="1275" w:type="dxa"/>
          </w:tcPr>
          <w:p>
            <w:pPr>
              <w:pStyle w:val="yTableNAm"/>
            </w:pPr>
            <w:r>
              <w:t>50 units per hour</w:t>
            </w:r>
          </w:p>
        </w:tc>
      </w:tr>
    </w:tbl>
    <w:p>
      <w:pPr>
        <w:pStyle w:val="yFootnotesection"/>
        <w:keepLines w:val="0"/>
      </w:pPr>
      <w:r>
        <w:tab/>
        <w:t>[Clause 9 inserted: Gazette 26 Jun 2018 p. 2366</w:t>
      </w:r>
      <w:r>
        <w:noBreakHyphen/>
        <w:t>8.]</w:t>
      </w:r>
    </w:p>
    <w:bookmarkEnd w:id="29"/>
    <w:bookmarkEnd w:id="30"/>
    <w:bookmarkEnd w:id="31"/>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06" w:name="_Toc484509506"/>
      <w:bookmarkStart w:id="107" w:name="_Toc484509523"/>
      <w:bookmarkStart w:id="108" w:name="_Toc484509842"/>
      <w:bookmarkStart w:id="109" w:name="_Toc484510613"/>
      <w:bookmarkStart w:id="110" w:name="_Toc484512005"/>
      <w:bookmarkStart w:id="111" w:name="_Toc484512047"/>
      <w:bookmarkStart w:id="112" w:name="_Toc484512266"/>
      <w:bookmarkStart w:id="113" w:name="_Toc484512843"/>
      <w:bookmarkStart w:id="114" w:name="_Toc484513770"/>
      <w:bookmarkStart w:id="115" w:name="_Toc514925387"/>
      <w:bookmarkStart w:id="116" w:name="_Toc514925436"/>
      <w:bookmarkStart w:id="117" w:name="_Toc514926068"/>
      <w:bookmarkStart w:id="118" w:name="_Toc514927944"/>
      <w:bookmarkStart w:id="119" w:name="_Toc514930168"/>
      <w:bookmarkStart w:id="120" w:name="_Toc514931750"/>
      <w:bookmarkStart w:id="121" w:name="_Toc514934407"/>
      <w:bookmarkStart w:id="122" w:name="_Toc515024471"/>
      <w:bookmarkStart w:id="123" w:name="_Toc515024610"/>
      <w:bookmarkStart w:id="124" w:name="_Toc515026547"/>
      <w:bookmarkStart w:id="125" w:name="_Toc515027477"/>
      <w:bookmarkStart w:id="126" w:name="_Toc515027897"/>
      <w:bookmarkStart w:id="127" w:name="_Toc515267668"/>
      <w:bookmarkStart w:id="128" w:name="_Toc517878113"/>
      <w:bookmarkStart w:id="129" w:name="_Toc517878147"/>
      <w:bookmarkStart w:id="130" w:name="_Toc501633159"/>
      <w:bookmarkStart w:id="131" w:name="_Toc501633212"/>
      <w:bookmarkStart w:id="132" w:name="_Toc502736812"/>
      <w:r>
        <w:rPr>
          <w:rStyle w:val="CharSchNo"/>
        </w:rPr>
        <w:t>Schedule 2</w:t>
      </w:r>
      <w:r>
        <w:t> — </w:t>
      </w:r>
      <w:r>
        <w:rPr>
          <w:rStyle w:val="CharSchText"/>
        </w:rPr>
        <w:t>Unmetered supply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[bl. 4(2) and (3)]</w:t>
      </w:r>
    </w:p>
    <w:p>
      <w:pPr>
        <w:pStyle w:val="yFootnoteheading"/>
      </w:pPr>
      <w:bookmarkStart w:id="133" w:name="_Toc484509507"/>
      <w:bookmarkStart w:id="134" w:name="_Toc484509524"/>
      <w:bookmarkStart w:id="135" w:name="_Toc484509843"/>
      <w:bookmarkStart w:id="136" w:name="_Toc484510614"/>
      <w:bookmarkStart w:id="137" w:name="_Toc484512006"/>
      <w:bookmarkStart w:id="138" w:name="_Toc484512048"/>
      <w:bookmarkStart w:id="139" w:name="_Toc484512267"/>
      <w:bookmarkStart w:id="140" w:name="_Toc484512844"/>
      <w:bookmarkStart w:id="141" w:name="_Toc484513771"/>
      <w:bookmarkStart w:id="142" w:name="_Toc514925388"/>
      <w:bookmarkStart w:id="143" w:name="_Toc514925437"/>
      <w:bookmarkStart w:id="144" w:name="_Toc514926069"/>
      <w:bookmarkStart w:id="145" w:name="_Toc514927945"/>
      <w:bookmarkStart w:id="146" w:name="_Toc514930169"/>
      <w:bookmarkStart w:id="147" w:name="_Toc514931751"/>
      <w:bookmarkStart w:id="148" w:name="_Toc514934408"/>
      <w:bookmarkStart w:id="149" w:name="_Toc515024472"/>
      <w:bookmarkStart w:id="150" w:name="_Toc515024611"/>
      <w:bookmarkStart w:id="151" w:name="_Toc515026548"/>
      <w:bookmarkStart w:id="152" w:name="_Toc515027478"/>
      <w:bookmarkStart w:id="153" w:name="_Toc515027898"/>
      <w:bookmarkStart w:id="154" w:name="_Toc515267669"/>
      <w:r>
        <w:tab/>
        <w:t>[Heading inserted: Gazette 26 Jun 2018 p. 2368.]</w:t>
      </w:r>
    </w:p>
    <w:p>
      <w:pPr>
        <w:pStyle w:val="yHeading3"/>
      </w:pPr>
      <w:bookmarkStart w:id="155" w:name="_Toc517878114"/>
      <w:bookmarkStart w:id="156" w:name="_Toc517878148"/>
      <w:r>
        <w:rPr>
          <w:rStyle w:val="CharSDivNo"/>
        </w:rPr>
        <w:t>Division 1</w:t>
      </w:r>
      <w:r>
        <w:t> — </w:t>
      </w:r>
      <w:r>
        <w:rPr>
          <w:rStyle w:val="CharSDivText"/>
        </w:rPr>
        <w:t>Street lighting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Footnoteheading"/>
        <w:spacing w:after="120"/>
      </w:pPr>
      <w:r>
        <w:tab/>
        <w:t>[Heading inserted: Gazette 26 Jun 2018 p. 2368.]</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32.7338</w:t>
            </w:r>
          </w:p>
        </w:tc>
        <w:tc>
          <w:tcPr>
            <w:tcW w:w="1512" w:type="dxa"/>
          </w:tcPr>
          <w:p>
            <w:pPr>
              <w:pStyle w:val="yTableNAm"/>
            </w:pPr>
            <w:r>
              <w:rPr>
                <w:sz w:val="16"/>
                <w:szCs w:val="16"/>
              </w:rPr>
              <w:t>33.4901</w:t>
            </w:r>
          </w:p>
        </w:tc>
        <w:tc>
          <w:tcPr>
            <w:tcW w:w="1370" w:type="dxa"/>
          </w:tcPr>
          <w:p>
            <w:pPr>
              <w:pStyle w:val="yTableNAm"/>
            </w:pPr>
            <w:r>
              <w:rPr>
                <w:sz w:val="16"/>
                <w:szCs w:val="16"/>
              </w:rPr>
              <w:t>36.2736</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39.8997</w:t>
            </w:r>
          </w:p>
        </w:tc>
        <w:tc>
          <w:tcPr>
            <w:tcW w:w="1512" w:type="dxa"/>
          </w:tcPr>
          <w:p>
            <w:pPr>
              <w:pStyle w:val="yTableNAm"/>
            </w:pPr>
            <w:r>
              <w:rPr>
                <w:sz w:val="16"/>
                <w:szCs w:val="16"/>
              </w:rPr>
              <w:t>40.9299</w:t>
            </w:r>
          </w:p>
        </w:tc>
        <w:tc>
          <w:tcPr>
            <w:tcW w:w="1370" w:type="dxa"/>
          </w:tcPr>
          <w:p>
            <w:pPr>
              <w:pStyle w:val="yTableNAm"/>
            </w:pPr>
            <w:r>
              <w:rPr>
                <w:sz w:val="16"/>
                <w:szCs w:val="16"/>
              </w:rPr>
              <w:t>45.3137</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49.1011</w:t>
            </w:r>
          </w:p>
        </w:tc>
        <w:tc>
          <w:tcPr>
            <w:tcW w:w="1512" w:type="dxa"/>
          </w:tcPr>
          <w:p>
            <w:pPr>
              <w:pStyle w:val="yTableNAm"/>
            </w:pPr>
            <w:r>
              <w:rPr>
                <w:sz w:val="16"/>
                <w:szCs w:val="16"/>
              </w:rPr>
              <w:t>50.8492</w:t>
            </w:r>
          </w:p>
        </w:tc>
        <w:tc>
          <w:tcPr>
            <w:tcW w:w="1370" w:type="dxa"/>
          </w:tcPr>
          <w:p>
            <w:pPr>
              <w:pStyle w:val="yTableNAm"/>
            </w:pPr>
            <w:r>
              <w:rPr>
                <w:sz w:val="16"/>
                <w:szCs w:val="16"/>
              </w:rPr>
              <w:t>57.2876</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63.1971</w:t>
            </w:r>
          </w:p>
        </w:tc>
        <w:tc>
          <w:tcPr>
            <w:tcW w:w="1512" w:type="dxa"/>
          </w:tcPr>
          <w:p>
            <w:pPr>
              <w:pStyle w:val="yTableNAm"/>
            </w:pPr>
            <w:r>
              <w:rPr>
                <w:sz w:val="16"/>
                <w:szCs w:val="16"/>
              </w:rPr>
              <w:t>66.6382</w:t>
            </w:r>
          </w:p>
        </w:tc>
        <w:tc>
          <w:tcPr>
            <w:tcW w:w="1370" w:type="dxa"/>
          </w:tcPr>
          <w:p>
            <w:pPr>
              <w:pStyle w:val="yTableNAm"/>
            </w:pPr>
            <w:r>
              <w:rPr>
                <w:sz w:val="16"/>
                <w:szCs w:val="16"/>
              </w:rPr>
              <w:t>79.5699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77.4388</w:t>
            </w:r>
          </w:p>
        </w:tc>
        <w:tc>
          <w:tcPr>
            <w:tcW w:w="1512" w:type="dxa"/>
          </w:tcPr>
          <w:p>
            <w:pPr>
              <w:pStyle w:val="yTableNAm"/>
            </w:pPr>
            <w:r>
              <w:rPr>
                <w:sz w:val="16"/>
                <w:szCs w:val="16"/>
              </w:rPr>
              <w:t>80.5998</w:t>
            </w:r>
          </w:p>
        </w:tc>
        <w:tc>
          <w:tcPr>
            <w:tcW w:w="1370" w:type="dxa"/>
          </w:tcPr>
          <w:p>
            <w:pPr>
              <w:pStyle w:val="yTableNAm"/>
            </w:pPr>
            <w:r>
              <w:rPr>
                <w:sz w:val="16"/>
                <w:szCs w:val="16"/>
              </w:rPr>
              <w:t>112.7212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48.8872</w:t>
            </w:r>
          </w:p>
        </w:tc>
        <w:tc>
          <w:tcPr>
            <w:tcW w:w="1512" w:type="dxa"/>
          </w:tcPr>
          <w:p>
            <w:pPr>
              <w:pStyle w:val="yTableNAm"/>
            </w:pPr>
            <w:r>
              <w:rPr>
                <w:sz w:val="16"/>
                <w:szCs w:val="16"/>
              </w:rPr>
              <w:t>50.8489</w:t>
            </w:r>
          </w:p>
        </w:tc>
        <w:tc>
          <w:tcPr>
            <w:tcW w:w="1370" w:type="dxa"/>
          </w:tcPr>
          <w:p>
            <w:pPr>
              <w:pStyle w:val="yTableNAm"/>
            </w:pPr>
            <w:r>
              <w:rPr>
                <w:sz w:val="16"/>
                <w:szCs w:val="16"/>
              </w:rPr>
              <w:t>60.3506</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66.2096</w:t>
            </w:r>
          </w:p>
        </w:tc>
        <w:tc>
          <w:tcPr>
            <w:tcW w:w="1512" w:type="dxa"/>
          </w:tcPr>
          <w:p>
            <w:pPr>
              <w:pStyle w:val="yTableNAm"/>
            </w:pPr>
            <w:r>
              <w:rPr>
                <w:sz w:val="16"/>
                <w:szCs w:val="16"/>
              </w:rPr>
              <w:t>70.0344</w:t>
            </w:r>
          </w:p>
        </w:tc>
        <w:tc>
          <w:tcPr>
            <w:tcW w:w="1370" w:type="dxa"/>
          </w:tcPr>
          <w:p>
            <w:pPr>
              <w:pStyle w:val="yTableNAm"/>
            </w:pPr>
            <w:r>
              <w:rPr>
                <w:sz w:val="16"/>
                <w:szCs w:val="16"/>
              </w:rPr>
              <w:t>84.7089</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260.3999</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35.4528</w:t>
            </w:r>
          </w:p>
        </w:tc>
        <w:tc>
          <w:tcPr>
            <w:tcW w:w="1512" w:type="dxa"/>
          </w:tcPr>
          <w:p>
            <w:pPr>
              <w:pStyle w:val="yTableNAm"/>
            </w:pPr>
            <w:r>
              <w:rPr>
                <w:sz w:val="16"/>
                <w:szCs w:val="16"/>
              </w:rPr>
              <w:t>36.4989</w:t>
            </w:r>
          </w:p>
        </w:tc>
        <w:tc>
          <w:tcPr>
            <w:tcW w:w="1370" w:type="dxa"/>
          </w:tcPr>
          <w:p>
            <w:pPr>
              <w:pStyle w:val="yTableNAm"/>
            </w:pPr>
            <w:r>
              <w:rPr>
                <w:sz w:val="16"/>
                <w:szCs w:val="16"/>
              </w:rPr>
              <w:t>39.4877</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47.3256</w:t>
            </w:r>
          </w:p>
        </w:tc>
        <w:tc>
          <w:tcPr>
            <w:tcW w:w="1512" w:type="dxa"/>
          </w:tcPr>
          <w:p>
            <w:pPr>
              <w:pStyle w:val="yTableNAm"/>
            </w:pPr>
            <w:r>
              <w:rPr>
                <w:sz w:val="16"/>
                <w:szCs w:val="16"/>
              </w:rPr>
              <w:t>49.5750</w:t>
            </w:r>
          </w:p>
        </w:tc>
        <w:tc>
          <w:tcPr>
            <w:tcW w:w="1370" w:type="dxa"/>
          </w:tcPr>
          <w:p>
            <w:pPr>
              <w:pStyle w:val="yTableNAm"/>
            </w:pPr>
            <w:r>
              <w:rPr>
                <w:sz w:val="16"/>
                <w:szCs w:val="16"/>
              </w:rPr>
              <w:t>60.1250</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51.5747</w:t>
            </w:r>
          </w:p>
        </w:tc>
        <w:tc>
          <w:tcPr>
            <w:tcW w:w="1512" w:type="dxa"/>
          </w:tcPr>
          <w:p>
            <w:pPr>
              <w:pStyle w:val="yTableNAm"/>
            </w:pPr>
            <w:r>
              <w:rPr>
                <w:sz w:val="16"/>
                <w:szCs w:val="16"/>
              </w:rPr>
              <w:t>55.2353</w:t>
            </w:r>
          </w:p>
        </w:tc>
        <w:tc>
          <w:tcPr>
            <w:tcW w:w="1370" w:type="dxa"/>
          </w:tcPr>
          <w:p>
            <w:pPr>
              <w:pStyle w:val="yTableNAm"/>
            </w:pPr>
            <w:r>
              <w:rPr>
                <w:sz w:val="16"/>
                <w:szCs w:val="16"/>
              </w:rPr>
              <w:t>71.7486</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32.6454</w:t>
            </w:r>
          </w:p>
        </w:tc>
        <w:tc>
          <w:tcPr>
            <w:tcW w:w="1512" w:type="dxa"/>
          </w:tcPr>
          <w:p>
            <w:pPr>
              <w:pStyle w:val="yTableNAm"/>
            </w:pPr>
            <w:r>
              <w:rPr>
                <w:sz w:val="16"/>
                <w:szCs w:val="16"/>
              </w:rPr>
              <w:t>33.0048</w:t>
            </w:r>
          </w:p>
        </w:tc>
        <w:tc>
          <w:tcPr>
            <w:tcW w:w="1370" w:type="dxa"/>
          </w:tcPr>
          <w:p>
            <w:pPr>
              <w:pStyle w:val="yTableNAm"/>
            </w:pPr>
            <w:r>
              <w:rPr>
                <w:sz w:val="16"/>
                <w:szCs w:val="16"/>
              </w:rPr>
              <w:t>33.3876</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75.6409</w:t>
            </w:r>
          </w:p>
        </w:tc>
        <w:tc>
          <w:tcPr>
            <w:tcW w:w="1512" w:type="dxa"/>
          </w:tcPr>
          <w:p>
            <w:pPr>
              <w:pStyle w:val="yTableNAm"/>
            </w:pPr>
            <w:r>
              <w:rPr>
                <w:sz w:val="16"/>
                <w:szCs w:val="16"/>
              </w:rPr>
              <w:t>78.7803</w:t>
            </w:r>
          </w:p>
        </w:tc>
        <w:tc>
          <w:tcPr>
            <w:tcW w:w="1370" w:type="dxa"/>
          </w:tcPr>
          <w:p>
            <w:pPr>
              <w:pStyle w:val="yTableNAm"/>
            </w:pPr>
            <w:r>
              <w:rPr>
                <w:sz w:val="16"/>
                <w:szCs w:val="16"/>
              </w:rPr>
              <w:t>91.9121</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99.8261</w:t>
            </w:r>
          </w:p>
        </w:tc>
        <w:tc>
          <w:tcPr>
            <w:tcW w:w="1512" w:type="dxa"/>
          </w:tcPr>
          <w:p>
            <w:pPr>
              <w:pStyle w:val="yTableNAm"/>
            </w:pPr>
            <w:r>
              <w:rPr>
                <w:sz w:val="16"/>
                <w:szCs w:val="16"/>
              </w:rPr>
              <w:t>104.7087</w:t>
            </w:r>
          </w:p>
        </w:tc>
        <w:tc>
          <w:tcPr>
            <w:tcW w:w="1370" w:type="dxa"/>
          </w:tcPr>
          <w:p>
            <w:pPr>
              <w:pStyle w:val="yTableNAm"/>
            </w:pPr>
            <w:r>
              <w:rPr>
                <w:sz w:val="16"/>
                <w:szCs w:val="16"/>
              </w:rPr>
              <w:t>125.3405</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69.6119</w:t>
            </w:r>
          </w:p>
        </w:tc>
        <w:tc>
          <w:tcPr>
            <w:tcW w:w="1512" w:type="dxa"/>
          </w:tcPr>
          <w:p>
            <w:pPr>
              <w:pStyle w:val="yTableNAm"/>
            </w:pPr>
            <w:r>
              <w:rPr>
                <w:sz w:val="16"/>
                <w:szCs w:val="16"/>
              </w:rPr>
              <w:t>72.7295</w:t>
            </w:r>
          </w:p>
        </w:tc>
        <w:tc>
          <w:tcPr>
            <w:tcW w:w="1370" w:type="dxa"/>
          </w:tcPr>
          <w:p>
            <w:pPr>
              <w:pStyle w:val="yTableNAm"/>
            </w:pPr>
            <w:r>
              <w:rPr>
                <w:sz w:val="16"/>
                <w:szCs w:val="16"/>
              </w:rPr>
              <w:t>85.8833</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75.6409</w:t>
            </w:r>
          </w:p>
        </w:tc>
        <w:tc>
          <w:tcPr>
            <w:tcW w:w="1512" w:type="dxa"/>
          </w:tcPr>
          <w:p>
            <w:pPr>
              <w:pStyle w:val="yTableNAm"/>
            </w:pPr>
            <w:r>
              <w:rPr>
                <w:sz w:val="16"/>
                <w:szCs w:val="16"/>
              </w:rPr>
              <w:t>78.7803</w:t>
            </w:r>
          </w:p>
        </w:tc>
        <w:tc>
          <w:tcPr>
            <w:tcW w:w="1370" w:type="dxa"/>
          </w:tcPr>
          <w:p>
            <w:pPr>
              <w:pStyle w:val="yTableNAm"/>
            </w:pPr>
            <w:r>
              <w:rPr>
                <w:sz w:val="16"/>
                <w:szCs w:val="16"/>
              </w:rPr>
              <w:t>91.9121</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93.7972</w:t>
            </w:r>
          </w:p>
        </w:tc>
        <w:tc>
          <w:tcPr>
            <w:tcW w:w="1512" w:type="dxa"/>
          </w:tcPr>
          <w:p>
            <w:pPr>
              <w:pStyle w:val="yTableNAm"/>
            </w:pPr>
            <w:r>
              <w:rPr>
                <w:sz w:val="16"/>
                <w:szCs w:val="16"/>
              </w:rPr>
              <w:t>98.6909</w:t>
            </w:r>
          </w:p>
        </w:tc>
        <w:tc>
          <w:tcPr>
            <w:tcW w:w="1370" w:type="dxa"/>
          </w:tcPr>
          <w:p>
            <w:pPr>
              <w:pStyle w:val="yTableNAm"/>
            </w:pPr>
            <w:r>
              <w:rPr>
                <w:sz w:val="16"/>
                <w:szCs w:val="16"/>
              </w:rPr>
              <w:t>119.3336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99.8261</w:t>
            </w:r>
          </w:p>
        </w:tc>
        <w:tc>
          <w:tcPr>
            <w:tcW w:w="1512" w:type="dxa"/>
          </w:tcPr>
          <w:p>
            <w:pPr>
              <w:pStyle w:val="yTableNAm"/>
            </w:pPr>
            <w:r>
              <w:rPr>
                <w:sz w:val="16"/>
                <w:szCs w:val="16"/>
              </w:rPr>
              <w:t>104.7087</w:t>
            </w:r>
          </w:p>
        </w:tc>
        <w:tc>
          <w:tcPr>
            <w:tcW w:w="1370" w:type="dxa"/>
          </w:tcPr>
          <w:p>
            <w:pPr>
              <w:pStyle w:val="yTableNAm"/>
            </w:pPr>
            <w:r>
              <w:rPr>
                <w:sz w:val="16"/>
                <w:szCs w:val="16"/>
              </w:rPr>
              <w:t>125.3405</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65.9286</w:t>
            </w:r>
          </w:p>
        </w:tc>
        <w:tc>
          <w:tcPr>
            <w:tcW w:w="1512" w:type="dxa"/>
          </w:tcPr>
          <w:p>
            <w:pPr>
              <w:pStyle w:val="yTableNAm"/>
            </w:pPr>
            <w:r>
              <w:rPr>
                <w:sz w:val="16"/>
                <w:szCs w:val="16"/>
              </w:rPr>
              <w:t>67.6938</w:t>
            </w:r>
          </w:p>
        </w:tc>
        <w:tc>
          <w:tcPr>
            <w:tcW w:w="1370" w:type="dxa"/>
          </w:tcPr>
          <w:p>
            <w:pPr>
              <w:pStyle w:val="yTableNAm"/>
            </w:pPr>
            <w:r>
              <w:rPr>
                <w:sz w:val="16"/>
                <w:szCs w:val="16"/>
              </w:rPr>
              <w:t>77.2873</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75.6643</w:t>
            </w:r>
          </w:p>
        </w:tc>
        <w:tc>
          <w:tcPr>
            <w:tcW w:w="1512" w:type="dxa"/>
          </w:tcPr>
          <w:p>
            <w:pPr>
              <w:pStyle w:val="yTableNAm"/>
            </w:pPr>
            <w:r>
              <w:rPr>
                <w:sz w:val="16"/>
                <w:szCs w:val="16"/>
              </w:rPr>
              <w:t>79.2202</w:t>
            </w:r>
          </w:p>
        </w:tc>
        <w:tc>
          <w:tcPr>
            <w:tcW w:w="1370" w:type="dxa"/>
          </w:tcPr>
          <w:p>
            <w:pPr>
              <w:pStyle w:val="yTableNAm"/>
            </w:pPr>
            <w:r>
              <w:rPr>
                <w:sz w:val="16"/>
                <w:szCs w:val="16"/>
              </w:rPr>
              <w:t>94.0621</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84.6637</w:t>
            </w:r>
          </w:p>
        </w:tc>
        <w:tc>
          <w:tcPr>
            <w:tcW w:w="1512" w:type="dxa"/>
          </w:tcPr>
          <w:p>
            <w:pPr>
              <w:pStyle w:val="yTableNAm"/>
            </w:pPr>
            <w:r>
              <w:rPr>
                <w:sz w:val="16"/>
                <w:szCs w:val="16"/>
              </w:rPr>
              <w:t>88.2525</w:t>
            </w:r>
          </w:p>
        </w:tc>
        <w:tc>
          <w:tcPr>
            <w:tcW w:w="1370" w:type="dxa"/>
          </w:tcPr>
          <w:p>
            <w:pPr>
              <w:pStyle w:val="yTableNAm"/>
            </w:pPr>
            <w:r>
              <w:rPr>
                <w:sz w:val="16"/>
                <w:szCs w:val="16"/>
              </w:rPr>
              <w:t>103.1054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33.8972</w:t>
            </w:r>
          </w:p>
        </w:tc>
        <w:tc>
          <w:tcPr>
            <w:tcW w:w="1512" w:type="dxa"/>
          </w:tcPr>
          <w:p>
            <w:pPr>
              <w:pStyle w:val="yTableNAm"/>
            </w:pPr>
            <w:r>
              <w:rPr>
                <w:sz w:val="16"/>
                <w:szCs w:val="16"/>
              </w:rPr>
              <w:t>34.9331</w:t>
            </w:r>
          </w:p>
        </w:tc>
        <w:tc>
          <w:tcPr>
            <w:tcW w:w="1370" w:type="dxa"/>
          </w:tcPr>
          <w:p>
            <w:pPr>
              <w:pStyle w:val="yTableNAm"/>
            </w:pPr>
            <w:r>
              <w:rPr>
                <w:sz w:val="16"/>
                <w:szCs w:val="16"/>
              </w:rPr>
              <w:t>38.8330</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32.5011</w:t>
            </w:r>
          </w:p>
        </w:tc>
        <w:tc>
          <w:tcPr>
            <w:tcW w:w="1512" w:type="dxa"/>
          </w:tcPr>
          <w:p>
            <w:pPr>
              <w:pStyle w:val="yTableNAm"/>
            </w:pPr>
            <w:r>
              <w:rPr>
                <w:sz w:val="16"/>
                <w:szCs w:val="16"/>
              </w:rPr>
              <w:t>33.2026</w:t>
            </w:r>
          </w:p>
        </w:tc>
        <w:tc>
          <w:tcPr>
            <w:tcW w:w="1370" w:type="dxa"/>
          </w:tcPr>
          <w:p>
            <w:pPr>
              <w:pStyle w:val="yTableNAm"/>
            </w:pPr>
            <w:r>
              <w:rPr>
                <w:sz w:val="16"/>
                <w:szCs w:val="16"/>
              </w:rPr>
              <w:t>35.7780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bookmarkStart w:id="157" w:name="_Toc484509508"/>
      <w:bookmarkStart w:id="158" w:name="_Toc484509525"/>
      <w:bookmarkStart w:id="159" w:name="_Toc484509844"/>
      <w:bookmarkStart w:id="160" w:name="_Toc484510615"/>
      <w:bookmarkStart w:id="161" w:name="_Toc484512007"/>
      <w:bookmarkStart w:id="162" w:name="_Toc484512049"/>
      <w:bookmarkStart w:id="163" w:name="_Toc484512268"/>
      <w:bookmarkStart w:id="164" w:name="_Toc484512845"/>
      <w:bookmarkStart w:id="165" w:name="_Toc484513772"/>
      <w:bookmarkStart w:id="166" w:name="_Toc514925389"/>
      <w:bookmarkStart w:id="167" w:name="_Toc514925438"/>
      <w:bookmarkStart w:id="168" w:name="_Toc514926070"/>
      <w:bookmarkStart w:id="169" w:name="_Toc514927946"/>
      <w:bookmarkStart w:id="170" w:name="_Toc514930170"/>
      <w:bookmarkStart w:id="171" w:name="_Toc514931752"/>
      <w:bookmarkStart w:id="172" w:name="_Toc514934409"/>
      <w:bookmarkStart w:id="173" w:name="_Toc515024473"/>
      <w:bookmarkStart w:id="174" w:name="_Toc515024612"/>
      <w:bookmarkStart w:id="175" w:name="_Toc515026549"/>
      <w:bookmarkStart w:id="176" w:name="_Toc515027479"/>
      <w:bookmarkStart w:id="177" w:name="_Toc515027899"/>
      <w:bookmarkStart w:id="178" w:name="_Toc515267670"/>
      <w:r>
        <w:tab/>
        <w:t>[Division 1 inserted: Gazette 26 Jun 2018 p. 2368</w:t>
      </w:r>
      <w:r>
        <w:noBreakHyphen/>
        <w:t>9.]</w:t>
      </w:r>
    </w:p>
    <w:p>
      <w:pPr>
        <w:pStyle w:val="yHeading3"/>
      </w:pPr>
      <w:bookmarkStart w:id="179" w:name="_Toc517878115"/>
      <w:bookmarkStart w:id="180" w:name="_Toc517878149"/>
      <w:r>
        <w:rPr>
          <w:rStyle w:val="CharSDivNo"/>
        </w:rPr>
        <w:t>Division 2</w:t>
      </w:r>
      <w:r>
        <w:t> — </w:t>
      </w:r>
      <w:r>
        <w:rPr>
          <w:rStyle w:val="CharSDivText"/>
        </w:rPr>
        <w:t>Miscellaneous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Footnoteheading"/>
        <w:keepNext/>
        <w:spacing w:after="120"/>
      </w:pPr>
      <w:bookmarkStart w:id="181" w:name="_Toc484512008"/>
      <w:bookmarkStart w:id="182" w:name="_Toc484513773"/>
      <w:bookmarkStart w:id="183" w:name="_Toc515027900"/>
      <w:bookmarkStart w:id="184" w:name="_Toc515267671"/>
      <w:r>
        <w:tab/>
        <w:t>[Heading inserted: Gazette 26 Jun 2018 p. 2369.]</w:t>
      </w:r>
    </w:p>
    <w:p>
      <w:pPr>
        <w:pStyle w:val="yHeading5"/>
      </w:pPr>
      <w:bookmarkStart w:id="185" w:name="_Toc517878150"/>
      <w:r>
        <w:rPr>
          <w:rStyle w:val="CharSClsNo"/>
        </w:rPr>
        <w:t>1</w:t>
      </w:r>
      <w:r>
        <w:t>.</w:t>
      </w:r>
      <w:r>
        <w:tab/>
        <w:t>Traffic light installation</w:t>
      </w:r>
      <w:bookmarkEnd w:id="181"/>
      <w:bookmarkEnd w:id="182"/>
      <w:bookmarkEnd w:id="183"/>
      <w:bookmarkEnd w:id="184"/>
      <w:bookmarkEnd w:id="185"/>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Ednotesection"/>
      </w:pPr>
      <w:bookmarkStart w:id="186" w:name="_Toc484512009"/>
      <w:bookmarkStart w:id="187" w:name="_Toc484513774"/>
      <w:bookmarkStart w:id="188" w:name="_Toc515027901"/>
      <w:bookmarkStart w:id="189" w:name="_Toc515267672"/>
      <w:r>
        <w:tab/>
        <w:t>[Clause 1 inserted: Gazette 26 Jun 2018 p. 2369.]</w:t>
      </w:r>
    </w:p>
    <w:p>
      <w:pPr>
        <w:pStyle w:val="yHeading5"/>
      </w:pPr>
      <w:bookmarkStart w:id="190" w:name="_Toc517878151"/>
      <w:r>
        <w:rPr>
          <w:rStyle w:val="CharSClsNo"/>
        </w:rPr>
        <w:t>2</w:t>
      </w:r>
      <w:r>
        <w:t>.</w:t>
      </w:r>
      <w:r>
        <w:tab/>
        <w:t>Public telephone facility</w:t>
      </w:r>
      <w:bookmarkEnd w:id="186"/>
      <w:bookmarkEnd w:id="187"/>
      <w:bookmarkEnd w:id="188"/>
      <w:bookmarkEnd w:id="189"/>
      <w:bookmarkEnd w:id="190"/>
    </w:p>
    <w:p>
      <w:pPr>
        <w:pStyle w:val="ySubsection"/>
      </w:pPr>
      <w:r>
        <w:tab/>
      </w:r>
      <w:r>
        <w:tab/>
        <w:t>Supply of electricity to a standard public telephone facility where supply is not independently metered comprises a charge of 62</w:t>
      </w:r>
      <w:r>
        <w:rPr>
          <w:szCs w:val="22"/>
        </w:rPr>
        <w:t>.8063</w:t>
      </w:r>
      <w:r>
        <w:t xml:space="preserve"> cents per day.</w:t>
      </w:r>
    </w:p>
    <w:p>
      <w:pPr>
        <w:pStyle w:val="yEdnotesection"/>
      </w:pPr>
      <w:bookmarkStart w:id="191" w:name="_Toc484512010"/>
      <w:bookmarkStart w:id="192" w:name="_Toc484513775"/>
      <w:bookmarkStart w:id="193" w:name="_Toc515027902"/>
      <w:bookmarkStart w:id="194" w:name="_Toc515267673"/>
      <w:r>
        <w:tab/>
        <w:t>[Clause 2 inserted: Gazette 26 Jun 2018 p. 2369.]</w:t>
      </w:r>
    </w:p>
    <w:p>
      <w:pPr>
        <w:pStyle w:val="yHeading5"/>
      </w:pPr>
      <w:bookmarkStart w:id="195" w:name="_Toc517878152"/>
      <w:r>
        <w:rPr>
          <w:rStyle w:val="CharSClsNo"/>
        </w:rPr>
        <w:t>3</w:t>
      </w:r>
      <w:r>
        <w:t>.</w:t>
      </w:r>
      <w:r>
        <w:tab/>
        <w:t>Railway crossing</w:t>
      </w:r>
      <w:bookmarkEnd w:id="191"/>
      <w:bookmarkEnd w:id="192"/>
      <w:bookmarkEnd w:id="193"/>
      <w:bookmarkEnd w:id="194"/>
      <w:bookmarkEnd w:id="195"/>
    </w:p>
    <w:p>
      <w:pPr>
        <w:pStyle w:val="ySubsection"/>
      </w:pPr>
      <w:r>
        <w:tab/>
      </w:r>
      <w:r>
        <w:tab/>
        <w:t>Supply of electricity to standard railway crossing lights comprises a charge of 80</w:t>
      </w:r>
      <w:r>
        <w:rPr>
          <w:szCs w:val="22"/>
        </w:rPr>
        <w:t xml:space="preserve">.2623 </w:t>
      </w:r>
      <w:r>
        <w:t>cents per day.</w:t>
      </w:r>
    </w:p>
    <w:p>
      <w:pPr>
        <w:pStyle w:val="yEdnotesection"/>
      </w:pPr>
      <w:r>
        <w:tab/>
        <w:t>[Clause 3 inserted: Gazette 26 Jun 2018 p. 2369.]</w:t>
      </w:r>
    </w:p>
    <w:bookmarkEnd w:id="130"/>
    <w:bookmarkEnd w:id="131"/>
    <w:bookmarkEnd w:id="132"/>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196" w:name="_Toc514925393"/>
      <w:bookmarkStart w:id="197" w:name="_Toc514925442"/>
      <w:bookmarkStart w:id="198" w:name="_Toc514926074"/>
      <w:bookmarkStart w:id="199" w:name="_Toc514927950"/>
      <w:bookmarkStart w:id="200" w:name="_Toc514930174"/>
      <w:bookmarkStart w:id="201" w:name="_Toc514931756"/>
      <w:bookmarkStart w:id="202" w:name="_Toc514934413"/>
      <w:bookmarkStart w:id="203" w:name="_Toc515024477"/>
      <w:bookmarkStart w:id="204" w:name="_Toc515024616"/>
      <w:bookmarkStart w:id="205" w:name="_Toc515026553"/>
      <w:bookmarkStart w:id="206" w:name="_Toc515027483"/>
      <w:bookmarkStart w:id="207" w:name="_Toc515027903"/>
      <w:bookmarkStart w:id="208" w:name="_Toc515267674"/>
      <w:bookmarkStart w:id="209" w:name="_Toc517878119"/>
      <w:bookmarkStart w:id="210" w:name="_Toc517878153"/>
      <w:bookmarkStart w:id="211" w:name="_Toc501633165"/>
      <w:bookmarkStart w:id="212" w:name="_Toc501633218"/>
      <w:bookmarkStart w:id="213" w:name="_Toc502736818"/>
      <w:r>
        <w:rPr>
          <w:rStyle w:val="CharSchNo"/>
        </w:rPr>
        <w:t>Schedule 3</w:t>
      </w:r>
      <w:r>
        <w:rPr>
          <w:rStyle w:val="CharSDivNo"/>
        </w:rPr>
        <w:t> </w:t>
      </w:r>
      <w:r>
        <w:t>—</w:t>
      </w:r>
      <w:r>
        <w:rPr>
          <w:rStyle w:val="CharSDivText"/>
        </w:rPr>
        <w:t> </w:t>
      </w:r>
      <w:r>
        <w:rPr>
          <w:rStyle w:val="CharSchText"/>
        </w:rPr>
        <w:t>Meter rentals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pPr>
      <w:r>
        <w:t>[bl. 6(1)]</w:t>
      </w:r>
    </w:p>
    <w:p>
      <w:pPr>
        <w:pStyle w:val="yFootnoteheading"/>
      </w:pPr>
      <w:r>
        <w:tab/>
        <w:t>[Heading inserted: Gazette 26 Jun 2018 p. 2370.]</w:t>
      </w:r>
    </w:p>
    <w:p>
      <w:pPr>
        <w:pStyle w:val="ySubsection"/>
        <w:rPr>
          <w:b/>
        </w:rPr>
      </w:pPr>
    </w:p>
    <w:p>
      <w:pPr>
        <w:pStyle w:val="ySubsection"/>
      </w:pPr>
      <w:r>
        <w:tab/>
      </w:r>
      <w:r>
        <w:tab/>
        <w:t>The rental payable in respect of a subsidiary meter is 16.49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Ednotesection"/>
      </w:pPr>
      <w:r>
        <w:tab/>
        <w:t>[Schedule 3 inserted: Gazette 26 Jun 2018 p. 2370.]</w:t>
      </w:r>
    </w:p>
    <w:p>
      <w:pPr>
        <w:pStyle w:val="yScheduleHeading"/>
      </w:pPr>
      <w:bookmarkStart w:id="214" w:name="_Toc514925394"/>
      <w:bookmarkStart w:id="215" w:name="_Toc514925443"/>
      <w:bookmarkStart w:id="216" w:name="_Toc514926075"/>
      <w:bookmarkStart w:id="217" w:name="_Toc514927951"/>
      <w:bookmarkStart w:id="218" w:name="_Toc514930175"/>
      <w:bookmarkStart w:id="219" w:name="_Toc514931757"/>
      <w:bookmarkStart w:id="220" w:name="_Toc514934414"/>
      <w:bookmarkStart w:id="221" w:name="_Toc515024478"/>
      <w:bookmarkStart w:id="222" w:name="_Toc515024617"/>
      <w:bookmarkStart w:id="223" w:name="_Toc515026554"/>
      <w:bookmarkStart w:id="224" w:name="_Toc515027484"/>
      <w:bookmarkStart w:id="225" w:name="_Toc515027904"/>
      <w:bookmarkStart w:id="226" w:name="_Toc515267675"/>
      <w:bookmarkStart w:id="227" w:name="_Toc517878120"/>
      <w:bookmarkStart w:id="228" w:name="_Toc517878154"/>
      <w:bookmarkStart w:id="229" w:name="_Toc501633166"/>
      <w:bookmarkStart w:id="230" w:name="_Toc501633219"/>
      <w:bookmarkStart w:id="231" w:name="_Toc502736819"/>
      <w:bookmarkEnd w:id="211"/>
      <w:bookmarkEnd w:id="212"/>
      <w:bookmarkEnd w:id="213"/>
      <w:r>
        <w:rPr>
          <w:rStyle w:val="CharSchNo"/>
        </w:rPr>
        <w:t>Schedule 4</w:t>
      </w:r>
      <w:r>
        <w:t> — </w:t>
      </w:r>
      <w:r>
        <w:rPr>
          <w:rStyle w:val="CharSchText"/>
        </w:rPr>
        <w:t>Fees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ShoulderClause"/>
      </w:pPr>
      <w:r>
        <w:t>[bl. 7]</w:t>
      </w:r>
    </w:p>
    <w:p>
      <w:pPr>
        <w:pStyle w:val="yFootnoteheading"/>
      </w:pPr>
      <w:r>
        <w:tab/>
        <w:t>[Heading inserted: Gazette 26 Jun 2018 p. 2370.]</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$909.00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41"/>
                <w:tab w:val="left" w:pos="753"/>
                <w:tab w:val="right" w:leader="dot" w:pos="5018"/>
              </w:tabs>
            </w:pPr>
            <w:r>
              <w:tab/>
              <w:t>(a)</w:t>
            </w:r>
            <w:r>
              <w:tab/>
              <w:t xml:space="preserve">single phase (overhead) </w:t>
            </w:r>
            <w:r>
              <w:tab/>
            </w:r>
          </w:p>
          <w:p>
            <w:pPr>
              <w:pStyle w:val="yTableNAm"/>
              <w:tabs>
                <w:tab w:val="clear" w:pos="567"/>
                <w:tab w:val="left" w:pos="341"/>
                <w:tab w:val="left" w:pos="753"/>
                <w:tab w:val="right" w:leader="dot" w:pos="5018"/>
              </w:tabs>
              <w:rPr>
                <w:b/>
                <w:iCs/>
              </w:rPr>
            </w:pPr>
            <w:r>
              <w:tab/>
              <w:t>(b)</w:t>
            </w:r>
            <w:r>
              <w:tab/>
              <w:t xml:space="preserve">three phase (overhead) </w:t>
            </w:r>
            <w:r>
              <w:tab/>
            </w:r>
          </w:p>
        </w:tc>
        <w:tc>
          <w:tcPr>
            <w:tcW w:w="1276" w:type="dxa"/>
          </w:tcPr>
          <w:p>
            <w:pPr>
              <w:pStyle w:val="yTableNAm"/>
            </w:pPr>
          </w:p>
          <w:p>
            <w:pPr>
              <w:pStyle w:val="yTableNAm"/>
            </w:pPr>
            <w:r>
              <w:t>$896.00</w:t>
            </w:r>
          </w:p>
          <w:p>
            <w:pPr>
              <w:pStyle w:val="yTableNAm"/>
            </w:pPr>
            <w:r>
              <w:t>$896.00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41"/>
                <w:tab w:val="left" w:pos="753"/>
                <w:tab w:val="right" w:leader="dot" w:pos="5018"/>
              </w:tabs>
            </w:pPr>
            <w:r>
              <w:tab/>
              <w:t>(a)</w:t>
            </w:r>
            <w:r>
              <w:tab/>
              <w:t xml:space="preserve">standard meter testing fee </w:t>
            </w:r>
            <w:r>
              <w:tab/>
            </w:r>
          </w:p>
          <w:p>
            <w:pPr>
              <w:pStyle w:val="yTableNAm"/>
              <w:tabs>
                <w:tab w:val="clear" w:pos="567"/>
                <w:tab w:val="left" w:pos="341"/>
                <w:tab w:val="left" w:pos="753"/>
                <w:tab w:val="right" w:leader="dot" w:pos="5018"/>
              </w:tabs>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$758.00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$24.40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$25.70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$840.00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pPr>
            <w:r>
              <w:t>12.</w:t>
            </w:r>
          </w:p>
        </w:tc>
        <w:tc>
          <w:tcPr>
            <w:tcW w:w="5245" w:type="dxa"/>
          </w:tcPr>
          <w:p>
            <w:pPr>
              <w:pStyle w:val="yTableNAm"/>
              <w:tabs>
                <w:tab w:val="right" w:leader="dot" w:pos="5018"/>
              </w:tabs>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$2.27</w:t>
            </w:r>
          </w:p>
        </w:tc>
      </w:tr>
    </w:tbl>
    <w:p>
      <w:pPr>
        <w:pStyle w:val="yEdnotesection"/>
        <w:keepNext/>
      </w:pPr>
      <w:r>
        <w:tab/>
        <w:t>[Schedule 4 inserted: Gazette 26 Jun 2018 p. 2370.]</w:t>
      </w:r>
    </w:p>
    <w:bookmarkEnd w:id="229"/>
    <w:bookmarkEnd w:id="230"/>
    <w:bookmarkEnd w:id="23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32" w:name="_Toc501633167"/>
      <w:bookmarkStart w:id="233" w:name="_Toc501633220"/>
      <w:bookmarkStart w:id="234" w:name="_Toc502736820"/>
      <w:bookmarkStart w:id="235" w:name="_Toc517878121"/>
      <w:bookmarkStart w:id="236" w:name="_Toc517878155"/>
      <w:r>
        <w:t>Notes</w:t>
      </w:r>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37" w:name="_Toc517878156"/>
      <w:r>
        <w:t>Compilation table</w:t>
      </w:r>
      <w:bookmarkEnd w:id="23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Next/>
              <w:keepLines/>
              <w:spacing w:after="40"/>
            </w:pPr>
            <w:r>
              <w:t>22 Dec 2017 p. 5978</w:t>
            </w:r>
            <w:r>
              <w:noBreakHyphen/>
              <w:t>83</w:t>
            </w:r>
          </w:p>
        </w:tc>
        <w:tc>
          <w:tcPr>
            <w:tcW w:w="2694" w:type="dxa"/>
            <w:shd w:val="clear" w:color="auto" w:fill="auto"/>
          </w:tcPr>
          <w:p>
            <w:pPr>
              <w:pStyle w:val="nTable"/>
              <w:keepNext/>
              <w:keepLines/>
              <w:spacing w:after="40"/>
            </w:pPr>
            <w:r>
              <w:t>bl. 1 and 2: 22 Dec 2017 (see bl. 2(a));</w:t>
            </w:r>
            <w:r>
              <w:br/>
              <w:t>By-laws other than bl. 1 and 2: 1 Jan 2018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2018</w:t>
            </w:r>
          </w:p>
        </w:tc>
        <w:tc>
          <w:tcPr>
            <w:tcW w:w="1276" w:type="dxa"/>
            <w:tcBorders>
              <w:bottom w:val="single" w:sz="8" w:space="0" w:color="auto"/>
            </w:tcBorders>
            <w:shd w:val="clear" w:color="auto" w:fill="auto"/>
          </w:tcPr>
          <w:p>
            <w:pPr>
              <w:pStyle w:val="nTable"/>
              <w:keepNext/>
              <w:keepLines/>
              <w:spacing w:after="40"/>
            </w:pPr>
            <w:r>
              <w:t>26 Jun 2018 p. 2361</w:t>
            </w:r>
            <w:r>
              <w:noBreakHyphen/>
              <w:t>71</w:t>
            </w:r>
          </w:p>
        </w:tc>
        <w:tc>
          <w:tcPr>
            <w:tcW w:w="2694" w:type="dxa"/>
            <w:tcBorders>
              <w:bottom w:val="single" w:sz="8" w:space="0" w:color="auto"/>
            </w:tcBorders>
            <w:shd w:val="clear" w:color="auto" w:fill="auto"/>
          </w:tcPr>
          <w:p>
            <w:pPr>
              <w:pStyle w:val="nTable"/>
              <w:keepNext/>
              <w:spacing w:after="40"/>
            </w:pPr>
            <w:r>
              <w:t>bl. 1 and 2: 26 Jun 2018 (see bl. 2(a));</w:t>
            </w:r>
            <w:r>
              <w:br/>
              <w:t>By-laws other than bl. 1 and 2: 1 Jul 2018 (see bl. 2(b))</w:t>
            </w:r>
          </w:p>
        </w:tc>
      </w:tr>
    </w:tbl>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w:t>
      </w:r>
      <w:r>
        <w:noBreakHyphen/>
        <w:t>residential tariff</w:t>
      </w:r>
      <w:r>
        <w:tab/>
        <w:t>Sch. 1 cl. 9(1)</w:t>
      </w:r>
    </w:p>
    <w:p>
      <w:pPr>
        <w:pStyle w:val="DefinedTerms"/>
      </w:pPr>
      <w:r>
        <w:t>MyPower residential tariff</w:t>
      </w:r>
      <w:r>
        <w:tab/>
        <w:t>Sch. 1 cl. 8(1)</w:t>
      </w:r>
    </w:p>
    <w:p>
      <w:pPr>
        <w:pStyle w:val="DefinedTerms"/>
      </w:pPr>
      <w:r>
        <w:t>North West interconnected system</w:t>
      </w:r>
      <w:r>
        <w:tab/>
        <w:t>4(1A), 4(2A)</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9" w:name="DefinedTerms"/>
    <w:bookmarkEnd w:id="23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F322-B0AA-4A32-8217-A75270DE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4857</Words>
  <Characters>23900</Characters>
  <Application>Microsoft Office Word</Application>
  <DocSecurity>0</DocSecurity>
  <Lines>1138</Lines>
  <Paragraphs>777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2006 - 02-h0-01</dc:title>
  <dc:subject/>
  <dc:creator/>
  <cp:keywords/>
  <dc:description/>
  <cp:lastModifiedBy>svcMRProcess</cp:lastModifiedBy>
  <cp:revision>4</cp:revision>
  <cp:lastPrinted>2014-10-21T01:03:00Z</cp:lastPrinted>
  <dcterms:created xsi:type="dcterms:W3CDTF">2020-02-24T16:53:00Z</dcterms:created>
  <dcterms:modified xsi:type="dcterms:W3CDTF">2020-02-24T16:53:00Z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2018</vt:lpwstr>
  </property>
  <property fmtid="{D5CDD505-2E9C-101B-9397-08002B2CF9AE}" pid="8" name="Suffix">
    <vt:lpwstr>02-h0-01</vt:lpwstr>
  </property>
  <property fmtid="{D5CDD505-2E9C-101B-9397-08002B2CF9AE}" pid="9" name="CommencementDate">
    <vt:lpwstr>20180701</vt:lpwstr>
  </property>
</Properties>
</file>