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_Toc518040405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_Toc518040406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_Toc518040407 \h </w:instrText>
      </w:r>
      <w:r>
        <w:fldChar w:fldCharType="separate"/>
      </w:r>
      <w:r>
        <w:t>1</w:t>
      </w:r>
      <w:r>
        <w:fldChar w:fldCharType="end"/>
      </w:r>
    </w:p>
    <w:p>
      <w:pPr>
        <w:pStyle w:val="TOC8"/>
        <w:rPr>
          <w:rFonts w:asciiTheme="minorHAnsi" w:eastAsiaTheme="minorEastAsia" w:hAnsiTheme="minorHAnsi" w:cstheme="minorBidi"/>
          <w:szCs w:val="22"/>
        </w:rPr>
      </w:pPr>
      <w:r>
        <w:t>4.</w:t>
      </w:r>
      <w:r>
        <w:tab/>
        <w:t>Relief from procedural requirements</w:t>
      </w:r>
      <w:r>
        <w:tab/>
      </w:r>
      <w:r>
        <w:fldChar w:fldCharType="begin"/>
      </w:r>
      <w:r>
        <w:instrText xml:space="preserve"> PAGEREF _Toc518040408 \h </w:instrText>
      </w:r>
      <w:r>
        <w:fldChar w:fldCharType="separate"/>
      </w:r>
      <w:r>
        <w:t>2</w:t>
      </w:r>
      <w:r>
        <w:fldChar w:fldCharType="end"/>
      </w:r>
    </w:p>
    <w:p>
      <w:pPr>
        <w:pStyle w:val="TOC8"/>
        <w:rPr>
          <w:rFonts w:asciiTheme="minorHAnsi" w:eastAsiaTheme="minorEastAsia" w:hAnsiTheme="minorHAnsi" w:cstheme="minorBidi"/>
          <w:szCs w:val="22"/>
        </w:rPr>
      </w:pPr>
      <w:r>
        <w:t>5.</w:t>
      </w:r>
      <w:r>
        <w:tab/>
        <w:t>Arbitrator may fix time</w:t>
      </w:r>
      <w:r>
        <w:tab/>
      </w:r>
      <w:r>
        <w:fldChar w:fldCharType="begin"/>
      </w:r>
      <w:r>
        <w:instrText xml:space="preserve"> PAGEREF _Toc518040409 \h </w:instrText>
      </w:r>
      <w:r>
        <w:fldChar w:fldCharType="separate"/>
      </w:r>
      <w:r>
        <w:t>3</w:t>
      </w:r>
      <w:r>
        <w:fldChar w:fldCharType="end"/>
      </w:r>
    </w:p>
    <w:p>
      <w:pPr>
        <w:pStyle w:val="TOC8"/>
        <w:rPr>
          <w:rFonts w:asciiTheme="minorHAnsi" w:eastAsiaTheme="minorEastAsia" w:hAnsiTheme="minorHAnsi" w:cstheme="minorBidi"/>
          <w:szCs w:val="22"/>
        </w:rPr>
      </w:pPr>
      <w:r>
        <w:t>6.</w:t>
      </w:r>
      <w:r>
        <w:tab/>
        <w:t>Order to obey requirement of rules</w:t>
      </w:r>
      <w:r>
        <w:tab/>
      </w:r>
      <w:r>
        <w:fldChar w:fldCharType="begin"/>
      </w:r>
      <w:r>
        <w:instrText xml:space="preserve"> PAGEREF _Toc518040410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Lodging documents</w:t>
      </w:r>
    </w:p>
    <w:p>
      <w:pPr>
        <w:pStyle w:val="TOC8"/>
        <w:rPr>
          <w:rFonts w:asciiTheme="minorHAnsi" w:eastAsiaTheme="minorEastAsia" w:hAnsiTheme="minorHAnsi" w:cstheme="minorBidi"/>
          <w:szCs w:val="22"/>
        </w:rPr>
      </w:pPr>
      <w:r>
        <w:t>7.</w:t>
      </w:r>
      <w:r>
        <w:tab/>
        <w:t>Term used: document</w:t>
      </w:r>
      <w:r>
        <w:tab/>
      </w:r>
      <w:r>
        <w:fldChar w:fldCharType="begin"/>
      </w:r>
      <w:r>
        <w:instrText xml:space="preserve"> PAGEREF _Toc518040412 \h </w:instrText>
      </w:r>
      <w:r>
        <w:fldChar w:fldCharType="separate"/>
      </w:r>
      <w:r>
        <w:t>4</w:t>
      </w:r>
      <w:r>
        <w:fldChar w:fldCharType="end"/>
      </w:r>
    </w:p>
    <w:p>
      <w:pPr>
        <w:pStyle w:val="TOC8"/>
        <w:rPr>
          <w:rFonts w:asciiTheme="minorHAnsi" w:eastAsiaTheme="minorEastAsia" w:hAnsiTheme="minorHAnsi" w:cstheme="minorBidi"/>
          <w:szCs w:val="22"/>
        </w:rPr>
      </w:pPr>
      <w:r>
        <w:t>8.</w:t>
      </w:r>
      <w:r>
        <w:tab/>
        <w:t>Form of documents</w:t>
      </w:r>
      <w:r>
        <w:tab/>
      </w:r>
      <w:r>
        <w:fldChar w:fldCharType="begin"/>
      </w:r>
      <w:r>
        <w:instrText xml:space="preserve"> PAGEREF _Toc518040413 \h </w:instrText>
      </w:r>
      <w:r>
        <w:fldChar w:fldCharType="separate"/>
      </w:r>
      <w:r>
        <w:t>4</w:t>
      </w:r>
      <w:r>
        <w:fldChar w:fldCharType="end"/>
      </w:r>
    </w:p>
    <w:p>
      <w:pPr>
        <w:pStyle w:val="TOC8"/>
        <w:rPr>
          <w:rFonts w:asciiTheme="minorHAnsi" w:eastAsiaTheme="minorEastAsia" w:hAnsiTheme="minorHAnsi" w:cstheme="minorBidi"/>
          <w:szCs w:val="22"/>
        </w:rPr>
      </w:pPr>
      <w:r>
        <w:t>9.</w:t>
      </w:r>
      <w:r>
        <w:tab/>
        <w:t>Lodging documents</w:t>
      </w:r>
      <w:r>
        <w:tab/>
      </w:r>
      <w:r>
        <w:fldChar w:fldCharType="begin"/>
      </w:r>
      <w:r>
        <w:instrText xml:space="preserve"> PAGEREF _Toc518040414 \h </w:instrText>
      </w:r>
      <w:r>
        <w:fldChar w:fldCharType="separate"/>
      </w:r>
      <w:r>
        <w:t>4</w:t>
      </w:r>
      <w:r>
        <w:fldChar w:fldCharType="end"/>
      </w:r>
    </w:p>
    <w:p>
      <w:pPr>
        <w:pStyle w:val="TOC8"/>
        <w:rPr>
          <w:rFonts w:asciiTheme="minorHAnsi" w:eastAsiaTheme="minorEastAsia" w:hAnsiTheme="minorHAnsi" w:cstheme="minorBidi"/>
          <w:szCs w:val="22"/>
        </w:rPr>
      </w:pPr>
      <w:r>
        <w:t>10.</w:t>
      </w:r>
      <w:r>
        <w:tab/>
        <w:t>Lodging by fax</w:t>
      </w:r>
      <w:r>
        <w:tab/>
      </w:r>
      <w:r>
        <w:fldChar w:fldCharType="begin"/>
      </w:r>
      <w:r>
        <w:instrText xml:space="preserve"> PAGEREF _Toc518040415 \h </w:instrText>
      </w:r>
      <w:r>
        <w:fldChar w:fldCharType="separate"/>
      </w:r>
      <w:r>
        <w:t>5</w:t>
      </w:r>
      <w:r>
        <w:fldChar w:fldCharType="end"/>
      </w:r>
    </w:p>
    <w:p>
      <w:pPr>
        <w:pStyle w:val="TOC8"/>
        <w:rPr>
          <w:rFonts w:asciiTheme="minorHAnsi" w:eastAsiaTheme="minorEastAsia" w:hAnsiTheme="minorHAnsi" w:cstheme="minorBidi"/>
          <w:szCs w:val="22"/>
        </w:rPr>
      </w:pPr>
      <w:r>
        <w:t>11.</w:t>
      </w:r>
      <w:r>
        <w:tab/>
        <w:t>Lodging through Internet</w:t>
      </w:r>
      <w:r>
        <w:tab/>
      </w:r>
      <w:r>
        <w:fldChar w:fldCharType="begin"/>
      </w:r>
      <w:r>
        <w:instrText xml:space="preserve"> PAGEREF _Toc518040416 \h </w:instrText>
      </w:r>
      <w:r>
        <w:fldChar w:fldCharType="separate"/>
      </w:r>
      <w:r>
        <w:t>6</w:t>
      </w:r>
      <w:r>
        <w:fldChar w:fldCharType="end"/>
      </w:r>
    </w:p>
    <w:p>
      <w:pPr>
        <w:pStyle w:val="TOC8"/>
        <w:rPr>
          <w:rFonts w:asciiTheme="minorHAnsi" w:eastAsiaTheme="minorEastAsia" w:hAnsiTheme="minorHAnsi" w:cstheme="minorBidi"/>
          <w:szCs w:val="22"/>
        </w:rPr>
      </w:pPr>
      <w:r>
        <w:t>12.</w:t>
      </w:r>
      <w:r>
        <w:tab/>
        <w:t>Day of lodgment</w:t>
      </w:r>
      <w:r>
        <w:tab/>
      </w:r>
      <w:r>
        <w:fldChar w:fldCharType="begin"/>
      </w:r>
      <w:r>
        <w:instrText xml:space="preserve"> PAGEREF _Toc518040417 \h </w:instrText>
      </w:r>
      <w:r>
        <w:fldChar w:fldCharType="separate"/>
      </w:r>
      <w:r>
        <w:t>6</w:t>
      </w:r>
      <w:r>
        <w:fldChar w:fldCharType="end"/>
      </w:r>
    </w:p>
    <w:p>
      <w:pPr>
        <w:pStyle w:val="TOC8"/>
        <w:rPr>
          <w:rFonts w:asciiTheme="minorHAnsi" w:eastAsiaTheme="minorEastAsia" w:hAnsiTheme="minorHAnsi" w:cstheme="minorBidi"/>
          <w:szCs w:val="22"/>
        </w:rPr>
      </w:pPr>
      <w:r>
        <w:t>13.</w:t>
      </w:r>
      <w:r>
        <w:tab/>
        <w:t>Registrar must accept or reject document</w:t>
      </w:r>
      <w:r>
        <w:tab/>
      </w:r>
      <w:r>
        <w:fldChar w:fldCharType="begin"/>
      </w:r>
      <w:r>
        <w:instrText xml:space="preserve"> PAGEREF _Toc518040418 \h </w:instrText>
      </w:r>
      <w:r>
        <w:fldChar w:fldCharType="separate"/>
      </w:r>
      <w:r>
        <w:t>7</w:t>
      </w:r>
      <w:r>
        <w:fldChar w:fldCharType="end"/>
      </w:r>
    </w:p>
    <w:p>
      <w:pPr>
        <w:pStyle w:val="TOC8"/>
        <w:rPr>
          <w:rFonts w:asciiTheme="minorHAnsi" w:eastAsiaTheme="minorEastAsia" w:hAnsiTheme="minorHAnsi" w:cstheme="minorBidi"/>
          <w:szCs w:val="22"/>
        </w:rPr>
      </w:pPr>
      <w:r>
        <w:t>14.</w:t>
      </w:r>
      <w:r>
        <w:tab/>
        <w:t>Review of Registrar’s decision to reject document</w:t>
      </w:r>
      <w:r>
        <w:tab/>
      </w:r>
      <w:r>
        <w:fldChar w:fldCharType="begin"/>
      </w:r>
      <w:r>
        <w:instrText xml:space="preserve"> PAGEREF _Toc518040419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Serving documents</w:t>
      </w:r>
    </w:p>
    <w:p>
      <w:pPr>
        <w:pStyle w:val="TOC8"/>
        <w:rPr>
          <w:rFonts w:asciiTheme="minorHAnsi" w:eastAsiaTheme="minorEastAsia" w:hAnsiTheme="minorHAnsi" w:cstheme="minorBidi"/>
          <w:szCs w:val="22"/>
        </w:rPr>
      </w:pPr>
      <w:r>
        <w:t>15.</w:t>
      </w:r>
      <w:r>
        <w:tab/>
        <w:t>Party who lodges document must serve copy on other parties</w:t>
      </w:r>
      <w:r>
        <w:tab/>
      </w:r>
      <w:r>
        <w:fldChar w:fldCharType="begin"/>
      </w:r>
      <w:r>
        <w:instrText xml:space="preserve"> PAGEREF _Toc518040421 \h </w:instrText>
      </w:r>
      <w:r>
        <w:fldChar w:fldCharType="separate"/>
      </w:r>
      <w:r>
        <w:t>8</w:t>
      </w:r>
      <w:r>
        <w:fldChar w:fldCharType="end"/>
      </w:r>
    </w:p>
    <w:p>
      <w:pPr>
        <w:pStyle w:val="TOC8"/>
        <w:rPr>
          <w:rFonts w:asciiTheme="minorHAnsi" w:eastAsiaTheme="minorEastAsia" w:hAnsiTheme="minorHAnsi" w:cstheme="minorBidi"/>
          <w:szCs w:val="22"/>
        </w:rPr>
      </w:pPr>
      <w:r>
        <w:t>16.</w:t>
      </w:r>
      <w:r>
        <w:tab/>
        <w:t>Serving documents</w:t>
      </w:r>
      <w:r>
        <w:tab/>
      </w:r>
      <w:r>
        <w:fldChar w:fldCharType="begin"/>
      </w:r>
      <w:r>
        <w:instrText xml:space="preserve"> PAGEREF _Toc518040422 \h </w:instrText>
      </w:r>
      <w:r>
        <w:fldChar w:fldCharType="separate"/>
      </w:r>
      <w:r>
        <w:t>8</w:t>
      </w:r>
      <w:r>
        <w:fldChar w:fldCharType="end"/>
      </w:r>
    </w:p>
    <w:p>
      <w:pPr>
        <w:pStyle w:val="TOC8"/>
        <w:rPr>
          <w:rFonts w:asciiTheme="minorHAnsi" w:eastAsiaTheme="minorEastAsia" w:hAnsiTheme="minorHAnsi" w:cstheme="minorBidi"/>
          <w:szCs w:val="22"/>
        </w:rPr>
      </w:pPr>
      <w:r>
        <w:t>17.</w:t>
      </w:r>
      <w:r>
        <w:tab/>
        <w:t>Address for service</w:t>
      </w:r>
      <w:r>
        <w:tab/>
      </w:r>
      <w:r>
        <w:fldChar w:fldCharType="begin"/>
      </w:r>
      <w:r>
        <w:instrText xml:space="preserve"> PAGEREF _Toc518040423 \h </w:instrText>
      </w:r>
      <w:r>
        <w:fldChar w:fldCharType="separate"/>
      </w:r>
      <w:r>
        <w:t>9</w:t>
      </w:r>
      <w:r>
        <w:fldChar w:fldCharType="end"/>
      </w:r>
    </w:p>
    <w:p>
      <w:pPr>
        <w:pStyle w:val="TOC8"/>
        <w:rPr>
          <w:rFonts w:asciiTheme="minorHAnsi" w:eastAsiaTheme="minorEastAsia" w:hAnsiTheme="minorHAnsi" w:cstheme="minorBidi"/>
          <w:szCs w:val="22"/>
        </w:rPr>
      </w:pPr>
      <w:r>
        <w:t>18.</w:t>
      </w:r>
      <w:r>
        <w:tab/>
        <w:t>Personal service</w:t>
      </w:r>
      <w:r>
        <w:tab/>
      </w:r>
      <w:r>
        <w:fldChar w:fldCharType="begin"/>
      </w:r>
      <w:r>
        <w:instrText xml:space="preserve"> PAGEREF _Toc518040424 \h </w:instrText>
      </w:r>
      <w:r>
        <w:fldChar w:fldCharType="separate"/>
      </w:r>
      <w:r>
        <w:t>10</w:t>
      </w:r>
      <w:r>
        <w:fldChar w:fldCharType="end"/>
      </w:r>
    </w:p>
    <w:p>
      <w:pPr>
        <w:pStyle w:val="TOC8"/>
        <w:rPr>
          <w:rFonts w:asciiTheme="minorHAnsi" w:eastAsiaTheme="minorEastAsia" w:hAnsiTheme="minorHAnsi" w:cstheme="minorBidi"/>
          <w:szCs w:val="22"/>
        </w:rPr>
      </w:pPr>
      <w:r>
        <w:t>19.</w:t>
      </w:r>
      <w:r>
        <w:tab/>
        <w:t>Service by fax</w:t>
      </w:r>
      <w:r>
        <w:tab/>
      </w:r>
      <w:r>
        <w:fldChar w:fldCharType="begin"/>
      </w:r>
      <w:r>
        <w:instrText xml:space="preserve"> PAGEREF _Toc518040425 \h </w:instrText>
      </w:r>
      <w:r>
        <w:fldChar w:fldCharType="separate"/>
      </w:r>
      <w:r>
        <w:t>12</w:t>
      </w:r>
      <w:r>
        <w:fldChar w:fldCharType="end"/>
      </w:r>
    </w:p>
    <w:p>
      <w:pPr>
        <w:pStyle w:val="TOC8"/>
        <w:rPr>
          <w:rFonts w:asciiTheme="minorHAnsi" w:eastAsiaTheme="minorEastAsia" w:hAnsiTheme="minorHAnsi" w:cstheme="minorBidi"/>
          <w:szCs w:val="22"/>
        </w:rPr>
      </w:pPr>
      <w:r>
        <w:t>20.</w:t>
      </w:r>
      <w:r>
        <w:tab/>
        <w:t>Time of service</w:t>
      </w:r>
      <w:r>
        <w:tab/>
      </w:r>
      <w:r>
        <w:fldChar w:fldCharType="begin"/>
      </w:r>
      <w:r>
        <w:instrText xml:space="preserve"> PAGEREF _Toc518040426 \h </w:instrText>
      </w:r>
      <w:r>
        <w:fldChar w:fldCharType="separate"/>
      </w:r>
      <w:r>
        <w:t>12</w:t>
      </w:r>
      <w:r>
        <w:fldChar w:fldCharType="end"/>
      </w:r>
    </w:p>
    <w:p>
      <w:pPr>
        <w:pStyle w:val="TOC8"/>
        <w:rPr>
          <w:rFonts w:asciiTheme="minorHAnsi" w:eastAsiaTheme="minorEastAsia" w:hAnsiTheme="minorHAnsi" w:cstheme="minorBidi"/>
          <w:szCs w:val="22"/>
        </w:rPr>
      </w:pPr>
      <w:r>
        <w:t>21.</w:t>
      </w:r>
      <w:r>
        <w:tab/>
        <w:t>Substituted service</w:t>
      </w:r>
      <w:r>
        <w:tab/>
      </w:r>
      <w:r>
        <w:fldChar w:fldCharType="begin"/>
      </w:r>
      <w:r>
        <w:instrText xml:space="preserve"> PAGEREF _Toc518040427 \h </w:instrText>
      </w:r>
      <w:r>
        <w:fldChar w:fldCharType="separate"/>
      </w:r>
      <w:r>
        <w:t>13</w:t>
      </w:r>
      <w:r>
        <w:fldChar w:fldCharType="end"/>
      </w:r>
    </w:p>
    <w:p>
      <w:pPr>
        <w:pStyle w:val="TOC8"/>
        <w:rPr>
          <w:rFonts w:asciiTheme="minorHAnsi" w:eastAsiaTheme="minorEastAsia" w:hAnsiTheme="minorHAnsi" w:cstheme="minorBidi"/>
          <w:szCs w:val="22"/>
        </w:rPr>
      </w:pPr>
      <w:r>
        <w:t>22.</w:t>
      </w:r>
      <w:r>
        <w:tab/>
        <w:t>Certificate of service</w:t>
      </w:r>
      <w:r>
        <w:tab/>
      </w:r>
      <w:r>
        <w:fldChar w:fldCharType="begin"/>
      </w:r>
      <w:r>
        <w:instrText xml:space="preserve"> PAGEREF _Toc518040428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arbitration</w:t>
      </w:r>
    </w:p>
    <w:p>
      <w:pPr>
        <w:pStyle w:val="TOC8"/>
        <w:rPr>
          <w:rFonts w:asciiTheme="minorHAnsi" w:eastAsiaTheme="minorEastAsia" w:hAnsiTheme="minorHAnsi" w:cstheme="minorBidi"/>
          <w:szCs w:val="22"/>
        </w:rPr>
      </w:pPr>
      <w:r>
        <w:t>22A.</w:t>
      </w:r>
      <w:r>
        <w:tab/>
        <w:t>Application of this Part to fatality compensation applications</w:t>
      </w:r>
      <w:r>
        <w:tab/>
      </w:r>
      <w:r>
        <w:fldChar w:fldCharType="begin"/>
      </w:r>
      <w:r>
        <w:instrText xml:space="preserve"> PAGEREF _Toc518040430 \h </w:instrText>
      </w:r>
      <w:r>
        <w:fldChar w:fldCharType="separate"/>
      </w:r>
      <w:r>
        <w:t>14</w:t>
      </w:r>
      <w:r>
        <w:fldChar w:fldCharType="end"/>
      </w:r>
    </w:p>
    <w:p>
      <w:pPr>
        <w:pStyle w:val="TOC8"/>
        <w:rPr>
          <w:rFonts w:asciiTheme="minorHAnsi" w:eastAsiaTheme="minorEastAsia" w:hAnsiTheme="minorHAnsi" w:cstheme="minorBidi"/>
          <w:szCs w:val="22"/>
        </w:rPr>
      </w:pPr>
      <w:r>
        <w:t>23.</w:t>
      </w:r>
      <w:r>
        <w:tab/>
        <w:t>Time limit for lodging application for arbitration</w:t>
      </w:r>
      <w:r>
        <w:tab/>
      </w:r>
      <w:r>
        <w:fldChar w:fldCharType="begin"/>
      </w:r>
      <w:r>
        <w:instrText xml:space="preserve"> PAGEREF _Toc518040431 \h </w:instrText>
      </w:r>
      <w:r>
        <w:fldChar w:fldCharType="separate"/>
      </w:r>
      <w:r>
        <w:t>14</w:t>
      </w:r>
      <w:r>
        <w:fldChar w:fldCharType="end"/>
      </w:r>
    </w:p>
    <w:p>
      <w:pPr>
        <w:pStyle w:val="TOC8"/>
        <w:rPr>
          <w:rFonts w:asciiTheme="minorHAnsi" w:eastAsiaTheme="minorEastAsia" w:hAnsiTheme="minorHAnsi" w:cstheme="minorBidi"/>
          <w:szCs w:val="22"/>
        </w:rPr>
      </w:pPr>
      <w:r>
        <w:t>24.</w:t>
      </w:r>
      <w:r>
        <w:tab/>
        <w:t>Registrar may extend time for lodging application for arbitration</w:t>
      </w:r>
      <w:r>
        <w:tab/>
      </w:r>
      <w:r>
        <w:fldChar w:fldCharType="begin"/>
      </w:r>
      <w:r>
        <w:instrText xml:space="preserve"> PAGEREF _Toc518040432 \h </w:instrText>
      </w:r>
      <w:r>
        <w:fldChar w:fldCharType="separate"/>
      </w:r>
      <w:r>
        <w:t>15</w:t>
      </w:r>
      <w:r>
        <w:fldChar w:fldCharType="end"/>
      </w:r>
    </w:p>
    <w:p>
      <w:pPr>
        <w:pStyle w:val="TOC8"/>
        <w:rPr>
          <w:rFonts w:asciiTheme="minorHAnsi" w:eastAsiaTheme="minorEastAsia" w:hAnsiTheme="minorHAnsi" w:cstheme="minorBidi"/>
          <w:szCs w:val="22"/>
        </w:rPr>
      </w:pPr>
      <w:r>
        <w:t>25.</w:t>
      </w:r>
      <w:r>
        <w:tab/>
        <w:t>Material to be lodged and served with application for arbitration</w:t>
      </w:r>
      <w:r>
        <w:tab/>
      </w:r>
      <w:r>
        <w:fldChar w:fldCharType="begin"/>
      </w:r>
      <w:r>
        <w:instrText xml:space="preserve"> PAGEREF _Toc518040433 \h </w:instrText>
      </w:r>
      <w:r>
        <w:fldChar w:fldCharType="separate"/>
      </w:r>
      <w:r>
        <w:t>15</w:t>
      </w:r>
      <w:r>
        <w:fldChar w:fldCharType="end"/>
      </w:r>
    </w:p>
    <w:p>
      <w:pPr>
        <w:pStyle w:val="TOC8"/>
        <w:rPr>
          <w:rFonts w:asciiTheme="minorHAnsi" w:eastAsiaTheme="minorEastAsia" w:hAnsiTheme="minorHAnsi" w:cstheme="minorBidi"/>
          <w:szCs w:val="22"/>
        </w:rPr>
      </w:pPr>
      <w:r>
        <w:t>26.</w:t>
      </w:r>
      <w:r>
        <w:tab/>
        <w:t>Application for order as to total liability (section 217) or additional expenses (clause 18A)</w:t>
      </w:r>
      <w:r>
        <w:tab/>
      </w:r>
      <w:r>
        <w:fldChar w:fldCharType="begin"/>
      </w:r>
      <w:r>
        <w:instrText xml:space="preserve"> PAGEREF _Toc518040434 \h </w:instrText>
      </w:r>
      <w:r>
        <w:fldChar w:fldCharType="separate"/>
      </w:r>
      <w:r>
        <w:t>17</w:t>
      </w:r>
      <w:r>
        <w:fldChar w:fldCharType="end"/>
      </w:r>
    </w:p>
    <w:p>
      <w:pPr>
        <w:pStyle w:val="TOC8"/>
        <w:rPr>
          <w:rFonts w:asciiTheme="minorHAnsi" w:eastAsiaTheme="minorEastAsia" w:hAnsiTheme="minorHAnsi" w:cstheme="minorBidi"/>
          <w:szCs w:val="22"/>
        </w:rPr>
      </w:pPr>
      <w:r>
        <w:t>27.</w:t>
      </w:r>
      <w:r>
        <w:tab/>
        <w:t>Reply to application</w:t>
      </w:r>
      <w:r>
        <w:tab/>
      </w:r>
      <w:r>
        <w:fldChar w:fldCharType="begin"/>
      </w:r>
      <w:r>
        <w:instrText xml:space="preserve"> PAGEREF _Toc518040435 \h </w:instrText>
      </w:r>
      <w:r>
        <w:fldChar w:fldCharType="separate"/>
      </w:r>
      <w:r>
        <w:t>17</w:t>
      </w:r>
      <w:r>
        <w:fldChar w:fldCharType="end"/>
      </w:r>
    </w:p>
    <w:p>
      <w:pPr>
        <w:pStyle w:val="TOC8"/>
        <w:rPr>
          <w:rFonts w:asciiTheme="minorHAnsi" w:eastAsiaTheme="minorEastAsia" w:hAnsiTheme="minorHAnsi" w:cstheme="minorBidi"/>
          <w:szCs w:val="22"/>
        </w:rPr>
      </w:pPr>
      <w:r>
        <w:t>28.</w:t>
      </w:r>
      <w:r>
        <w:tab/>
        <w:t>Procedure where party does not reply</w:t>
      </w:r>
      <w:r>
        <w:tab/>
      </w:r>
      <w:r>
        <w:fldChar w:fldCharType="begin"/>
      </w:r>
      <w:r>
        <w:instrText xml:space="preserve"> PAGEREF _Toc518040436 \h </w:instrText>
      </w:r>
      <w:r>
        <w:fldChar w:fldCharType="separate"/>
      </w:r>
      <w:r>
        <w:t>18</w:t>
      </w:r>
      <w:r>
        <w:fldChar w:fldCharType="end"/>
      </w:r>
    </w:p>
    <w:p>
      <w:pPr>
        <w:pStyle w:val="TOC8"/>
        <w:rPr>
          <w:rFonts w:asciiTheme="minorHAnsi" w:eastAsiaTheme="minorEastAsia" w:hAnsiTheme="minorHAnsi" w:cstheme="minorBidi"/>
          <w:szCs w:val="22"/>
        </w:rPr>
      </w:pPr>
      <w:r>
        <w:t>29.</w:t>
      </w:r>
      <w:r>
        <w:tab/>
        <w:t>Material to be lodged and served with reply</w:t>
      </w:r>
      <w:r>
        <w:tab/>
      </w:r>
      <w:r>
        <w:fldChar w:fldCharType="begin"/>
      </w:r>
      <w:r>
        <w:instrText xml:space="preserve"> PAGEREF _Toc518040437 \h </w:instrText>
      </w:r>
      <w:r>
        <w:fldChar w:fldCharType="separate"/>
      </w:r>
      <w:r>
        <w:t>18</w:t>
      </w:r>
      <w:r>
        <w:fldChar w:fldCharType="end"/>
      </w:r>
    </w:p>
    <w:p>
      <w:pPr>
        <w:pStyle w:val="TOC8"/>
        <w:rPr>
          <w:rFonts w:asciiTheme="minorHAnsi" w:eastAsiaTheme="minorEastAsia" w:hAnsiTheme="minorHAnsi" w:cstheme="minorBidi"/>
          <w:szCs w:val="22"/>
        </w:rPr>
      </w:pPr>
      <w:r>
        <w:t>30.</w:t>
      </w:r>
      <w:r>
        <w:tab/>
        <w:t>Adducing late material in evidence</w:t>
      </w:r>
      <w:r>
        <w:tab/>
      </w:r>
      <w:r>
        <w:fldChar w:fldCharType="begin"/>
      </w:r>
      <w:r>
        <w:instrText xml:space="preserve"> PAGEREF _Toc518040438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Proceedings before an arbitrator</w:t>
      </w:r>
    </w:p>
    <w:p>
      <w:pPr>
        <w:pStyle w:val="TOC8"/>
        <w:rPr>
          <w:rFonts w:asciiTheme="minorHAnsi" w:eastAsiaTheme="minorEastAsia" w:hAnsiTheme="minorHAnsi" w:cstheme="minorBidi"/>
          <w:szCs w:val="22"/>
        </w:rPr>
      </w:pPr>
      <w:r>
        <w:t>32.</w:t>
      </w:r>
      <w:r>
        <w:tab/>
        <w:t>Party may discontinue proceeding</w:t>
      </w:r>
      <w:r>
        <w:tab/>
      </w:r>
      <w:r>
        <w:fldChar w:fldCharType="begin"/>
      </w:r>
      <w:r>
        <w:instrText xml:space="preserve"> PAGEREF _Toc518040440 \h </w:instrText>
      </w:r>
      <w:r>
        <w:fldChar w:fldCharType="separate"/>
      </w:r>
      <w:r>
        <w:t>21</w:t>
      </w:r>
      <w:r>
        <w:fldChar w:fldCharType="end"/>
      </w:r>
    </w:p>
    <w:p>
      <w:pPr>
        <w:pStyle w:val="TOC8"/>
        <w:rPr>
          <w:rFonts w:asciiTheme="minorHAnsi" w:eastAsiaTheme="minorEastAsia" w:hAnsiTheme="minorHAnsi" w:cstheme="minorBidi"/>
          <w:szCs w:val="22"/>
        </w:rPr>
      </w:pPr>
      <w:r>
        <w:t>33.</w:t>
      </w:r>
      <w:r>
        <w:tab/>
        <w:t>Adjournment of proceeding</w:t>
      </w:r>
      <w:r>
        <w:tab/>
      </w:r>
      <w:r>
        <w:fldChar w:fldCharType="begin"/>
      </w:r>
      <w:r>
        <w:instrText xml:space="preserve"> PAGEREF _Toc518040441 \h </w:instrText>
      </w:r>
      <w:r>
        <w:fldChar w:fldCharType="separate"/>
      </w:r>
      <w:r>
        <w:t>21</w:t>
      </w:r>
      <w:r>
        <w:fldChar w:fldCharType="end"/>
      </w:r>
    </w:p>
    <w:p>
      <w:pPr>
        <w:pStyle w:val="TOC8"/>
        <w:rPr>
          <w:rFonts w:asciiTheme="minorHAnsi" w:eastAsiaTheme="minorEastAsia" w:hAnsiTheme="minorHAnsi" w:cstheme="minorBidi"/>
          <w:szCs w:val="22"/>
        </w:rPr>
      </w:pPr>
      <w:r>
        <w:t>34.</w:t>
      </w:r>
      <w:r>
        <w:tab/>
        <w:t>Application for adjournment</w:t>
      </w:r>
      <w:r>
        <w:tab/>
      </w:r>
      <w:r>
        <w:fldChar w:fldCharType="begin"/>
      </w:r>
      <w:r>
        <w:instrText xml:space="preserve"> PAGEREF _Toc518040442 \h </w:instrText>
      </w:r>
      <w:r>
        <w:fldChar w:fldCharType="separate"/>
      </w:r>
      <w:r>
        <w:t>21</w:t>
      </w:r>
      <w:r>
        <w:fldChar w:fldCharType="end"/>
      </w:r>
    </w:p>
    <w:p>
      <w:pPr>
        <w:pStyle w:val="TOC8"/>
        <w:rPr>
          <w:rFonts w:asciiTheme="minorHAnsi" w:eastAsiaTheme="minorEastAsia" w:hAnsiTheme="minorHAnsi" w:cstheme="minorBidi"/>
          <w:szCs w:val="22"/>
        </w:rPr>
      </w:pPr>
      <w:r>
        <w:t>35.</w:t>
      </w:r>
      <w:r>
        <w:tab/>
        <w:t>Late application for adjournment</w:t>
      </w:r>
      <w:r>
        <w:tab/>
      </w:r>
      <w:r>
        <w:fldChar w:fldCharType="begin"/>
      </w:r>
      <w:r>
        <w:instrText xml:space="preserve"> PAGEREF _Toc518040443 \h </w:instrText>
      </w:r>
      <w:r>
        <w:fldChar w:fldCharType="separate"/>
      </w:r>
      <w:r>
        <w:t>22</w:t>
      </w:r>
      <w:r>
        <w:fldChar w:fldCharType="end"/>
      </w:r>
    </w:p>
    <w:p>
      <w:pPr>
        <w:pStyle w:val="TOC8"/>
        <w:rPr>
          <w:rFonts w:asciiTheme="minorHAnsi" w:eastAsiaTheme="minorEastAsia" w:hAnsiTheme="minorHAnsi" w:cstheme="minorBidi"/>
          <w:szCs w:val="22"/>
        </w:rPr>
      </w:pPr>
      <w:r>
        <w:t>36.</w:t>
      </w:r>
      <w:r>
        <w:tab/>
        <w:t>Application may be dismissed or determined if adjournment not granted</w:t>
      </w:r>
      <w:r>
        <w:tab/>
      </w:r>
      <w:r>
        <w:fldChar w:fldCharType="begin"/>
      </w:r>
      <w:r>
        <w:instrText xml:space="preserve"> PAGEREF _Toc518040444 \h </w:instrText>
      </w:r>
      <w:r>
        <w:fldChar w:fldCharType="separate"/>
      </w:r>
      <w:r>
        <w:t>22</w:t>
      </w:r>
      <w:r>
        <w:fldChar w:fldCharType="end"/>
      </w:r>
    </w:p>
    <w:p>
      <w:pPr>
        <w:pStyle w:val="TOC8"/>
        <w:rPr>
          <w:rFonts w:asciiTheme="minorHAnsi" w:eastAsiaTheme="minorEastAsia" w:hAnsiTheme="minorHAnsi" w:cstheme="minorBidi"/>
          <w:szCs w:val="22"/>
        </w:rPr>
      </w:pPr>
      <w:r>
        <w:t>37.</w:t>
      </w:r>
      <w:r>
        <w:tab/>
        <w:t>Interlocutory applications</w:t>
      </w:r>
      <w:r>
        <w:tab/>
      </w:r>
      <w:r>
        <w:fldChar w:fldCharType="begin"/>
      </w:r>
      <w:r>
        <w:instrText xml:space="preserve"> PAGEREF _Toc518040445 \h </w:instrText>
      </w:r>
      <w:r>
        <w:fldChar w:fldCharType="separate"/>
      </w:r>
      <w:r>
        <w:t>22</w:t>
      </w:r>
      <w:r>
        <w:fldChar w:fldCharType="end"/>
      </w:r>
    </w:p>
    <w:p>
      <w:pPr>
        <w:pStyle w:val="TOC8"/>
        <w:rPr>
          <w:rFonts w:asciiTheme="minorHAnsi" w:eastAsiaTheme="minorEastAsia" w:hAnsiTheme="minorHAnsi" w:cstheme="minorBidi"/>
          <w:szCs w:val="22"/>
        </w:rPr>
      </w:pPr>
      <w:r>
        <w:t>38.</w:t>
      </w:r>
      <w:r>
        <w:tab/>
        <w:t>Consent orders</w:t>
      </w:r>
      <w:r>
        <w:tab/>
      </w:r>
      <w:r>
        <w:fldChar w:fldCharType="begin"/>
      </w:r>
      <w:r>
        <w:instrText xml:space="preserve"> PAGEREF _Toc518040446 \h </w:instrText>
      </w:r>
      <w:r>
        <w:fldChar w:fldCharType="separate"/>
      </w:r>
      <w:r>
        <w:t>24</w:t>
      </w:r>
      <w:r>
        <w:fldChar w:fldCharType="end"/>
      </w:r>
    </w:p>
    <w:p>
      <w:pPr>
        <w:pStyle w:val="TOC8"/>
        <w:rPr>
          <w:rFonts w:asciiTheme="minorHAnsi" w:eastAsiaTheme="minorEastAsia" w:hAnsiTheme="minorHAnsi" w:cstheme="minorBidi"/>
          <w:szCs w:val="22"/>
        </w:rPr>
      </w:pPr>
      <w:r>
        <w:t>39.</w:t>
      </w:r>
      <w:r>
        <w:tab/>
        <w:t>Proceedings to be held in private</w:t>
      </w:r>
      <w:r>
        <w:tab/>
      </w:r>
      <w:r>
        <w:fldChar w:fldCharType="begin"/>
      </w:r>
      <w:r>
        <w:instrText xml:space="preserve"> PAGEREF _Toc518040447 \h </w:instrText>
      </w:r>
      <w:r>
        <w:fldChar w:fldCharType="separate"/>
      </w:r>
      <w:r>
        <w:t>24</w:t>
      </w:r>
      <w:r>
        <w:fldChar w:fldCharType="end"/>
      </w:r>
    </w:p>
    <w:p>
      <w:pPr>
        <w:pStyle w:val="TOC8"/>
        <w:rPr>
          <w:rFonts w:asciiTheme="minorHAnsi" w:eastAsiaTheme="minorEastAsia" w:hAnsiTheme="minorHAnsi" w:cstheme="minorBidi"/>
          <w:szCs w:val="22"/>
        </w:rPr>
      </w:pPr>
      <w:r>
        <w:t>40.</w:t>
      </w:r>
      <w:r>
        <w:tab/>
        <w:t>Arbitrator must not interview individual parties or witnesses</w:t>
      </w:r>
      <w:r>
        <w:tab/>
      </w:r>
      <w:r>
        <w:fldChar w:fldCharType="begin"/>
      </w:r>
      <w:r>
        <w:instrText xml:space="preserve"> PAGEREF _Toc518040448 \h </w:instrText>
      </w:r>
      <w:r>
        <w:fldChar w:fldCharType="separate"/>
      </w:r>
      <w:r>
        <w:t>24</w:t>
      </w:r>
      <w:r>
        <w:fldChar w:fldCharType="end"/>
      </w:r>
    </w:p>
    <w:p>
      <w:pPr>
        <w:pStyle w:val="TOC8"/>
        <w:rPr>
          <w:rFonts w:asciiTheme="minorHAnsi" w:eastAsiaTheme="minorEastAsia" w:hAnsiTheme="minorHAnsi" w:cstheme="minorBidi"/>
          <w:szCs w:val="22"/>
        </w:rPr>
      </w:pPr>
      <w:r>
        <w:t>41.</w:t>
      </w:r>
      <w:r>
        <w:tab/>
        <w:t>Statement as to agreed facts and issues</w:t>
      </w:r>
      <w:r>
        <w:tab/>
      </w:r>
      <w:r>
        <w:fldChar w:fldCharType="begin"/>
      </w:r>
      <w:r>
        <w:instrText xml:space="preserve"> PAGEREF _Toc518040449 \h </w:instrText>
      </w:r>
      <w:r>
        <w:fldChar w:fldCharType="separate"/>
      </w:r>
      <w:r>
        <w:t>24</w:t>
      </w:r>
      <w:r>
        <w:fldChar w:fldCharType="end"/>
      </w:r>
    </w:p>
    <w:p>
      <w:pPr>
        <w:pStyle w:val="TOC8"/>
        <w:rPr>
          <w:rFonts w:asciiTheme="minorHAnsi" w:eastAsiaTheme="minorEastAsia" w:hAnsiTheme="minorHAnsi" w:cstheme="minorBidi"/>
          <w:szCs w:val="22"/>
        </w:rPr>
      </w:pPr>
      <w:r>
        <w:t>42.</w:t>
      </w:r>
      <w:r>
        <w:tab/>
        <w:t>Directions hearing</w:t>
      </w:r>
      <w:r>
        <w:tab/>
      </w:r>
      <w:r>
        <w:fldChar w:fldCharType="begin"/>
      </w:r>
      <w:r>
        <w:instrText xml:space="preserve"> PAGEREF _Toc518040450 \h </w:instrText>
      </w:r>
      <w:r>
        <w:fldChar w:fldCharType="separate"/>
      </w:r>
      <w:r>
        <w:t>25</w:t>
      </w:r>
      <w:r>
        <w:fldChar w:fldCharType="end"/>
      </w:r>
    </w:p>
    <w:p>
      <w:pPr>
        <w:pStyle w:val="TOC8"/>
        <w:rPr>
          <w:rFonts w:asciiTheme="minorHAnsi" w:eastAsiaTheme="minorEastAsia" w:hAnsiTheme="minorHAnsi" w:cstheme="minorBidi"/>
          <w:szCs w:val="22"/>
        </w:rPr>
      </w:pPr>
      <w:r>
        <w:t>43.</w:t>
      </w:r>
      <w:r>
        <w:tab/>
        <w:t>Notice of hearing</w:t>
      </w:r>
      <w:r>
        <w:tab/>
      </w:r>
      <w:r>
        <w:fldChar w:fldCharType="begin"/>
      </w:r>
      <w:r>
        <w:instrText xml:space="preserve"> PAGEREF _Toc518040451 \h </w:instrText>
      </w:r>
      <w:r>
        <w:fldChar w:fldCharType="separate"/>
      </w:r>
      <w:r>
        <w:t>25</w:t>
      </w:r>
      <w:r>
        <w:fldChar w:fldCharType="end"/>
      </w:r>
    </w:p>
    <w:p>
      <w:pPr>
        <w:pStyle w:val="TOC8"/>
        <w:rPr>
          <w:rFonts w:asciiTheme="minorHAnsi" w:eastAsiaTheme="minorEastAsia" w:hAnsiTheme="minorHAnsi" w:cstheme="minorBidi"/>
          <w:szCs w:val="22"/>
        </w:rPr>
      </w:pPr>
      <w:r>
        <w:t>44.</w:t>
      </w:r>
      <w:r>
        <w:tab/>
        <w:t>Index and record of documents</w:t>
      </w:r>
      <w:r>
        <w:tab/>
      </w:r>
      <w:r>
        <w:fldChar w:fldCharType="begin"/>
      </w:r>
      <w:r>
        <w:instrText xml:space="preserve"> PAGEREF _Toc518040452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documents and information</w:t>
      </w:r>
    </w:p>
    <w:p>
      <w:pPr>
        <w:pStyle w:val="TOC8"/>
        <w:rPr>
          <w:rFonts w:asciiTheme="minorHAnsi" w:eastAsiaTheme="minorEastAsia" w:hAnsiTheme="minorHAnsi" w:cstheme="minorBidi"/>
          <w:szCs w:val="22"/>
        </w:rPr>
      </w:pPr>
      <w:r>
        <w:t>45.</w:t>
      </w:r>
      <w:r>
        <w:tab/>
        <w:t>Duty of disclosure</w:t>
      </w:r>
      <w:r>
        <w:tab/>
      </w:r>
      <w:r>
        <w:fldChar w:fldCharType="begin"/>
      </w:r>
      <w:r>
        <w:instrText xml:space="preserve"> PAGEREF _Toc518040454 \h </w:instrText>
      </w:r>
      <w:r>
        <w:fldChar w:fldCharType="separate"/>
      </w:r>
      <w:r>
        <w:t>26</w:t>
      </w:r>
      <w:r>
        <w:fldChar w:fldCharType="end"/>
      </w:r>
    </w:p>
    <w:p>
      <w:pPr>
        <w:pStyle w:val="TOC8"/>
        <w:rPr>
          <w:rFonts w:asciiTheme="minorHAnsi" w:eastAsiaTheme="minorEastAsia" w:hAnsiTheme="minorHAnsi" w:cstheme="minorBidi"/>
          <w:szCs w:val="22"/>
        </w:rPr>
      </w:pPr>
      <w:r>
        <w:t>46.</w:t>
      </w:r>
      <w:r>
        <w:tab/>
        <w:t>Disclosure without order</w:t>
      </w:r>
      <w:r>
        <w:tab/>
      </w:r>
      <w:r>
        <w:fldChar w:fldCharType="begin"/>
      </w:r>
      <w:r>
        <w:instrText xml:space="preserve"> PAGEREF _Toc518040455 \h </w:instrText>
      </w:r>
      <w:r>
        <w:fldChar w:fldCharType="separate"/>
      </w:r>
      <w:r>
        <w:t>26</w:t>
      </w:r>
      <w:r>
        <w:fldChar w:fldCharType="end"/>
      </w:r>
    </w:p>
    <w:p>
      <w:pPr>
        <w:pStyle w:val="TOC8"/>
        <w:rPr>
          <w:rFonts w:asciiTheme="minorHAnsi" w:eastAsiaTheme="minorEastAsia" w:hAnsiTheme="minorHAnsi" w:cstheme="minorBidi"/>
          <w:szCs w:val="22"/>
        </w:rPr>
      </w:pPr>
      <w:r>
        <w:t>47.</w:t>
      </w:r>
      <w:r>
        <w:tab/>
        <w:t>Orders relating to disclosure</w:t>
      </w:r>
      <w:r>
        <w:tab/>
      </w:r>
      <w:r>
        <w:fldChar w:fldCharType="begin"/>
      </w:r>
      <w:r>
        <w:instrText xml:space="preserve"> PAGEREF _Toc518040456 \h </w:instrText>
      </w:r>
      <w:r>
        <w:fldChar w:fldCharType="separate"/>
      </w:r>
      <w:r>
        <w:t>27</w:t>
      </w:r>
      <w:r>
        <w:fldChar w:fldCharType="end"/>
      </w:r>
    </w:p>
    <w:p>
      <w:pPr>
        <w:pStyle w:val="TOC8"/>
        <w:rPr>
          <w:rFonts w:asciiTheme="minorHAnsi" w:eastAsiaTheme="minorEastAsia" w:hAnsiTheme="minorHAnsi" w:cstheme="minorBidi"/>
          <w:szCs w:val="22"/>
        </w:rPr>
      </w:pPr>
      <w:r>
        <w:t>48.</w:t>
      </w:r>
      <w:r>
        <w:tab/>
        <w:t>Request for order to produce documents: section 193</w:t>
      </w:r>
      <w:r>
        <w:tab/>
      </w:r>
      <w:r>
        <w:fldChar w:fldCharType="begin"/>
      </w:r>
      <w:r>
        <w:instrText xml:space="preserve"> PAGEREF _Toc518040457 \h </w:instrText>
      </w:r>
      <w:r>
        <w:fldChar w:fldCharType="separate"/>
      </w:r>
      <w:r>
        <w:t>27</w:t>
      </w:r>
      <w:r>
        <w:fldChar w:fldCharType="end"/>
      </w:r>
    </w:p>
    <w:p>
      <w:pPr>
        <w:pStyle w:val="TOC8"/>
        <w:rPr>
          <w:rFonts w:asciiTheme="minorHAnsi" w:eastAsiaTheme="minorEastAsia" w:hAnsiTheme="minorHAnsi" w:cstheme="minorBidi"/>
          <w:szCs w:val="22"/>
        </w:rPr>
      </w:pPr>
      <w:r>
        <w:t>49.</w:t>
      </w:r>
      <w:r>
        <w:tab/>
        <w:t>Continuing obligation to disclose documents</w:t>
      </w:r>
      <w:r>
        <w:tab/>
      </w:r>
      <w:r>
        <w:fldChar w:fldCharType="begin"/>
      </w:r>
      <w:r>
        <w:instrText xml:space="preserve"> PAGEREF _Toc518040458 \h </w:instrText>
      </w:r>
      <w:r>
        <w:fldChar w:fldCharType="separate"/>
      </w:r>
      <w:r>
        <w:t>28</w:t>
      </w:r>
      <w:r>
        <w:fldChar w:fldCharType="end"/>
      </w:r>
    </w:p>
    <w:p>
      <w:pPr>
        <w:pStyle w:val="TOC8"/>
        <w:rPr>
          <w:rFonts w:asciiTheme="minorHAnsi" w:eastAsiaTheme="minorEastAsia" w:hAnsiTheme="minorHAnsi" w:cstheme="minorBidi"/>
          <w:szCs w:val="22"/>
        </w:rPr>
      </w:pPr>
      <w:r>
        <w:t>50.</w:t>
      </w:r>
      <w:r>
        <w:tab/>
        <w:t>Order under rule 47 or section 193</w:t>
      </w:r>
      <w:r>
        <w:tab/>
      </w:r>
      <w:r>
        <w:fldChar w:fldCharType="begin"/>
      </w:r>
      <w:r>
        <w:instrText xml:space="preserve"> PAGEREF _Toc518040459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Representation</w:t>
      </w:r>
    </w:p>
    <w:p>
      <w:pPr>
        <w:pStyle w:val="TOC8"/>
        <w:rPr>
          <w:rFonts w:asciiTheme="minorHAnsi" w:eastAsiaTheme="minorEastAsia" w:hAnsiTheme="minorHAnsi" w:cstheme="minorBidi"/>
          <w:szCs w:val="22"/>
        </w:rPr>
      </w:pPr>
      <w:r>
        <w:t>51.</w:t>
      </w:r>
      <w:r>
        <w:tab/>
        <w:t>Notice of representation</w:t>
      </w:r>
      <w:r>
        <w:tab/>
      </w:r>
      <w:r>
        <w:fldChar w:fldCharType="begin"/>
      </w:r>
      <w:r>
        <w:instrText xml:space="preserve"> PAGEREF _Toc518040461 \h </w:instrText>
      </w:r>
      <w:r>
        <w:fldChar w:fldCharType="separate"/>
      </w:r>
      <w:r>
        <w:t>30</w:t>
      </w:r>
      <w:r>
        <w:fldChar w:fldCharType="end"/>
      </w:r>
    </w:p>
    <w:p>
      <w:pPr>
        <w:pStyle w:val="TOC8"/>
        <w:rPr>
          <w:rFonts w:asciiTheme="minorHAnsi" w:eastAsiaTheme="minorEastAsia" w:hAnsiTheme="minorHAnsi" w:cstheme="minorBidi"/>
          <w:szCs w:val="22"/>
        </w:rPr>
      </w:pPr>
      <w:r>
        <w:t>52.</w:t>
      </w:r>
      <w:r>
        <w:tab/>
        <w:t>Litigation guardian</w:t>
      </w:r>
      <w:r>
        <w:tab/>
      </w:r>
      <w:r>
        <w:fldChar w:fldCharType="begin"/>
      </w:r>
      <w:r>
        <w:instrText xml:space="preserve"> PAGEREF _Toc518040462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8 — Joinder of parties</w:t>
      </w:r>
    </w:p>
    <w:p>
      <w:pPr>
        <w:pStyle w:val="TOC8"/>
        <w:rPr>
          <w:rFonts w:asciiTheme="minorHAnsi" w:eastAsiaTheme="minorEastAsia" w:hAnsiTheme="minorHAnsi" w:cstheme="minorBidi"/>
          <w:szCs w:val="22"/>
        </w:rPr>
      </w:pPr>
      <w:r>
        <w:t>53.</w:t>
      </w:r>
      <w:r>
        <w:tab/>
        <w:t>Arbitrator may give leave to join another party</w:t>
      </w:r>
      <w:r>
        <w:tab/>
      </w:r>
      <w:r>
        <w:fldChar w:fldCharType="begin"/>
      </w:r>
      <w:r>
        <w:instrText xml:space="preserve"> PAGEREF _Toc518040464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joinder</w:t>
      </w:r>
      <w:r>
        <w:tab/>
      </w:r>
      <w:r>
        <w:fldChar w:fldCharType="begin"/>
      </w:r>
      <w:r>
        <w:instrText xml:space="preserve"> PAGEREF _Toc518040465 \h </w:instrText>
      </w:r>
      <w:r>
        <w:fldChar w:fldCharType="separate"/>
      </w:r>
      <w:r>
        <w:t>32</w:t>
      </w:r>
      <w:r>
        <w:fldChar w:fldCharType="end"/>
      </w:r>
    </w:p>
    <w:p>
      <w:pPr>
        <w:pStyle w:val="TOC8"/>
        <w:rPr>
          <w:rFonts w:asciiTheme="minorHAnsi" w:eastAsiaTheme="minorEastAsia" w:hAnsiTheme="minorHAnsi" w:cstheme="minorBidi"/>
          <w:szCs w:val="22"/>
        </w:rPr>
      </w:pPr>
      <w:r>
        <w:t>55.</w:t>
      </w:r>
      <w:r>
        <w:tab/>
        <w:t>Reply by person joined</w:t>
      </w:r>
      <w:r>
        <w:tab/>
      </w:r>
      <w:r>
        <w:fldChar w:fldCharType="begin"/>
      </w:r>
      <w:r>
        <w:instrText xml:space="preserve"> PAGEREF _Toc518040466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9 — Witnesses</w:t>
      </w:r>
    </w:p>
    <w:p>
      <w:pPr>
        <w:pStyle w:val="TOC8"/>
        <w:rPr>
          <w:rFonts w:asciiTheme="minorHAnsi" w:eastAsiaTheme="minorEastAsia" w:hAnsiTheme="minorHAnsi" w:cstheme="minorBidi"/>
          <w:szCs w:val="22"/>
        </w:rPr>
      </w:pPr>
      <w:r>
        <w:t>56.</w:t>
      </w:r>
      <w:r>
        <w:tab/>
        <w:t>Summons</w:t>
      </w:r>
      <w:r>
        <w:tab/>
      </w:r>
      <w:r>
        <w:fldChar w:fldCharType="begin"/>
      </w:r>
      <w:r>
        <w:instrText xml:space="preserve"> PAGEREF _Toc518040468 \h </w:instrText>
      </w:r>
      <w:r>
        <w:fldChar w:fldCharType="separate"/>
      </w:r>
      <w:r>
        <w:t>34</w:t>
      </w:r>
      <w:r>
        <w:fldChar w:fldCharType="end"/>
      </w:r>
    </w:p>
    <w:p>
      <w:pPr>
        <w:pStyle w:val="TOC8"/>
        <w:rPr>
          <w:rFonts w:asciiTheme="minorHAnsi" w:eastAsiaTheme="minorEastAsia" w:hAnsiTheme="minorHAnsi" w:cstheme="minorBidi"/>
          <w:szCs w:val="22"/>
        </w:rPr>
      </w:pPr>
      <w:r>
        <w:t>57.</w:t>
      </w:r>
      <w:r>
        <w:tab/>
        <w:t>Witness statements</w:t>
      </w:r>
      <w:r>
        <w:tab/>
      </w:r>
      <w:r>
        <w:fldChar w:fldCharType="begin"/>
      </w:r>
      <w:r>
        <w:instrText xml:space="preserve"> PAGEREF _Toc518040469 \h </w:instrText>
      </w:r>
      <w:r>
        <w:fldChar w:fldCharType="separate"/>
      </w:r>
      <w:r>
        <w:t>34</w:t>
      </w:r>
      <w:r>
        <w:fldChar w:fldCharType="end"/>
      </w:r>
    </w:p>
    <w:p>
      <w:pPr>
        <w:pStyle w:val="TOC8"/>
        <w:rPr>
          <w:rFonts w:asciiTheme="minorHAnsi" w:eastAsiaTheme="minorEastAsia" w:hAnsiTheme="minorHAnsi" w:cstheme="minorBidi"/>
          <w:szCs w:val="22"/>
        </w:rPr>
      </w:pPr>
      <w:r>
        <w:t>58.</w:t>
      </w:r>
      <w:r>
        <w:tab/>
        <w:t>Medical evidence</w:t>
      </w:r>
      <w:r>
        <w:tab/>
      </w:r>
      <w:r>
        <w:fldChar w:fldCharType="begin"/>
      </w:r>
      <w:r>
        <w:instrText xml:space="preserve"> PAGEREF _Toc518040470 \h </w:instrText>
      </w:r>
      <w:r>
        <w:fldChar w:fldCharType="separate"/>
      </w:r>
      <w:r>
        <w:t>36</w:t>
      </w:r>
      <w:r>
        <w:fldChar w:fldCharType="end"/>
      </w:r>
    </w:p>
    <w:p>
      <w:pPr>
        <w:pStyle w:val="TOC8"/>
        <w:rPr>
          <w:rFonts w:asciiTheme="minorHAnsi" w:eastAsiaTheme="minorEastAsia" w:hAnsiTheme="minorHAnsi" w:cstheme="minorBidi"/>
          <w:szCs w:val="22"/>
        </w:rPr>
      </w:pPr>
      <w:r>
        <w:t>59.</w:t>
      </w:r>
      <w:r>
        <w:tab/>
        <w:t>Medical reports</w:t>
      </w:r>
      <w:r>
        <w:tab/>
      </w:r>
      <w:r>
        <w:fldChar w:fldCharType="begin"/>
      </w:r>
      <w:r>
        <w:instrText xml:space="preserve"> PAGEREF _Toc518040471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10 — Costs</w:t>
      </w:r>
    </w:p>
    <w:p>
      <w:pPr>
        <w:pStyle w:val="TOC8"/>
        <w:rPr>
          <w:rFonts w:asciiTheme="minorHAnsi" w:eastAsiaTheme="minorEastAsia" w:hAnsiTheme="minorHAnsi" w:cstheme="minorBidi"/>
          <w:szCs w:val="22"/>
        </w:rPr>
      </w:pPr>
      <w:r>
        <w:t>60.</w:t>
      </w:r>
      <w:r>
        <w:tab/>
        <w:t>Term used: costs</w:t>
      </w:r>
      <w:r>
        <w:tab/>
      </w:r>
      <w:r>
        <w:fldChar w:fldCharType="begin"/>
      </w:r>
      <w:r>
        <w:instrText xml:space="preserve"> PAGEREF _Toc518040473 \h </w:instrText>
      </w:r>
      <w:r>
        <w:fldChar w:fldCharType="separate"/>
      </w:r>
      <w:r>
        <w:t>38</w:t>
      </w:r>
      <w:r>
        <w:fldChar w:fldCharType="end"/>
      </w:r>
    </w:p>
    <w:p>
      <w:pPr>
        <w:pStyle w:val="TOC8"/>
        <w:rPr>
          <w:rFonts w:asciiTheme="minorHAnsi" w:eastAsiaTheme="minorEastAsia" w:hAnsiTheme="minorHAnsi" w:cstheme="minorBidi"/>
          <w:szCs w:val="22"/>
        </w:rPr>
      </w:pPr>
      <w:r>
        <w:t>61.</w:t>
      </w:r>
      <w:r>
        <w:tab/>
        <w:t>Order as to costs</w:t>
      </w:r>
      <w:r>
        <w:tab/>
      </w:r>
      <w:r>
        <w:fldChar w:fldCharType="begin"/>
      </w:r>
      <w:r>
        <w:instrText xml:space="preserve"> PAGEREF _Toc518040474 \h </w:instrText>
      </w:r>
      <w:r>
        <w:fldChar w:fldCharType="separate"/>
      </w:r>
      <w:r>
        <w:t>38</w:t>
      </w:r>
      <w:r>
        <w:fldChar w:fldCharType="end"/>
      </w:r>
    </w:p>
    <w:p>
      <w:pPr>
        <w:pStyle w:val="TOC8"/>
        <w:rPr>
          <w:rFonts w:asciiTheme="minorHAnsi" w:eastAsiaTheme="minorEastAsia" w:hAnsiTheme="minorHAnsi" w:cstheme="minorBidi"/>
          <w:szCs w:val="22"/>
        </w:rPr>
      </w:pPr>
      <w:r>
        <w:t>62.</w:t>
      </w:r>
      <w:r>
        <w:tab/>
        <w:t>Application for assessment of costs</w:t>
      </w:r>
      <w:r>
        <w:tab/>
      </w:r>
      <w:r>
        <w:fldChar w:fldCharType="begin"/>
      </w:r>
      <w:r>
        <w:instrText xml:space="preserve"> PAGEREF _Toc518040475 \h </w:instrText>
      </w:r>
      <w:r>
        <w:fldChar w:fldCharType="separate"/>
      </w:r>
      <w:r>
        <w:t>38</w:t>
      </w:r>
      <w:r>
        <w:fldChar w:fldCharType="end"/>
      </w:r>
    </w:p>
    <w:p>
      <w:pPr>
        <w:pStyle w:val="TOC8"/>
        <w:rPr>
          <w:rFonts w:asciiTheme="minorHAnsi" w:eastAsiaTheme="minorEastAsia" w:hAnsiTheme="minorHAnsi" w:cstheme="minorBidi"/>
          <w:szCs w:val="22"/>
        </w:rPr>
      </w:pPr>
      <w:r>
        <w:t>63A.</w:t>
      </w:r>
      <w:r>
        <w:tab/>
        <w:t>Submission on application for order as to costs or for assessment of costs</w:t>
      </w:r>
      <w:r>
        <w:tab/>
      </w:r>
      <w:r>
        <w:fldChar w:fldCharType="begin"/>
      </w:r>
      <w:r>
        <w:instrText xml:space="preserve"> PAGEREF _Toc518040476 \h </w:instrText>
      </w:r>
      <w:r>
        <w:fldChar w:fldCharType="separate"/>
      </w:r>
      <w:r>
        <w:t>38</w:t>
      </w:r>
      <w:r>
        <w:fldChar w:fldCharType="end"/>
      </w:r>
    </w:p>
    <w:p>
      <w:pPr>
        <w:pStyle w:val="TOC8"/>
        <w:rPr>
          <w:rFonts w:asciiTheme="minorHAnsi" w:eastAsiaTheme="minorEastAsia" w:hAnsiTheme="minorHAnsi" w:cstheme="minorBidi"/>
          <w:szCs w:val="22"/>
        </w:rPr>
      </w:pPr>
      <w:r>
        <w:t>63.</w:t>
      </w:r>
      <w:r>
        <w:tab/>
        <w:t>Expenses of approved medical specialist panel or approved specialised retraining assessment panel</w:t>
      </w:r>
      <w:r>
        <w:tab/>
      </w:r>
      <w:r>
        <w:fldChar w:fldCharType="begin"/>
      </w:r>
      <w:r>
        <w:instrText xml:space="preserve"> PAGEREF _Toc518040477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11 — Medical assessment panels and specialised retraining assessment panels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64.</w:t>
      </w:r>
      <w:r>
        <w:tab/>
        <w:t>Form for requirement to attend</w:t>
      </w:r>
      <w:r>
        <w:tab/>
      </w:r>
      <w:r>
        <w:fldChar w:fldCharType="begin"/>
      </w:r>
      <w:r>
        <w:instrText xml:space="preserve"> PAGEREF _Toc518040480 \h </w:instrText>
      </w:r>
      <w:r>
        <w:fldChar w:fldCharType="separate"/>
      </w:r>
      <w:r>
        <w:t>40</w:t>
      </w:r>
      <w:r>
        <w:fldChar w:fldCharType="end"/>
      </w:r>
    </w:p>
    <w:p>
      <w:pPr>
        <w:pStyle w:val="TOC8"/>
        <w:rPr>
          <w:rFonts w:asciiTheme="minorHAnsi" w:eastAsiaTheme="minorEastAsia" w:hAnsiTheme="minorHAnsi" w:cstheme="minorBidi"/>
          <w:szCs w:val="22"/>
        </w:rPr>
      </w:pPr>
      <w:r>
        <w:t>65.</w:t>
      </w:r>
      <w:r>
        <w:tab/>
        <w:t>Time, date and place of meeting</w:t>
      </w:r>
      <w:r>
        <w:tab/>
      </w:r>
      <w:r>
        <w:fldChar w:fldCharType="begin"/>
      </w:r>
      <w:r>
        <w:instrText xml:space="preserve"> PAGEREF _Toc518040481 \h </w:instrText>
      </w:r>
      <w:r>
        <w:fldChar w:fldCharType="separate"/>
      </w:r>
      <w:r>
        <w:t>40</w:t>
      </w:r>
      <w:r>
        <w:fldChar w:fldCharType="end"/>
      </w:r>
    </w:p>
    <w:p>
      <w:pPr>
        <w:pStyle w:val="TOC8"/>
        <w:rPr>
          <w:rFonts w:asciiTheme="minorHAnsi" w:eastAsiaTheme="minorEastAsia" w:hAnsiTheme="minorHAnsi" w:cstheme="minorBidi"/>
          <w:szCs w:val="22"/>
        </w:rPr>
      </w:pPr>
      <w:r>
        <w:t>66.</w:t>
      </w:r>
      <w:r>
        <w:tab/>
        <w:t>Notice of meeting</w:t>
      </w:r>
      <w:r>
        <w:tab/>
      </w:r>
      <w:r>
        <w:fldChar w:fldCharType="begin"/>
      </w:r>
      <w:r>
        <w:instrText xml:space="preserve"> PAGEREF _Toc518040482 \h </w:instrText>
      </w:r>
      <w:r>
        <w:fldChar w:fldCharType="separate"/>
      </w:r>
      <w:r>
        <w:t>40</w:t>
      </w:r>
      <w:r>
        <w:fldChar w:fldCharType="end"/>
      </w:r>
    </w:p>
    <w:p>
      <w:pPr>
        <w:pStyle w:val="TOC8"/>
        <w:rPr>
          <w:rFonts w:asciiTheme="minorHAnsi" w:eastAsiaTheme="minorEastAsia" w:hAnsiTheme="minorHAnsi" w:cstheme="minorBidi"/>
          <w:szCs w:val="22"/>
        </w:rPr>
      </w:pPr>
      <w:r>
        <w:t>67.</w:t>
      </w:r>
      <w:r>
        <w:tab/>
        <w:t>Giving documents to medical assessment panel</w:t>
      </w:r>
      <w:r>
        <w:tab/>
      </w:r>
      <w:r>
        <w:fldChar w:fldCharType="begin"/>
      </w:r>
      <w:r>
        <w:instrText xml:space="preserve"> PAGEREF _Toc518040483 \h </w:instrText>
      </w:r>
      <w:r>
        <w:fldChar w:fldCharType="separate"/>
      </w:r>
      <w:r>
        <w:t>41</w:t>
      </w:r>
      <w:r>
        <w:fldChar w:fldCharType="end"/>
      </w:r>
    </w:p>
    <w:p>
      <w:pPr>
        <w:pStyle w:val="TOC8"/>
        <w:rPr>
          <w:rFonts w:asciiTheme="minorHAnsi" w:eastAsiaTheme="minorEastAsia" w:hAnsiTheme="minorHAnsi" w:cstheme="minorBidi"/>
          <w:szCs w:val="22"/>
        </w:rPr>
      </w:pPr>
      <w:r>
        <w:t>68.</w:t>
      </w:r>
      <w:r>
        <w:tab/>
        <w:t>Objection to document being given to medical assessment panel</w:t>
      </w:r>
      <w:r>
        <w:tab/>
      </w:r>
      <w:r>
        <w:fldChar w:fldCharType="begin"/>
      </w:r>
      <w:r>
        <w:instrText xml:space="preserve"> PAGEREF _Toc518040484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Specialised retraining assessment panels</w:t>
      </w:r>
    </w:p>
    <w:p>
      <w:pPr>
        <w:pStyle w:val="TOC8"/>
        <w:rPr>
          <w:rFonts w:asciiTheme="minorHAnsi" w:eastAsiaTheme="minorEastAsia" w:hAnsiTheme="minorHAnsi" w:cstheme="minorBidi"/>
          <w:szCs w:val="22"/>
        </w:rPr>
      </w:pPr>
      <w:r>
        <w:t>69.</w:t>
      </w:r>
      <w:r>
        <w:tab/>
        <w:t>Form for request to attend</w:t>
      </w:r>
      <w:r>
        <w:tab/>
      </w:r>
      <w:r>
        <w:fldChar w:fldCharType="begin"/>
      </w:r>
      <w:r>
        <w:instrText xml:space="preserve"> PAGEREF _Toc518040486 \h </w:instrText>
      </w:r>
      <w:r>
        <w:fldChar w:fldCharType="separate"/>
      </w:r>
      <w:r>
        <w:t>42</w:t>
      </w:r>
      <w:r>
        <w:fldChar w:fldCharType="end"/>
      </w:r>
    </w:p>
    <w:p>
      <w:pPr>
        <w:pStyle w:val="TOC8"/>
        <w:rPr>
          <w:rFonts w:asciiTheme="minorHAnsi" w:eastAsiaTheme="minorEastAsia" w:hAnsiTheme="minorHAnsi" w:cstheme="minorBidi"/>
          <w:szCs w:val="22"/>
        </w:rPr>
      </w:pPr>
      <w:r>
        <w:t>70.</w:t>
      </w:r>
      <w:r>
        <w:tab/>
        <w:t>Time, date and place of meeting</w:t>
      </w:r>
      <w:r>
        <w:tab/>
      </w:r>
      <w:r>
        <w:fldChar w:fldCharType="begin"/>
      </w:r>
      <w:r>
        <w:instrText xml:space="preserve"> PAGEREF _Toc518040487 \h </w:instrText>
      </w:r>
      <w:r>
        <w:fldChar w:fldCharType="separate"/>
      </w:r>
      <w:r>
        <w:t>42</w:t>
      </w:r>
      <w:r>
        <w:fldChar w:fldCharType="end"/>
      </w:r>
    </w:p>
    <w:p>
      <w:pPr>
        <w:pStyle w:val="TOC8"/>
        <w:rPr>
          <w:rFonts w:asciiTheme="minorHAnsi" w:eastAsiaTheme="minorEastAsia" w:hAnsiTheme="minorHAnsi" w:cstheme="minorBidi"/>
          <w:szCs w:val="22"/>
        </w:rPr>
      </w:pPr>
      <w:r>
        <w:t>71.</w:t>
      </w:r>
      <w:r>
        <w:tab/>
        <w:t>Notification of meeting</w:t>
      </w:r>
      <w:r>
        <w:tab/>
      </w:r>
      <w:r>
        <w:fldChar w:fldCharType="begin"/>
      </w:r>
      <w:r>
        <w:instrText xml:space="preserve"> PAGEREF _Toc518040488 \h </w:instrText>
      </w:r>
      <w:r>
        <w:fldChar w:fldCharType="separate"/>
      </w:r>
      <w:r>
        <w:t>42</w:t>
      </w:r>
      <w:r>
        <w:fldChar w:fldCharType="end"/>
      </w:r>
    </w:p>
    <w:p>
      <w:pPr>
        <w:pStyle w:val="TOC8"/>
        <w:rPr>
          <w:rFonts w:asciiTheme="minorHAnsi" w:eastAsiaTheme="minorEastAsia" w:hAnsiTheme="minorHAnsi" w:cstheme="minorBidi"/>
          <w:szCs w:val="22"/>
        </w:rPr>
      </w:pPr>
      <w:r>
        <w:t>72.</w:t>
      </w:r>
      <w:r>
        <w:tab/>
        <w:t>Giving documents to specialised retraining assessment panel</w:t>
      </w:r>
      <w:r>
        <w:tab/>
      </w:r>
      <w:r>
        <w:fldChar w:fldCharType="begin"/>
      </w:r>
      <w:r>
        <w:instrText xml:space="preserve"> PAGEREF _Toc518040489 \h </w:instrText>
      </w:r>
      <w:r>
        <w:fldChar w:fldCharType="separate"/>
      </w:r>
      <w:r>
        <w:t>43</w:t>
      </w:r>
      <w:r>
        <w:fldChar w:fldCharType="end"/>
      </w:r>
    </w:p>
    <w:p>
      <w:pPr>
        <w:pStyle w:val="TOC8"/>
        <w:rPr>
          <w:rFonts w:asciiTheme="minorHAnsi" w:eastAsiaTheme="minorEastAsia" w:hAnsiTheme="minorHAnsi" w:cstheme="minorBidi"/>
          <w:szCs w:val="22"/>
        </w:rPr>
      </w:pPr>
      <w:r>
        <w:t>73.</w:t>
      </w:r>
      <w:r>
        <w:tab/>
        <w:t>Objection to document being given to specialised retraining assessment panel</w:t>
      </w:r>
      <w:r>
        <w:tab/>
      </w:r>
      <w:r>
        <w:fldChar w:fldCharType="begin"/>
      </w:r>
      <w:r>
        <w:instrText xml:space="preserve"> PAGEREF _Toc518040490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74.</w:t>
      </w:r>
      <w:r>
        <w:tab/>
        <w:t>Section 180 request</w:t>
      </w:r>
      <w:r>
        <w:tab/>
      </w:r>
      <w:r>
        <w:fldChar w:fldCharType="begin"/>
      </w:r>
      <w:r>
        <w:instrText xml:space="preserve"> PAGEREF _Toc518040492 \h </w:instrText>
      </w:r>
      <w:r>
        <w:fldChar w:fldCharType="separate"/>
      </w:r>
      <w:r>
        <w:t>44</w:t>
      </w:r>
      <w:r>
        <w:fldChar w:fldCharType="end"/>
      </w:r>
    </w:p>
    <w:p>
      <w:pPr>
        <w:pStyle w:val="TOC8"/>
        <w:rPr>
          <w:rFonts w:asciiTheme="minorHAnsi" w:eastAsiaTheme="minorEastAsia" w:hAnsiTheme="minorHAnsi" w:cstheme="minorBidi"/>
          <w:szCs w:val="22"/>
        </w:rPr>
      </w:pPr>
      <w:r>
        <w:t>75.</w:t>
      </w:r>
      <w:r>
        <w:tab/>
        <w:t>Arbitration Service seal</w:t>
      </w:r>
      <w:r>
        <w:tab/>
      </w:r>
      <w:r>
        <w:fldChar w:fldCharType="begin"/>
      </w:r>
      <w:r>
        <w:instrText xml:space="preserve"> PAGEREF _Toc518040493 \h </w:instrText>
      </w:r>
      <w:r>
        <w:fldChar w:fldCharType="separate"/>
      </w:r>
      <w:r>
        <w:t>44</w:t>
      </w:r>
      <w:r>
        <w:fldChar w:fldCharType="end"/>
      </w:r>
    </w:p>
    <w:p>
      <w:pPr>
        <w:pStyle w:val="TOC8"/>
        <w:rPr>
          <w:rFonts w:asciiTheme="minorHAnsi" w:eastAsiaTheme="minorEastAsia" w:hAnsiTheme="minorHAnsi" w:cstheme="minorBidi"/>
          <w:szCs w:val="22"/>
        </w:rPr>
      </w:pPr>
      <w:r>
        <w:t>76.</w:t>
      </w:r>
      <w:r>
        <w:tab/>
        <w:t>Use of seal</w:t>
      </w:r>
      <w:r>
        <w:tab/>
      </w:r>
      <w:r>
        <w:fldChar w:fldCharType="begin"/>
      </w:r>
      <w:r>
        <w:instrText xml:space="preserve"> PAGEREF _Toc518040494 \h </w:instrText>
      </w:r>
      <w:r>
        <w:fldChar w:fldCharType="separate"/>
      </w:r>
      <w:r>
        <w:t>44</w:t>
      </w:r>
      <w:r>
        <w:fldChar w:fldCharType="end"/>
      </w:r>
    </w:p>
    <w:p>
      <w:pPr>
        <w:pStyle w:val="TOC8"/>
        <w:rPr>
          <w:rFonts w:asciiTheme="minorHAnsi" w:eastAsiaTheme="minorEastAsia" w:hAnsiTheme="minorHAnsi" w:cstheme="minorBidi"/>
          <w:szCs w:val="22"/>
        </w:rPr>
      </w:pPr>
      <w:r>
        <w:t>77.</w:t>
      </w:r>
      <w:r>
        <w:tab/>
        <w:t>Approved forms</w:t>
      </w:r>
      <w:r>
        <w:tab/>
      </w:r>
      <w:r>
        <w:fldChar w:fldCharType="begin"/>
      </w:r>
      <w:r>
        <w:instrText xml:space="preserve"> PAGEREF _Toc518040495 \h </w:instrText>
      </w:r>
      <w:r>
        <w:fldChar w:fldCharType="separate"/>
      </w:r>
      <w:r>
        <w:t>45</w:t>
      </w:r>
      <w:r>
        <w:fldChar w:fldCharType="end"/>
      </w:r>
    </w:p>
    <w:p>
      <w:pPr>
        <w:pStyle w:val="TOC8"/>
        <w:rPr>
          <w:rFonts w:asciiTheme="minorHAnsi" w:eastAsiaTheme="minorEastAsia" w:hAnsiTheme="minorHAnsi" w:cstheme="minorBidi"/>
          <w:szCs w:val="22"/>
        </w:rPr>
      </w:pPr>
      <w:r>
        <w:t>78.</w:t>
      </w:r>
      <w:r>
        <w:tab/>
        <w:t>Amendment of documents</w:t>
      </w:r>
      <w:r>
        <w:tab/>
      </w:r>
      <w:r>
        <w:fldChar w:fldCharType="begin"/>
      </w:r>
      <w:r>
        <w:instrText xml:space="preserve"> PAGEREF _Toc518040496 \h </w:instrText>
      </w:r>
      <w:r>
        <w:fldChar w:fldCharType="separate"/>
      </w:r>
      <w:r>
        <w:t>45</w:t>
      </w:r>
      <w:r>
        <w:fldChar w:fldCharType="end"/>
      </w:r>
    </w:p>
    <w:p>
      <w:pPr>
        <w:pStyle w:val="TOC8"/>
        <w:rPr>
          <w:rFonts w:asciiTheme="minorHAnsi" w:eastAsiaTheme="minorEastAsia" w:hAnsiTheme="minorHAnsi" w:cstheme="minorBidi"/>
          <w:szCs w:val="22"/>
        </w:rPr>
      </w:pPr>
      <w:r>
        <w:t>79.</w:t>
      </w:r>
      <w:r>
        <w:tab/>
        <w:t>Application of these rules to pending arbitration proceedings</w:t>
      </w:r>
      <w:r>
        <w:tab/>
      </w:r>
      <w:r>
        <w:fldChar w:fldCharType="begin"/>
      </w:r>
      <w:r>
        <w:instrText xml:space="preserve"> PAGEREF _Toc518040497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_Toc518040499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3" w:name="_Toc51804040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18040405"/>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6" w:name="_Toc51804040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pPr>
      <w:bookmarkStart w:id="7" w:name="_Toc518040407"/>
      <w:r>
        <w:rPr>
          <w:rStyle w:val="CharSectno"/>
        </w:rPr>
        <w:t>3</w:t>
      </w:r>
      <w:r>
        <w:t>.</w:t>
      </w:r>
      <w:r>
        <w:tab/>
        <w:t>Terms used</w:t>
      </w:r>
      <w:bookmarkEnd w:id="7"/>
    </w:p>
    <w:p>
      <w:pPr>
        <w:pStyle w:val="Subsection"/>
      </w:pPr>
      <w:r>
        <w:tab/>
      </w:r>
      <w:r>
        <w:tab/>
        <w:t xml:space="preserve">In these rules, unless the contrary intention appears — </w:t>
      </w:r>
    </w:p>
    <w:p>
      <w:pPr>
        <w:pStyle w:val="Defstart"/>
      </w:pPr>
      <w:r>
        <w:tab/>
      </w:r>
      <w:r>
        <w:rPr>
          <w:rStyle w:val="CharDefText"/>
        </w:rPr>
        <w:t>application for arbitration</w:t>
      </w:r>
      <w:r>
        <w:t xml:space="preserve"> means — </w:t>
      </w:r>
    </w:p>
    <w:p>
      <w:pPr>
        <w:pStyle w:val="Defpara"/>
      </w:pPr>
      <w:r>
        <w:tab/>
        <w:t>(a)</w:t>
      </w:r>
      <w:r>
        <w:tab/>
        <w:t>an application under section 182ZT; or</w:t>
      </w:r>
    </w:p>
    <w:p>
      <w:pPr>
        <w:pStyle w:val="Defpara"/>
      </w:pPr>
      <w:r>
        <w:tab/>
        <w:t>(b)</w:t>
      </w:r>
      <w:r>
        <w:tab/>
        <w:t>a fatality compensation application, whether or not liability is accepted in respect of the compensation claimed;</w:t>
      </w:r>
    </w:p>
    <w:p>
      <w:pPr>
        <w:pStyle w:val="Defstart"/>
      </w:pP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pPr>
      <w:r>
        <w:tab/>
      </w:r>
      <w:r>
        <w:rPr>
          <w:rStyle w:val="CharDefText"/>
        </w:rPr>
        <w:t>fatality compensation application</w:t>
      </w:r>
      <w:r>
        <w:t xml:space="preserve"> means an application under any of the following — </w:t>
      </w:r>
    </w:p>
    <w:p>
      <w:pPr>
        <w:pStyle w:val="Defpara"/>
      </w:pPr>
      <w:r>
        <w:tab/>
        <w:t>(a)</w:t>
      </w:r>
      <w:r>
        <w:tab/>
        <w:t>section 72H(3);</w:t>
      </w:r>
    </w:p>
    <w:p>
      <w:pPr>
        <w:pStyle w:val="Defpara"/>
      </w:pPr>
      <w:r>
        <w:tab/>
        <w:t>(b)</w:t>
      </w:r>
      <w:r>
        <w:tab/>
        <w:t>section 72I(3);</w:t>
      </w:r>
    </w:p>
    <w:p>
      <w:pPr>
        <w:pStyle w:val="Defpara"/>
      </w:pPr>
      <w:r>
        <w:tab/>
        <w:t>(c)</w:t>
      </w:r>
      <w:r>
        <w:tab/>
        <w:t>section 72J(8);</w:t>
      </w:r>
    </w:p>
    <w:p>
      <w:pPr>
        <w:pStyle w:val="Defpara"/>
      </w:pPr>
      <w:r>
        <w:tab/>
        <w:t>(d)</w:t>
      </w:r>
      <w:r>
        <w:tab/>
        <w:t>Schedule 1A clause 8(6) of the Act;</w:t>
      </w:r>
    </w:p>
    <w:p>
      <w:pPr>
        <w:pStyle w:val="Defpara"/>
      </w:pPr>
      <w:r>
        <w:tab/>
        <w:t>(e)</w:t>
      </w:r>
      <w:r>
        <w:tab/>
        <w:t>Schedule 1A clause 8(7) of the Act;</w:t>
      </w:r>
    </w:p>
    <w:p>
      <w:pPr>
        <w:pStyle w:val="Defstart"/>
      </w:pPr>
      <w:r>
        <w:tab/>
      </w:r>
      <w:r>
        <w:rPr>
          <w:rStyle w:val="CharDefText"/>
        </w:rPr>
        <w:t>interlocutory application</w:t>
      </w:r>
      <w:r>
        <w:t xml:space="preserve"> means an application or request for an order in a proceeding, other than an order that finally determines the dispute between the parties;</w:t>
      </w:r>
    </w:p>
    <w:p>
      <w:pPr>
        <w:pStyle w:val="Defstart"/>
      </w:pPr>
      <w:r>
        <w:tab/>
      </w:r>
      <w:r>
        <w:rPr>
          <w:rStyle w:val="CharDefText"/>
        </w:rPr>
        <w:t>proceeding</w:t>
      </w:r>
      <w:r>
        <w:t xml:space="preserve"> means a proceeding before an arbitrator;</w:t>
      </w:r>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Footnotesection"/>
        <w:spacing w:before="100"/>
        <w:ind w:left="890" w:hanging="890"/>
      </w:pPr>
      <w:r>
        <w:tab/>
        <w:t>[Rule 3 amended: Gazette 12 Jun 2015 p. 2045; 29 Jun 2018 p. 2447.]</w:t>
      </w:r>
    </w:p>
    <w:p>
      <w:pPr>
        <w:pStyle w:val="Heading5"/>
      </w:pPr>
      <w:bookmarkStart w:id="8" w:name="_Toc518040408"/>
      <w:r>
        <w:rPr>
          <w:rStyle w:val="CharSectno"/>
        </w:rPr>
        <w:t>4</w:t>
      </w:r>
      <w:r>
        <w:t>.</w:t>
      </w:r>
      <w:r>
        <w:tab/>
        <w:t>Relief from procedural requirements</w:t>
      </w:r>
      <w:bookmarkEnd w:id="8"/>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9" w:name="_Toc518040409"/>
      <w:r>
        <w:rPr>
          <w:rStyle w:val="CharSectno"/>
        </w:rPr>
        <w:t>5</w:t>
      </w:r>
      <w:r>
        <w:t>.</w:t>
      </w:r>
      <w:r>
        <w:tab/>
        <w:t>Arbitrator may fix time</w:t>
      </w:r>
      <w:bookmarkEnd w:id="9"/>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10" w:name="_Toc518040410"/>
      <w:r>
        <w:rPr>
          <w:rStyle w:val="CharSectno"/>
        </w:rPr>
        <w:t>6</w:t>
      </w:r>
      <w:r>
        <w:t>.</w:t>
      </w:r>
      <w:r>
        <w:tab/>
        <w:t>Order to obey requirement of rules</w:t>
      </w:r>
      <w:bookmarkEnd w:id="10"/>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must be served on the party at least 3 working days before the date on which the party has to obey it.</w:t>
      </w:r>
    </w:p>
    <w:p>
      <w:pPr>
        <w:pStyle w:val="Subsection"/>
      </w:pPr>
      <w:r>
        <w:tab/>
        <w:t>(3)</w:t>
      </w:r>
      <w:r>
        <w:tab/>
        <w:t>This rule does not limit an arbitrator’s other powers under these rules to make orders.</w:t>
      </w:r>
    </w:p>
    <w:p>
      <w:pPr>
        <w:pStyle w:val="Heading2"/>
      </w:pPr>
      <w:bookmarkStart w:id="11" w:name="_Toc518040411"/>
      <w:r>
        <w:rPr>
          <w:rStyle w:val="CharPartNo"/>
        </w:rPr>
        <w:t>Part 2</w:t>
      </w:r>
      <w:r>
        <w:rPr>
          <w:rStyle w:val="CharDivNo"/>
        </w:rPr>
        <w:t> </w:t>
      </w:r>
      <w:r>
        <w:t>—</w:t>
      </w:r>
      <w:r>
        <w:rPr>
          <w:rStyle w:val="CharDivText"/>
        </w:rPr>
        <w:t> </w:t>
      </w:r>
      <w:r>
        <w:rPr>
          <w:rStyle w:val="CharPartText"/>
        </w:rPr>
        <w:t>Lodging documents</w:t>
      </w:r>
      <w:bookmarkEnd w:id="11"/>
    </w:p>
    <w:p>
      <w:pPr>
        <w:pStyle w:val="Heading5"/>
      </w:pPr>
      <w:bookmarkStart w:id="12" w:name="_Toc518040412"/>
      <w:r>
        <w:rPr>
          <w:rStyle w:val="CharSectno"/>
        </w:rPr>
        <w:t>7</w:t>
      </w:r>
      <w:r>
        <w:t>.</w:t>
      </w:r>
      <w:r>
        <w:tab/>
        <w:t>Term used: document</w:t>
      </w:r>
      <w:bookmarkEnd w:id="12"/>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Registrar or an arbitrator by a party or a representative of a party.</w:t>
      </w:r>
    </w:p>
    <w:p>
      <w:pPr>
        <w:pStyle w:val="Heading5"/>
      </w:pPr>
      <w:bookmarkStart w:id="13" w:name="_Toc518040413"/>
      <w:r>
        <w:rPr>
          <w:rStyle w:val="CharSectno"/>
        </w:rPr>
        <w:t>8</w:t>
      </w:r>
      <w:r>
        <w:t>.</w:t>
      </w:r>
      <w:r>
        <w:tab/>
        <w:t>Form of documents</w:t>
      </w:r>
      <w:bookmarkEnd w:id="13"/>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t>must be clearly written, typed or reproduced; and</w:t>
      </w:r>
    </w:p>
    <w:p>
      <w:pPr>
        <w:pStyle w:val="Indenta"/>
      </w:pPr>
      <w:r>
        <w:tab/>
        <w:t>(c)</w:t>
      </w:r>
      <w:r>
        <w:tab/>
        <w:t>must be properly completed.</w:t>
      </w:r>
    </w:p>
    <w:p>
      <w:pPr>
        <w:pStyle w:val="Heading5"/>
      </w:pPr>
      <w:bookmarkStart w:id="14" w:name="_Toc518040414"/>
      <w:r>
        <w:rPr>
          <w:rStyle w:val="CharSectno"/>
        </w:rPr>
        <w:t>9</w:t>
      </w:r>
      <w:r>
        <w:t>.</w:t>
      </w:r>
      <w:r>
        <w:tab/>
        <w:t>Lodging documents</w:t>
      </w:r>
      <w:bookmarkEnd w:id="14"/>
    </w:p>
    <w:p>
      <w:pPr>
        <w:pStyle w:val="Subsection"/>
      </w:pPr>
      <w:r>
        <w:tab/>
        <w:t>(1)</w:t>
      </w:r>
      <w:r>
        <w:tab/>
        <w:t>Every document must be lodged with the Arbitration Service.</w:t>
      </w:r>
    </w:p>
    <w:p>
      <w:pPr>
        <w:pStyle w:val="Subsection"/>
      </w:pPr>
      <w:r>
        <w:tab/>
        <w:t>(2)</w:t>
      </w:r>
      <w:r>
        <w:tab/>
        <w:t xml:space="preserve">A document may only be lodged with the Arbitration Service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by sending it to the Arbitration Service by fax in accordance with rule 10; or</w:t>
      </w:r>
    </w:p>
    <w:p>
      <w:pPr>
        <w:pStyle w:val="Indenta"/>
      </w:pPr>
      <w:r>
        <w:tab/>
        <w:t>(d)</w:t>
      </w:r>
      <w:r>
        <w:tab/>
        <w:t>if a website of the Arbitration Service which includes a link for the lodgment of documents under these rules has been established, by sending it to the Arbitration Service through the Internet in accordance with rule 11 and the requirements published on the website.</w:t>
      </w:r>
    </w:p>
    <w:p>
      <w:pPr>
        <w:pStyle w:val="Subsection"/>
      </w:pPr>
      <w:r>
        <w:tab/>
        <w:t>(3)</w:t>
      </w:r>
      <w:r>
        <w:tab/>
        <w:t>The Registrar may at any time require a person who has lodged a document by fax or through the Internet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Heading5"/>
      </w:pPr>
      <w:bookmarkStart w:id="15" w:name="_Toc518040415"/>
      <w:r>
        <w:rPr>
          <w:rStyle w:val="CharSectno"/>
        </w:rPr>
        <w:t>10</w:t>
      </w:r>
      <w:r>
        <w:t>.</w:t>
      </w:r>
      <w:r>
        <w:tab/>
        <w:t>Lodging by fax</w:t>
      </w:r>
      <w:bookmarkEnd w:id="15"/>
    </w:p>
    <w:p>
      <w:pPr>
        <w:pStyle w:val="Subsection"/>
      </w:pPr>
      <w:r>
        <w:tab/>
        <w:t>(1)</w:t>
      </w:r>
      <w:r>
        <w:tab/>
        <w:t xml:space="preserve">The Registrar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for the Arbitration Service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Registrar has, before the document is lodged, given permission under subrule (4).</w:t>
      </w:r>
    </w:p>
    <w:p>
      <w:pPr>
        <w:pStyle w:val="Subsection"/>
      </w:pPr>
      <w:r>
        <w:tab/>
        <w:t>(4)</w:t>
      </w:r>
      <w:r>
        <w:tab/>
        <w:t xml:space="preserve">For the purposes of subrule (3), the Registrar may give a person permission to lodge a document by fax if the Registrar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Registrar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Arbitration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an arbitrator, produce the items referred to in paragraph (b) to the arbitrator.</w:t>
      </w:r>
    </w:p>
    <w:p>
      <w:pPr>
        <w:pStyle w:val="Heading5"/>
      </w:pPr>
      <w:bookmarkStart w:id="16" w:name="_Toc518040416"/>
      <w:r>
        <w:rPr>
          <w:rStyle w:val="CharSectno"/>
        </w:rPr>
        <w:t>11</w:t>
      </w:r>
      <w:r>
        <w:t>.</w:t>
      </w:r>
      <w:r>
        <w:tab/>
        <w:t>Lodging through Internet</w:t>
      </w:r>
      <w:bookmarkEnd w:id="16"/>
    </w:p>
    <w:p>
      <w:pPr>
        <w:pStyle w:val="Subsection"/>
      </w:pPr>
      <w:r>
        <w:tab/>
        <w:t>(1)</w:t>
      </w:r>
      <w:r>
        <w:tab/>
        <w:t>A document lodged electronically through the Internet must be sent through the link maintained for that purpose on the website of the Arbitration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17" w:name="_Toc518040417"/>
      <w:r>
        <w:rPr>
          <w:rStyle w:val="CharSectno"/>
        </w:rPr>
        <w:t>12</w:t>
      </w:r>
      <w:r>
        <w:t>.</w:t>
      </w:r>
      <w:r>
        <w:tab/>
        <w:t>Day of lodgment</w:t>
      </w:r>
      <w:bookmarkEnd w:id="17"/>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5"/>
      </w:pPr>
      <w:bookmarkStart w:id="18" w:name="_Toc518040418"/>
      <w:r>
        <w:rPr>
          <w:rStyle w:val="CharSectno"/>
        </w:rPr>
        <w:t>13</w:t>
      </w:r>
      <w:r>
        <w:t>.</w:t>
      </w:r>
      <w:r>
        <w:tab/>
        <w:t>Registrar must accept or reject document</w:t>
      </w:r>
      <w:bookmarkEnd w:id="18"/>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19" w:name="_Toc518040419"/>
      <w:r>
        <w:rPr>
          <w:rStyle w:val="CharSectno"/>
        </w:rPr>
        <w:t>14</w:t>
      </w:r>
      <w:r>
        <w:t>.</w:t>
      </w:r>
      <w:r>
        <w:tab/>
        <w:t>Review of Registrar’s decision to reject document</w:t>
      </w:r>
      <w:bookmarkEnd w:id="19"/>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20" w:name="_Toc518040420"/>
      <w:r>
        <w:rPr>
          <w:rStyle w:val="CharPartNo"/>
        </w:rPr>
        <w:t>Part 3</w:t>
      </w:r>
      <w:r>
        <w:rPr>
          <w:rStyle w:val="CharDivNo"/>
        </w:rPr>
        <w:t> </w:t>
      </w:r>
      <w:r>
        <w:t>—</w:t>
      </w:r>
      <w:r>
        <w:rPr>
          <w:rStyle w:val="CharDivText"/>
        </w:rPr>
        <w:t> </w:t>
      </w:r>
      <w:r>
        <w:rPr>
          <w:rStyle w:val="CharPartText"/>
        </w:rPr>
        <w:t>Serving documents</w:t>
      </w:r>
      <w:bookmarkEnd w:id="20"/>
    </w:p>
    <w:p>
      <w:pPr>
        <w:pStyle w:val="Heading5"/>
      </w:pPr>
      <w:bookmarkStart w:id="21" w:name="_Toc518040421"/>
      <w:r>
        <w:rPr>
          <w:rStyle w:val="CharSectno"/>
        </w:rPr>
        <w:t>15</w:t>
      </w:r>
      <w:r>
        <w:t>.</w:t>
      </w:r>
      <w:r>
        <w:tab/>
        <w:t>Party who lodges document must serve copy on other parties</w:t>
      </w:r>
      <w:bookmarkEnd w:id="21"/>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2" w:name="_Toc518040422"/>
      <w:r>
        <w:rPr>
          <w:rStyle w:val="CharSectno"/>
        </w:rPr>
        <w:t>16</w:t>
      </w:r>
      <w:r>
        <w:t>.</w:t>
      </w:r>
      <w:r>
        <w:tab/>
        <w:t>Serving documents</w:t>
      </w:r>
      <w:bookmarkEnd w:id="22"/>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if a fax number for service has been provided under rule 17, by sending it by fax to that number.</w:t>
      </w:r>
    </w:p>
    <w:p>
      <w:pPr>
        <w:pStyle w:val="Subsection"/>
      </w:pPr>
      <w:r>
        <w:tab/>
        <w:t>(2)</w:t>
      </w:r>
      <w:r>
        <w:tab/>
        <w:t>Nothing in these rules prevents a person from consenting to being served with a document in a manner other than in accordance with this rule.</w:t>
      </w:r>
    </w:p>
    <w:p>
      <w:pPr>
        <w:pStyle w:val="Heading5"/>
      </w:pPr>
      <w:bookmarkStart w:id="23" w:name="_Toc518040423"/>
      <w:r>
        <w:rPr>
          <w:rStyle w:val="CharSectno"/>
        </w:rPr>
        <w:t>17</w:t>
      </w:r>
      <w:r>
        <w:t>.</w:t>
      </w:r>
      <w:r>
        <w:tab/>
        <w:t>Address for service</w:t>
      </w:r>
      <w:bookmarkEnd w:id="23"/>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in addition, may specify on the document one fax number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t>one fax number;</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If a document specifies a fax number of a person, the person is to be taken to have consented to being served with documents by fax at that fax number.</w:t>
      </w:r>
    </w:p>
    <w:p>
      <w:pPr>
        <w:pStyle w:val="Heading5"/>
      </w:pPr>
      <w:bookmarkStart w:id="24" w:name="_Toc518040424"/>
      <w:r>
        <w:rPr>
          <w:rStyle w:val="CharSectno"/>
        </w:rPr>
        <w:t>18</w:t>
      </w:r>
      <w:r>
        <w:t>.</w:t>
      </w:r>
      <w:r>
        <w:tab/>
        <w:t>Personal service</w:t>
      </w:r>
      <w:bookmarkEnd w:id="24"/>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25" w:name="_Toc518040425"/>
      <w:r>
        <w:rPr>
          <w:rStyle w:val="CharSectno"/>
        </w:rPr>
        <w:t>19</w:t>
      </w:r>
      <w:r>
        <w:t>.</w:t>
      </w:r>
      <w:r>
        <w:tab/>
        <w:t>Service by fax</w:t>
      </w:r>
      <w:bookmarkEnd w:id="25"/>
    </w:p>
    <w:p>
      <w:pPr>
        <w:pStyle w:val="Subsection"/>
      </w:pPr>
      <w:r>
        <w:tab/>
        <w:t>(1)</w:t>
      </w:r>
      <w:r>
        <w:tab/>
        <w:t xml:space="preserve">A document served by fax must be sent with a cover page that states — </w:t>
      </w:r>
    </w:p>
    <w:p>
      <w:pPr>
        <w:pStyle w:val="Indenta"/>
      </w:pPr>
      <w:r>
        <w:tab/>
        <w:t>(a)</w:t>
      </w:r>
      <w:r>
        <w:tab/>
        <w:t>the person to whom the fax is addressed; and</w:t>
      </w:r>
    </w:p>
    <w:p>
      <w:pPr>
        <w:pStyle w:val="Indenta"/>
      </w:pPr>
      <w:r>
        <w:tab/>
        <w:t>(b)</w:t>
      </w:r>
      <w:r>
        <w:tab/>
        <w:t>the sender’s name and postal address; and</w:t>
      </w:r>
    </w:p>
    <w:p>
      <w:pPr>
        <w:pStyle w:val="Indenta"/>
      </w:pPr>
      <w:r>
        <w:tab/>
        <w:t>(c)</w:t>
      </w:r>
      <w:r>
        <w:tab/>
        <w:t>those of the sender’s document exchange number, telephone number and fax number that can be used to contact the sender; and</w:t>
      </w:r>
    </w:p>
    <w:p>
      <w:pPr>
        <w:pStyle w:val="Indenta"/>
      </w:pPr>
      <w:r>
        <w:tab/>
        <w:t>(d)</w:t>
      </w:r>
      <w:r>
        <w:tab/>
        <w:t>the total number of pages (including the cover page and attachments) being sent.</w:t>
      </w:r>
    </w:p>
    <w:p>
      <w:pPr>
        <w:pStyle w:val="Subsection"/>
      </w:pPr>
      <w:r>
        <w:tab/>
        <w:t>(2)</w:t>
      </w:r>
      <w:r>
        <w:tab/>
        <w:t xml:space="preserve">A person who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proceedings to which the documents relate; and</w:t>
      </w:r>
    </w:p>
    <w:p>
      <w:pPr>
        <w:pStyle w:val="Indenta"/>
      </w:pPr>
      <w:r>
        <w:tab/>
        <w:t>(c)</w:t>
      </w:r>
      <w:r>
        <w:tab/>
        <w:t>if directed to do so by an arbitrator, produce the items referred to in paragraph (b) to the arbitrator.</w:t>
      </w:r>
    </w:p>
    <w:p>
      <w:pPr>
        <w:pStyle w:val="Heading5"/>
      </w:pPr>
      <w:bookmarkStart w:id="26" w:name="_Toc518040426"/>
      <w:r>
        <w:rPr>
          <w:rStyle w:val="CharSectno"/>
        </w:rPr>
        <w:t>20</w:t>
      </w:r>
      <w:r>
        <w:t>.</w:t>
      </w:r>
      <w:r>
        <w:tab/>
        <w:t>Time of service</w:t>
      </w:r>
      <w:bookmarkEnd w:id="26"/>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pPr>
      <w:r>
        <w:tab/>
        <w:t>(2)</w:t>
      </w:r>
      <w:r>
        <w:tab/>
        <w:t xml:space="preserve">A document that is served by fax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Heading5"/>
      </w:pPr>
      <w:bookmarkStart w:id="27" w:name="_Toc518040427"/>
      <w:r>
        <w:rPr>
          <w:rStyle w:val="CharSectno"/>
        </w:rPr>
        <w:t>21</w:t>
      </w:r>
      <w:r>
        <w:t>.</w:t>
      </w:r>
      <w:r>
        <w:tab/>
        <w:t>Substituted service</w:t>
      </w:r>
      <w:bookmarkEnd w:id="27"/>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28" w:name="_Toc518040428"/>
      <w:r>
        <w:rPr>
          <w:rStyle w:val="CharSectno"/>
        </w:rPr>
        <w:t>22</w:t>
      </w:r>
      <w:r>
        <w:t>.</w:t>
      </w:r>
      <w:r>
        <w:tab/>
        <w:t>Certificate of service</w:t>
      </w:r>
      <w:bookmarkEnd w:id="28"/>
    </w:p>
    <w:p>
      <w:pPr>
        <w:pStyle w:val="Subsection"/>
      </w:pPr>
      <w:r>
        <w:tab/>
      </w:r>
      <w:r>
        <w:tab/>
        <w:t xml:space="preserve">A person who serves a document must lodge a certificate of service with the Registrar — </w:t>
      </w:r>
    </w:p>
    <w:p>
      <w:pPr>
        <w:pStyle w:val="Indenta"/>
      </w:pPr>
      <w:r>
        <w:tab/>
        <w:t>(a)</w:t>
      </w:r>
      <w:r>
        <w:tab/>
        <w:t>if the document is a sealed copy of an application under rule 24(1) for an extension of time; or</w:t>
      </w:r>
    </w:p>
    <w:p>
      <w:pPr>
        <w:pStyle w:val="Indenta"/>
      </w:pPr>
      <w:r>
        <w:tab/>
        <w:t>(b)</w:t>
      </w:r>
      <w:r>
        <w:tab/>
        <w:t>in any other case, if an arbitrator or the Registrar so directs.</w:t>
      </w:r>
    </w:p>
    <w:p>
      <w:pPr>
        <w:pStyle w:val="Footnotesection"/>
        <w:spacing w:before="100"/>
        <w:ind w:left="890" w:hanging="890"/>
      </w:pPr>
      <w:r>
        <w:tab/>
        <w:t>[Rule 22 inserted: Gazette 12 Jun 2015 p. 2045.]</w:t>
      </w:r>
    </w:p>
    <w:p>
      <w:pPr>
        <w:pStyle w:val="Heading2"/>
      </w:pPr>
      <w:bookmarkStart w:id="29" w:name="_Toc518040429"/>
      <w:r>
        <w:rPr>
          <w:rStyle w:val="CharPartNo"/>
        </w:rPr>
        <w:t>Part 4</w:t>
      </w:r>
      <w:r>
        <w:t> — </w:t>
      </w:r>
      <w:r>
        <w:rPr>
          <w:rStyle w:val="CharPartText"/>
        </w:rPr>
        <w:t>Applications for arbitration</w:t>
      </w:r>
      <w:bookmarkEnd w:id="29"/>
    </w:p>
    <w:p>
      <w:pPr>
        <w:pStyle w:val="Heading5"/>
      </w:pPr>
      <w:bookmarkStart w:id="30" w:name="_Toc517251557"/>
      <w:bookmarkStart w:id="31" w:name="_Toc517251603"/>
      <w:bookmarkStart w:id="32" w:name="_Toc518040430"/>
      <w:r>
        <w:rPr>
          <w:rStyle w:val="CharSectno"/>
        </w:rPr>
        <w:t>22A</w:t>
      </w:r>
      <w:r>
        <w:t>.</w:t>
      </w:r>
      <w:r>
        <w:tab/>
        <w:t>Application of this Part to fatality compensation applications</w:t>
      </w:r>
      <w:bookmarkEnd w:id="30"/>
      <w:bookmarkEnd w:id="31"/>
      <w:bookmarkEnd w:id="32"/>
    </w:p>
    <w:p>
      <w:pPr>
        <w:pStyle w:val="Subsection"/>
      </w:pPr>
      <w:r>
        <w:tab/>
        <w:t>(1)</w:t>
      </w:r>
      <w:r>
        <w:tab/>
        <w:t xml:space="preserve">In this section — </w:t>
      </w:r>
    </w:p>
    <w:p>
      <w:pPr>
        <w:pStyle w:val="Defstart"/>
      </w:pPr>
      <w:r>
        <w:tab/>
      </w:r>
      <w:r>
        <w:rPr>
          <w:rStyle w:val="CharDefText"/>
        </w:rPr>
        <w:t>accepted claim</w:t>
      </w:r>
      <w:r>
        <w:t xml:space="preserve"> means a claim for compensation made under section 72E in relation to which liability is accepted.</w:t>
      </w:r>
    </w:p>
    <w:p>
      <w:pPr>
        <w:pStyle w:val="Subsection"/>
      </w:pPr>
      <w:r>
        <w:tab/>
        <w:t>(2)</w:t>
      </w:r>
      <w:r>
        <w:tab/>
        <w:t>Rules 23 and 24 do not apply in relation to a fatality compensation application.</w:t>
      </w:r>
    </w:p>
    <w:p>
      <w:pPr>
        <w:pStyle w:val="Subsection"/>
      </w:pPr>
      <w:r>
        <w:tab/>
        <w:t>(3)</w:t>
      </w:r>
      <w:r>
        <w:tab/>
        <w:t xml:space="preserve">Rules 25, 27, 28, 29 and 30 — </w:t>
      </w:r>
    </w:p>
    <w:p>
      <w:pPr>
        <w:pStyle w:val="Indenta"/>
      </w:pPr>
      <w:r>
        <w:tab/>
        <w:t>(a)</w:t>
      </w:r>
      <w:r>
        <w:tab/>
        <w:t>do not apply in relation to a fatality compensation application made in respect of an accepted claim; and</w:t>
      </w:r>
    </w:p>
    <w:p>
      <w:pPr>
        <w:pStyle w:val="Indenta"/>
      </w:pPr>
      <w:r>
        <w:tab/>
        <w:t>(b)</w:t>
      </w:r>
      <w:r>
        <w:tab/>
        <w:t>cease to apply in relation to a fatality compensation application if the claim in respect of which it is made becomes an accepted claim after the application is made.</w:t>
      </w:r>
    </w:p>
    <w:p>
      <w:pPr>
        <w:pStyle w:val="Subsection"/>
      </w:pPr>
      <w:r>
        <w:tab/>
        <w:t>(4)</w:t>
      </w:r>
      <w:r>
        <w:tab/>
        <w:t>Despite subrule (3), an arbitrator may order that a rule referred to in that subrule applies in relation to an application referred to in that subrule.</w:t>
      </w:r>
    </w:p>
    <w:p>
      <w:pPr>
        <w:pStyle w:val="Footnotesection"/>
      </w:pPr>
      <w:r>
        <w:tab/>
        <w:t>[Rule 22A inserted: Gazette 29 Jun 2018 p. 2448.]</w:t>
      </w:r>
    </w:p>
    <w:p>
      <w:pPr>
        <w:pStyle w:val="Heading5"/>
      </w:pPr>
      <w:bookmarkStart w:id="33" w:name="_Toc518040431"/>
      <w:r>
        <w:rPr>
          <w:rStyle w:val="CharSectno"/>
        </w:rPr>
        <w:t>23</w:t>
      </w:r>
      <w:r>
        <w:t>.</w:t>
      </w:r>
      <w:r>
        <w:tab/>
        <w:t>Time limit for lodging application for arbitration</w:t>
      </w:r>
      <w:bookmarkEnd w:id="33"/>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34" w:name="_Toc518040432"/>
      <w:r>
        <w:rPr>
          <w:rStyle w:val="CharSectno"/>
        </w:rPr>
        <w:t>24</w:t>
      </w:r>
      <w:r>
        <w:t>.</w:t>
      </w:r>
      <w:r>
        <w:tab/>
        <w:t>Registrar may extend time for lodging application for arbitration</w:t>
      </w:r>
      <w:bookmarkEnd w:id="34"/>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35" w:name="_Toc518040433"/>
      <w:r>
        <w:rPr>
          <w:rStyle w:val="CharSectno"/>
        </w:rPr>
        <w:t>25</w:t>
      </w:r>
      <w:r>
        <w:t>.</w:t>
      </w:r>
      <w:r>
        <w:tab/>
        <w:t>Material to be lodged and served with application for arbitration</w:t>
      </w:r>
      <w:bookmarkEnd w:id="35"/>
    </w:p>
    <w:p>
      <w:pPr>
        <w:pStyle w:val="Subsection"/>
      </w:pPr>
      <w:r>
        <w:tab/>
        <w:t>(1)</w:t>
      </w:r>
      <w:r>
        <w:tab/>
        <w:t xml:space="preserve">A person lodging an application for arbitration must — </w:t>
      </w:r>
    </w:p>
    <w:p>
      <w:pPr>
        <w:pStyle w:val="Indenta"/>
      </w:pPr>
      <w:r>
        <w:tab/>
        <w:t>(a)</w:t>
      </w:r>
      <w:r>
        <w:tab/>
        <w:t>lodge with the application; and</w:t>
      </w:r>
    </w:p>
    <w:p>
      <w:pPr>
        <w:pStyle w:val="Indenta"/>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not less than 28 days, or any shorter period specified in the practice notes, before the hearing of the proceeding.</w:t>
      </w:r>
    </w:p>
    <w:p>
      <w:pPr>
        <w:pStyle w:val="Subsection"/>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Footnotesection"/>
        <w:spacing w:before="100"/>
        <w:ind w:left="890" w:hanging="890"/>
      </w:pPr>
      <w:r>
        <w:tab/>
        <w:t>[Rule 25 amended: Gazette 12 Jun 2015 p. 2045.]</w:t>
      </w:r>
    </w:p>
    <w:p>
      <w:pPr>
        <w:pStyle w:val="Heading5"/>
      </w:pPr>
      <w:bookmarkStart w:id="36" w:name="_Toc518040434"/>
      <w:r>
        <w:rPr>
          <w:rStyle w:val="CharSectno"/>
        </w:rPr>
        <w:t>26</w:t>
      </w:r>
      <w:r>
        <w:t>.</w:t>
      </w:r>
      <w:r>
        <w:tab/>
        <w:t>Application for order as to total liability (section 217) or additional expenses (clause 18A)</w:t>
      </w:r>
      <w:bookmarkEnd w:id="36"/>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37" w:name="_Toc518040435"/>
      <w:r>
        <w:rPr>
          <w:rStyle w:val="CharSectno"/>
        </w:rPr>
        <w:t>27</w:t>
      </w:r>
      <w:r>
        <w:t>.</w:t>
      </w:r>
      <w:r>
        <w:tab/>
        <w:t>Reply to application</w:t>
      </w:r>
      <w:bookmarkEnd w:id="37"/>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pPr>
      <w:r>
        <w:tab/>
        <w:t>(2)</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38" w:name="_Toc518040436"/>
      <w:r>
        <w:rPr>
          <w:rStyle w:val="CharSectno"/>
        </w:rPr>
        <w:t>28</w:t>
      </w:r>
      <w:r>
        <w:t>.</w:t>
      </w:r>
      <w:r>
        <w:tab/>
        <w:t>Procedure where party does not reply</w:t>
      </w:r>
      <w:bookmarkEnd w:id="38"/>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39" w:name="_Toc518040437"/>
      <w:r>
        <w:rPr>
          <w:rStyle w:val="CharSectno"/>
        </w:rPr>
        <w:t>29</w:t>
      </w:r>
      <w:r>
        <w:t>.</w:t>
      </w:r>
      <w:r>
        <w:tab/>
        <w:t>Material to be lodged and served with reply</w:t>
      </w:r>
      <w:bookmarkEnd w:id="39"/>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not less than 28 days, or any shorter period specified in the practice notes, before the hearing of the proceeding.</w:t>
      </w:r>
    </w:p>
    <w:p>
      <w:pPr>
        <w:pStyle w:val="Footnotesection"/>
        <w:spacing w:before="100"/>
        <w:ind w:left="890" w:hanging="890"/>
      </w:pPr>
      <w:r>
        <w:tab/>
        <w:t>[Rule 29 amended: Gazette 12 Jun 2015 p. 2045.]</w:t>
      </w:r>
    </w:p>
    <w:p>
      <w:pPr>
        <w:pStyle w:val="Heading5"/>
      </w:pPr>
      <w:bookmarkStart w:id="40" w:name="_Toc518040438"/>
      <w:r>
        <w:rPr>
          <w:rStyle w:val="CharSectno"/>
        </w:rPr>
        <w:t>30</w:t>
      </w:r>
      <w:r>
        <w:t>.</w:t>
      </w:r>
      <w:r>
        <w:tab/>
        <w:t>Adducing late material in evidence</w:t>
      </w:r>
      <w:bookmarkEnd w:id="40"/>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Ednotesection"/>
      </w:pPr>
      <w:r>
        <w:t>[</w:t>
      </w:r>
      <w:r>
        <w:rPr>
          <w:b/>
        </w:rPr>
        <w:t>31.</w:t>
      </w:r>
      <w:r>
        <w:tab/>
        <w:t>Deleted: Gazette 12 Jun 2015 p. 2045.]</w:t>
      </w:r>
    </w:p>
    <w:p>
      <w:pPr>
        <w:pStyle w:val="Heading2"/>
      </w:pPr>
      <w:bookmarkStart w:id="41" w:name="_Toc518040439"/>
      <w:r>
        <w:rPr>
          <w:rStyle w:val="CharPartNo"/>
        </w:rPr>
        <w:t>Part 5</w:t>
      </w:r>
      <w:r>
        <w:rPr>
          <w:rStyle w:val="CharDivNo"/>
        </w:rPr>
        <w:t> </w:t>
      </w:r>
      <w:r>
        <w:t>—</w:t>
      </w:r>
      <w:r>
        <w:rPr>
          <w:rStyle w:val="CharDivText"/>
        </w:rPr>
        <w:t> </w:t>
      </w:r>
      <w:r>
        <w:rPr>
          <w:rStyle w:val="CharPartText"/>
        </w:rPr>
        <w:t>Proceedings before an arbitrator</w:t>
      </w:r>
      <w:bookmarkEnd w:id="41"/>
    </w:p>
    <w:p>
      <w:pPr>
        <w:pStyle w:val="Heading5"/>
      </w:pPr>
      <w:bookmarkStart w:id="42" w:name="_Toc518040440"/>
      <w:r>
        <w:rPr>
          <w:rStyle w:val="CharSectno"/>
        </w:rPr>
        <w:t>32</w:t>
      </w:r>
      <w:r>
        <w:t>.</w:t>
      </w:r>
      <w:r>
        <w:tab/>
        <w:t>Party may discontinue proceeding</w:t>
      </w:r>
      <w:bookmarkEnd w:id="42"/>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pPr>
      <w:r>
        <w:tab/>
        <w:t>(ba)</w:t>
      </w:r>
      <w:r>
        <w:tab/>
        <w:t>a notice of discontinuance signed by all parties to the proceedings is lodged with the Registrar; or</w:t>
      </w:r>
    </w:p>
    <w:p>
      <w:pPr>
        <w:pStyle w:val="Indenta"/>
      </w:pPr>
      <w:r>
        <w:tab/>
        <w:t>(b)</w:t>
      </w:r>
      <w:r>
        <w:tab/>
        <w:t>an arbitrator makes a consent order effecting the discontinuance,</w:t>
      </w:r>
    </w:p>
    <w:p>
      <w:pPr>
        <w:pStyle w:val="Subsection"/>
        <w:rPr>
          <w:u w:val="single"/>
        </w:rPr>
      </w:pPr>
      <w:r>
        <w:tab/>
      </w:r>
      <w:r>
        <w:tab/>
        <w:t>whichever occurs first.</w:t>
      </w:r>
    </w:p>
    <w:p>
      <w:pPr>
        <w:pStyle w:val="Subsection"/>
      </w:pPr>
      <w:r>
        <w:tab/>
        <w:t>(3)</w:t>
      </w:r>
      <w:r>
        <w:tab/>
        <w:t>Subject to Part XV Division 2 of the Act an arbitrator may make an order as to costs in a proceeding that has been discontinued.</w:t>
      </w:r>
    </w:p>
    <w:p>
      <w:pPr>
        <w:pStyle w:val="Footnotesection"/>
        <w:spacing w:before="100"/>
        <w:ind w:left="890" w:hanging="890"/>
      </w:pPr>
      <w:r>
        <w:tab/>
        <w:t>[Rule 32 amended: Gazette 12 Jun 2015 p. 2045.]</w:t>
      </w:r>
    </w:p>
    <w:p>
      <w:pPr>
        <w:pStyle w:val="Heading5"/>
      </w:pPr>
      <w:bookmarkStart w:id="43" w:name="_Toc518040441"/>
      <w:r>
        <w:rPr>
          <w:rStyle w:val="CharSectno"/>
        </w:rPr>
        <w:t>33</w:t>
      </w:r>
      <w:r>
        <w:t>.</w:t>
      </w:r>
      <w:r>
        <w:tab/>
        <w:t>Adjournment of proceeding</w:t>
      </w:r>
      <w:bookmarkEnd w:id="43"/>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44" w:name="_Toc518040442"/>
      <w:r>
        <w:rPr>
          <w:rStyle w:val="CharSectno"/>
        </w:rPr>
        <w:t>34</w:t>
      </w:r>
      <w:r>
        <w:t>.</w:t>
      </w:r>
      <w:r>
        <w:tab/>
        <w:t>Application for adjournment</w:t>
      </w:r>
      <w:bookmarkEnd w:id="44"/>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45" w:name="_Toc518040443"/>
      <w:r>
        <w:rPr>
          <w:rStyle w:val="CharSectno"/>
        </w:rPr>
        <w:t>35</w:t>
      </w:r>
      <w:r>
        <w:t>.</w:t>
      </w:r>
      <w:r>
        <w:tab/>
        <w:t>Late application for adjournment</w:t>
      </w:r>
      <w:bookmarkEnd w:id="45"/>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46" w:name="_Toc518040444"/>
      <w:r>
        <w:rPr>
          <w:rStyle w:val="CharSectno"/>
        </w:rPr>
        <w:t>36</w:t>
      </w:r>
      <w:r>
        <w:t>.</w:t>
      </w:r>
      <w:r>
        <w:tab/>
        <w:t>Application may be dismissed or determined if adjournment not granted</w:t>
      </w:r>
      <w:bookmarkEnd w:id="46"/>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47" w:name="_Toc518040445"/>
      <w:r>
        <w:rPr>
          <w:rStyle w:val="CharSectno"/>
        </w:rPr>
        <w:t>37</w:t>
      </w:r>
      <w:r>
        <w:t>.</w:t>
      </w:r>
      <w:r>
        <w:tab/>
        <w:t>Interlocutory applications</w:t>
      </w:r>
      <w:bookmarkEnd w:id="47"/>
    </w:p>
    <w:p>
      <w:pPr>
        <w:pStyle w:val="Ednotesubsection"/>
      </w:pPr>
      <w:r>
        <w:tab/>
        <w:t>[(1)</w:t>
      </w:r>
      <w:r>
        <w:tab/>
        <w:t>deleted]</w:t>
      </w:r>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Subsection"/>
      </w:pPr>
      <w:r>
        <w:tab/>
        <w:t>(5)</w:t>
      </w:r>
      <w:r>
        <w:tab/>
        <w:t xml:space="preserve">Except as otherwise ordered by an arbitrator, a party served with a copy of an interlocutory application must no later than 2 working days before the time fixed for hearing that application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(6)</w:t>
      </w:r>
      <w:r>
        <w:tab/>
        <w:t>If a party fails to lodge and serve a notice required by subrule (5) the interlocutory application may be determined as if that party did not oppose any part of the application.</w:t>
      </w:r>
    </w:p>
    <w:p>
      <w:pPr>
        <w:pStyle w:val="Footnotesection"/>
        <w:spacing w:before="100"/>
        <w:ind w:left="890" w:hanging="890"/>
      </w:pPr>
      <w:r>
        <w:tab/>
        <w:t>[Rule 37 amended: Gazette 12 Jun 2015 p. 2046.]</w:t>
      </w:r>
    </w:p>
    <w:p>
      <w:pPr>
        <w:pStyle w:val="Heading5"/>
      </w:pPr>
      <w:bookmarkStart w:id="48" w:name="_Toc518040446"/>
      <w:r>
        <w:rPr>
          <w:rStyle w:val="CharSectno"/>
        </w:rPr>
        <w:t>38</w:t>
      </w:r>
      <w:r>
        <w:t>.</w:t>
      </w:r>
      <w:r>
        <w:tab/>
        <w:t>Consent orders</w:t>
      </w:r>
      <w:bookmarkEnd w:id="48"/>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49" w:name="_Toc518040447"/>
      <w:r>
        <w:rPr>
          <w:rStyle w:val="CharSectno"/>
        </w:rPr>
        <w:t>39</w:t>
      </w:r>
      <w:r>
        <w:t>.</w:t>
      </w:r>
      <w:r>
        <w:tab/>
        <w:t>Proceedings to be held in private</w:t>
      </w:r>
      <w:bookmarkEnd w:id="49"/>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50" w:name="_Toc518040448"/>
      <w:r>
        <w:rPr>
          <w:rStyle w:val="CharSectno"/>
        </w:rPr>
        <w:t>40</w:t>
      </w:r>
      <w:r>
        <w:t>.</w:t>
      </w:r>
      <w:r>
        <w:tab/>
        <w:t>Arbitrator must not interview individual parties or witnesses</w:t>
      </w:r>
      <w:bookmarkEnd w:id="50"/>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51" w:name="_Toc518040449"/>
      <w:r>
        <w:rPr>
          <w:rStyle w:val="CharSectno"/>
        </w:rPr>
        <w:t>41</w:t>
      </w:r>
      <w:r>
        <w:t>.</w:t>
      </w:r>
      <w:r>
        <w:tab/>
        <w:t>Statement as to agreed facts and issues</w:t>
      </w:r>
      <w:bookmarkEnd w:id="51"/>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52" w:name="_Toc518040450"/>
      <w:r>
        <w:rPr>
          <w:rStyle w:val="CharSectno"/>
        </w:rPr>
        <w:t>42</w:t>
      </w:r>
      <w:r>
        <w:t>.</w:t>
      </w:r>
      <w:r>
        <w:tab/>
        <w:t>Directions hearing</w:t>
      </w:r>
      <w:bookmarkEnd w:id="52"/>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53" w:name="_Toc518040451"/>
      <w:r>
        <w:rPr>
          <w:rStyle w:val="CharSectno"/>
        </w:rPr>
        <w:t>43</w:t>
      </w:r>
      <w:r>
        <w:t>.</w:t>
      </w:r>
      <w:r>
        <w:tab/>
        <w:t>Notice of hearing</w:t>
      </w:r>
      <w:bookmarkEnd w:id="53"/>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54" w:name="_Toc518040452"/>
      <w:r>
        <w:rPr>
          <w:rStyle w:val="CharSectno"/>
        </w:rPr>
        <w:t>44</w:t>
      </w:r>
      <w:r>
        <w:t>.</w:t>
      </w:r>
      <w:r>
        <w:tab/>
        <w:t>Index and record of documents</w:t>
      </w:r>
      <w:bookmarkEnd w:id="54"/>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55" w:name="_Toc518040453"/>
      <w:r>
        <w:rPr>
          <w:rStyle w:val="CharPartNo"/>
        </w:rPr>
        <w:t>Part 6</w:t>
      </w:r>
      <w:r>
        <w:rPr>
          <w:rStyle w:val="CharDivNo"/>
        </w:rPr>
        <w:t> </w:t>
      </w:r>
      <w:r>
        <w:t>—</w:t>
      </w:r>
      <w:r>
        <w:rPr>
          <w:rStyle w:val="CharDivText"/>
        </w:rPr>
        <w:t> </w:t>
      </w:r>
      <w:r>
        <w:rPr>
          <w:rStyle w:val="CharPartText"/>
        </w:rPr>
        <w:t>Disclosure of documents and information</w:t>
      </w:r>
      <w:bookmarkEnd w:id="55"/>
    </w:p>
    <w:p>
      <w:pPr>
        <w:pStyle w:val="Heading5"/>
      </w:pPr>
      <w:bookmarkStart w:id="56" w:name="_Toc518040454"/>
      <w:r>
        <w:rPr>
          <w:rStyle w:val="CharSectno"/>
        </w:rPr>
        <w:t>45</w:t>
      </w:r>
      <w:r>
        <w:t>.</w:t>
      </w:r>
      <w:r>
        <w:tab/>
        <w:t>Duty of disclosure</w:t>
      </w:r>
      <w:bookmarkEnd w:id="56"/>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57" w:name="_Toc518040455"/>
      <w:r>
        <w:rPr>
          <w:rStyle w:val="CharSectno"/>
        </w:rPr>
        <w:t>46</w:t>
      </w:r>
      <w:r>
        <w:t>.</w:t>
      </w:r>
      <w:r>
        <w:tab/>
        <w:t>Disclosure without order</w:t>
      </w:r>
      <w:bookmarkEnd w:id="57"/>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58" w:name="_Toc518040456"/>
      <w:r>
        <w:rPr>
          <w:rStyle w:val="CharSectno"/>
        </w:rPr>
        <w:t>47</w:t>
      </w:r>
      <w:r>
        <w:t>.</w:t>
      </w:r>
      <w:r>
        <w:tab/>
        <w:t>Orders relating to disclosure</w:t>
      </w:r>
      <w:bookmarkEnd w:id="58"/>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59" w:name="_Toc518040457"/>
      <w:r>
        <w:rPr>
          <w:rStyle w:val="CharSectno"/>
        </w:rPr>
        <w:t>48</w:t>
      </w:r>
      <w:r>
        <w:t>.</w:t>
      </w:r>
      <w:r>
        <w:tab/>
        <w:t>Request for order to produce documents: section 193</w:t>
      </w:r>
      <w:bookmarkEnd w:id="59"/>
    </w:p>
    <w:p>
      <w:pPr>
        <w:pStyle w:val="Subsection"/>
      </w:pPr>
      <w:r>
        <w:tab/>
        <w:t>(1)</w:t>
      </w:r>
      <w:r>
        <w:tab/>
        <w:t>A party to a proceeding may, by lodging an interlocutory application and 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 or within such other time as an arbitrator may order.</w:t>
      </w:r>
    </w:p>
    <w:p>
      <w:pPr>
        <w:pStyle w:val="Subsection"/>
      </w:pPr>
      <w:r>
        <w:tab/>
        <w:t>(3)</w:t>
      </w:r>
      <w:r>
        <w:tab/>
        <w:t>A person is not required to comply with an order that is not served in accordance with subrule (2).</w:t>
      </w:r>
    </w:p>
    <w:p>
      <w:pPr>
        <w:pStyle w:val="Footnotesection"/>
        <w:spacing w:before="100"/>
        <w:ind w:left="890" w:hanging="890"/>
      </w:pPr>
      <w:r>
        <w:tab/>
        <w:t>[Rule 48 amended: Gazette 12 Jun 2015 p. 2046.]</w:t>
      </w:r>
    </w:p>
    <w:p>
      <w:pPr>
        <w:pStyle w:val="Heading5"/>
      </w:pPr>
      <w:bookmarkStart w:id="60" w:name="_Toc518040458"/>
      <w:r>
        <w:rPr>
          <w:rStyle w:val="CharSectno"/>
        </w:rPr>
        <w:t>49</w:t>
      </w:r>
      <w:r>
        <w:t>.</w:t>
      </w:r>
      <w:r>
        <w:tab/>
        <w:t>Continuing obligation to disclose documents</w:t>
      </w:r>
      <w:bookmarkEnd w:id="60"/>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61" w:name="_Toc518040459"/>
      <w:r>
        <w:rPr>
          <w:rStyle w:val="CharSectno"/>
        </w:rPr>
        <w:t>50</w:t>
      </w:r>
      <w:r>
        <w:t>.</w:t>
      </w:r>
      <w:r>
        <w:tab/>
        <w:t>Order under rule 47 or section 193</w:t>
      </w:r>
      <w:bookmarkEnd w:id="61"/>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62" w:name="_Toc518040460"/>
      <w:r>
        <w:rPr>
          <w:rStyle w:val="CharPartNo"/>
        </w:rPr>
        <w:t>Part 7</w:t>
      </w:r>
      <w:r>
        <w:rPr>
          <w:rStyle w:val="CharDivNo"/>
        </w:rPr>
        <w:t> </w:t>
      </w:r>
      <w:r>
        <w:t>—</w:t>
      </w:r>
      <w:r>
        <w:rPr>
          <w:rStyle w:val="CharDivText"/>
        </w:rPr>
        <w:t> </w:t>
      </w:r>
      <w:r>
        <w:rPr>
          <w:rStyle w:val="CharPartText"/>
        </w:rPr>
        <w:t>Representation</w:t>
      </w:r>
      <w:bookmarkEnd w:id="62"/>
    </w:p>
    <w:p>
      <w:pPr>
        <w:pStyle w:val="Heading5"/>
      </w:pPr>
      <w:bookmarkStart w:id="63" w:name="_Toc518040461"/>
      <w:r>
        <w:rPr>
          <w:rStyle w:val="CharSectno"/>
        </w:rPr>
        <w:t>51</w:t>
      </w:r>
      <w:r>
        <w:t>.</w:t>
      </w:r>
      <w:r>
        <w:tab/>
        <w:t>Notice of representation</w:t>
      </w:r>
      <w:bookmarkEnd w:id="63"/>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64" w:name="_Toc518040462"/>
      <w:r>
        <w:rPr>
          <w:rStyle w:val="CharSectno"/>
        </w:rPr>
        <w:t>52</w:t>
      </w:r>
      <w:r>
        <w:t>.</w:t>
      </w:r>
      <w:r>
        <w:tab/>
        <w:t>Litigation guardian</w:t>
      </w:r>
      <w:bookmarkEnd w:id="64"/>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5" w:name="_Toc518040463"/>
      <w:r>
        <w:rPr>
          <w:rStyle w:val="CharPartNo"/>
        </w:rPr>
        <w:t>Part 8</w:t>
      </w:r>
      <w:r>
        <w:rPr>
          <w:rStyle w:val="CharDivNo"/>
        </w:rPr>
        <w:t> </w:t>
      </w:r>
      <w:r>
        <w:t>—</w:t>
      </w:r>
      <w:r>
        <w:rPr>
          <w:rStyle w:val="CharDivText"/>
        </w:rPr>
        <w:t> </w:t>
      </w:r>
      <w:r>
        <w:rPr>
          <w:rStyle w:val="CharPartText"/>
        </w:rPr>
        <w:t>Joinder of parties</w:t>
      </w:r>
      <w:bookmarkEnd w:id="65"/>
    </w:p>
    <w:p>
      <w:pPr>
        <w:pStyle w:val="Heading5"/>
      </w:pPr>
      <w:bookmarkStart w:id="66" w:name="_Toc518040464"/>
      <w:r>
        <w:rPr>
          <w:rStyle w:val="CharSectno"/>
        </w:rPr>
        <w:t>53</w:t>
      </w:r>
      <w:r>
        <w:t>.</w:t>
      </w:r>
      <w:r>
        <w:tab/>
        <w:t>Arbitrator may give leave to join another party</w:t>
      </w:r>
      <w:bookmarkEnd w:id="66"/>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67" w:name="_Toc518040465"/>
      <w:r>
        <w:rPr>
          <w:rStyle w:val="CharSectno"/>
        </w:rPr>
        <w:t>54</w:t>
      </w:r>
      <w:r>
        <w:t>.</w:t>
      </w:r>
      <w:r>
        <w:tab/>
        <w:t>Notice of joinder</w:t>
      </w:r>
      <w:bookmarkEnd w:id="67"/>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68" w:name="_Toc518040466"/>
      <w:r>
        <w:rPr>
          <w:rStyle w:val="CharSectno"/>
        </w:rPr>
        <w:t>55</w:t>
      </w:r>
      <w:r>
        <w:t>.</w:t>
      </w:r>
      <w:r>
        <w:tab/>
        <w:t>Reply by person joined</w:t>
      </w:r>
      <w:bookmarkEnd w:id="68"/>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69" w:name="_Toc518040467"/>
      <w:r>
        <w:rPr>
          <w:rStyle w:val="CharPartNo"/>
        </w:rPr>
        <w:t>Part 9</w:t>
      </w:r>
      <w:r>
        <w:rPr>
          <w:rStyle w:val="CharDivNo"/>
        </w:rPr>
        <w:t> </w:t>
      </w:r>
      <w:r>
        <w:t>—</w:t>
      </w:r>
      <w:r>
        <w:rPr>
          <w:rStyle w:val="CharDivText"/>
        </w:rPr>
        <w:t> </w:t>
      </w:r>
      <w:r>
        <w:rPr>
          <w:rStyle w:val="CharPartText"/>
        </w:rPr>
        <w:t>Witnesses</w:t>
      </w:r>
      <w:bookmarkEnd w:id="69"/>
    </w:p>
    <w:p>
      <w:pPr>
        <w:pStyle w:val="Heading5"/>
      </w:pPr>
      <w:bookmarkStart w:id="70" w:name="_Toc518040468"/>
      <w:r>
        <w:rPr>
          <w:rStyle w:val="CharSectno"/>
        </w:rPr>
        <w:t>56</w:t>
      </w:r>
      <w:r>
        <w:t>.</w:t>
      </w:r>
      <w:r>
        <w:tab/>
        <w:t>Summons</w:t>
      </w:r>
      <w:bookmarkEnd w:id="70"/>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71" w:name="_Toc518040469"/>
      <w:r>
        <w:rPr>
          <w:rStyle w:val="CharSectno"/>
        </w:rPr>
        <w:t>57</w:t>
      </w:r>
      <w:r>
        <w:t>.</w:t>
      </w:r>
      <w:r>
        <w:tab/>
        <w:t>Witness statements</w:t>
      </w:r>
      <w:bookmarkEnd w:id="71"/>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(2A)</w:t>
      </w:r>
      <w:r>
        <w:tab/>
        <w:t>Except with the leave of an arbitrator, the evidence in chief of a witness from whom oral evidence is adduced is to be confined to the evidence set out in the document lodged and served under subrule (1) in relation to that witness.</w:t>
      </w:r>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Footnotesection"/>
        <w:spacing w:before="100"/>
        <w:ind w:left="890" w:hanging="890"/>
      </w:pPr>
      <w:r>
        <w:tab/>
        <w:t>[Rule 57 amended: Gazette 12 Jun 2015 p. 2046.]</w:t>
      </w:r>
    </w:p>
    <w:p>
      <w:pPr>
        <w:pStyle w:val="Heading5"/>
      </w:pPr>
      <w:bookmarkStart w:id="72" w:name="_Toc518040470"/>
      <w:r>
        <w:rPr>
          <w:rStyle w:val="CharSectno"/>
        </w:rPr>
        <w:t>58</w:t>
      </w:r>
      <w:r>
        <w:t>.</w:t>
      </w:r>
      <w:r>
        <w:tab/>
        <w:t>Medical evidence</w:t>
      </w:r>
      <w:bookmarkEnd w:id="72"/>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73" w:name="_Toc518040471"/>
      <w:r>
        <w:rPr>
          <w:rStyle w:val="CharSectno"/>
        </w:rPr>
        <w:t>59</w:t>
      </w:r>
      <w:r>
        <w:t>.</w:t>
      </w:r>
      <w:r>
        <w:tab/>
        <w:t>Medical reports</w:t>
      </w:r>
      <w:bookmarkEnd w:id="73"/>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 xml:space="preserve">This rule does not affect the filing or admission in evidence of a medical report in a proceeding if the report was filed or admitted in the proceeding before the coming into operation of the </w:t>
      </w:r>
      <w:r>
        <w:rPr>
          <w:i/>
        </w:rPr>
        <w:t>Worker’s Compensation (DRD) Rules 2005</w:t>
      </w:r>
      <w:r>
        <w:t>.</w:t>
      </w:r>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Heading2"/>
      </w:pPr>
      <w:bookmarkStart w:id="74" w:name="_Toc518040472"/>
      <w:r>
        <w:rPr>
          <w:rStyle w:val="CharPartNo"/>
        </w:rPr>
        <w:t>Part 10</w:t>
      </w:r>
      <w:r>
        <w:rPr>
          <w:rStyle w:val="CharDivNo"/>
        </w:rPr>
        <w:t> </w:t>
      </w:r>
      <w:r>
        <w:t>—</w:t>
      </w:r>
      <w:r>
        <w:rPr>
          <w:rStyle w:val="CharDivText"/>
        </w:rPr>
        <w:t> </w:t>
      </w:r>
      <w:r>
        <w:rPr>
          <w:rStyle w:val="CharPartText"/>
        </w:rPr>
        <w:t>Costs</w:t>
      </w:r>
      <w:bookmarkEnd w:id="74"/>
    </w:p>
    <w:p>
      <w:pPr>
        <w:pStyle w:val="Heading5"/>
      </w:pPr>
      <w:bookmarkStart w:id="75" w:name="_Toc518040473"/>
      <w:r>
        <w:rPr>
          <w:rStyle w:val="CharSectno"/>
        </w:rPr>
        <w:t>60</w:t>
      </w:r>
      <w:r>
        <w:t>.</w:t>
      </w:r>
      <w:r>
        <w:tab/>
        <w:t>Term used: costs</w:t>
      </w:r>
      <w:bookmarkEnd w:id="75"/>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76" w:name="_Toc518040474"/>
      <w:r>
        <w:rPr>
          <w:rStyle w:val="CharSectno"/>
        </w:rPr>
        <w:t>61</w:t>
      </w:r>
      <w:r>
        <w:t>.</w:t>
      </w:r>
      <w:r>
        <w:tab/>
        <w:t>Order as to costs</w:t>
      </w:r>
      <w:bookmarkEnd w:id="76"/>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77" w:name="_Toc518040475"/>
      <w:r>
        <w:rPr>
          <w:rStyle w:val="CharSectno"/>
        </w:rPr>
        <w:t>62</w:t>
      </w:r>
      <w:r>
        <w:t>.</w:t>
      </w:r>
      <w:r>
        <w:tab/>
        <w:t>Application for assessment of costs</w:t>
      </w:r>
      <w:bookmarkEnd w:id="77"/>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pPr>
      <w:bookmarkStart w:id="78" w:name="_Toc518040476"/>
      <w:r>
        <w:rPr>
          <w:rStyle w:val="CharSectno"/>
        </w:rPr>
        <w:t>63A</w:t>
      </w:r>
      <w:r>
        <w:t>.</w:t>
      </w:r>
      <w:r>
        <w:tab/>
        <w:t>Submission on application for order as to costs or for assessment of costs</w:t>
      </w:r>
      <w:bookmarkEnd w:id="78"/>
    </w:p>
    <w:p>
      <w:pPr>
        <w:pStyle w:val="Subsection"/>
      </w:pPr>
      <w:r>
        <w:tab/>
        <w:t>(1)</w:t>
      </w:r>
      <w:r>
        <w:tab/>
        <w:t xml:space="preserve">Except as otherwise ordered by an arbitrator, a party served with a copy of an application under rule 61 or 62 must within 14 days of the service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(2)</w:t>
      </w:r>
      <w:r>
        <w:tab/>
        <w:t>If a party fails to lodge and serve a notice required by subrule (1) the application may be determined as if that party did not oppose any part of the application.</w:t>
      </w:r>
    </w:p>
    <w:p>
      <w:pPr>
        <w:pStyle w:val="Footnotesection"/>
        <w:spacing w:before="100"/>
        <w:ind w:left="890" w:hanging="890"/>
      </w:pPr>
      <w:r>
        <w:tab/>
        <w:t>[Rule 63A inserted: Gazette 12 Jun 2015 p. 2046</w:t>
      </w:r>
      <w:r>
        <w:noBreakHyphen/>
        <w:t>7.]</w:t>
      </w:r>
    </w:p>
    <w:p>
      <w:pPr>
        <w:pStyle w:val="Heading5"/>
      </w:pPr>
      <w:bookmarkStart w:id="79" w:name="_Toc518040477"/>
      <w:r>
        <w:rPr>
          <w:rStyle w:val="CharSectno"/>
        </w:rPr>
        <w:t>63</w:t>
      </w:r>
      <w:r>
        <w:t>.</w:t>
      </w:r>
      <w:r>
        <w:tab/>
        <w:t>Expenses of approved medical specialist panel or approved specialised retraining assessment panel</w:t>
      </w:r>
      <w:bookmarkEnd w:id="79"/>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80" w:name="_Toc518040478"/>
      <w:r>
        <w:rPr>
          <w:rStyle w:val="CharPartNo"/>
        </w:rPr>
        <w:t>Part 11</w:t>
      </w:r>
      <w:r>
        <w:t> — </w:t>
      </w:r>
      <w:r>
        <w:rPr>
          <w:rStyle w:val="CharPartText"/>
        </w:rPr>
        <w:t>Medical assessment panels and specialised retraining assessment panels</w:t>
      </w:r>
      <w:bookmarkEnd w:id="80"/>
    </w:p>
    <w:p>
      <w:pPr>
        <w:pStyle w:val="Heading3"/>
      </w:pPr>
      <w:bookmarkStart w:id="81" w:name="_Toc518040479"/>
      <w:r>
        <w:rPr>
          <w:rStyle w:val="CharDivNo"/>
        </w:rPr>
        <w:t>Division 1</w:t>
      </w:r>
      <w:r>
        <w:t> — </w:t>
      </w:r>
      <w:r>
        <w:rPr>
          <w:rStyle w:val="CharDivText"/>
        </w:rPr>
        <w:t>Medical assessment panels</w:t>
      </w:r>
      <w:bookmarkEnd w:id="81"/>
    </w:p>
    <w:p>
      <w:pPr>
        <w:pStyle w:val="Heading5"/>
      </w:pPr>
      <w:bookmarkStart w:id="82" w:name="_Toc518040480"/>
      <w:r>
        <w:rPr>
          <w:rStyle w:val="CharSectno"/>
        </w:rPr>
        <w:t>64</w:t>
      </w:r>
      <w:r>
        <w:t>.</w:t>
      </w:r>
      <w:r>
        <w:tab/>
        <w:t>Form for requirement to attend</w:t>
      </w:r>
      <w:bookmarkEnd w:id="82"/>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83" w:name="_Toc518040481"/>
      <w:r>
        <w:rPr>
          <w:rStyle w:val="CharSectno"/>
        </w:rPr>
        <w:t>65</w:t>
      </w:r>
      <w:r>
        <w:t>.</w:t>
      </w:r>
      <w:r>
        <w:tab/>
        <w:t>Time, date and place of meeting</w:t>
      </w:r>
      <w:bookmarkEnd w:id="83"/>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84" w:name="_Toc518040482"/>
      <w:r>
        <w:rPr>
          <w:rStyle w:val="CharSectno"/>
        </w:rPr>
        <w:t>66</w:t>
      </w:r>
      <w:r>
        <w:t>.</w:t>
      </w:r>
      <w:r>
        <w:tab/>
        <w:t>Notice of meeting</w:t>
      </w:r>
      <w:bookmarkEnd w:id="84"/>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85" w:name="_Toc518040483"/>
      <w:r>
        <w:rPr>
          <w:rStyle w:val="CharSectno"/>
        </w:rPr>
        <w:t>67</w:t>
      </w:r>
      <w:r>
        <w:t>.</w:t>
      </w:r>
      <w:r>
        <w:tab/>
        <w:t>Giving documents to medical assessment panel</w:t>
      </w:r>
      <w:bookmarkEnd w:id="85"/>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 and the employer of the worker a list of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Heading5"/>
      </w:pPr>
      <w:bookmarkStart w:id="86" w:name="_Toc518040484"/>
      <w:r>
        <w:rPr>
          <w:rStyle w:val="CharSectno"/>
        </w:rPr>
        <w:t>68</w:t>
      </w:r>
      <w:r>
        <w:t>.</w:t>
      </w:r>
      <w:r>
        <w:tab/>
        <w:t>Objection to document being given to medical assessment panel</w:t>
      </w:r>
      <w:bookmarkEnd w:id="86"/>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An arbitrator may determine whether a document in respect of which an objection has been filed under this rule may be given to a medical assessment panel.</w:t>
      </w:r>
    </w:p>
    <w:p>
      <w:pPr>
        <w:pStyle w:val="Heading3"/>
      </w:pPr>
      <w:bookmarkStart w:id="87" w:name="_Toc518040485"/>
      <w:r>
        <w:rPr>
          <w:rStyle w:val="CharDivNo"/>
        </w:rPr>
        <w:t>Division 2</w:t>
      </w:r>
      <w:r>
        <w:t> — </w:t>
      </w:r>
      <w:r>
        <w:rPr>
          <w:rStyle w:val="CharDivText"/>
        </w:rPr>
        <w:t>Specialised retraining assessment panels</w:t>
      </w:r>
      <w:bookmarkEnd w:id="87"/>
    </w:p>
    <w:p>
      <w:pPr>
        <w:pStyle w:val="Heading5"/>
      </w:pPr>
      <w:bookmarkStart w:id="88" w:name="_Toc518040486"/>
      <w:r>
        <w:rPr>
          <w:rStyle w:val="CharSectno"/>
        </w:rPr>
        <w:t>69</w:t>
      </w:r>
      <w:r>
        <w:t>.</w:t>
      </w:r>
      <w:r>
        <w:tab/>
        <w:t>Form for request to attend</w:t>
      </w:r>
      <w:bookmarkEnd w:id="88"/>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89" w:name="_Toc518040487"/>
      <w:r>
        <w:rPr>
          <w:rStyle w:val="CharSectno"/>
        </w:rPr>
        <w:t>70</w:t>
      </w:r>
      <w:r>
        <w:t>.</w:t>
      </w:r>
      <w:r>
        <w:tab/>
        <w:t>Time, date and place of meeting</w:t>
      </w:r>
      <w:bookmarkEnd w:id="89"/>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90" w:name="_Toc518040488"/>
      <w:r>
        <w:rPr>
          <w:rStyle w:val="CharSectno"/>
        </w:rPr>
        <w:t>71</w:t>
      </w:r>
      <w:r>
        <w:t>.</w:t>
      </w:r>
      <w:r>
        <w:tab/>
        <w:t>Notification of meeting</w:t>
      </w:r>
      <w:bookmarkEnd w:id="90"/>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pPr>
      <w:r>
        <w:tab/>
        <w:t>(2)</w:t>
      </w:r>
      <w:r>
        <w:tab/>
        <w:t xml:space="preserve">The notice must be — </w:t>
      </w:r>
    </w:p>
    <w:p>
      <w:pPr>
        <w:pStyle w:val="Indenta"/>
      </w:pPr>
      <w:r>
        <w:tab/>
        <w:t>(a)</w:t>
      </w:r>
      <w:r>
        <w:tab/>
        <w:t>in the form referred to in rule 69; or</w:t>
      </w:r>
    </w:p>
    <w:p>
      <w:pPr>
        <w:pStyle w:val="Indenta"/>
      </w:pPr>
      <w:r>
        <w:tab/>
        <w:t>(b)</w:t>
      </w:r>
      <w:r>
        <w:tab/>
        <w:t>given in writing by the Registrar.</w:t>
      </w:r>
    </w:p>
    <w:p>
      <w:pPr>
        <w:pStyle w:val="Heading5"/>
      </w:pPr>
      <w:bookmarkStart w:id="91" w:name="_Toc518040489"/>
      <w:r>
        <w:rPr>
          <w:rStyle w:val="CharSectno"/>
        </w:rPr>
        <w:t>72</w:t>
      </w:r>
      <w:r>
        <w:t>.</w:t>
      </w:r>
      <w:r>
        <w:tab/>
        <w:t>Giving documents to specialised retraining assessment panel</w:t>
      </w:r>
      <w:bookmarkEnd w:id="91"/>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 and the employer of the worker a list of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Heading5"/>
      </w:pPr>
      <w:bookmarkStart w:id="92" w:name="_Toc518040490"/>
      <w:r>
        <w:rPr>
          <w:rStyle w:val="CharSectno"/>
        </w:rPr>
        <w:t>73</w:t>
      </w:r>
      <w:r>
        <w:t>.</w:t>
      </w:r>
      <w:r>
        <w:tab/>
        <w:t>Objection to document being given to specialised retraining assessment panel</w:t>
      </w:r>
      <w:bookmarkEnd w:id="92"/>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An arbitrator may determine whether a document in respect of which an objection has been filed under this rule may be given to a specialised retraining assessment panel.</w:t>
      </w:r>
    </w:p>
    <w:p>
      <w:pPr>
        <w:pStyle w:val="Heading2"/>
      </w:pPr>
      <w:bookmarkStart w:id="93" w:name="_Toc518040491"/>
      <w:r>
        <w:rPr>
          <w:rStyle w:val="CharPartNo"/>
        </w:rPr>
        <w:t>Part 12</w:t>
      </w:r>
      <w:r>
        <w:rPr>
          <w:rStyle w:val="CharDivNo"/>
        </w:rPr>
        <w:t> </w:t>
      </w:r>
      <w:r>
        <w:t>—</w:t>
      </w:r>
      <w:r>
        <w:rPr>
          <w:rStyle w:val="CharDivText"/>
        </w:rPr>
        <w:t> </w:t>
      </w:r>
      <w:r>
        <w:rPr>
          <w:rStyle w:val="CharPartText"/>
        </w:rPr>
        <w:t>Miscellaneous</w:t>
      </w:r>
      <w:bookmarkEnd w:id="93"/>
    </w:p>
    <w:p>
      <w:pPr>
        <w:pStyle w:val="Heading5"/>
      </w:pPr>
      <w:bookmarkStart w:id="94" w:name="_Toc518040492"/>
      <w:r>
        <w:rPr>
          <w:rStyle w:val="CharSectno"/>
        </w:rPr>
        <w:t>74</w:t>
      </w:r>
      <w:r>
        <w:t>.</w:t>
      </w:r>
      <w:r>
        <w:tab/>
        <w:t>Section 180 request</w:t>
      </w:r>
      <w:bookmarkEnd w:id="94"/>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95" w:name="_Toc518040493"/>
      <w:r>
        <w:rPr>
          <w:rStyle w:val="CharSectno"/>
        </w:rPr>
        <w:t>75</w:t>
      </w:r>
      <w:r>
        <w:t>.</w:t>
      </w:r>
      <w:r>
        <w:tab/>
        <w:t>Arbitration Service seal</w:t>
      </w:r>
      <w:bookmarkEnd w:id="95"/>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96" w:name="_Toc518040494"/>
      <w:r>
        <w:rPr>
          <w:rStyle w:val="CharSectno"/>
        </w:rPr>
        <w:t>76</w:t>
      </w:r>
      <w:r>
        <w:t>.</w:t>
      </w:r>
      <w:r>
        <w:tab/>
        <w:t>Use of seal</w:t>
      </w:r>
      <w:bookmarkEnd w:id="96"/>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97" w:name="_Toc518040495"/>
      <w:r>
        <w:rPr>
          <w:rStyle w:val="CharSectno"/>
        </w:rPr>
        <w:t>77</w:t>
      </w:r>
      <w:r>
        <w:t>.</w:t>
      </w:r>
      <w:r>
        <w:tab/>
        <w:t>Approved forms</w:t>
      </w:r>
      <w:bookmarkEnd w:id="97"/>
    </w:p>
    <w:p>
      <w:pPr>
        <w:pStyle w:val="Subsection"/>
      </w:pPr>
      <w:r>
        <w:tab/>
      </w:r>
      <w:r>
        <w:tab/>
        <w:t>The chief executive officer may approve forms for use in the Arbitration Service.</w:t>
      </w:r>
    </w:p>
    <w:p>
      <w:pPr>
        <w:pStyle w:val="Heading5"/>
      </w:pPr>
      <w:bookmarkStart w:id="98" w:name="_Toc518040496"/>
      <w:r>
        <w:rPr>
          <w:rStyle w:val="CharSectno"/>
        </w:rPr>
        <w:t>78</w:t>
      </w:r>
      <w:r>
        <w:t>.</w:t>
      </w:r>
      <w:r>
        <w:tab/>
        <w:t>Amendment of documents</w:t>
      </w:r>
      <w:bookmarkEnd w:id="98"/>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99" w:name="_Toc518040497"/>
      <w:r>
        <w:rPr>
          <w:rStyle w:val="CharSectno"/>
        </w:rPr>
        <w:t>79</w:t>
      </w:r>
      <w:r>
        <w:t>.</w:t>
      </w:r>
      <w:r>
        <w:tab/>
        <w:t>Application of these rules to pending arbitration proceedings</w:t>
      </w:r>
      <w:bookmarkEnd w:id="99"/>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0" w:name="_Toc518040498"/>
      <w:r>
        <w:t>Notes</w:t>
      </w:r>
      <w:bookmarkEnd w:id="100"/>
    </w:p>
    <w:p>
      <w:pPr>
        <w:pStyle w:val="nSubsection"/>
      </w:pPr>
      <w:r>
        <w:rPr>
          <w:vertAlign w:val="superscript"/>
        </w:rPr>
        <w:t>1</w:t>
      </w:r>
      <w:r>
        <w:tab/>
        <w:t xml:space="preserve">This is a compilation of the </w:t>
      </w:r>
      <w:r>
        <w:rPr>
          <w:i/>
          <w:noProof/>
        </w:rPr>
        <w:t>Workers’ Compensation and Injury Management Arbitration Rules 2011</w:t>
      </w:r>
      <w:r>
        <w:t xml:space="preserve"> and includes the amendments made by the other written laws referred to in the following table.</w:t>
      </w:r>
    </w:p>
    <w:p>
      <w:pPr>
        <w:pStyle w:val="nHeading3"/>
      </w:pPr>
      <w:bookmarkStart w:id="101" w:name="_Toc518040499"/>
      <w:r>
        <w:t>Compilation table</w:t>
      </w:r>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Workers’ Compensation and Injury Management Arbitration Rules 2011</w:t>
            </w:r>
            <w:r>
              <w:rPr>
                <w:noProof/>
                <w:snapToGrid w:val="0"/>
              </w:rPr>
              <w:t xml:space="preserve"> </w:t>
            </w:r>
          </w:p>
        </w:tc>
        <w:tc>
          <w:tcPr>
            <w:tcW w:w="1276" w:type="dxa"/>
            <w:tcBorders>
              <w:bottom w:val="nil"/>
            </w:tcBorders>
          </w:tcPr>
          <w:p>
            <w:pPr>
              <w:pStyle w:val="nTable"/>
              <w:spacing w:after="40"/>
            </w:pPr>
            <w:r>
              <w:t>9 Nov 2011 p. 4689</w:t>
            </w:r>
            <w:r>
              <w:noBreakHyphen/>
              <w:t>740</w:t>
            </w:r>
          </w:p>
        </w:tc>
        <w:tc>
          <w:tcPr>
            <w:tcW w:w="2693" w:type="dxa"/>
            <w:tcBorders>
              <w:bottom w:val="nil"/>
            </w:tcBorders>
          </w:tcPr>
          <w:p>
            <w:pPr>
              <w:pStyle w:val="nTable"/>
              <w:spacing w:after="40"/>
            </w:pPr>
            <w:r>
              <w:rPr>
                <w:snapToGrid w:val="0"/>
                <w:spacing w:val="-2"/>
              </w:rPr>
              <w:t>r. 1 and 2: 9 Nov 2011 (see r. 2(a));</w:t>
            </w:r>
            <w:r>
              <w:rPr>
                <w:snapToGrid w:val="0"/>
                <w:spacing w:val="-2"/>
              </w:rPr>
              <w:br/>
              <w:t xml:space="preserve">Rules other than r. 1 and 2: 1 Dec 2011 (see r. 2(b) and </w:t>
            </w:r>
            <w:r>
              <w:rPr>
                <w:i/>
                <w:snapToGrid w:val="0"/>
                <w:spacing w:val="-2"/>
              </w:rPr>
              <w:t>Gazette</w:t>
            </w:r>
            <w:r>
              <w:rPr>
                <w:snapToGrid w:val="0"/>
                <w:spacing w:val="-2"/>
              </w:rPr>
              <w:t xml:space="preserve"> 8 Nov 2011 p. 4673)</w:t>
            </w:r>
            <w:r>
              <w:t xml:space="preserve"> </w:t>
            </w:r>
          </w:p>
        </w:tc>
      </w:tr>
      <w:tr>
        <w:tc>
          <w:tcPr>
            <w:tcW w:w="3118" w:type="dxa"/>
            <w:tcBorders>
              <w:top w:val="nil"/>
              <w:bottom w:val="nil"/>
            </w:tcBorders>
          </w:tcPr>
          <w:p>
            <w:pPr>
              <w:pStyle w:val="nTable"/>
              <w:spacing w:after="40"/>
              <w:rPr>
                <w:i/>
                <w:noProof/>
                <w:snapToGrid w:val="0"/>
              </w:rPr>
            </w:pPr>
            <w:r>
              <w:rPr>
                <w:i/>
              </w:rPr>
              <w:t>Workers’ Compensation and Injury Management Arbitration Amendment Rules 2015</w:t>
            </w:r>
          </w:p>
        </w:tc>
        <w:tc>
          <w:tcPr>
            <w:tcW w:w="1276" w:type="dxa"/>
            <w:tcBorders>
              <w:top w:val="nil"/>
              <w:bottom w:val="nil"/>
            </w:tcBorders>
          </w:tcPr>
          <w:p>
            <w:pPr>
              <w:pStyle w:val="nTable"/>
              <w:spacing w:after="40"/>
            </w:pPr>
            <w:r>
              <w:t>12 Jun 2015 p. 2044</w:t>
            </w:r>
            <w:r>
              <w:noBreakHyphen/>
              <w:t>7</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 xml:space="preserve">12 Jun 2015 </w:t>
            </w:r>
            <w:r>
              <w:rPr>
                <w:snapToGrid w:val="0"/>
                <w:spacing w:val="-2"/>
              </w:rPr>
              <w:t xml:space="preserve"> (see r. 2(a));</w:t>
            </w:r>
            <w:r>
              <w:rPr>
                <w:snapToGrid w:val="0"/>
                <w:spacing w:val="-2"/>
              </w:rPr>
              <w:br/>
              <w:t xml:space="preserve">Rules other than r. 1 and 2: </w:t>
            </w:r>
            <w:r>
              <w:t>1 Jul 2015 (see r. 2(b)(ii))</w:t>
            </w:r>
          </w:p>
        </w:tc>
      </w:tr>
      <w:tr>
        <w:tc>
          <w:tcPr>
            <w:tcW w:w="3118" w:type="dxa"/>
            <w:tcBorders>
              <w:top w:val="nil"/>
              <w:bottom w:val="single" w:sz="4" w:space="0" w:color="auto"/>
            </w:tcBorders>
          </w:tcPr>
          <w:p>
            <w:pPr>
              <w:pStyle w:val="nTable"/>
              <w:spacing w:after="40"/>
              <w:rPr>
                <w:i/>
              </w:rPr>
            </w:pPr>
            <w:r>
              <w:rPr>
                <w:i/>
              </w:rPr>
              <w:t>Workers’ Compensation and Injury Management Arbitration Amendment Rules 2018</w:t>
            </w:r>
          </w:p>
        </w:tc>
        <w:tc>
          <w:tcPr>
            <w:tcW w:w="1276" w:type="dxa"/>
            <w:tcBorders>
              <w:top w:val="nil"/>
              <w:bottom w:val="single" w:sz="4" w:space="0" w:color="auto"/>
            </w:tcBorders>
          </w:tcPr>
          <w:p>
            <w:pPr>
              <w:pStyle w:val="nTable"/>
              <w:spacing w:after="40"/>
            </w:pPr>
            <w:r>
              <w:t>29 Jun 2018 p. 2447</w:t>
            </w:r>
            <w:r>
              <w:noBreakHyphen/>
              <w:t>8</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r. 1 and 2: </w:t>
            </w:r>
            <w:r>
              <w:t>29 Jun 2018</w:t>
            </w:r>
            <w:r>
              <w:rPr>
                <w:snapToGrid w:val="0"/>
                <w:spacing w:val="-2"/>
              </w:rPr>
              <w:t xml:space="preserve"> (see r. 2(a));</w:t>
            </w:r>
            <w:r>
              <w:rPr>
                <w:snapToGrid w:val="0"/>
                <w:spacing w:val="-2"/>
              </w:rPr>
              <w:br/>
              <w:t xml:space="preserve">Rules other than r. 1 and 2: </w:t>
            </w:r>
            <w:r>
              <w:t xml:space="preserve">1 Jul 2018 (see r. 2(b) and </w:t>
            </w:r>
            <w:r>
              <w:rPr>
                <w:i/>
              </w:rPr>
              <w:t xml:space="preserve">Gazette </w:t>
            </w:r>
            <w:r>
              <w:t>29 Jun 2018 p. 2433)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03" w:name="_Toc518040500"/>
      <w:r>
        <w:rPr>
          <w:sz w:val="28"/>
        </w:rPr>
        <w:t>Defined terms</w:t>
      </w:r>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claim</w:t>
      </w:r>
      <w:r>
        <w:tab/>
        <w:t>22A(1)</w:t>
      </w:r>
    </w:p>
    <w:p>
      <w:pPr>
        <w:pStyle w:val="DefinedTerms"/>
      </w:pPr>
      <w:r>
        <w:t>application for arbitration</w:t>
      </w:r>
      <w:r>
        <w:tab/>
        <w:t>3</w:t>
      </w:r>
    </w:p>
    <w:p>
      <w:pPr>
        <w:pStyle w:val="DefinedTerms"/>
      </w:pPr>
      <w:r>
        <w:t>approved fax number</w:t>
      </w:r>
      <w:r>
        <w:tab/>
        <w:t>10(1)</w:t>
      </w:r>
    </w:p>
    <w:p>
      <w:pPr>
        <w:pStyle w:val="DefinedTerms"/>
      </w:pPr>
      <w:r>
        <w:t>approved form</w:t>
      </w:r>
      <w:r>
        <w:tab/>
        <w:t>3</w:t>
      </w:r>
    </w:p>
    <w:p>
      <w:pPr>
        <w:pStyle w:val="DefinedTerms"/>
      </w:pPr>
      <w:r>
        <w:t>arbitration question</w:t>
      </w:r>
      <w:r>
        <w:tab/>
        <w:t>3</w:t>
      </w:r>
    </w:p>
    <w:p>
      <w:pPr>
        <w:pStyle w:val="DefinedTerms"/>
      </w:pPr>
      <w:r>
        <w:t>costs</w:t>
      </w:r>
      <w:r>
        <w:tab/>
        <w:t>60</w:t>
      </w:r>
    </w:p>
    <w:p>
      <w:pPr>
        <w:pStyle w:val="DefinedTerms"/>
      </w:pPr>
      <w:r>
        <w:t>document</w:t>
      </w:r>
      <w:r>
        <w:tab/>
        <w:t>7</w:t>
      </w:r>
    </w:p>
    <w:p>
      <w:pPr>
        <w:pStyle w:val="DefinedTerms"/>
      </w:pPr>
      <w:r>
        <w:t>DRD Rules</w:t>
      </w:r>
      <w:r>
        <w:tab/>
        <w:t>79(1)</w:t>
      </w:r>
    </w:p>
    <w:p>
      <w:pPr>
        <w:pStyle w:val="DefinedTerms"/>
      </w:pPr>
      <w:r>
        <w:t>fatality compensation application</w:t>
      </w:r>
      <w:r>
        <w:tab/>
        <w:t>3</w:t>
      </w:r>
    </w:p>
    <w:p>
      <w:pPr>
        <w:pStyle w:val="DefinedTerms"/>
      </w:pPr>
      <w:r>
        <w:t>interlocutory application</w:t>
      </w:r>
      <w:r>
        <w:tab/>
        <w:t>3</w:t>
      </w:r>
    </w:p>
    <w:p>
      <w:pPr>
        <w:pStyle w:val="DefinedTerms"/>
      </w:pPr>
      <w:r>
        <w:t>pending arbitration proceeding</w:t>
      </w:r>
      <w:r>
        <w:tab/>
        <w:t>79(1)</w:t>
      </w:r>
    </w:p>
    <w:p>
      <w:pPr>
        <w:pStyle w:val="DefinedTerms"/>
      </w:pPr>
      <w:r>
        <w:t>proceeding</w:t>
      </w:r>
      <w:r>
        <w:tab/>
        <w:t>3</w:t>
      </w:r>
    </w:p>
    <w:p>
      <w:pPr>
        <w:pStyle w:val="DefinedTerms"/>
      </w:pPr>
      <w:r>
        <w:t>representative</w:t>
      </w:r>
      <w:r>
        <w:tab/>
        <w:t>51(1)</w:t>
      </w:r>
    </w:p>
    <w:p>
      <w:pPr>
        <w:pStyle w:val="DefinedTerms"/>
      </w:pPr>
      <w:r>
        <w:t>requesting party</w:t>
      </w:r>
      <w:r>
        <w:tab/>
        <w:t>46(1)</w:t>
      </w:r>
    </w:p>
    <w:p>
      <w:pPr>
        <w:pStyle w:val="DefinedTerms"/>
      </w:pPr>
      <w:r>
        <w:t>sealed copy</w:t>
      </w:r>
      <w:r>
        <w:tab/>
        <w:t>15(1)</w:t>
      </w:r>
    </w:p>
    <w:p>
      <w:pPr>
        <w:pStyle w:val="DefinedTerms"/>
      </w:pPr>
      <w:r>
        <w:t>section</w:t>
      </w:r>
      <w:r>
        <w:tab/>
        <w:t>3</w:t>
      </w:r>
    </w:p>
    <w:p>
      <w:pPr>
        <w:pStyle w:val="DefinedTerms"/>
      </w:pPr>
      <w:r>
        <w:t>serve</w:t>
      </w:r>
      <w:r>
        <w:tab/>
        <w:t>3</w:t>
      </w:r>
    </w:p>
    <w:p>
      <w:pPr>
        <w:pStyle w:val="DefinedTerms"/>
      </w:pPr>
      <w:r>
        <w:t>working day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51021"/>
    <w:docVar w:name="WAFER_20150615091004" w:val="ResetPageSize,UpdateArrangement,UpdateNTable"/>
    <w:docVar w:name="WAFER_20150615091004_GUID" w:val="065328c4-4e7c-4e29-8be2-2ebbdafa2466"/>
    <w:docVar w:name="WAFER_20151112114053" w:val="UpdateStyles,UsedStyles"/>
    <w:docVar w:name="WAFER_20151112114053_GUID" w:val="72de87d7-bb8a-4e87-9c29-aace1d3bda7e"/>
    <w:docVar w:name="WAFER_20180628151021" w:val="RemoveTocBookmarks,RemoveUnusedBookmarks,RemoveLanguageTags,UsedStyles,ResetPageSize"/>
    <w:docVar w:name="WAFER_20180628151021_GUID" w:val="9df4ae87-5788-445c-a7ca-8c0d7668ae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11630</Words>
  <Characters>55708</Characters>
  <Application>Microsoft Office Word</Application>
  <DocSecurity>0</DocSecurity>
  <Lines>1505</Lines>
  <Paragraphs>886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2011 - 00-e0-01</dc:title>
  <dc:subject/>
  <dc:creator/>
  <cp:keywords/>
  <dc:description/>
  <cp:lastModifiedBy>svcMRProcess</cp:lastModifiedBy>
  <cp:revision>4</cp:revision>
  <cp:lastPrinted>2011-10-25T01:09:00Z</cp:lastPrinted>
  <dcterms:created xsi:type="dcterms:W3CDTF">2019-01-22T09:09:00Z</dcterms:created>
  <dcterms:modified xsi:type="dcterms:W3CDTF">2019-01-22T09:09:00Z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OWLSUId">
    <vt:i4>915</vt:i4>
  </property>
  <property fmtid="{D5CDD505-2E9C-101B-9397-08002B2CF9AE}" pid="4" name="DocumentType">
    <vt:lpwstr>Reg</vt:lpwstr>
  </property>
  <property fmtid="{D5CDD505-2E9C-101B-9397-08002B2CF9AE}" pid="5" name="CommencementDate">
    <vt:lpwstr>20180701</vt:lpwstr>
  </property>
  <property fmtid="{D5CDD505-2E9C-101B-9397-08002B2CF9AE}" pid="6" name="AsAtDate">
    <vt:lpwstr>01 Jul 2018</vt:lpwstr>
  </property>
  <property fmtid="{D5CDD505-2E9C-101B-9397-08002B2CF9AE}" pid="7" name="Suffix">
    <vt:lpwstr>00-e0-01</vt:lpwstr>
  </property>
</Properties>
</file>