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_Toc517949665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_Toc517949666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_Toc517949667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_Toc517949668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_Toc517949669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_Toc517949671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_Toc517949672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_Toc517949673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_Toc517949674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_Toc517949675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_Toc517949676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_Toc517949677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_Toc517949678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_Toc517949679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_Toc517949680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_Toc517949681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_Toc517949683 \h </w:instrText>
      </w:r>
      <w:r>
        <w:fldChar w:fldCharType="separate"/>
      </w:r>
      <w:r>
        <w:t>15</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_Toc517949684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_Toc517949685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Equivalent service and qualifications</w:t>
      </w:r>
      <w:r>
        <w:tab/>
      </w:r>
      <w:r>
        <w:fldChar w:fldCharType="begin"/>
      </w:r>
      <w:r>
        <w:instrText xml:space="preserve"> PAGEREF _Toc517949686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_Toc517949687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_Toc517949688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_Toc517949689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_Toc517949690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_Toc517949691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_Toc517949692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_Toc517949693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_Toc517949694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_Toc517949696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_Toc517949698 \h </w:instrText>
      </w:r>
      <w:r>
        <w:fldChar w:fldCharType="separate"/>
      </w:r>
      <w:r>
        <w:t>22</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_Toc517949699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_Toc517949700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_Toc517949702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Geographical limits of smooth waters and partially smooth waters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Functions of certificates of competency</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Prerequisites for applicants for certificates of competency</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Safety manning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_Toc517949713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3" w:name="_Toc517876703"/>
      <w:bookmarkStart w:id="4" w:name="_Toc517949664"/>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17949665"/>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6" w:name="_Toc517949666"/>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7" w:name="_Toc517949667"/>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8" w:name="_Toc517949668"/>
      <w:r>
        <w:rPr>
          <w:rStyle w:val="CharSectno"/>
        </w:rPr>
        <w:t>4</w:t>
      </w:r>
      <w:r>
        <w:rPr>
          <w:snapToGrid w:val="0"/>
        </w:rPr>
        <w:t>.</w:t>
      </w:r>
      <w:r>
        <w:rPr>
          <w:snapToGrid w:val="0"/>
        </w:rPr>
        <w:tab/>
        <w:t>Smooth and partially smooth waters</w:t>
      </w:r>
      <w:bookmarkEnd w:id="8"/>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9" w:name="_Toc517949669"/>
      <w:r>
        <w:rPr>
          <w:rStyle w:val="CharSectno"/>
        </w:rPr>
        <w:t>5</w:t>
      </w:r>
      <w:r>
        <w:rPr>
          <w:snapToGrid w:val="0"/>
        </w:rPr>
        <w:t>.</w:t>
      </w:r>
      <w:r>
        <w:rPr>
          <w:snapToGrid w:val="0"/>
        </w:rPr>
        <w:tab/>
        <w:t>Classification of vessels</w:t>
      </w:r>
      <w:bookmarkEnd w:id="9"/>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0" w:name="_Toc517876709"/>
      <w:bookmarkStart w:id="11" w:name="_Toc517949670"/>
      <w:r>
        <w:rPr>
          <w:rStyle w:val="CharPartNo"/>
        </w:rPr>
        <w:t>Part II</w:t>
      </w:r>
      <w:r>
        <w:rPr>
          <w:rStyle w:val="CharDivNo"/>
        </w:rPr>
        <w:t> </w:t>
      </w:r>
      <w:r>
        <w:t>—</w:t>
      </w:r>
      <w:r>
        <w:rPr>
          <w:rStyle w:val="CharDivText"/>
        </w:rPr>
        <w:t> </w:t>
      </w:r>
      <w:r>
        <w:rPr>
          <w:rStyle w:val="CharPartText"/>
        </w:rPr>
        <w:t>Certificates of competency</w:t>
      </w:r>
      <w:bookmarkEnd w:id="10"/>
      <w:bookmarkEnd w:id="11"/>
    </w:p>
    <w:p>
      <w:pPr>
        <w:pStyle w:val="Heading5"/>
        <w:rPr>
          <w:snapToGrid w:val="0"/>
        </w:rPr>
      </w:pPr>
      <w:bookmarkStart w:id="12" w:name="_Toc517949671"/>
      <w:r>
        <w:rPr>
          <w:rStyle w:val="CharSectno"/>
        </w:rPr>
        <w:t>6</w:t>
      </w:r>
      <w:r>
        <w:rPr>
          <w:snapToGrid w:val="0"/>
        </w:rPr>
        <w:t>.</w:t>
      </w:r>
      <w:r>
        <w:rPr>
          <w:snapToGrid w:val="0"/>
        </w:rPr>
        <w:tab/>
        <w:t>Classification of certificates of competency</w:t>
      </w:r>
      <w:bookmarkEnd w:id="12"/>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13" w:name="_Toc517949672"/>
      <w:r>
        <w:t>7.</w:t>
      </w:r>
      <w:r>
        <w:tab/>
        <w:t>Functions of certificates of competency</w:t>
      </w:r>
      <w:bookmarkEnd w:id="13"/>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14" w:name="_Toc517949673"/>
      <w:r>
        <w:rPr>
          <w:rStyle w:val="CharSectno"/>
        </w:rPr>
        <w:t>8</w:t>
      </w:r>
      <w:r>
        <w:rPr>
          <w:snapToGrid w:val="0"/>
        </w:rPr>
        <w:t>.</w:t>
      </w:r>
      <w:r>
        <w:rPr>
          <w:snapToGrid w:val="0"/>
        </w:rPr>
        <w:tab/>
        <w:t>Grant of certificate of competency</w:t>
      </w:r>
      <w:bookmarkEnd w:id="14"/>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15" w:name="_Toc517949674"/>
      <w:r>
        <w:rPr>
          <w:rStyle w:val="CharSectno"/>
        </w:rPr>
        <w:t>9</w:t>
      </w:r>
      <w:r>
        <w:rPr>
          <w:snapToGrid w:val="0"/>
        </w:rPr>
        <w:t>.</w:t>
      </w:r>
      <w:r>
        <w:rPr>
          <w:snapToGrid w:val="0"/>
        </w:rPr>
        <w:tab/>
        <w:t>Restriction or endorsement of certificate of competency</w:t>
      </w:r>
      <w:bookmarkEnd w:id="15"/>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16" w:name="_Toc517949675"/>
      <w:r>
        <w:rPr>
          <w:rStyle w:val="CharSectno"/>
        </w:rPr>
        <w:t>10</w:t>
      </w:r>
      <w:r>
        <w:rPr>
          <w:snapToGrid w:val="0"/>
        </w:rPr>
        <w:t>.</w:t>
      </w:r>
      <w:r>
        <w:rPr>
          <w:snapToGrid w:val="0"/>
        </w:rPr>
        <w:tab/>
        <w:t>Revalidation of certificates of competency</w:t>
      </w:r>
      <w:bookmarkEnd w:id="16"/>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7" w:name="_Toc517949676"/>
      <w:r>
        <w:rPr>
          <w:rStyle w:val="CharSectno"/>
        </w:rPr>
        <w:t>11</w:t>
      </w:r>
      <w:r>
        <w:rPr>
          <w:snapToGrid w:val="0"/>
        </w:rPr>
        <w:t>.</w:t>
      </w:r>
      <w:r>
        <w:rPr>
          <w:snapToGrid w:val="0"/>
        </w:rPr>
        <w:tab/>
        <w:t>Refusal to grant, endorse or revalidate certificates of competency</w:t>
      </w:r>
      <w:bookmarkEnd w:id="17"/>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18" w:name="_Toc517949677"/>
      <w:r>
        <w:rPr>
          <w:rStyle w:val="CharSectno"/>
        </w:rPr>
        <w:t>12</w:t>
      </w:r>
      <w:r>
        <w:rPr>
          <w:snapToGrid w:val="0"/>
        </w:rPr>
        <w:t>.</w:t>
      </w:r>
      <w:r>
        <w:rPr>
          <w:snapToGrid w:val="0"/>
        </w:rPr>
        <w:tab/>
        <w:t>Grant of certificates of satisfactory service</w:t>
      </w:r>
      <w:bookmarkEnd w:id="18"/>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19" w:name="_Toc517949678"/>
      <w:r>
        <w:rPr>
          <w:rStyle w:val="CharSectno"/>
        </w:rPr>
        <w:t>13</w:t>
      </w:r>
      <w:r>
        <w:rPr>
          <w:snapToGrid w:val="0"/>
        </w:rPr>
        <w:t>.</w:t>
      </w:r>
      <w:r>
        <w:rPr>
          <w:snapToGrid w:val="0"/>
        </w:rPr>
        <w:tab/>
        <w:t>Recognition of other certificates of competency</w:t>
      </w:r>
      <w:bookmarkEnd w:id="19"/>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20" w:name="_Toc517949679"/>
      <w:r>
        <w:rPr>
          <w:rStyle w:val="CharSectno"/>
        </w:rPr>
        <w:t>14</w:t>
      </w:r>
      <w:r>
        <w:rPr>
          <w:snapToGrid w:val="0"/>
        </w:rPr>
        <w:t>.</w:t>
      </w:r>
      <w:r>
        <w:rPr>
          <w:snapToGrid w:val="0"/>
        </w:rPr>
        <w:tab/>
        <w:t>Replacement of lost certificates</w:t>
      </w:r>
      <w:bookmarkEnd w:id="20"/>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21" w:name="_Toc517949680"/>
      <w:r>
        <w:rPr>
          <w:rStyle w:val="CharSectno"/>
        </w:rPr>
        <w:t>15A</w:t>
      </w:r>
      <w:r>
        <w:t>.</w:t>
      </w:r>
      <w:r>
        <w:tab/>
        <w:t>Requirement to maintain medical fitness</w:t>
      </w:r>
      <w:bookmarkEnd w:id="21"/>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22" w:name="_Toc517949681"/>
      <w:r>
        <w:rPr>
          <w:rStyle w:val="CharSectno"/>
        </w:rPr>
        <w:t>15</w:t>
      </w:r>
      <w:r>
        <w:rPr>
          <w:snapToGrid w:val="0"/>
        </w:rPr>
        <w:t>.</w:t>
      </w:r>
      <w:r>
        <w:rPr>
          <w:snapToGrid w:val="0"/>
        </w:rPr>
        <w:tab/>
        <w:t>Cancellation and suspension of certificates</w:t>
      </w:r>
      <w:bookmarkEnd w:id="22"/>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23" w:name="_Toc517876721"/>
      <w:bookmarkStart w:id="24" w:name="_Toc517949682"/>
      <w:r>
        <w:rPr>
          <w:rStyle w:val="CharPartNo"/>
        </w:rPr>
        <w:t>Part III</w:t>
      </w:r>
      <w:r>
        <w:rPr>
          <w:rStyle w:val="CharDivNo"/>
        </w:rPr>
        <w:t> </w:t>
      </w:r>
      <w:r>
        <w:t>—</w:t>
      </w:r>
      <w:r>
        <w:rPr>
          <w:rStyle w:val="CharDivText"/>
        </w:rPr>
        <w:t> </w:t>
      </w:r>
      <w:r>
        <w:rPr>
          <w:rStyle w:val="CharPartText"/>
        </w:rPr>
        <w:t>Examinations</w:t>
      </w:r>
      <w:bookmarkEnd w:id="23"/>
      <w:bookmarkEnd w:id="24"/>
    </w:p>
    <w:p>
      <w:pPr>
        <w:pStyle w:val="Heading5"/>
        <w:rPr>
          <w:snapToGrid w:val="0"/>
        </w:rPr>
      </w:pPr>
      <w:bookmarkStart w:id="25" w:name="_Toc517949683"/>
      <w:r>
        <w:rPr>
          <w:rStyle w:val="CharSectno"/>
        </w:rPr>
        <w:t>17</w:t>
      </w:r>
      <w:r>
        <w:rPr>
          <w:snapToGrid w:val="0"/>
        </w:rPr>
        <w:t>.</w:t>
      </w:r>
      <w:r>
        <w:rPr>
          <w:snapToGrid w:val="0"/>
        </w:rPr>
        <w:tab/>
        <w:t>Application for examination</w:t>
      </w:r>
      <w:bookmarkEnd w:id="25"/>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26" w:name="_Toc517949684"/>
      <w:r>
        <w:rPr>
          <w:rStyle w:val="CharSectno"/>
        </w:rPr>
        <w:t>18A</w:t>
      </w:r>
      <w:r>
        <w:t>.</w:t>
      </w:r>
      <w:r>
        <w:tab/>
        <w:t>Evidence of medical fitness</w:t>
      </w:r>
      <w:bookmarkEnd w:id="26"/>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27" w:name="_Toc517949685"/>
      <w:r>
        <w:rPr>
          <w:rStyle w:val="CharSectno"/>
        </w:rPr>
        <w:t>18</w:t>
      </w:r>
      <w:r>
        <w:rPr>
          <w:snapToGrid w:val="0"/>
        </w:rPr>
        <w:t>.</w:t>
      </w:r>
      <w:r>
        <w:rPr>
          <w:snapToGrid w:val="0"/>
        </w:rPr>
        <w:tab/>
        <w:t>Proof of qualifying service etc.</w:t>
      </w:r>
      <w:bookmarkEnd w:id="27"/>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28" w:name="_Toc517949686"/>
      <w:r>
        <w:rPr>
          <w:rStyle w:val="CharSectno"/>
        </w:rPr>
        <w:t>19</w:t>
      </w:r>
      <w:r>
        <w:rPr>
          <w:snapToGrid w:val="0"/>
        </w:rPr>
        <w:t>.</w:t>
      </w:r>
      <w:r>
        <w:rPr>
          <w:snapToGrid w:val="0"/>
        </w:rPr>
        <w:tab/>
        <w:t>Equivalent service and qualifications</w:t>
      </w:r>
      <w:bookmarkEnd w:id="28"/>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29" w:name="_Toc517949687"/>
      <w:r>
        <w:rPr>
          <w:rStyle w:val="CharSectno"/>
        </w:rPr>
        <w:t>20</w:t>
      </w:r>
      <w:r>
        <w:rPr>
          <w:snapToGrid w:val="0"/>
        </w:rPr>
        <w:t>.</w:t>
      </w:r>
      <w:r>
        <w:rPr>
          <w:snapToGrid w:val="0"/>
        </w:rPr>
        <w:tab/>
        <w:t>Inadequate proof of satisfactory service</w:t>
      </w:r>
      <w:bookmarkEnd w:id="29"/>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30" w:name="_Toc517949688"/>
      <w:r>
        <w:rPr>
          <w:rStyle w:val="CharSectno"/>
        </w:rPr>
        <w:t>21</w:t>
      </w:r>
      <w:r>
        <w:rPr>
          <w:snapToGrid w:val="0"/>
        </w:rPr>
        <w:t>.</w:t>
      </w:r>
      <w:r>
        <w:rPr>
          <w:snapToGrid w:val="0"/>
        </w:rPr>
        <w:tab/>
        <w:t>Discovery after examination of insufficient service</w:t>
      </w:r>
      <w:bookmarkEnd w:id="30"/>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31" w:name="_Toc517949689"/>
      <w:r>
        <w:rPr>
          <w:rStyle w:val="CharSectno"/>
        </w:rPr>
        <w:t>22</w:t>
      </w:r>
      <w:r>
        <w:rPr>
          <w:snapToGrid w:val="0"/>
        </w:rPr>
        <w:t>.</w:t>
      </w:r>
      <w:r>
        <w:rPr>
          <w:snapToGrid w:val="0"/>
        </w:rPr>
        <w:tab/>
        <w:t>Conduct of examinations</w:t>
      </w:r>
      <w:bookmarkEnd w:id="31"/>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32" w:name="_Toc517949690"/>
      <w:r>
        <w:rPr>
          <w:rStyle w:val="CharSectno"/>
        </w:rPr>
        <w:t>23</w:t>
      </w:r>
      <w:r>
        <w:rPr>
          <w:snapToGrid w:val="0"/>
        </w:rPr>
        <w:t>.</w:t>
      </w:r>
      <w:r>
        <w:rPr>
          <w:snapToGrid w:val="0"/>
        </w:rPr>
        <w:tab/>
        <w:t>Times and places of examinations</w:t>
      </w:r>
      <w:bookmarkEnd w:id="32"/>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33" w:name="_Toc517949691"/>
      <w:r>
        <w:rPr>
          <w:rStyle w:val="CharSectno"/>
        </w:rPr>
        <w:t>24</w:t>
      </w:r>
      <w:r>
        <w:rPr>
          <w:snapToGrid w:val="0"/>
        </w:rPr>
        <w:t>.</w:t>
      </w:r>
      <w:r>
        <w:rPr>
          <w:snapToGrid w:val="0"/>
        </w:rPr>
        <w:tab/>
        <w:t>Examination results</w:t>
      </w:r>
      <w:bookmarkEnd w:id="33"/>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34" w:name="_Toc517949692"/>
      <w:r>
        <w:rPr>
          <w:rStyle w:val="CharSectno"/>
        </w:rPr>
        <w:t>25</w:t>
      </w:r>
      <w:r>
        <w:rPr>
          <w:snapToGrid w:val="0"/>
        </w:rPr>
        <w:t>.</w:t>
      </w:r>
      <w:r>
        <w:rPr>
          <w:snapToGrid w:val="0"/>
        </w:rPr>
        <w:tab/>
        <w:t>Partial passes granted elsewhere</w:t>
      </w:r>
      <w:bookmarkEnd w:id="34"/>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5" w:name="_Toc517949693"/>
      <w:r>
        <w:rPr>
          <w:rStyle w:val="CharSectno"/>
        </w:rPr>
        <w:t>26</w:t>
      </w:r>
      <w:r>
        <w:rPr>
          <w:snapToGrid w:val="0"/>
        </w:rPr>
        <w:t>.</w:t>
      </w:r>
      <w:r>
        <w:rPr>
          <w:snapToGrid w:val="0"/>
        </w:rPr>
        <w:tab/>
        <w:t>Right of appeal</w:t>
      </w:r>
      <w:bookmarkEnd w:id="35"/>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36" w:name="_Toc517949694"/>
      <w:r>
        <w:rPr>
          <w:rStyle w:val="CharSectno"/>
        </w:rPr>
        <w:t>27</w:t>
      </w:r>
      <w:r>
        <w:rPr>
          <w:snapToGrid w:val="0"/>
        </w:rPr>
        <w:t>.</w:t>
      </w:r>
      <w:r>
        <w:rPr>
          <w:snapToGrid w:val="0"/>
        </w:rPr>
        <w:tab/>
        <w:t>Exemptions from examinations</w:t>
      </w:r>
      <w:bookmarkEnd w:id="36"/>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37" w:name="_Toc517876734"/>
      <w:bookmarkStart w:id="38" w:name="_Toc517949695"/>
      <w:r>
        <w:rPr>
          <w:rStyle w:val="CharPartNo"/>
        </w:rPr>
        <w:t>Part IIIA</w:t>
      </w:r>
      <w:r>
        <w:rPr>
          <w:rStyle w:val="CharDivNo"/>
        </w:rPr>
        <w:t> </w:t>
      </w:r>
      <w:r>
        <w:t>—</w:t>
      </w:r>
      <w:r>
        <w:rPr>
          <w:rStyle w:val="CharDivText"/>
        </w:rPr>
        <w:t> </w:t>
      </w:r>
      <w:r>
        <w:rPr>
          <w:rStyle w:val="CharPartText"/>
        </w:rPr>
        <w:t>Certificate of proficiency</w:t>
      </w:r>
      <w:bookmarkEnd w:id="37"/>
      <w:bookmarkEnd w:id="38"/>
    </w:p>
    <w:p>
      <w:pPr>
        <w:pStyle w:val="Footnoteheading"/>
        <w:ind w:left="890"/>
        <w:rPr>
          <w:snapToGrid w:val="0"/>
        </w:rPr>
      </w:pPr>
      <w:r>
        <w:rPr>
          <w:snapToGrid w:val="0"/>
        </w:rPr>
        <w:tab/>
        <w:t>[Heading inserted: Gazette 12 Jun 1987 p. 2323.]</w:t>
      </w:r>
    </w:p>
    <w:p>
      <w:pPr>
        <w:pStyle w:val="Heading5"/>
        <w:rPr>
          <w:snapToGrid w:val="0"/>
        </w:rPr>
      </w:pPr>
      <w:bookmarkStart w:id="39" w:name="_Toc517949696"/>
      <w:r>
        <w:rPr>
          <w:rStyle w:val="CharSectno"/>
        </w:rPr>
        <w:t>27A</w:t>
      </w:r>
      <w:r>
        <w:rPr>
          <w:snapToGrid w:val="0"/>
        </w:rPr>
        <w:t>.</w:t>
      </w:r>
      <w:r>
        <w:rPr>
          <w:snapToGrid w:val="0"/>
        </w:rPr>
        <w:tab/>
        <w:t>Certificate of proficiency — pleasure vessels</w:t>
      </w:r>
      <w:bookmarkEnd w:id="39"/>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40" w:name="_Toc517876736"/>
      <w:bookmarkStart w:id="41" w:name="_Toc517949697"/>
      <w:r>
        <w:rPr>
          <w:rStyle w:val="CharPartNo"/>
        </w:rPr>
        <w:t>Part IV</w:t>
      </w:r>
      <w:r>
        <w:rPr>
          <w:rStyle w:val="CharDivNo"/>
        </w:rPr>
        <w:t> </w:t>
      </w:r>
      <w:r>
        <w:t>—</w:t>
      </w:r>
      <w:r>
        <w:rPr>
          <w:rStyle w:val="CharDivText"/>
        </w:rPr>
        <w:t> </w:t>
      </w:r>
      <w:r>
        <w:rPr>
          <w:rStyle w:val="CharPartText"/>
        </w:rPr>
        <w:t>Safety manning</w:t>
      </w:r>
      <w:bookmarkEnd w:id="40"/>
      <w:bookmarkEnd w:id="41"/>
    </w:p>
    <w:p>
      <w:pPr>
        <w:pStyle w:val="Heading5"/>
        <w:rPr>
          <w:snapToGrid w:val="0"/>
        </w:rPr>
      </w:pPr>
      <w:bookmarkStart w:id="42" w:name="_Toc517949698"/>
      <w:r>
        <w:rPr>
          <w:rStyle w:val="CharSectno"/>
        </w:rPr>
        <w:t>28</w:t>
      </w:r>
      <w:r>
        <w:rPr>
          <w:snapToGrid w:val="0"/>
        </w:rPr>
        <w:t>.</w:t>
      </w:r>
      <w:r>
        <w:rPr>
          <w:snapToGrid w:val="0"/>
        </w:rPr>
        <w:tab/>
        <w:t>Manning of vessels</w:t>
      </w:r>
      <w:bookmarkEnd w:id="42"/>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43" w:name="_Toc517949699"/>
      <w:r>
        <w:rPr>
          <w:rStyle w:val="CharSectno"/>
        </w:rPr>
        <w:t>28A</w:t>
      </w:r>
      <w:r>
        <w:rPr>
          <w:snapToGrid w:val="0"/>
        </w:rPr>
        <w:t>.</w:t>
      </w:r>
      <w:r>
        <w:rPr>
          <w:snapToGrid w:val="0"/>
        </w:rPr>
        <w:tab/>
        <w:t>Exemption from manning requirements</w:t>
      </w:r>
      <w:bookmarkEnd w:id="4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44" w:name="_Toc517949700"/>
      <w:r>
        <w:rPr>
          <w:rStyle w:val="CharSectno"/>
        </w:rPr>
        <w:t>29</w:t>
      </w:r>
      <w:r>
        <w:rPr>
          <w:snapToGrid w:val="0"/>
        </w:rPr>
        <w:t>.</w:t>
      </w:r>
      <w:r>
        <w:rPr>
          <w:snapToGrid w:val="0"/>
        </w:rPr>
        <w:tab/>
        <w:t>Temporary dispensations</w:t>
      </w:r>
      <w:bookmarkEnd w:id="44"/>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45" w:name="_Toc517876740"/>
      <w:bookmarkStart w:id="46" w:name="_Toc517949701"/>
      <w:r>
        <w:rPr>
          <w:rStyle w:val="CharPartNo"/>
        </w:rPr>
        <w:t>Part VI</w:t>
      </w:r>
      <w:r>
        <w:rPr>
          <w:rStyle w:val="CharDivNo"/>
        </w:rPr>
        <w:t> </w:t>
      </w:r>
      <w:r>
        <w:t>—</w:t>
      </w:r>
      <w:r>
        <w:rPr>
          <w:rStyle w:val="CharDivText"/>
        </w:rPr>
        <w:t> </w:t>
      </w:r>
      <w:r>
        <w:rPr>
          <w:rStyle w:val="CharPartText"/>
        </w:rPr>
        <w:t>Miscellaneous</w:t>
      </w:r>
      <w:bookmarkEnd w:id="45"/>
      <w:bookmarkEnd w:id="46"/>
    </w:p>
    <w:p>
      <w:pPr>
        <w:pStyle w:val="Heading5"/>
        <w:rPr>
          <w:snapToGrid w:val="0"/>
        </w:rPr>
      </w:pPr>
      <w:bookmarkStart w:id="47" w:name="_Toc517949702"/>
      <w:r>
        <w:rPr>
          <w:rStyle w:val="CharSectno"/>
        </w:rPr>
        <w:t>31A</w:t>
      </w:r>
      <w:r>
        <w:rPr>
          <w:snapToGrid w:val="0"/>
        </w:rPr>
        <w:t>.</w:t>
      </w:r>
      <w:r>
        <w:rPr>
          <w:snapToGrid w:val="0"/>
        </w:rPr>
        <w:tab/>
        <w:t>Fees</w:t>
      </w:r>
      <w:bookmarkEnd w:id="47"/>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8" w:name="_Toc517876742"/>
      <w:bookmarkStart w:id="49" w:name="_Toc517949703"/>
      <w:r>
        <w:rPr>
          <w:rStyle w:val="CharSchNo"/>
        </w:rPr>
        <w:t>Schedule 1</w:t>
      </w:r>
      <w:bookmarkEnd w:id="48"/>
      <w:bookmarkEnd w:id="49"/>
    </w:p>
    <w:p>
      <w:pPr>
        <w:pStyle w:val="zyShoulderClause"/>
        <w:keepNext/>
        <w:rPr>
          <w:snapToGrid w:val="0"/>
        </w:rPr>
      </w:pPr>
      <w:r>
        <w:rPr>
          <w:snapToGrid w:val="0"/>
        </w:rPr>
        <w:t>[r. 4]</w:t>
      </w:r>
    </w:p>
    <w:p>
      <w:pPr>
        <w:pStyle w:val="yScheduleHeading"/>
        <w:pageBreakBefore w:val="0"/>
      </w:pPr>
      <w:bookmarkStart w:id="50" w:name="_Toc517876743"/>
      <w:bookmarkStart w:id="51" w:name="_Toc517949704"/>
      <w:r>
        <w:rPr>
          <w:rStyle w:val="CharSchText"/>
        </w:rPr>
        <w:t>Geographical limits of smooth waters and partially smooth waters</w:t>
      </w:r>
      <w:bookmarkEnd w:id="50"/>
      <w:bookmarkEnd w:id="51"/>
    </w:p>
    <w:p>
      <w:pPr>
        <w:pStyle w:val="yFootnoteheading"/>
        <w:rPr>
          <w:rStyle w:val="CharSchText"/>
          <w:sz w:val="24"/>
        </w:rPr>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rPr>
          <w:rStyle w:val="CharSchText"/>
          <w:snapToGrid/>
        </w:rPr>
      </w:pPr>
      <w:r>
        <w:tab/>
        <w:t>[Schedule 1 inserted: Gazette 6 Apr 2018 p. 1213</w:t>
      </w:r>
      <w:r>
        <w:noBreakHyphen/>
        <w:t>15.]</w:t>
      </w:r>
    </w:p>
    <w:p>
      <w:pPr>
        <w:pStyle w:val="yScheduleHeading"/>
      </w:pPr>
      <w:bookmarkStart w:id="52" w:name="_Toc517876744"/>
      <w:bookmarkStart w:id="53" w:name="_Toc517949705"/>
      <w:r>
        <w:rPr>
          <w:rStyle w:val="CharSchNo"/>
        </w:rPr>
        <w:t>Schedule 2</w:t>
      </w:r>
      <w:bookmarkEnd w:id="52"/>
      <w:bookmarkEnd w:id="53"/>
    </w:p>
    <w:p>
      <w:pPr>
        <w:pStyle w:val="yShoulderClause"/>
        <w:rPr>
          <w:snapToGrid w:val="0"/>
        </w:rPr>
      </w:pPr>
      <w:r>
        <w:rPr>
          <w:snapToGrid w:val="0"/>
        </w:rPr>
        <w:t>[r. 7]</w:t>
      </w:r>
    </w:p>
    <w:p>
      <w:pPr>
        <w:pStyle w:val="yHeading2"/>
      </w:pPr>
      <w:bookmarkStart w:id="54" w:name="_Toc517876745"/>
      <w:bookmarkStart w:id="55" w:name="_Toc517949706"/>
      <w:r>
        <w:rPr>
          <w:rStyle w:val="CharSchText"/>
        </w:rPr>
        <w:t>Functions of certificates of competency</w:t>
      </w:r>
      <w:bookmarkEnd w:id="54"/>
      <w:bookmarkEnd w:id="55"/>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56" w:name="_Toc517876746"/>
      <w:bookmarkStart w:id="57" w:name="_Toc517949707"/>
      <w:r>
        <w:rPr>
          <w:rStyle w:val="CharSchNo"/>
        </w:rPr>
        <w:t>Schedule 3</w:t>
      </w:r>
      <w:r>
        <w:t> — </w:t>
      </w:r>
      <w:r>
        <w:rPr>
          <w:rStyle w:val="CharSchText"/>
        </w:rPr>
        <w:t>Fees</w:t>
      </w:r>
      <w:bookmarkEnd w:id="56"/>
      <w:bookmarkEnd w:id="57"/>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$257.00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$190.00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w:t>
      </w:r>
      <w:r>
        <w:t>.]</w:t>
      </w:r>
    </w:p>
    <w:p>
      <w:pPr>
        <w:pStyle w:val="yScheduleHeading"/>
      </w:pPr>
      <w:bookmarkStart w:id="58" w:name="_Toc517876747"/>
      <w:bookmarkStart w:id="59" w:name="_Toc517949708"/>
      <w:r>
        <w:rPr>
          <w:rStyle w:val="CharSchNo"/>
        </w:rPr>
        <w:t>Schedule 4</w:t>
      </w:r>
      <w:bookmarkEnd w:id="58"/>
      <w:bookmarkEnd w:id="59"/>
    </w:p>
    <w:p>
      <w:pPr>
        <w:pStyle w:val="yShoulderClause"/>
        <w:rPr>
          <w:snapToGrid w:val="0"/>
        </w:rPr>
      </w:pPr>
      <w:r>
        <w:rPr>
          <w:snapToGrid w:val="0"/>
        </w:rPr>
        <w:t>[r. 18]</w:t>
      </w:r>
    </w:p>
    <w:p>
      <w:pPr>
        <w:pStyle w:val="yHeading2"/>
      </w:pPr>
      <w:bookmarkStart w:id="60" w:name="_Toc517876748"/>
      <w:bookmarkStart w:id="61" w:name="_Toc517949709"/>
      <w:r>
        <w:rPr>
          <w:rStyle w:val="CharSchText"/>
        </w:rPr>
        <w:t>Prerequisites for applicants for certificates of competency</w:t>
      </w:r>
      <w:bookmarkEnd w:id="60"/>
      <w:bookmarkEnd w:id="61"/>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62" w:name="_Toc517876749"/>
            <w:bookmarkStart w:id="63" w:name="_Toc517949710"/>
            <w:r>
              <w:rPr>
                <w:rStyle w:val="CharSchNo"/>
              </w:rPr>
              <w:t>Schedule 5</w:t>
            </w:r>
            <w:bookmarkEnd w:id="62"/>
            <w:bookmarkEnd w:id="63"/>
          </w:p>
          <w:p>
            <w:pPr>
              <w:pStyle w:val="yShoulderClause"/>
              <w:spacing w:before="0"/>
            </w:pPr>
            <w:r>
              <w:t>[r. 28]</w:t>
            </w:r>
          </w:p>
          <w:p>
            <w:pPr>
              <w:pStyle w:val="yHeading2"/>
              <w:spacing w:before="0" w:after="120"/>
            </w:pPr>
            <w:bookmarkStart w:id="64" w:name="_Toc517876750"/>
            <w:bookmarkStart w:id="65" w:name="_Toc517949711"/>
            <w:r>
              <w:rPr>
                <w:rStyle w:val="CharSchText"/>
              </w:rPr>
              <w:t>Safety manning</w:t>
            </w:r>
            <w:bookmarkEnd w:id="64"/>
            <w:bookmarkEnd w:id="65"/>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4" w:bottom="3544" w:left="2404" w:header="709" w:footer="3380" w:gutter="0"/>
          <w:cols w:space="720"/>
          <w:noEndnote/>
          <w:docGrid w:linePitch="326"/>
        </w:sectPr>
      </w:pPr>
    </w:p>
    <w:p>
      <w:pPr>
        <w:pStyle w:val="nHeading2"/>
      </w:pPr>
      <w:bookmarkStart w:id="67" w:name="_Toc517876751"/>
      <w:bookmarkStart w:id="68" w:name="_Toc517949712"/>
      <w:r>
        <w:t>Notes</w:t>
      </w:r>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517949713"/>
      <w:r>
        <w:rPr>
          <w:snapToGrid w:val="0"/>
        </w:rPr>
        <w:t>Compilation table</w:t>
      </w:r>
      <w:bookmarkEnd w:id="69"/>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gridSpan w:val="2"/>
            <w:tcBorders>
              <w:top w:val="single" w:sz="8" w:space="0" w:color="auto"/>
            </w:tcBorders>
          </w:tcPr>
          <w:p>
            <w:pPr>
              <w:pStyle w:val="nTable"/>
              <w:spacing w:after="40"/>
            </w:pPr>
            <w:r>
              <w:t>1 Jul 1983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gridSpan w:val="2"/>
          </w:tcPr>
          <w:p>
            <w:pPr>
              <w:pStyle w:val="nTable"/>
              <w:spacing w:after="40"/>
            </w:pPr>
            <w:r>
              <w:t>29 Jun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gridSpan w:val="2"/>
          </w:tcPr>
          <w:p>
            <w:pPr>
              <w:pStyle w:val="nTable"/>
              <w:spacing w:after="40"/>
            </w:pPr>
            <w:r>
              <w:t>17 Aug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gridSpan w:val="2"/>
          </w:tcPr>
          <w:p>
            <w:pPr>
              <w:pStyle w:val="nTable"/>
              <w:spacing w:after="40"/>
            </w:pPr>
            <w:r>
              <w:t>2 Aug 1985</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gridSpan w:val="2"/>
          </w:tcPr>
          <w:p>
            <w:pPr>
              <w:pStyle w:val="nTable"/>
              <w:spacing w:after="40"/>
            </w:pPr>
            <w:r>
              <w:t>2 Sep 1985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gridSpan w:val="2"/>
          </w:tcPr>
          <w:p>
            <w:pPr>
              <w:pStyle w:val="nTable"/>
              <w:spacing w:after="40"/>
            </w:pPr>
            <w:r>
              <w:t>8 Aug 1986</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gridSpan w:val="2"/>
          </w:tcPr>
          <w:p>
            <w:pPr>
              <w:pStyle w:val="nTable"/>
              <w:spacing w:after="40"/>
            </w:pPr>
            <w:r>
              <w:t>12 Jun 1987</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gridSpan w:val="2"/>
          </w:tcPr>
          <w:p>
            <w:pPr>
              <w:pStyle w:val="nTable"/>
              <w:keepNext/>
              <w:spacing w:after="40"/>
            </w:pPr>
            <w:r>
              <w:t>12 Aug 1988</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gridSpan w:val="2"/>
          </w:tcPr>
          <w:p>
            <w:pPr>
              <w:pStyle w:val="nTable"/>
              <w:spacing w:after="40"/>
            </w:pPr>
            <w:r>
              <w:t>23 Jun 1989</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gridSpan w:val="2"/>
          </w:tcPr>
          <w:p>
            <w:pPr>
              <w:pStyle w:val="nTable"/>
              <w:spacing w:after="40"/>
            </w:pPr>
            <w:r>
              <w:t>1 Jul 1989 (see r. 2)</w:t>
            </w:r>
          </w:p>
        </w:tc>
      </w:tr>
      <w:tr>
        <w:trPr>
          <w:gridBefore w:val="1"/>
          <w:wBefore w:w="1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gridSpan w:val="2"/>
          </w:tcPr>
          <w:p>
            <w:pPr>
              <w:pStyle w:val="nTable"/>
              <w:keepLines/>
              <w:spacing w:after="40"/>
            </w:pPr>
            <w:r>
              <w:t>1 Aug 1990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gridSpan w:val="2"/>
          </w:tcPr>
          <w:p>
            <w:pPr>
              <w:pStyle w:val="nTable"/>
              <w:spacing w:after="40"/>
            </w:pPr>
            <w:r>
              <w:t>1 Aug 1991 (see r. 2)</w:t>
            </w:r>
          </w:p>
        </w:tc>
      </w:tr>
      <w:tr>
        <w:trPr>
          <w:gridBefore w:val="1"/>
          <w:wBefore w:w="1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gridSpan w:val="2"/>
          </w:tcPr>
          <w:p>
            <w:pPr>
              <w:pStyle w:val="nTable"/>
              <w:spacing w:after="40"/>
            </w:pPr>
            <w:r>
              <w:t>1 Jul 1992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gridSpan w:val="2"/>
          </w:tcPr>
          <w:p>
            <w:pPr>
              <w:pStyle w:val="nTable"/>
              <w:spacing w:after="40"/>
            </w:pPr>
            <w:r>
              <w:t>11 Aug 1992</w:t>
            </w:r>
          </w:p>
        </w:tc>
      </w:tr>
      <w:tr>
        <w:trPr>
          <w:gridBefore w:val="1"/>
          <w:wBefore w:w="1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gridSpan w:val="2"/>
          </w:tcPr>
          <w:p>
            <w:pPr>
              <w:pStyle w:val="nTable"/>
              <w:spacing w:after="40"/>
            </w:pPr>
            <w:r>
              <w:t>1 Jul 1993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gridSpan w:val="2"/>
          </w:tcPr>
          <w:p>
            <w:pPr>
              <w:pStyle w:val="nTable"/>
              <w:spacing w:after="40"/>
            </w:pPr>
            <w:r>
              <w:t>1 Jul 1994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gridSpan w:val="2"/>
          </w:tcPr>
          <w:p>
            <w:pPr>
              <w:pStyle w:val="nTable"/>
              <w:spacing w:after="40"/>
            </w:pPr>
            <w:r>
              <w:t>11 Jul 1995</w:t>
            </w:r>
          </w:p>
        </w:tc>
      </w:tr>
      <w:tr>
        <w:trPr>
          <w:gridBefore w:val="1"/>
          <w:wBefore w:w="1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gridSpan w:val="2"/>
          </w:tcPr>
          <w:p>
            <w:pPr>
              <w:pStyle w:val="nTable"/>
              <w:spacing w:after="40"/>
            </w:pPr>
            <w:r>
              <w:t>25 Jun 1996</w:t>
            </w:r>
          </w:p>
        </w:tc>
      </w:tr>
      <w:tr>
        <w:trPr>
          <w:gridBefore w:val="1"/>
          <w:wBefore w:w="1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gridSpan w:val="2"/>
          </w:tcPr>
          <w:p>
            <w:pPr>
              <w:pStyle w:val="nTable"/>
              <w:spacing w:after="40"/>
            </w:pPr>
            <w:r>
              <w:t>1 Jul 1997 (see r. 2)</w:t>
            </w:r>
          </w:p>
        </w:tc>
      </w:tr>
      <w:tr>
        <w:trPr>
          <w:gridBefore w:val="1"/>
          <w:wBefore w:w="14" w:type="dxa"/>
          <w:cantSplit/>
        </w:trPr>
        <w:tc>
          <w:tcPr>
            <w:tcW w:w="7092" w:type="dxa"/>
            <w:gridSpan w:val="6"/>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gridSpan w:val="2"/>
          </w:tcPr>
          <w:p>
            <w:pPr>
              <w:pStyle w:val="nTable"/>
              <w:keepNext/>
              <w:spacing w:after="40"/>
            </w:pPr>
            <w:r>
              <w:t>3 Apr 1998</w:t>
            </w:r>
          </w:p>
        </w:tc>
      </w:tr>
      <w:tr>
        <w:trPr>
          <w:gridBefore w:val="1"/>
          <w:wBefore w:w="1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gridSpan w:val="2"/>
          </w:tcPr>
          <w:p>
            <w:pPr>
              <w:pStyle w:val="nTable"/>
              <w:spacing w:after="40"/>
            </w:pPr>
            <w:r>
              <w:t>1 Jul 1998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gridSpan w:val="2"/>
          </w:tcPr>
          <w:p>
            <w:pPr>
              <w:pStyle w:val="nTable"/>
              <w:spacing w:after="40"/>
            </w:pPr>
            <w:r>
              <w:t>28 Aug 1998</w:t>
            </w:r>
          </w:p>
        </w:tc>
      </w:tr>
      <w:tr>
        <w:trPr>
          <w:gridBefore w:val="1"/>
          <w:wBefore w:w="1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gridSpan w:val="2"/>
          </w:tcPr>
          <w:p>
            <w:pPr>
              <w:pStyle w:val="nTable"/>
              <w:spacing w:after="40"/>
            </w:pPr>
            <w:r>
              <w:t>1 Jul 2000 (see r. 2)</w:t>
            </w:r>
          </w:p>
        </w:tc>
      </w:tr>
      <w:tr>
        <w:trPr>
          <w:gridBefore w:val="1"/>
          <w:wBefore w:w="1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gridSpan w:val="2"/>
          </w:tcPr>
          <w:p>
            <w:pPr>
              <w:pStyle w:val="nTable"/>
              <w:spacing w:after="40"/>
            </w:pPr>
            <w:r>
              <w:t>1 Aug 2001 (see r. 2)</w:t>
            </w:r>
          </w:p>
        </w:tc>
      </w:tr>
      <w:tr>
        <w:trPr>
          <w:gridBefore w:val="1"/>
          <w:wBefore w:w="1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gridSpan w:val="2"/>
          </w:tcPr>
          <w:p>
            <w:pPr>
              <w:pStyle w:val="nTable"/>
              <w:spacing w:after="40"/>
            </w:pPr>
            <w:r>
              <w:t>1 Jul 2002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gridSpan w:val="2"/>
          </w:tcPr>
          <w:p>
            <w:pPr>
              <w:pStyle w:val="nTable"/>
              <w:spacing w:after="40"/>
            </w:pPr>
            <w:r>
              <w:t>1 Jul 2003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gridSpan w:val="2"/>
          </w:tcPr>
          <w:p>
            <w:pPr>
              <w:pStyle w:val="nTable"/>
              <w:spacing w:after="40"/>
            </w:pPr>
            <w:r>
              <w:t>1 Jul 2004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gridSpan w:val="2"/>
          </w:tcPr>
          <w:p>
            <w:pPr>
              <w:pStyle w:val="nTable"/>
              <w:spacing w:after="40"/>
            </w:pPr>
            <w:r>
              <w:t>24 Aug 2004</w:t>
            </w:r>
          </w:p>
        </w:tc>
      </w:tr>
      <w:tr>
        <w:trPr>
          <w:gridBefore w:val="1"/>
          <w:wBefore w:w="14" w:type="dxa"/>
          <w:cantSplit/>
        </w:trPr>
        <w:tc>
          <w:tcPr>
            <w:tcW w:w="7092" w:type="dxa"/>
            <w:gridSpan w:val="6"/>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gridSpan w:val="2"/>
          </w:tcPr>
          <w:p>
            <w:pPr>
              <w:pStyle w:val="nTable"/>
              <w:spacing w:after="40"/>
            </w:pPr>
            <w:r>
              <w:t xml:space="preserve">1 Jan 2005 (see r. 2 and </w:t>
            </w:r>
            <w:r>
              <w:rPr>
                <w:i/>
              </w:rPr>
              <w:t>Gazette</w:t>
            </w:r>
            <w:r>
              <w:t xml:space="preserve"> 31 Dec 2004 p. 7130)</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gridSpan w:val="2"/>
          </w:tcPr>
          <w:p>
            <w:pPr>
              <w:pStyle w:val="nTable"/>
              <w:spacing w:after="40"/>
            </w:pPr>
            <w:r>
              <w:t>1 Jul 2005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gridSpan w:val="2"/>
          </w:tcPr>
          <w:p>
            <w:pPr>
              <w:pStyle w:val="nTable"/>
              <w:spacing w:after="40"/>
            </w:pPr>
            <w:r>
              <w:t>16 Jun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gridSpan w:val="2"/>
          </w:tcPr>
          <w:p>
            <w:pPr>
              <w:pStyle w:val="nTable"/>
              <w:spacing w:after="40"/>
            </w:pPr>
            <w:r>
              <w:t>1 Jul 2006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gridSpan w:val="2"/>
          </w:tcPr>
          <w:p>
            <w:pPr>
              <w:pStyle w:val="nTable"/>
              <w:spacing w:after="40"/>
            </w:pPr>
            <w:r>
              <w:rPr>
                <w:color w:val="000000"/>
              </w:rPr>
              <w:t>8 Dec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gridSpan w:val="2"/>
          </w:tcPr>
          <w:p>
            <w:pPr>
              <w:pStyle w:val="nTable"/>
              <w:spacing w:after="40"/>
              <w:rPr>
                <w:color w:val="000000"/>
              </w:rPr>
            </w:pPr>
            <w:r>
              <w:t>1 Jul 2007 (see r. 2)</w:t>
            </w:r>
          </w:p>
        </w:tc>
      </w:tr>
      <w:tr>
        <w:trPr>
          <w:gridBefore w:val="1"/>
          <w:wBefore w:w="14" w:type="dxa"/>
          <w:cantSplit/>
        </w:trPr>
        <w:tc>
          <w:tcPr>
            <w:tcW w:w="7092" w:type="dxa"/>
            <w:gridSpan w:val="6"/>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gridSpan w:val="2"/>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gridSpan w:val="2"/>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rPr>
          <w:gridAfter w:val="1"/>
          <w:wAfter w:w="19" w:type="dxa"/>
          <w:cantSplit/>
        </w:trPr>
        <w:tc>
          <w:tcPr>
            <w:tcW w:w="3118"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693" w:type="dxa"/>
            <w:gridSpan w:val="2"/>
          </w:tcPr>
          <w:p>
            <w:pPr>
              <w:pStyle w:val="nTable"/>
              <w:spacing w:after="40"/>
            </w:pPr>
            <w:r>
              <w:rPr>
                <w:snapToGrid w:val="0"/>
                <w:color w:val="000000"/>
              </w:rPr>
              <w:t>r. 1 and 2: 30 Jun 2010 (see r. 2(a));</w:t>
            </w:r>
            <w:r>
              <w:rPr>
                <w:snapToGrid w:val="0"/>
                <w:color w:val="000000"/>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693" w:type="dxa"/>
            <w:gridSpan w:val="2"/>
          </w:tcPr>
          <w:p>
            <w:pPr>
              <w:pStyle w:val="nTable"/>
              <w:spacing w:after="40"/>
              <w:rPr>
                <w:rFonts w:ascii="Times" w:hAnsi="Times"/>
              </w:rPr>
            </w:pPr>
            <w:r>
              <w:rPr>
                <w:rFonts w:ascii="Times" w:hAnsi="Times"/>
                <w:snapToGrid w:val="0"/>
                <w:color w:val="000000"/>
              </w:rPr>
              <w:t>r. 1 and 2: 11 Feb 2011 (see r. 2(a));</w:t>
            </w:r>
            <w:r>
              <w:rPr>
                <w:rFonts w:ascii="Times" w:hAnsi="Times"/>
                <w:snapToGrid w:val="0"/>
                <w:color w:val="000000"/>
              </w:rPr>
              <w:br/>
              <w:t>Regulations other than r. 1 and 2: 12 Feb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21 Jun 2011 (see r. 2(a));</w:t>
            </w:r>
            <w:r>
              <w:rPr>
                <w:rFonts w:ascii="Times" w:hAnsi="Times"/>
                <w:snapToGrid w:val="0"/>
                <w:color w:val="000000"/>
              </w:rPr>
              <w:br/>
              <w:t>Regulations other than r. 1 and 2: 1 Jul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14 Feb 2012 (see r. 2(a));</w:t>
            </w:r>
            <w:r>
              <w:rPr>
                <w:rFonts w:ascii="Times" w:hAnsi="Times"/>
                <w:snapToGrid w:val="0"/>
                <w:color w:val="000000"/>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693" w:type="dxa"/>
            <w:gridSpan w:val="2"/>
            <w:shd w:val="clear" w:color="auto" w:fill="auto"/>
          </w:tcPr>
          <w:p>
            <w:pPr>
              <w:pStyle w:val="nTable"/>
              <w:spacing w:after="40"/>
              <w:rPr>
                <w:rFonts w:ascii="Times" w:hAnsi="Times"/>
                <w:snapToGrid w:val="0"/>
                <w:color w:val="000000"/>
              </w:rPr>
            </w:pPr>
            <w:r>
              <w:rPr>
                <w:rFonts w:ascii="Times" w:hAnsi="Times"/>
                <w:snapToGrid w:val="0"/>
                <w:color w:val="000000"/>
              </w:rPr>
              <w:t>r. 1 and 2: 15 Jun 2012 (see r. 2(a));</w:t>
            </w:r>
            <w:r>
              <w:rPr>
                <w:rFonts w:ascii="Times" w:hAnsi="Times"/>
                <w:snapToGrid w:val="0"/>
                <w:color w:val="000000"/>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rFonts w:ascii="Times" w:hAnsi="Times"/>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693" w:type="dxa"/>
            <w:gridSpan w:val="2"/>
            <w:shd w:val="clear" w:color="auto" w:fill="auto"/>
          </w:tcPr>
          <w:p>
            <w:pPr>
              <w:pStyle w:val="nTable"/>
              <w:spacing w:after="40"/>
              <w:rPr>
                <w:rFonts w:ascii="Times" w:hAnsi="Times"/>
                <w:i/>
                <w:snapToGrid w:val="0"/>
                <w:color w:val="000000"/>
              </w:rPr>
            </w:pPr>
            <w:r>
              <w:rPr>
                <w:rFonts w:ascii="Times" w:hAnsi="Times"/>
                <w:snapToGrid w:val="0"/>
                <w:color w:val="000000"/>
              </w:rPr>
              <w:t>r. 1 and 2: 28 Jun 2013 (see r. 2(a));</w:t>
            </w:r>
            <w:r>
              <w:rPr>
                <w:rFonts w:ascii="Times" w:hAnsi="Times"/>
                <w:snapToGrid w:val="0"/>
                <w:color w:val="000000"/>
              </w:rPr>
              <w:br/>
              <w:t>Regulations other than r. 1 and 2: 1 Jul 2013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693" w:type="dxa"/>
            <w:gridSpan w:val="2"/>
            <w:shd w:val="clear" w:color="auto" w:fill="auto"/>
          </w:tcPr>
          <w:p>
            <w:pPr>
              <w:pStyle w:val="nTable"/>
              <w:spacing w:after="40"/>
              <w:rPr>
                <w:rFonts w:ascii="Times" w:hAnsi="Times"/>
                <w:snapToGrid w:val="0"/>
                <w:color w:val="000000"/>
              </w:rPr>
            </w:pPr>
            <w:r>
              <w:rPr>
                <w:rFonts w:ascii="Times" w:hAnsi="Times"/>
                <w:snapToGrid w:val="0"/>
                <w:color w:val="000000"/>
              </w:rPr>
              <w:t>r. 1 and 2: 30 May 2014 (see r. 2(a));</w:t>
            </w:r>
            <w:r>
              <w:rPr>
                <w:rFonts w:ascii="Times" w:hAnsi="Times"/>
                <w:snapToGrid w:val="0"/>
                <w:color w:val="000000"/>
              </w:rPr>
              <w:br/>
              <w:t>Regulations other than r. 1 and 2: 1 Jul 2014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2018</w:t>
            </w:r>
          </w:p>
        </w:tc>
        <w:tc>
          <w:tcPr>
            <w:tcW w:w="1276" w:type="dxa"/>
            <w:gridSpan w:val="2"/>
            <w:shd w:val="clear" w:color="auto" w:fill="auto"/>
          </w:tcPr>
          <w:p>
            <w:pPr>
              <w:pStyle w:val="nTable"/>
              <w:spacing w:after="40"/>
            </w:pPr>
            <w:r>
              <w:t>6 Apr 2018 p. 1212</w:t>
            </w:r>
            <w:r>
              <w:noBreakHyphen/>
              <w:t>15</w:t>
            </w:r>
          </w:p>
        </w:tc>
        <w:tc>
          <w:tcPr>
            <w:tcW w:w="2693" w:type="dxa"/>
            <w:gridSpan w:val="2"/>
            <w:shd w:val="clear" w:color="auto" w:fill="auto"/>
          </w:tcPr>
          <w:p>
            <w:pPr>
              <w:pStyle w:val="nTable"/>
              <w:spacing w:after="40"/>
              <w:rPr>
                <w:rFonts w:ascii="Times" w:hAnsi="Times"/>
                <w:snapToGrid w:val="0"/>
                <w:color w:val="000000"/>
              </w:rPr>
            </w:pPr>
            <w:r>
              <w:rPr>
                <w:rFonts w:ascii="Times" w:hAnsi="Times"/>
                <w:bCs/>
                <w:snapToGrid w:val="0"/>
                <w:color w:val="000000"/>
                <w:spacing w:val="-2"/>
              </w:rPr>
              <w:t>r. 1 and 2: 6 Apr 2018 (see r. 2(a));</w:t>
            </w:r>
            <w:r>
              <w:rPr>
                <w:rFonts w:ascii="Times" w:hAnsi="Times"/>
                <w:bCs/>
                <w:snapToGrid w:val="0"/>
                <w:color w:val="000000"/>
                <w:spacing w:val="-2"/>
              </w:rPr>
              <w:br/>
              <w:t>Regulations other than r. 1 and 2: 7 Apr 2018 (see r. 2(b))</w:t>
            </w:r>
          </w:p>
        </w:tc>
      </w:tr>
      <w:tr>
        <w:trPr>
          <w:gridAfter w:val="1"/>
          <w:wAfter w:w="19" w:type="dxa"/>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gridSpan w:val="2"/>
            <w:tcBorders>
              <w:bottom w:val="single" w:sz="4" w:space="0" w:color="auto"/>
            </w:tcBorders>
            <w:shd w:val="clear" w:color="auto" w:fill="auto"/>
          </w:tcPr>
          <w:p>
            <w:pPr>
              <w:pStyle w:val="nTable"/>
              <w:spacing w:after="40"/>
            </w:pPr>
            <w:r>
              <w:t>22 Jun 2018 p. 2184</w:t>
            </w:r>
            <w:r>
              <w:noBreakHyphen/>
              <w:t>93</w:t>
            </w:r>
          </w:p>
        </w:tc>
        <w:tc>
          <w:tcPr>
            <w:tcW w:w="2693" w:type="dxa"/>
            <w:gridSpan w:val="2"/>
            <w:tcBorders>
              <w:bottom w:val="single" w:sz="4" w:space="0" w:color="auto"/>
            </w:tcBorders>
            <w:shd w:val="clear" w:color="auto" w:fill="auto"/>
          </w:tcPr>
          <w:p>
            <w:pPr>
              <w:pStyle w:val="nTable"/>
              <w:spacing w:after="40"/>
              <w:rPr>
                <w:rFonts w:ascii="Times" w:hAnsi="Times"/>
                <w:bCs/>
                <w:snapToGrid w:val="0"/>
                <w:color w:val="000000"/>
                <w:spacing w:val="-2"/>
              </w:rPr>
            </w:pPr>
            <w:r>
              <w:rPr>
                <w:snapToGrid w:val="0"/>
                <w:spacing w:val="-2"/>
              </w:rPr>
              <w:t>1 Jul 2018 (see r. 2(b))</w:t>
            </w:r>
          </w:p>
        </w:tc>
      </w:tr>
    </w:tbl>
    <w:p>
      <w:pPr>
        <w:pStyle w:val="nSubsection"/>
      </w:pPr>
      <w:r>
        <w:rPr>
          <w:vertAlign w:val="superscript"/>
        </w:rPr>
        <w:t>2</w:t>
      </w:r>
      <w:r>
        <w:tab/>
        <w:t xml:space="preserve">Repealed by the </w:t>
      </w:r>
      <w:r>
        <w:rPr>
          <w:i/>
        </w:rPr>
        <w:t>Pearling Act 1990.</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1" w:name="_Toc517876753"/>
      <w:bookmarkStart w:id="72" w:name="_Toc517949714"/>
      <w:r>
        <w:rPr>
          <w:sz w:val="28"/>
        </w:rPr>
        <w:t>Defined terms</w:t>
      </w:r>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5837"/>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00CB-2AA7-4A09-87E4-D312A92F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15795</Words>
  <Characters>81345</Characters>
  <Application>Microsoft Office Word</Application>
  <DocSecurity>0</DocSecurity>
  <Lines>3389</Lines>
  <Paragraphs>1674</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1983 - 05-f0-01</dc:title>
  <dc:subject/>
  <dc:creator/>
  <cp:keywords/>
  <dc:description/>
  <cp:lastModifiedBy>svcMRProcess</cp:lastModifiedBy>
  <cp:revision>4</cp:revision>
  <cp:lastPrinted>2013-03-28T00:04:00Z</cp:lastPrinted>
  <dcterms:created xsi:type="dcterms:W3CDTF">2019-01-21T01:19:00Z</dcterms:created>
  <dcterms:modified xsi:type="dcterms:W3CDTF">2019-01-21T01:19:00Z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01 Jul 2018</vt:lpwstr>
  </property>
  <property fmtid="{D5CDD505-2E9C-101B-9397-08002B2CF9AE}" pid="8" name="Suffix">
    <vt:lpwstr>05-f0-01</vt:lpwstr>
  </property>
  <property fmtid="{D5CDD505-2E9C-101B-9397-08002B2CF9AE}" pid="9" name="CommencementDate">
    <vt:lpwstr>20180701</vt:lpwstr>
  </property>
</Properties>
</file>