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_Toc518635892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_Toc518635893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_Toc518635894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_Toc518635895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_Toc518635896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_Toc518635897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_Toc518635898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_Toc518635899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_Toc518635900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_Toc518635901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_Toc518635902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_Toc518635903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_Toc518635904 \h </w:instrText>
      </w:r>
      <w:r>
        <w:fldChar w:fldCharType="separate"/>
      </w:r>
      <w:r>
        <w:t>6</w:t>
      </w:r>
      <w:r>
        <w:fldChar w:fldCharType="end"/>
      </w:r>
    </w:p>
    <w:p>
      <w:pPr>
        <w:pStyle w:val="TOC8"/>
        <w:rPr>
          <w:rFonts w:asciiTheme="minorHAnsi" w:eastAsiaTheme="minorEastAsia" w:hAnsiTheme="minorHAnsi" w:cstheme="minorBidi"/>
          <w:szCs w:val="22"/>
        </w:rPr>
      </w:pPr>
      <w:r>
        <w:t>4AE.</w:t>
      </w:r>
      <w:r>
        <w:tab/>
        <w:t xml:space="preserve">Substance prescribed (liqueur chocolate) (Act s. 3(1) </w:t>
      </w:r>
      <w:r>
        <w:rPr>
          <w:i/>
        </w:rPr>
        <w:t>liquor</w:t>
      </w:r>
      <w:r>
        <w:t>)</w:t>
      </w:r>
      <w:r>
        <w:tab/>
      </w:r>
      <w:r>
        <w:fldChar w:fldCharType="begin"/>
      </w:r>
      <w:r>
        <w:instrText xml:space="preserve"> PAGEREF _Toc518635905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_Toc518635906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_Toc518635907 \h </w:instrText>
      </w:r>
      <w:r>
        <w:fldChar w:fldCharType="separate"/>
      </w:r>
      <w:r>
        <w:t>8</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_Toc518635908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_Toc518635909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_Toc518635910 \h </w:instrText>
      </w:r>
      <w:r>
        <w:fldChar w:fldCharType="separate"/>
      </w:r>
      <w:r>
        <w:t>10</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_Toc518635911 \h </w:instrText>
      </w:r>
      <w:r>
        <w:fldChar w:fldCharType="separate"/>
      </w:r>
      <w:r>
        <w:t>14</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_Toc518635912 \h </w:instrText>
      </w:r>
      <w:r>
        <w:fldChar w:fldCharType="separate"/>
      </w:r>
      <w:r>
        <w:t>20</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_Toc518635913 \h </w:instrText>
      </w:r>
      <w:r>
        <w:fldChar w:fldCharType="separate"/>
      </w:r>
      <w:r>
        <w:t>21</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_Toc518635914 \h </w:instrText>
      </w:r>
      <w:r>
        <w:fldChar w:fldCharType="separate"/>
      </w:r>
      <w:r>
        <w:t>22</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_Toc518635915 \h </w:instrText>
      </w:r>
      <w:r>
        <w:fldChar w:fldCharType="separate"/>
      </w:r>
      <w:r>
        <w:t>23</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_Toc518635916 \h </w:instrText>
      </w:r>
      <w:r>
        <w:fldChar w:fldCharType="separate"/>
      </w:r>
      <w:r>
        <w:t>25</w:t>
      </w:r>
      <w:r>
        <w:fldChar w:fldCharType="end"/>
      </w:r>
    </w:p>
    <w:p>
      <w:pPr>
        <w:pStyle w:val="TOC8"/>
        <w:rPr>
          <w:rFonts w:asciiTheme="minorHAnsi" w:eastAsiaTheme="minorEastAsia" w:hAnsiTheme="minorHAnsi" w:cstheme="minorBidi"/>
          <w:szCs w:val="22"/>
        </w:rPr>
      </w:pPr>
      <w:r>
        <w:t>8F.</w:t>
      </w:r>
      <w:r>
        <w:tab/>
        <w:t>Exemption from Act for consumption in licensed omnibus (Act s. 6(1)(o))</w:t>
      </w:r>
      <w:r>
        <w:tab/>
      </w:r>
      <w:r>
        <w:fldChar w:fldCharType="begin"/>
      </w:r>
      <w:r>
        <w:instrText xml:space="preserve"> PAGEREF _Toc518635917 \h </w:instrText>
      </w:r>
      <w:r>
        <w:fldChar w:fldCharType="separate"/>
      </w:r>
      <w:r>
        <w:t>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_Toc518635918 \h </w:instrText>
      </w:r>
      <w:r>
        <w:fldChar w:fldCharType="separate"/>
      </w:r>
      <w:r>
        <w:t>27</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_Toc518635919 \h </w:instrText>
      </w:r>
      <w:r>
        <w:fldChar w:fldCharType="separate"/>
      </w:r>
      <w:r>
        <w:t>27</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_Toc518635920 \h </w:instrText>
      </w:r>
      <w:r>
        <w:fldChar w:fldCharType="separate"/>
      </w:r>
      <w:r>
        <w:t>27</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_Toc518635921 \h </w:instrText>
      </w:r>
      <w:r>
        <w:fldChar w:fldCharType="separate"/>
      </w:r>
      <w:r>
        <w:t>35</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_Toc518635922 \h </w:instrText>
      </w:r>
      <w:r>
        <w:fldChar w:fldCharType="separate"/>
      </w:r>
      <w:r>
        <w:t>35</w:t>
      </w:r>
      <w:r>
        <w:fldChar w:fldCharType="end"/>
      </w:r>
    </w:p>
    <w:p>
      <w:pPr>
        <w:pStyle w:val="TOC8"/>
        <w:rPr>
          <w:rFonts w:asciiTheme="minorHAnsi" w:eastAsiaTheme="minorEastAsia" w:hAnsiTheme="minorHAnsi" w:cstheme="minorBidi"/>
          <w:szCs w:val="22"/>
        </w:rPr>
      </w:pPr>
      <w:r>
        <w:t>9C.</w:t>
      </w:r>
      <w:r>
        <w:tab/>
        <w:t>Types of special facility licence prescribed (Act s. 46(6))</w:t>
      </w:r>
      <w:r>
        <w:tab/>
      </w:r>
      <w:r>
        <w:fldChar w:fldCharType="begin"/>
      </w:r>
      <w:r>
        <w:instrText xml:space="preserve"> PAGEREF _Toc518635923 \h </w:instrText>
      </w:r>
      <w:r>
        <w:fldChar w:fldCharType="separate"/>
      </w:r>
      <w:r>
        <w:t>36</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_Toc518635924 \h </w:instrText>
      </w:r>
      <w:r>
        <w:fldChar w:fldCharType="separate"/>
      </w:r>
      <w:r>
        <w:t>36</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_Toc518635925 \h </w:instrText>
      </w:r>
      <w:r>
        <w:fldChar w:fldCharType="separate"/>
      </w:r>
      <w:r>
        <w:t>37</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_Toc518635926 \h </w:instrText>
      </w:r>
      <w:r>
        <w:fldChar w:fldCharType="separate"/>
      </w:r>
      <w:r>
        <w:t>37</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_Toc518635927 \h </w:instrText>
      </w:r>
      <w:r>
        <w:fldChar w:fldCharType="separate"/>
      </w:r>
      <w:r>
        <w:t>38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_Toc518635928 \h </w:instrText>
      </w:r>
      <w:r>
        <w:fldChar w:fldCharType="separate"/>
      </w:r>
      <w:r>
        <w:t>38</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_Toc518635929 \h </w:instrText>
      </w:r>
      <w:r>
        <w:fldChar w:fldCharType="separate"/>
      </w:r>
      <w:r>
        <w:t>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_Toc518635930 \h </w:instrText>
      </w:r>
      <w:r>
        <w:fldChar w:fldCharType="separate"/>
      </w:r>
      <w:r>
        <w:t>39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_Toc518635931 \h </w:instrText>
      </w:r>
      <w:r>
        <w:fldChar w:fldCharType="separate"/>
      </w:r>
      <w:r>
        <w:t>41</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_Toc518635932 \h </w:instrText>
      </w:r>
      <w:r>
        <w:fldChar w:fldCharType="separate"/>
      </w:r>
      <w:r>
        <w:t>42</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_Toc518635933 \h </w:instrText>
      </w:r>
      <w:r>
        <w:fldChar w:fldCharType="separate"/>
      </w:r>
      <w:r>
        <w:t>42</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_Toc518635934 \h </w:instrText>
      </w:r>
      <w:r>
        <w:fldChar w:fldCharType="separate"/>
      </w:r>
      <w:r>
        <w:t>43</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_Toc518635935 \h </w:instrText>
      </w:r>
      <w:r>
        <w:fldChar w:fldCharType="separate"/>
      </w:r>
      <w:r>
        <w:t>43</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_Toc518635936 \h </w:instrText>
      </w:r>
      <w:r>
        <w:fldChar w:fldCharType="separate"/>
      </w:r>
      <w:r>
        <w:t>44</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_Toc518635937 \h </w:instrText>
      </w:r>
      <w:r>
        <w:fldChar w:fldCharType="separate"/>
      </w:r>
      <w:r>
        <w:t>45</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_Toc518635938 \h </w:instrText>
      </w:r>
      <w:r>
        <w:fldChar w:fldCharType="separate"/>
      </w:r>
      <w:r>
        <w:t>45</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_Toc518635939 \h </w:instrText>
      </w:r>
      <w:r>
        <w:fldChar w:fldCharType="separate"/>
      </w:r>
      <w:r>
        <w:t>46</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_Toc518635940 \h </w:instrText>
      </w:r>
      <w:r>
        <w:fldChar w:fldCharType="separate"/>
      </w:r>
      <w:r>
        <w:t>46</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_Toc518635941 \h </w:instrText>
      </w:r>
      <w:r>
        <w:fldChar w:fldCharType="separate"/>
      </w:r>
      <w:r>
        <w:t>47</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_Toc518635942 \h </w:instrText>
      </w:r>
      <w:r>
        <w:fldChar w:fldCharType="separate"/>
      </w:r>
      <w:r>
        <w:t>48</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_Toc518635943 \h </w:instrText>
      </w:r>
      <w:r>
        <w:fldChar w:fldCharType="separate"/>
      </w:r>
      <w:r>
        <w:t>49</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_Toc518635944 \h </w:instrText>
      </w:r>
      <w:r>
        <w:fldChar w:fldCharType="separate"/>
      </w:r>
      <w:r>
        <w:t>50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_Toc518635945 \h </w:instrText>
      </w:r>
      <w:r>
        <w:fldChar w:fldCharType="separate"/>
      </w:r>
      <w:r>
        <w:t>51</w:t>
      </w:r>
      <w:r>
        <w:fldChar w:fldCharType="end"/>
      </w:r>
    </w:p>
    <w:p>
      <w:pPr>
        <w:pStyle w:val="TOC8"/>
        <w:rPr>
          <w:rFonts w:asciiTheme="minorHAnsi" w:eastAsiaTheme="minorEastAsia" w:hAnsiTheme="minorHAnsi" w:cstheme="minorBidi"/>
          <w:szCs w:val="22"/>
        </w:rPr>
      </w:pPr>
      <w:r>
        <w:t>16A.</w:t>
      </w:r>
      <w:r>
        <w:tab/>
        <w:t xml:space="preserve">Sports arenas prescribed (Act s. 110(4B) </w:t>
      </w:r>
      <w:r>
        <w:rPr>
          <w:i/>
        </w:rPr>
        <w:t>sports arena</w:t>
      </w:r>
      <w:r>
        <w:t>)</w:t>
      </w:r>
      <w:r>
        <w:tab/>
      </w:r>
      <w:r>
        <w:fldChar w:fldCharType="begin"/>
      </w:r>
      <w:r>
        <w:instrText xml:space="preserve"> PAGEREF _Toc518635946 \h </w:instrText>
      </w:r>
      <w:r>
        <w:fldChar w:fldCharType="separate"/>
      </w:r>
      <w:r>
        <w:t>51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_Toc518635947 \h </w:instrText>
      </w:r>
      <w:r>
        <w:fldChar w:fldCharType="separate"/>
      </w:r>
      <w:r>
        <w:t>52</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_Toc518635948 \h </w:instrText>
      </w:r>
      <w:r>
        <w:fldChar w:fldCharType="separate"/>
      </w:r>
      <w:r>
        <w:t>52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_Toc518635949 \h </w:instrText>
      </w:r>
      <w:r>
        <w:fldChar w:fldCharType="separate"/>
      </w:r>
      <w:r>
        <w:t>53</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_Toc518635950 \h </w:instrText>
      </w:r>
      <w:r>
        <w:fldChar w:fldCharType="separate"/>
      </w:r>
      <w:r>
        <w:t>54</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_Toc518635951 \h </w:instrText>
      </w:r>
      <w:r>
        <w:fldChar w:fldCharType="separate"/>
      </w:r>
      <w:r>
        <w:t>55</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_Toc518635952 \h </w:instrText>
      </w:r>
      <w:r>
        <w:fldChar w:fldCharType="separate"/>
      </w:r>
      <w:r>
        <w:t>56</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_Toc518635953 \h </w:instrText>
      </w:r>
      <w:r>
        <w:fldChar w:fldCharType="separate"/>
      </w:r>
      <w:r>
        <w:t>56</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_Toc518635954 \h </w:instrText>
      </w:r>
      <w:r>
        <w:fldChar w:fldCharType="separate"/>
      </w:r>
      <w:r>
        <w:t>56</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_Toc518635955 \h </w:instrText>
      </w:r>
      <w:r>
        <w:fldChar w:fldCharType="separate"/>
      </w:r>
      <w:r>
        <w:t>58</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_Toc518635956 \h </w:instrText>
      </w:r>
      <w:r>
        <w:fldChar w:fldCharType="separate"/>
      </w:r>
      <w:r>
        <w:t>58</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_Toc518635957 \h </w:instrText>
      </w:r>
      <w:r>
        <w:fldChar w:fldCharType="separate"/>
      </w:r>
      <w:r>
        <w:t>60</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_Toc518635958 \h </w:instrText>
      </w:r>
      <w:r>
        <w:fldChar w:fldCharType="separate"/>
      </w:r>
      <w:r>
        <w:t>61</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_Toc518635959 \h </w:instrText>
      </w:r>
      <w:r>
        <w:fldChar w:fldCharType="separate"/>
      </w:r>
      <w:r>
        <w:t>62</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_Toc518635960 \h </w:instrText>
      </w:r>
      <w:r>
        <w:fldChar w:fldCharType="separate"/>
      </w:r>
      <w:r>
        <w:t>62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_Toc518635961 \h </w:instrText>
      </w:r>
      <w:r>
        <w:fldChar w:fldCharType="separate"/>
      </w:r>
      <w:r>
        <w:t>62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_Toc518635962 \h </w:instrText>
      </w:r>
      <w:r>
        <w:fldChar w:fldCharType="separate"/>
      </w:r>
      <w:r>
        <w:t>63</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_Toc518635963 \h </w:instrText>
      </w:r>
      <w:r>
        <w:fldChar w:fldCharType="separate"/>
      </w:r>
      <w:r>
        <w:t>63</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_Toc518635964 \h </w:instrText>
      </w:r>
      <w:r>
        <w:fldChar w:fldCharType="separate"/>
      </w:r>
      <w:r>
        <w:t>64</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_Toc518635965 \h </w:instrText>
      </w:r>
      <w:r>
        <w:fldChar w:fldCharType="separate"/>
      </w:r>
      <w:r>
        <w:t>65</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_Toc518635966 \h </w:instrText>
      </w:r>
      <w:r>
        <w:fldChar w:fldCharType="separate"/>
      </w:r>
      <w:r>
        <w:t>65</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_Toc518635967 \h </w:instrText>
      </w:r>
      <w:r>
        <w:fldChar w:fldCharType="separate"/>
      </w:r>
      <w:r>
        <w:t>65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_Toc518635968 \h </w:instrText>
      </w:r>
      <w:r>
        <w:fldChar w:fldCharType="separate"/>
      </w:r>
      <w:r>
        <w:t>66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_Toc518635969 \h </w:instrText>
      </w:r>
      <w:r>
        <w:fldChar w:fldCharType="separate"/>
      </w:r>
      <w:r>
        <w:t>68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_Toc518635970 \h </w:instrText>
      </w:r>
      <w:r>
        <w:fldChar w:fldCharType="separate"/>
      </w:r>
      <w:r>
        <w:t>69</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_Toc518635971 \h </w:instrText>
      </w:r>
      <w:r>
        <w:fldChar w:fldCharType="separate"/>
      </w:r>
      <w:r>
        <w:t>71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_Toc518635972 \h </w:instrText>
      </w:r>
      <w:r>
        <w:fldChar w:fldCharType="separate"/>
      </w:r>
      <w:r>
        <w:t>71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_Toc518635973 \h </w:instrText>
      </w:r>
      <w:r>
        <w:fldChar w:fldCharType="separate"/>
      </w:r>
      <w:r>
        <w:t>71</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_Toc518635974 \h </w:instrText>
      </w:r>
      <w:r>
        <w:fldChar w:fldCharType="separate"/>
      </w:r>
      <w:r>
        <w:t>73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_Toc518635975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_Toc518635982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518635892"/>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518635893"/>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518635894"/>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6" w:name="_Toc518635895"/>
      <w:r>
        <w:rPr>
          <w:rStyle w:val="CharSectno"/>
        </w:rPr>
        <w:t>3A</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 6 Sep 2016 p. 3828; 10 Jan 2017 p. 140.]</w:t>
      </w:r>
    </w:p>
    <w:p>
      <w:pPr>
        <w:pStyle w:val="Heading5"/>
        <w:keepLines w:val="0"/>
      </w:pPr>
      <w:bookmarkStart w:id="7" w:name="_Toc518635896"/>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Next w:val="0"/>
        <w:keepLines w:val="0"/>
        <w:pageBreakBefore/>
        <w:spacing w:before="0"/>
      </w:pPr>
      <w:bookmarkStart w:id="8" w:name="_Toc518635897"/>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pPr>
      <w:bookmarkStart w:id="9" w:name="_Toc518635898"/>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rPr>
          <w:rStyle w:val="CharSectno"/>
        </w:rPr>
      </w:pPr>
      <w:r>
        <w:tab/>
        <w:t>[Regulation 3AD inserted in Gazette 7 Aug 2015 p. 3206.]</w:t>
      </w:r>
    </w:p>
    <w:p>
      <w:pPr>
        <w:pStyle w:val="Heading5"/>
        <w:keepLines w:val="0"/>
        <w:spacing w:before="180"/>
        <w:rPr>
          <w:snapToGrid w:val="0"/>
        </w:rPr>
      </w:pPr>
      <w:bookmarkStart w:id="10" w:name="_Toc518635899"/>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180"/>
        <w:rPr>
          <w:snapToGrid w:val="0"/>
        </w:rPr>
      </w:pPr>
      <w:bookmarkStart w:id="11" w:name="_Toc518635900"/>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keepNext w:val="0"/>
        <w:keepLines w:val="0"/>
        <w:spacing w:before="180"/>
        <w:rPr>
          <w:bCs/>
          <w:snapToGrid w:val="0"/>
        </w:rPr>
      </w:pPr>
      <w:bookmarkStart w:id="12" w:name="_Toc518635901"/>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3" w:name="_Toc518635902"/>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keepNext w:val="0"/>
        <w:keepLines w:val="0"/>
        <w:pageBreakBefore/>
        <w:spacing w:before="0"/>
        <w:rPr>
          <w:bCs/>
        </w:rPr>
      </w:pPr>
      <w:bookmarkStart w:id="14" w:name="_Toc518635903"/>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pPr>
      <w:bookmarkStart w:id="15" w:name="_Toc518635904"/>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rPr>
          <w:rStyle w:val="CharSectno"/>
        </w:rPr>
      </w:pPr>
      <w:r>
        <w:tab/>
        <w:t>[Regulation 4AD inserted in Gazette 7 Aug 2015 p. 3206</w:t>
      </w:r>
      <w:r>
        <w:noBreakHyphen/>
        <w:t>7.]</w:t>
      </w:r>
    </w:p>
    <w:p>
      <w:pPr>
        <w:pStyle w:val="Heading5"/>
      </w:pPr>
      <w:bookmarkStart w:id="16" w:name="_Toc518635905"/>
      <w:r>
        <w:rPr>
          <w:rStyle w:val="CharSectno"/>
        </w:rPr>
        <w:t>4AE</w:t>
      </w:r>
      <w:r>
        <w:t>.</w:t>
      </w:r>
      <w:r>
        <w:tab/>
        <w:t xml:space="preserve">Substance prescribed (liqueur chocolate) (Act s. 3(1) </w:t>
      </w:r>
      <w:r>
        <w:rPr>
          <w:i/>
        </w:rPr>
        <w:t>liquor</w:t>
      </w:r>
      <w:r>
        <w:t>)</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in Gazette 1 Dec 2015 p. 4821</w:t>
      </w:r>
      <w:r>
        <w:noBreakHyphen/>
        <w:t>2.]</w:t>
      </w:r>
    </w:p>
    <w:p>
      <w:pPr>
        <w:pStyle w:val="Heading5"/>
        <w:rPr>
          <w:snapToGrid w:val="0"/>
        </w:rPr>
      </w:pPr>
      <w:bookmarkStart w:id="17" w:name="_Toc518635906"/>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keepNext w:val="0"/>
        <w:keepLines w:val="0"/>
        <w:spacing w:before="180"/>
      </w:pPr>
      <w:bookmarkStart w:id="18" w:name="_Toc518635907"/>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19" w:name="_Toc518635908"/>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20" w:name="_Toc518635909"/>
      <w:r>
        <w:rPr>
          <w:rStyle w:val="CharSectno"/>
        </w:rPr>
        <w:t>7</w:t>
      </w:r>
      <w:r>
        <w:rPr>
          <w:snapToGrid w:val="0"/>
        </w:rPr>
        <w:t>.</w:t>
      </w:r>
      <w:r>
        <w:rPr>
          <w:snapToGrid w:val="0"/>
        </w:rPr>
        <w:tab/>
        <w:t>Approved courses (Act s. 6(1)(c))</w:t>
      </w:r>
      <w:bookmarkEnd w:id="20"/>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21" w:name="_Toc518635910"/>
      <w:r>
        <w:rPr>
          <w:rStyle w:val="CharSectno"/>
        </w:rPr>
        <w:t>8</w:t>
      </w:r>
      <w:r>
        <w:rPr>
          <w:snapToGrid w:val="0"/>
        </w:rPr>
        <w:t>.</w:t>
      </w:r>
      <w:r>
        <w:rPr>
          <w:snapToGrid w:val="0"/>
        </w:rPr>
        <w:tab/>
        <w:t>Exemption from Act, certain sales etc.</w:t>
      </w:r>
      <w:bookmarkEnd w:id="21"/>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home;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by a person who is an approved provider providing residential care, to a person who is accommodated in the residential facility where that residential care is provided;</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w:t>
      </w:r>
    </w:p>
    <w:p>
      <w:pPr>
        <w:pStyle w:val="Heading5"/>
        <w:keepNext w:val="0"/>
        <w:keepLines w:val="0"/>
      </w:pPr>
      <w:bookmarkStart w:id="22" w:name="_Toc518635911"/>
      <w:r>
        <w:rPr>
          <w:rStyle w:val="CharSectno"/>
        </w:rPr>
        <w:t>8A</w:t>
      </w:r>
      <w:r>
        <w:t>.</w:t>
      </w:r>
      <w:r>
        <w:tab/>
        <w:t>Exemption from Act, consumption at live entertainment venues</w:t>
      </w:r>
      <w:bookmarkEnd w:id="22"/>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23" w:name="_Toc518635912"/>
      <w:r>
        <w:rPr>
          <w:rStyle w:val="CharSectno"/>
        </w:rPr>
        <w:t>8B</w:t>
      </w:r>
      <w:r>
        <w:t>.</w:t>
      </w:r>
      <w:r>
        <w:tab/>
        <w:t>Exemption from Act, sales etc. at certain functions</w:t>
      </w:r>
      <w:bookmarkEnd w:id="23"/>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4" w:name="_Toc518635913"/>
      <w:r>
        <w:rPr>
          <w:rStyle w:val="CharSectno"/>
        </w:rPr>
        <w:t>8C</w:t>
      </w:r>
      <w:r>
        <w:t>.</w:t>
      </w:r>
      <w:r>
        <w:tab/>
        <w:t>Exemption from Act, complimentary supply by business</w:t>
      </w:r>
      <w:bookmarkEnd w:id="24"/>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 amended in Gazette 6 Sep 2016 p. 3828.]</w:t>
      </w:r>
    </w:p>
    <w:p>
      <w:pPr>
        <w:pStyle w:val="Heading5"/>
      </w:pPr>
      <w:bookmarkStart w:id="25" w:name="_Toc518635914"/>
      <w:r>
        <w:rPr>
          <w:rStyle w:val="CharSectno"/>
        </w:rPr>
        <w:t>8CA</w:t>
      </w:r>
      <w:r>
        <w:t>.</w:t>
      </w:r>
      <w:r>
        <w:tab/>
        <w:t>Exemption for complimentary supply by tourism businesses</w:t>
      </w:r>
      <w:bookmarkEnd w:id="25"/>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in Gazette 6 Sep 2016 p. 3828-9; amended in Gazette 12 Sep 2017 p. 4735</w:t>
      </w:r>
      <w:r>
        <w:noBreakHyphen/>
        <w:t>6.]</w:t>
      </w:r>
    </w:p>
    <w:p>
      <w:pPr>
        <w:pStyle w:val="Heading5"/>
        <w:spacing w:before="180"/>
      </w:pPr>
      <w:bookmarkStart w:id="26" w:name="_Toc518635915"/>
      <w:r>
        <w:rPr>
          <w:rStyle w:val="CharSectno"/>
        </w:rPr>
        <w:t>8D</w:t>
      </w:r>
      <w:r>
        <w:t>.</w:t>
      </w:r>
      <w:r>
        <w:tab/>
        <w:t>Exemption from Act, sales etc. at farmers’ markets</w:t>
      </w:r>
      <w:bookmarkEnd w:id="26"/>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 amended in Gazette 10 Jan 2017 p. 142.]</w:t>
      </w:r>
    </w:p>
    <w:p>
      <w:pPr>
        <w:pStyle w:val="Heading5"/>
      </w:pPr>
      <w:bookmarkStart w:id="27" w:name="_Toc518635916"/>
      <w:r>
        <w:rPr>
          <w:rStyle w:val="CharSectno"/>
        </w:rPr>
        <w:t>8E</w:t>
      </w:r>
      <w:r>
        <w:t>.</w:t>
      </w:r>
      <w:r>
        <w:tab/>
        <w:t>Exemption from Act, sales etc. at functions on licensed premises</w:t>
      </w:r>
      <w:bookmarkEnd w:id="2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28" w:name="_Toc518635917"/>
      <w:r>
        <w:rPr>
          <w:rStyle w:val="CharSectno"/>
        </w:rPr>
        <w:t>8F</w:t>
      </w:r>
      <w:r>
        <w:t>.</w:t>
      </w:r>
      <w:r>
        <w:tab/>
        <w:t>Exemption from Act for consumption in licensed omnibus (Act s. 6(1)(o))</w:t>
      </w:r>
      <w:bookmarkEnd w:id="28"/>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in Gazette 15 Jul 2011 p. 2964</w:t>
      </w:r>
      <w:r>
        <w:noBreakHyphen/>
        <w:t>5; amended in Gazette 6 Sep 2016 p. 3830-1.]</w:t>
      </w:r>
    </w:p>
    <w:p>
      <w:pPr>
        <w:pStyle w:val="Heading5"/>
        <w:spacing w:before="240"/>
        <w:rPr>
          <w:snapToGrid w:val="0"/>
        </w:rPr>
      </w:pPr>
      <w:bookmarkStart w:id="29" w:name="_Toc518635918"/>
      <w:r>
        <w:rPr>
          <w:rStyle w:val="CharSectno"/>
        </w:rPr>
        <w:t>9</w:t>
      </w:r>
      <w:r>
        <w:rPr>
          <w:snapToGrid w:val="0"/>
        </w:rPr>
        <w:t>.</w:t>
      </w:r>
      <w:r>
        <w:rPr>
          <w:snapToGrid w:val="0"/>
        </w:rPr>
        <w:tab/>
        <w:t>Persons who may take and administer oaths and affirmations (Act s. 18(3)(c))</w:t>
      </w:r>
      <w:bookmarkEnd w:id="29"/>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30" w:name="_Toc518635919"/>
      <w:r>
        <w:rPr>
          <w:rStyle w:val="CharSectno"/>
        </w:rPr>
        <w:t>9AA</w:t>
      </w:r>
      <w:r>
        <w:t>.</w:t>
      </w:r>
      <w:r>
        <w:tab/>
        <w:t xml:space="preserve">Distance prescribed </w:t>
      </w:r>
      <w:r>
        <w:rPr>
          <w:snapToGrid w:val="0"/>
        </w:rPr>
        <w:t>(Act s.</w:t>
      </w:r>
      <w:r>
        <w:t> 36A(2)(b))</w:t>
      </w:r>
      <w:bookmarkEnd w:id="30"/>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31" w:name="_Toc518635920"/>
      <w:r>
        <w:rPr>
          <w:rStyle w:val="CharSectno"/>
        </w:rPr>
        <w:t>9A</w:t>
      </w:r>
      <w:r>
        <w:t>.</w:t>
      </w:r>
      <w:r>
        <w:tab/>
      </w:r>
      <w:r>
        <w:rPr>
          <w:snapToGrid w:val="0"/>
        </w:rPr>
        <w:t>Special facility licence, purposes for which may be granted</w:t>
      </w:r>
      <w:bookmarkEnd w:id="31"/>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pageBreakBefore/>
        <w:spacing w:before="0"/>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 10 Jan 2017 p. 142</w:t>
      </w:r>
      <w:r>
        <w:noBreakHyphen/>
        <w:t>3; 3 Feb 2017 p. 1115.]</w:t>
      </w:r>
    </w:p>
    <w:p>
      <w:pPr>
        <w:pStyle w:val="Heading5"/>
      </w:pPr>
      <w:bookmarkStart w:id="32" w:name="_Toc518635921"/>
      <w:r>
        <w:rPr>
          <w:rStyle w:val="CharSectno"/>
        </w:rPr>
        <w:t>9AB</w:t>
      </w:r>
      <w:r>
        <w:t>.</w:t>
      </w:r>
      <w:r>
        <w:tab/>
        <w:t xml:space="preserve">Kind of extended trading permit prescribed </w:t>
      </w:r>
      <w:r>
        <w:rPr>
          <w:snapToGrid w:val="0"/>
        </w:rPr>
        <w:t>(Act s.</w:t>
      </w:r>
      <w:r>
        <w:t> 25(5a))</w:t>
      </w:r>
      <w:bookmarkEnd w:id="3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33" w:name="_Toc518635922"/>
      <w:r>
        <w:rPr>
          <w:rStyle w:val="CharSectno"/>
        </w:rPr>
        <w:t>9B</w:t>
      </w:r>
      <w:r>
        <w:rPr>
          <w:snapToGrid w:val="0"/>
        </w:rPr>
        <w:t>.</w:t>
      </w:r>
      <w:r>
        <w:rPr>
          <w:snapToGrid w:val="0"/>
        </w:rPr>
        <w:tab/>
        <w:t>Special facility licence, effect of as to sale of packaged liquor</w:t>
      </w:r>
      <w:bookmarkEnd w:id="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pPr>
      <w:bookmarkStart w:id="34" w:name="_Toc518635923"/>
      <w:r>
        <w:rPr>
          <w:rStyle w:val="CharSectno"/>
        </w:rPr>
        <w:t>9C</w:t>
      </w:r>
      <w:r>
        <w:t>.</w:t>
      </w:r>
      <w:r>
        <w:tab/>
        <w:t>Types of special facility licence prescribed (Act s. 46(6))</w:t>
      </w:r>
      <w:bookmarkEnd w:id="34"/>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in Gazette 8 Dec 2017 p. 5850.]</w:t>
      </w:r>
    </w:p>
    <w:p>
      <w:pPr>
        <w:pStyle w:val="Heading5"/>
      </w:pPr>
      <w:bookmarkStart w:id="35" w:name="_Toc518635924"/>
      <w:r>
        <w:rPr>
          <w:rStyle w:val="CharSectno"/>
        </w:rPr>
        <w:t>9D</w:t>
      </w:r>
      <w:r>
        <w:t>.</w:t>
      </w:r>
      <w:r>
        <w:tab/>
      </w:r>
      <w:r>
        <w:rPr>
          <w:snapToGrid w:val="0"/>
        </w:rPr>
        <w:t>Act s.</w:t>
      </w:r>
      <w:r>
        <w:t> 33(6b) modified as to occasional licences</w:t>
      </w:r>
      <w:bookmarkEnd w:id="35"/>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36" w:name="_Toc518635925"/>
      <w:r>
        <w:rPr>
          <w:rStyle w:val="CharSectno"/>
        </w:rPr>
        <w:t>9E</w:t>
      </w:r>
      <w:r>
        <w:t>.</w:t>
      </w:r>
      <w:r>
        <w:tab/>
        <w:t>Period prescribed (Act s. 33(6D)(b))</w:t>
      </w:r>
      <w:bookmarkEnd w:id="36"/>
    </w:p>
    <w:p>
      <w:pPr>
        <w:pStyle w:val="Subsection"/>
        <w:keepNext/>
      </w:pPr>
      <w:r>
        <w:tab/>
      </w:r>
      <w:r>
        <w:tab/>
        <w:t>For the purposes of section 33(6D)(b) the period of 3 months is prescribed.</w:t>
      </w:r>
    </w:p>
    <w:p>
      <w:pPr>
        <w:pStyle w:val="Footnotesection"/>
        <w:keepNext/>
        <w:ind w:left="890" w:hanging="890"/>
      </w:pPr>
      <w:r>
        <w:tab/>
        <w:t>[Regulation 9E inserted in Gazette 16 Nov 2012 p. 5658.]</w:t>
      </w:r>
    </w:p>
    <w:p>
      <w:pPr>
        <w:pStyle w:val="Heading5"/>
      </w:pPr>
      <w:bookmarkStart w:id="37" w:name="_Toc518635926"/>
      <w:r>
        <w:rPr>
          <w:rStyle w:val="CharSectno"/>
        </w:rPr>
        <w:t>9F</w:t>
      </w:r>
      <w:r>
        <w:t>.</w:t>
      </w:r>
      <w:r>
        <w:tab/>
        <w:t>Kinds of permit prescribed (Act s. 38(1)(b))</w:t>
      </w:r>
      <w:bookmarkEnd w:id="37"/>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38" w:name="_Toc518635927"/>
      <w:r>
        <w:rPr>
          <w:rStyle w:val="CharSectno"/>
        </w:rPr>
        <w:t>9G</w:t>
      </w:r>
      <w:r>
        <w:t>.</w:t>
      </w:r>
      <w:r>
        <w:tab/>
        <w:t xml:space="preserve">Reciprocal arrangements for club membership, requirements for </w:t>
      </w:r>
      <w:r>
        <w:rPr>
          <w:snapToGrid w:val="0"/>
        </w:rPr>
        <w:t>(Act s.</w:t>
      </w:r>
      <w:r>
        <w:t> 49(3)(c)(iv))</w:t>
      </w:r>
      <w:bookmarkEnd w:id="38"/>
    </w:p>
    <w:p>
      <w:pPr>
        <w:pStyle w:val="Subsection"/>
        <w:keepNext/>
        <w:keepLines/>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240"/>
        <w:rPr>
          <w:snapToGrid w:val="0"/>
        </w:rPr>
      </w:pPr>
      <w:bookmarkStart w:id="39" w:name="_Toc518635928"/>
      <w:r>
        <w:rPr>
          <w:rStyle w:val="CharSectno"/>
        </w:rPr>
        <w:t>10</w:t>
      </w:r>
      <w:r>
        <w:rPr>
          <w:snapToGrid w:val="0"/>
        </w:rPr>
        <w:t>.</w:t>
      </w:r>
      <w:r>
        <w:rPr>
          <w:snapToGrid w:val="0"/>
        </w:rPr>
        <w:tab/>
        <w:t>Requirements prescribed (Act s. </w:t>
      </w:r>
      <w:r>
        <w:t>57(2)(d)</w:t>
      </w:r>
      <w:r>
        <w:rPr>
          <w:snapToGrid w:val="0"/>
        </w:rPr>
        <w:t>)</w:t>
      </w:r>
      <w:bookmarkEnd w:id="39"/>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40" w:name="_Toc518635929"/>
      <w:r>
        <w:rPr>
          <w:rStyle w:val="CharSectno"/>
        </w:rPr>
        <w:t>10A</w:t>
      </w:r>
      <w:r>
        <w:rPr>
          <w:snapToGrid w:val="0"/>
        </w:rPr>
        <w:t>.</w:t>
      </w:r>
      <w:r>
        <w:rPr>
          <w:snapToGrid w:val="0"/>
        </w:rPr>
        <w:tab/>
        <w:t>Condition prescribed (Act s. 55(2))</w:t>
      </w:r>
      <w:bookmarkEnd w:id="40"/>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41" w:name="_Toc518635930"/>
      <w:r>
        <w:rPr>
          <w:rStyle w:val="CharSectno"/>
        </w:rPr>
        <w:t>11</w:t>
      </w:r>
      <w:r>
        <w:rPr>
          <w:snapToGrid w:val="0"/>
        </w:rPr>
        <w:t>.</w:t>
      </w:r>
      <w:r>
        <w:rPr>
          <w:snapToGrid w:val="0"/>
        </w:rPr>
        <w:tab/>
        <w:t>Plans and specifications, requirements for (Act s. 66(4) and (5))</w:t>
      </w:r>
      <w:bookmarkEnd w:id="41"/>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in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2" w:name="_Toc518635931"/>
      <w:r>
        <w:rPr>
          <w:rStyle w:val="CharSectno"/>
        </w:rPr>
        <w:t>13</w:t>
      </w:r>
      <w:r>
        <w:rPr>
          <w:snapToGrid w:val="0"/>
        </w:rPr>
        <w:t>.</w:t>
      </w:r>
      <w:r>
        <w:rPr>
          <w:snapToGrid w:val="0"/>
        </w:rPr>
        <w:tab/>
        <w:t>Records as to applicant, requirements for (Act s. 68(1)(b))</w:t>
      </w:r>
      <w:bookmarkEnd w:id="42"/>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43" w:name="_Toc518635932"/>
      <w:r>
        <w:rPr>
          <w:rStyle w:val="CharSectno"/>
        </w:rPr>
        <w:t>14A</w:t>
      </w:r>
      <w:r>
        <w:t>.</w:t>
      </w:r>
      <w:r>
        <w:tab/>
        <w:t xml:space="preserve">Types etc. of premises prescribed </w:t>
      </w:r>
      <w:r>
        <w:rPr>
          <w:snapToGrid w:val="0"/>
        </w:rPr>
        <w:t>(Act s. 77(5a)(b))</w:t>
      </w:r>
      <w:bookmarkEnd w:id="43"/>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44" w:name="_Toc518635933"/>
      <w:r>
        <w:rPr>
          <w:rStyle w:val="CharSectno"/>
        </w:rPr>
        <w:t>14AB</w:t>
      </w:r>
      <w:r>
        <w:t>.</w:t>
      </w:r>
      <w:r>
        <w:tab/>
        <w:t xml:space="preserve">Requirement for lodgment of application prescribed </w:t>
      </w:r>
      <w:r>
        <w:rPr>
          <w:snapToGrid w:val="0"/>
        </w:rPr>
        <w:t>(Act s. </w:t>
      </w:r>
      <w:r>
        <w:t>75(1)(b))</w:t>
      </w:r>
      <w:bookmarkEnd w:id="44"/>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45" w:name="_Toc518635934"/>
      <w:r>
        <w:rPr>
          <w:rStyle w:val="CharSectno"/>
        </w:rPr>
        <w:t>14AC</w:t>
      </w:r>
      <w:r>
        <w:t>.</w:t>
      </w:r>
      <w:r>
        <w:tab/>
        <w:t xml:space="preserve">Requirement for lodgment of application prescribed </w:t>
      </w:r>
      <w:r>
        <w:rPr>
          <w:snapToGrid w:val="0"/>
        </w:rPr>
        <w:t>(Act s. </w:t>
      </w:r>
      <w:r>
        <w:t>76(1)(b))</w:t>
      </w:r>
      <w:bookmarkEnd w:id="45"/>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46" w:name="_Toc518635935"/>
      <w:r>
        <w:rPr>
          <w:rStyle w:val="CharSectno"/>
        </w:rPr>
        <w:t>14ADA</w:t>
      </w:r>
      <w:r>
        <w:t>.</w:t>
      </w:r>
      <w:r>
        <w:tab/>
        <w:t>Manager’s approval, application for (Act s. 102B)</w:t>
      </w:r>
      <w:bookmarkEnd w:id="46"/>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47" w:name="_Toc518635936"/>
      <w:r>
        <w:rPr>
          <w:rStyle w:val="CharSectno"/>
        </w:rPr>
        <w:t>14ADB</w:t>
      </w:r>
      <w:r>
        <w:t>.</w:t>
      </w:r>
      <w:r>
        <w:tab/>
        <w:t>Manager’s approval, conditions on (Act s. 102C)</w:t>
      </w:r>
      <w:bookmarkEnd w:id="47"/>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48" w:name="_Toc518635937"/>
      <w:r>
        <w:rPr>
          <w:rStyle w:val="CharSectno"/>
        </w:rPr>
        <w:t>14ADC</w:t>
      </w:r>
      <w:r>
        <w:t>.</w:t>
      </w:r>
      <w:r>
        <w:tab/>
        <w:t>Manager’s approval, duration of (Act s. 102D)</w:t>
      </w:r>
      <w:bookmarkEnd w:id="48"/>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49" w:name="_Toc518635938"/>
      <w:r>
        <w:rPr>
          <w:rStyle w:val="CharSectno"/>
        </w:rPr>
        <w:t>14ADD</w:t>
      </w:r>
      <w:r>
        <w:t>.</w:t>
      </w:r>
      <w:r>
        <w:tab/>
        <w:t>Manager’s approval, renewal of (Act s. 102E)</w:t>
      </w:r>
      <w:bookmarkEnd w:id="4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50" w:name="_Toc518635939"/>
      <w:r>
        <w:rPr>
          <w:rStyle w:val="CharSectno"/>
        </w:rPr>
        <w:t>14ADE</w:t>
      </w:r>
      <w:r>
        <w:t>.</w:t>
      </w:r>
      <w:r>
        <w:tab/>
        <w:t>Approved manager, identification card for</w:t>
      </w:r>
      <w:bookmarkEnd w:id="50"/>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51" w:name="_Toc518635940"/>
      <w:r>
        <w:rPr>
          <w:rStyle w:val="CharSectno"/>
        </w:rPr>
        <w:t>14ADF</w:t>
      </w:r>
      <w:r>
        <w:t>.</w:t>
      </w:r>
      <w:r>
        <w:tab/>
        <w:t>Lost etc. identification card, replacement of</w:t>
      </w:r>
      <w:bookmarkEnd w:id="5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52" w:name="_Toc518635941"/>
      <w:r>
        <w:rPr>
          <w:rStyle w:val="CharSectno"/>
        </w:rPr>
        <w:t>14ADG</w:t>
      </w:r>
      <w:r>
        <w:t>.</w:t>
      </w:r>
      <w:r>
        <w:tab/>
        <w:t>Transitioned approvals (Act Sch. 1B)</w:t>
      </w:r>
      <w:bookmarkEnd w:id="52"/>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in Gazette 3 Jun 2011 p. 1997</w:t>
      </w:r>
      <w:r>
        <w:noBreakHyphen/>
        <w:t>8; amended in Gazette 6 Nov 2015 p. 4584.]</w:t>
      </w:r>
    </w:p>
    <w:p>
      <w:pPr>
        <w:pStyle w:val="Heading5"/>
      </w:pPr>
      <w:bookmarkStart w:id="53" w:name="_Toc518635942"/>
      <w:r>
        <w:rPr>
          <w:rStyle w:val="CharSectno"/>
        </w:rPr>
        <w:t>14AD</w:t>
      </w:r>
      <w:r>
        <w:t>.</w:t>
      </w:r>
      <w:r>
        <w:tab/>
        <w:t xml:space="preserve">Responsible practices in selling etc. liquor, courses on required </w:t>
      </w:r>
      <w:r>
        <w:rPr>
          <w:snapToGrid w:val="0"/>
        </w:rPr>
        <w:t>(Act s. </w:t>
      </w:r>
      <w:r>
        <w:t>103A(1)(a))</w:t>
      </w:r>
      <w:bookmarkEnd w:id="53"/>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anticipated number of patrons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in Gazette 1 May 2007 p. 1878; amended in Gazette 22 Oct 2010 p. 5227; 3 Jun 2011 p. 1998; 10 Jan 2017 p. 144.]</w:t>
      </w:r>
    </w:p>
    <w:p>
      <w:pPr>
        <w:pStyle w:val="Heading5"/>
      </w:pPr>
      <w:bookmarkStart w:id="54" w:name="_Toc518635943"/>
      <w:r>
        <w:rPr>
          <w:rStyle w:val="CharSectno"/>
        </w:rPr>
        <w:t>14AE</w:t>
      </w:r>
      <w:r>
        <w:t>.</w:t>
      </w:r>
      <w:r>
        <w:tab/>
        <w:t>Offences for r. 14AD</w:t>
      </w:r>
      <w:bookmarkEnd w:id="54"/>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 10 Jan 2017 p. 144</w:t>
      </w:r>
      <w:r>
        <w:noBreakHyphen/>
        <w:t>5.]</w:t>
      </w:r>
    </w:p>
    <w:p>
      <w:pPr>
        <w:pStyle w:val="Ednotesection"/>
      </w:pPr>
      <w:r>
        <w:t>[</w:t>
      </w:r>
      <w:r>
        <w:rPr>
          <w:b/>
        </w:rPr>
        <w:t>14AF.</w:t>
      </w:r>
      <w:r>
        <w:tab/>
        <w:t>Deleted in Gazette 10 Jan 2017 p. 145.]</w:t>
      </w:r>
    </w:p>
    <w:p>
      <w:pPr>
        <w:pStyle w:val="Heading5"/>
        <w:spacing w:before="210"/>
      </w:pPr>
      <w:bookmarkStart w:id="55" w:name="_Toc518635944"/>
      <w:r>
        <w:rPr>
          <w:rStyle w:val="CharSectno"/>
        </w:rPr>
        <w:t>14AG</w:t>
      </w:r>
      <w:r>
        <w:t>.</w:t>
      </w:r>
      <w:r>
        <w:tab/>
        <w:t>Licensee to maintain register </w:t>
      </w:r>
      <w:r>
        <w:rPr>
          <w:snapToGrid w:val="0"/>
        </w:rPr>
        <w:t>(Act s. </w:t>
      </w:r>
      <w:r>
        <w:t>103A(1)(b))</w:t>
      </w:r>
      <w:bookmarkEnd w:id="55"/>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56" w:name="_Toc518635945"/>
      <w:r>
        <w:rPr>
          <w:rStyle w:val="CharSectno"/>
        </w:rPr>
        <w:t>16</w:t>
      </w:r>
      <w:r>
        <w:rPr>
          <w:snapToGrid w:val="0"/>
        </w:rPr>
        <w:t>.</w:t>
      </w:r>
      <w:r>
        <w:rPr>
          <w:snapToGrid w:val="0"/>
        </w:rPr>
        <w:tab/>
        <w:t>Amount of liability prescribed (Act s. 107)</w:t>
      </w:r>
      <w:bookmarkEnd w:id="56"/>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57" w:name="_Toc518635946"/>
      <w:r>
        <w:rPr>
          <w:rStyle w:val="CharSectno"/>
        </w:rPr>
        <w:t>16A</w:t>
      </w:r>
      <w:r>
        <w:t>.</w:t>
      </w:r>
      <w:r>
        <w:tab/>
        <w:t xml:space="preserve">Sports arenas prescribed (Act s. 110(4B) </w:t>
      </w:r>
      <w:r>
        <w:rPr>
          <w:i/>
        </w:rPr>
        <w:t>sports arena</w:t>
      </w:r>
      <w:r>
        <w:t>)</w:t>
      </w:r>
      <w:bookmarkEnd w:id="57"/>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in Gazette 19 Jan 2018 p. 231</w:t>
      </w:r>
      <w:r>
        <w:noBreakHyphen/>
        <w:t>2.]</w:t>
      </w:r>
    </w:p>
    <w:p>
      <w:pPr>
        <w:pStyle w:val="Ednotesection"/>
      </w:pPr>
      <w:r>
        <w:t>[</w:t>
      </w:r>
      <w:r>
        <w:rPr>
          <w:b/>
        </w:rPr>
        <w:t>17A</w:t>
      </w:r>
      <w:r>
        <w:tab/>
        <w:t>Deleted in Gazette 19 Jan 2018 p. 231.]</w:t>
      </w:r>
    </w:p>
    <w:p>
      <w:pPr>
        <w:pStyle w:val="Heading5"/>
        <w:rPr>
          <w:snapToGrid w:val="0"/>
        </w:rPr>
      </w:pPr>
      <w:bookmarkStart w:id="58" w:name="_Toc518635947"/>
      <w:r>
        <w:rPr>
          <w:rStyle w:val="CharSectno"/>
        </w:rPr>
        <w:t>17</w:t>
      </w:r>
      <w:r>
        <w:rPr>
          <w:snapToGrid w:val="0"/>
        </w:rPr>
        <w:t>.</w:t>
      </w:r>
      <w:r>
        <w:rPr>
          <w:snapToGrid w:val="0"/>
        </w:rPr>
        <w:tab/>
        <w:t>Out of bounds area, notice for (Act s. 121(6))</w:t>
      </w:r>
      <w:bookmarkEnd w:id="58"/>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59" w:name="_Toc518635948"/>
      <w:r>
        <w:rPr>
          <w:rStyle w:val="CharSectno"/>
        </w:rPr>
        <w:t>18</w:t>
      </w:r>
      <w:r>
        <w:t>.</w:t>
      </w:r>
      <w:r>
        <w:tab/>
        <w:t>Premises prescribed to be regulated premises (Act s. 122(1)(f))</w:t>
      </w:r>
      <w:bookmarkEnd w:id="59"/>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60" w:name="_Toc518635949"/>
      <w:r>
        <w:rPr>
          <w:rStyle w:val="CharSectno"/>
        </w:rPr>
        <w:t>18A</w:t>
      </w:r>
      <w:r>
        <w:rPr>
          <w:snapToGrid w:val="0"/>
        </w:rPr>
        <w:t>.</w:t>
      </w:r>
      <w:r>
        <w:rPr>
          <w:snapToGrid w:val="0"/>
        </w:rPr>
        <w:tab/>
        <w:t>Documents prescribed as evidence of age etc. (Act s. 126(1)(b)(i)(III) and s. 160(1))</w:t>
      </w:r>
      <w:bookmarkEnd w:id="60"/>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61" w:name="_Toc518635950"/>
      <w:r>
        <w:rPr>
          <w:rStyle w:val="CharSectno"/>
        </w:rPr>
        <w:t>18B</w:t>
      </w:r>
      <w:r>
        <w:rPr>
          <w:snapToGrid w:val="0"/>
        </w:rPr>
        <w:t>.</w:t>
      </w:r>
      <w:r>
        <w:rPr>
          <w:snapToGrid w:val="0"/>
        </w:rPr>
        <w:tab/>
        <w:t>Proof of age card, issue of etc.</w:t>
      </w:r>
      <w:bookmarkEnd w:id="61"/>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62" w:name="_Toc518635951"/>
      <w:r>
        <w:rPr>
          <w:rStyle w:val="CharSectno"/>
        </w:rPr>
        <w:t>18C</w:t>
      </w:r>
      <w:r>
        <w:rPr>
          <w:snapToGrid w:val="0"/>
        </w:rPr>
        <w:t>.</w:t>
      </w:r>
      <w:r>
        <w:rPr>
          <w:snapToGrid w:val="0"/>
        </w:rPr>
        <w:tab/>
        <w:t>Proof of age card, form etc. of (r. 18B)</w:t>
      </w:r>
      <w:bookmarkEnd w:id="62"/>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spacing w:before="280"/>
        <w:rPr>
          <w:snapToGrid w:val="0"/>
        </w:rPr>
      </w:pPr>
      <w:bookmarkStart w:id="63" w:name="_Toc518635952"/>
      <w:r>
        <w:rPr>
          <w:rStyle w:val="CharSectno"/>
        </w:rPr>
        <w:t>18D</w:t>
      </w:r>
      <w:r>
        <w:rPr>
          <w:snapToGrid w:val="0"/>
        </w:rPr>
        <w:t>.</w:t>
      </w:r>
      <w:r>
        <w:rPr>
          <w:snapToGrid w:val="0"/>
        </w:rPr>
        <w:tab/>
        <w:t>Lost etc. proof of age card, replacement of</w:t>
      </w:r>
      <w:bookmarkEnd w:id="63"/>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spacing w:before="280"/>
        <w:rPr>
          <w:snapToGrid w:val="0"/>
        </w:rPr>
      </w:pPr>
      <w:bookmarkStart w:id="64" w:name="_Toc518635953"/>
      <w:r>
        <w:rPr>
          <w:rStyle w:val="CharSectno"/>
        </w:rPr>
        <w:t>18E</w:t>
      </w:r>
      <w:r>
        <w:rPr>
          <w:snapToGrid w:val="0"/>
        </w:rPr>
        <w:t>.</w:t>
      </w:r>
      <w:r>
        <w:rPr>
          <w:snapToGrid w:val="0"/>
        </w:rPr>
        <w:tab/>
        <w:t>Agreement or arrangement prescribed (Act s. 104(2))</w:t>
      </w:r>
      <w:bookmarkEnd w:id="64"/>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65" w:name="_Toc518635954"/>
      <w:r>
        <w:rPr>
          <w:rStyle w:val="CharSectno"/>
        </w:rPr>
        <w:t>18EA</w:t>
      </w:r>
      <w:r>
        <w:t>.</w:t>
      </w:r>
      <w:r>
        <w:tab/>
        <w:t>Information prescribed for websites (Act s. 113A)</w:t>
      </w:r>
      <w:bookmarkEnd w:id="65"/>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66" w:name="_Toc518635955"/>
      <w:r>
        <w:rPr>
          <w:rStyle w:val="CharSectno"/>
        </w:rPr>
        <w:t>18EBA</w:t>
      </w:r>
      <w:r>
        <w:t>.</w:t>
      </w:r>
      <w:r>
        <w:tab/>
        <w:t xml:space="preserve">Persons prescribed (Act s. 115AC(1A) </w:t>
      </w:r>
      <w:r>
        <w:rPr>
          <w:i/>
        </w:rPr>
        <w:t>secure webpage</w:t>
      </w:r>
      <w:r>
        <w:t>)</w:t>
      </w:r>
      <w:bookmarkEnd w:id="66"/>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67" w:name="_Toc518635956"/>
      <w:r>
        <w:rPr>
          <w:rStyle w:val="CharSectno"/>
        </w:rPr>
        <w:t>18EB</w:t>
      </w:r>
      <w:r>
        <w:t>.</w:t>
      </w:r>
      <w:r>
        <w:tab/>
        <w:t>Incidents and information prescribed for register (Act s. 116A)</w:t>
      </w:r>
      <w:bookmarkEnd w:id="67"/>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in Gazette 1 May 2007 p. 1882</w:t>
      </w:r>
      <w:r>
        <w:noBreakHyphen/>
        <w:t>4; amended in Gazette 28 Sep 2007 p. 4930; 22 Oct 2010 p. 5228</w:t>
      </w:r>
      <w:r>
        <w:noBreakHyphen/>
        <w:t>9; 3 Jun 2011 p. 1998; 10 Jan 2017 p. 145.]</w:t>
      </w:r>
    </w:p>
    <w:p>
      <w:pPr>
        <w:pStyle w:val="Heading5"/>
      </w:pPr>
      <w:bookmarkStart w:id="68" w:name="_Toc518635957"/>
      <w:r>
        <w:rPr>
          <w:rStyle w:val="CharSectno"/>
        </w:rPr>
        <w:t>18EC</w:t>
      </w:r>
      <w:r>
        <w:t>.</w:t>
      </w:r>
      <w:r>
        <w:tab/>
        <w:t>Prescribed incidents involving physical force</w:t>
      </w:r>
      <w:bookmarkEnd w:id="68"/>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in Gazette 10 Jan 2017 p. 145</w:t>
      </w:r>
      <w:r>
        <w:noBreakHyphen/>
        <w:t>6.]</w:t>
      </w:r>
    </w:p>
    <w:p>
      <w:pPr>
        <w:pStyle w:val="Heading5"/>
      </w:pPr>
      <w:bookmarkStart w:id="69" w:name="_Toc518635958"/>
      <w:r>
        <w:rPr>
          <w:rStyle w:val="CharSectno"/>
        </w:rPr>
        <w:t>18F</w:t>
      </w:r>
      <w:r>
        <w:t>.</w:t>
      </w:r>
      <w:r>
        <w:tab/>
        <w:t>Training courses prescribed (Act s. 121(11)(d))</w:t>
      </w:r>
      <w:bookmarkEnd w:id="69"/>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keepNext w:val="0"/>
        <w:keepLines w:val="0"/>
        <w:pageBreakBefore/>
        <w:spacing w:before="0"/>
      </w:pPr>
      <w:bookmarkStart w:id="70" w:name="_Toc518635959"/>
      <w:r>
        <w:rPr>
          <w:rStyle w:val="CharSectno"/>
        </w:rPr>
        <w:t>18G</w:t>
      </w:r>
      <w:r>
        <w:t>.</w:t>
      </w:r>
      <w:r>
        <w:tab/>
        <w:t>Confiscated document, how to be dealt with (Act s. 126(2b))</w:t>
      </w:r>
      <w:bookmarkEnd w:id="70"/>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71" w:name="_Toc518635960"/>
      <w:r>
        <w:rPr>
          <w:rStyle w:val="CharSectno"/>
        </w:rPr>
        <w:t>18H</w:t>
      </w:r>
      <w:r>
        <w:t>.</w:t>
      </w:r>
      <w:r>
        <w:tab/>
        <w:t>Provisions prescribed (Act s. 126E(4))</w:t>
      </w:r>
      <w:bookmarkEnd w:id="71"/>
    </w:p>
    <w:p>
      <w:pPr>
        <w:pStyle w:val="Subsection"/>
        <w:keepNext/>
        <w:keepLines/>
      </w:pPr>
      <w:r>
        <w:tab/>
      </w:r>
      <w:r>
        <w:tab/>
        <w:t>For the purposes of section 126E(4), sections 155(7) and 50(1a) are prescribed.</w:t>
      </w:r>
    </w:p>
    <w:p>
      <w:pPr>
        <w:pStyle w:val="Footnotesection"/>
        <w:ind w:left="890" w:hanging="890"/>
      </w:pPr>
      <w:r>
        <w:tab/>
        <w:t>[Regulation 18H inserted in Gazette 1 May 2007 p. 1884; amended in Gazette 3 Jun 2011 p. 2000; 27 Sep 2011 p. 3848.]</w:t>
      </w:r>
    </w:p>
    <w:p>
      <w:pPr>
        <w:pStyle w:val="Heading5"/>
        <w:rPr>
          <w:snapToGrid w:val="0"/>
        </w:rPr>
      </w:pPr>
      <w:bookmarkStart w:id="72" w:name="_Toc518635961"/>
      <w:r>
        <w:rPr>
          <w:rStyle w:val="CharSectno"/>
        </w:rPr>
        <w:t>19</w:t>
      </w:r>
      <w:r>
        <w:rPr>
          <w:snapToGrid w:val="0"/>
        </w:rPr>
        <w:t>.</w:t>
      </w:r>
      <w:r>
        <w:rPr>
          <w:snapToGrid w:val="0"/>
        </w:rPr>
        <w:tab/>
        <w:t>Subsidy, application for</w:t>
      </w:r>
      <w:bookmarkEnd w:id="72"/>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in Gazette 30 Jan 1998 p. 562; amended in Gazette 22 Oct 2002 p. 5255.]</w:t>
      </w:r>
    </w:p>
    <w:p>
      <w:pPr>
        <w:pStyle w:val="Heading5"/>
        <w:keepNext w:val="0"/>
        <w:keepLines w:val="0"/>
        <w:pageBreakBefore/>
        <w:spacing w:before="0"/>
        <w:rPr>
          <w:snapToGrid w:val="0"/>
        </w:rPr>
      </w:pPr>
      <w:bookmarkStart w:id="73" w:name="_Toc518635962"/>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73"/>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74" w:name="_Toc518635963"/>
      <w:r>
        <w:rPr>
          <w:rStyle w:val="CharSectno"/>
        </w:rPr>
        <w:t>21</w:t>
      </w:r>
      <w:r>
        <w:t>.</w:t>
      </w:r>
      <w:r>
        <w:tab/>
        <w:t>Wholesaler, subsidy for (Act s. 130)</w:t>
      </w:r>
      <w:bookmarkEnd w:id="74"/>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pPr>
      <w:bookmarkStart w:id="75" w:name="_Toc518635964"/>
      <w:r>
        <w:rPr>
          <w:rStyle w:val="CharSectno"/>
        </w:rPr>
        <w:t>21A</w:t>
      </w:r>
      <w:r>
        <w:t>.</w:t>
      </w:r>
      <w:r>
        <w:tab/>
        <w:t>Wine producer, subsidy for (Act s. 130)</w:t>
      </w:r>
      <w:bookmarkEnd w:id="75"/>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15pt" o:ole="">
            <v:imagedata r:id="rId22" o:title=""/>
          </v:shape>
          <o:OLEObject Type="Embed" ProgID="Equation.3" ShapeID="_x0000_i1025" DrawAspect="Content" ObjectID="_1644270171" r:id="rId23"/>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76" w:name="_Toc518635965"/>
      <w:r>
        <w:rPr>
          <w:rStyle w:val="CharSectno"/>
        </w:rPr>
        <w:t>21AC</w:t>
      </w:r>
      <w:r>
        <w:rPr>
          <w:snapToGrid w:val="0"/>
        </w:rPr>
        <w:t>.</w:t>
      </w:r>
      <w:r>
        <w:rPr>
          <w:snapToGrid w:val="0"/>
        </w:rPr>
        <w:tab/>
        <w:t>Subsidy payable once in respect of sale of liquor</w:t>
      </w:r>
      <w:bookmarkEnd w:id="76"/>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77" w:name="_Toc518635966"/>
      <w:r>
        <w:rPr>
          <w:rStyle w:val="CharSectno"/>
        </w:rPr>
        <w:t>21B</w:t>
      </w:r>
      <w:r>
        <w:rPr>
          <w:snapToGrid w:val="0"/>
        </w:rPr>
        <w:t>.</w:t>
      </w:r>
      <w:r>
        <w:rPr>
          <w:snapToGrid w:val="0"/>
        </w:rPr>
        <w:tab/>
        <w:t xml:space="preserve">Subsidy, conditions imposed by Director as to </w:t>
      </w:r>
      <w:r>
        <w:t>(Act s. 130(2))</w:t>
      </w:r>
      <w:bookmarkEnd w:id="77"/>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78" w:name="_Toc518635967"/>
      <w:r>
        <w:rPr>
          <w:rStyle w:val="CharSectno"/>
        </w:rPr>
        <w:t>21C</w:t>
      </w:r>
      <w:r>
        <w:rPr>
          <w:snapToGrid w:val="0"/>
        </w:rPr>
        <w:t>.</w:t>
      </w:r>
      <w:r>
        <w:rPr>
          <w:snapToGrid w:val="0"/>
        </w:rPr>
        <w:tab/>
        <w:t>Licensees prescribed </w:t>
      </w:r>
      <w:r>
        <w:t>(Act s. </w:t>
      </w:r>
      <w:r>
        <w:rPr>
          <w:snapToGrid w:val="0"/>
        </w:rPr>
        <w:t>145(1))</w:t>
      </w:r>
      <w:bookmarkEnd w:id="78"/>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79" w:name="_Toc518635968"/>
      <w:r>
        <w:rPr>
          <w:rStyle w:val="CharSectno"/>
        </w:rPr>
        <w:t>22</w:t>
      </w:r>
      <w:r>
        <w:rPr>
          <w:snapToGrid w:val="0"/>
        </w:rPr>
        <w:t>.</w:t>
      </w:r>
      <w:r>
        <w:rPr>
          <w:snapToGrid w:val="0"/>
        </w:rPr>
        <w:tab/>
        <w:t xml:space="preserve">Records prescribed etc. </w:t>
      </w:r>
      <w:r>
        <w:t>(Act s. </w:t>
      </w:r>
      <w:r>
        <w:rPr>
          <w:snapToGrid w:val="0"/>
        </w:rPr>
        <w:t>145)</w:t>
      </w:r>
      <w:bookmarkEnd w:id="79"/>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80" w:name="_Toc518635969"/>
      <w:r>
        <w:rPr>
          <w:rStyle w:val="CharSectno"/>
        </w:rPr>
        <w:t>23</w:t>
      </w:r>
      <w:r>
        <w:rPr>
          <w:snapToGrid w:val="0"/>
        </w:rPr>
        <w:t>.</w:t>
      </w:r>
      <w:r>
        <w:rPr>
          <w:snapToGrid w:val="0"/>
        </w:rPr>
        <w:tab/>
        <w:t xml:space="preserve">Returns, verification and lodgment of </w:t>
      </w:r>
      <w:r>
        <w:t>(Act s. 146)</w:t>
      </w:r>
      <w:bookmarkEnd w:id="80"/>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81" w:name="_Toc518635970"/>
      <w:r>
        <w:rPr>
          <w:rStyle w:val="CharSectno"/>
        </w:rPr>
        <w:t>24</w:t>
      </w:r>
      <w:r>
        <w:rPr>
          <w:snapToGrid w:val="0"/>
        </w:rPr>
        <w:t>.</w:t>
      </w:r>
      <w:r>
        <w:rPr>
          <w:snapToGrid w:val="0"/>
        </w:rPr>
        <w:tab/>
        <w:t xml:space="preserve">Return of information required etc. </w:t>
      </w:r>
      <w:r>
        <w:t>(Act s. 145)</w:t>
      </w:r>
      <w:bookmarkEnd w:id="81"/>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 4 Mar 2016 p. 630.]</w:t>
      </w:r>
    </w:p>
    <w:p>
      <w:pPr>
        <w:pStyle w:val="Heading5"/>
      </w:pPr>
      <w:bookmarkStart w:id="82" w:name="_Toc518635971"/>
      <w:r>
        <w:rPr>
          <w:rStyle w:val="CharSectno"/>
        </w:rPr>
        <w:t>25A</w:t>
      </w:r>
      <w:r>
        <w:t>.</w:t>
      </w:r>
      <w:r>
        <w:tab/>
        <w:t>Class of persons prescribed (Act s. 152P(4)(b))</w:t>
      </w:r>
      <w:bookmarkEnd w:id="82"/>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83" w:name="_Toc518635972"/>
      <w:r>
        <w:rPr>
          <w:rStyle w:val="CharSectno"/>
        </w:rPr>
        <w:t>25</w:t>
      </w:r>
      <w:r>
        <w:rPr>
          <w:snapToGrid w:val="0"/>
        </w:rPr>
        <w:t>.</w:t>
      </w:r>
      <w:r>
        <w:rPr>
          <w:snapToGrid w:val="0"/>
        </w:rPr>
        <w:tab/>
        <w:t>Money payable under Act, how payable</w:t>
      </w:r>
      <w:bookmarkEnd w:id="83"/>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84" w:name="_Toc518635973"/>
      <w:r>
        <w:rPr>
          <w:rStyle w:val="CharSectno"/>
        </w:rPr>
        <w:t>26</w:t>
      </w:r>
      <w:r>
        <w:rPr>
          <w:snapToGrid w:val="0"/>
        </w:rPr>
        <w:t>.</w:t>
      </w:r>
      <w:r>
        <w:rPr>
          <w:snapToGrid w:val="0"/>
        </w:rPr>
        <w:tab/>
        <w:t>Fees generally (Sch. 3)</w:t>
      </w:r>
      <w:bookmarkEnd w:id="84"/>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$281; or</w:t>
      </w:r>
    </w:p>
    <w:p>
      <w:pPr>
        <w:pStyle w:val="Indenta"/>
      </w:pPr>
      <w:r>
        <w:tab/>
        <w:t>(b)</w:t>
      </w:r>
      <w:r>
        <w:tab/>
        <w:t>if 3 or more such permits have been issued — an additional amount of $565.</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w:t>
      </w:r>
    </w:p>
    <w:p>
      <w:pPr>
        <w:pStyle w:val="Heading5"/>
      </w:pPr>
      <w:bookmarkStart w:id="85" w:name="_Toc518635974"/>
      <w:r>
        <w:rPr>
          <w:rStyle w:val="CharSectno"/>
        </w:rPr>
        <w:t>27A</w:t>
      </w:r>
      <w:r>
        <w:t>.</w:t>
      </w:r>
      <w:r>
        <w:tab/>
        <w:t>Reduction in licence fee for new licences</w:t>
      </w:r>
      <w:bookmarkEnd w:id="85"/>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86" w:name="_Toc518635975"/>
      <w:r>
        <w:rPr>
          <w:rStyle w:val="CharSectno"/>
        </w:rPr>
        <w:t>27</w:t>
      </w:r>
      <w:r>
        <w:rPr>
          <w:snapToGrid w:val="0"/>
        </w:rPr>
        <w:t>.</w:t>
      </w:r>
      <w:r>
        <w:rPr>
          <w:snapToGrid w:val="0"/>
        </w:rPr>
        <w:tab/>
        <w:t>Infringement notices, forms etc. prescribed for (Act s. 167)</w:t>
      </w:r>
      <w:bookmarkEnd w:id="86"/>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w:t>
      </w:r>
    </w:p>
    <w:p>
      <w:pPr>
        <w:pStyle w:val="Ednotesection"/>
        <w:spacing w:before="180"/>
        <w:ind w:left="890" w:hanging="890"/>
      </w:pPr>
      <w:r>
        <w:t>[</w:t>
      </w:r>
      <w:r>
        <w:rPr>
          <w:b/>
        </w:rPr>
        <w:t>28.</w:t>
      </w:r>
      <w:r>
        <w:rPr>
          <w:b/>
        </w:rPr>
        <w:tab/>
      </w:r>
      <w:r>
        <w:t>Deleted in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87" w:name="_Toc518635976"/>
      <w:r>
        <w:rPr>
          <w:rStyle w:val="CharSchNo"/>
        </w:rPr>
        <w:t>Schedule 1</w:t>
      </w:r>
      <w:bookmarkEnd w:id="87"/>
    </w:p>
    <w:p>
      <w:pPr>
        <w:pStyle w:val="yShoulderClause"/>
        <w:spacing w:before="60"/>
        <w:rPr>
          <w:snapToGrid w:val="0"/>
        </w:rPr>
      </w:pPr>
      <w:r>
        <w:rPr>
          <w:snapToGrid w:val="0"/>
        </w:rPr>
        <w:t>[Regulation 3]</w:t>
      </w:r>
    </w:p>
    <w:p>
      <w:pPr>
        <w:pStyle w:val="yHeading2"/>
        <w:outlineLvl w:val="9"/>
      </w:pPr>
      <w:bookmarkStart w:id="88" w:name="_Toc518635977"/>
      <w:r>
        <w:rPr>
          <w:rStyle w:val="CharSchText"/>
        </w:rPr>
        <w:t>Forms</w:t>
      </w:r>
      <w:bookmarkEnd w:id="88"/>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7"/>
        <w:gridCol w:w="1276"/>
        <w:gridCol w:w="2830"/>
      </w:tblGrid>
      <w:tr>
        <w:trPr>
          <w:cantSplit/>
          <w:trHeight w:val="286"/>
        </w:trPr>
        <w:tc>
          <w:tcPr>
            <w:tcW w:w="4253" w:type="dxa"/>
            <w:gridSpan w:val="3"/>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30"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3"/>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3" w:type="dxa"/>
            <w:gridSpan w:val="3"/>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3" w:type="dxa"/>
            <w:gridSpan w:val="3"/>
          </w:tcPr>
          <w:p>
            <w:pPr>
              <w:pStyle w:val="yTableNAm"/>
              <w:keepNext/>
              <w:keepLines/>
              <w:tabs>
                <w:tab w:val="left" w:pos="3492"/>
              </w:tabs>
              <w:spacing w:before="0"/>
              <w:ind w:right="238"/>
              <w:rPr>
                <w:sz w:val="20"/>
              </w:rPr>
            </w:pPr>
            <w:r>
              <w:rPr>
                <w:sz w:val="20"/>
              </w:rPr>
              <w:t>Date of birth</w:t>
            </w:r>
          </w:p>
        </w:tc>
      </w:tr>
      <w:tr>
        <w:trPr>
          <w:cantSplit/>
          <w:trHeight w:val="150"/>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3" w:type="dxa"/>
            <w:gridSpan w:val="3"/>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3" w:type="dxa"/>
            <w:gridSpan w:val="3"/>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3" w:type="dxa"/>
            <w:gridSpan w:val="3"/>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Registered No.</w:t>
            </w:r>
          </w:p>
        </w:tc>
      </w:tr>
      <w:tr>
        <w:trPr>
          <w:cantSplit/>
        </w:trPr>
        <w:tc>
          <w:tcPr>
            <w:tcW w:w="1560" w:type="dxa"/>
            <w:vMerge/>
          </w:tcPr>
          <w:p>
            <w:pPr>
              <w:pStyle w:val="yTableNAm"/>
              <w:spacing w:before="60"/>
              <w:rPr>
                <w:b/>
                <w:bCs/>
                <w:sz w:val="20"/>
              </w:rPr>
            </w:pPr>
          </w:p>
        </w:tc>
        <w:tc>
          <w:tcPr>
            <w:tcW w:w="5523" w:type="dxa"/>
            <w:gridSpan w:val="3"/>
          </w:tcPr>
          <w:p>
            <w:pPr>
              <w:pStyle w:val="yTableNAm"/>
              <w:spacing w:before="0"/>
              <w:rPr>
                <w:sz w:val="20"/>
              </w:rPr>
            </w:pPr>
            <w:r>
              <w:rPr>
                <w:sz w:val="20"/>
              </w:rPr>
              <w:t>Station/Unit</w:t>
            </w:r>
          </w:p>
        </w:tc>
      </w:tr>
      <w:tr>
        <w:trPr>
          <w:trHeight w:val="1097"/>
        </w:trPr>
        <w:tc>
          <w:tcPr>
            <w:tcW w:w="1560" w:type="dxa"/>
          </w:tcPr>
          <w:p>
            <w:pPr>
              <w:pStyle w:val="yTableNAm"/>
            </w:pPr>
            <w:r>
              <w:rPr>
                <w:b/>
                <w:sz w:val="20"/>
              </w:rPr>
              <w:t xml:space="preserve">Notice to alleged offender </w:t>
            </w:r>
          </w:p>
        </w:tc>
        <w:tc>
          <w:tcPr>
            <w:tcW w:w="5523" w:type="dxa"/>
            <w:gridSpan w:val="3"/>
          </w:tcPr>
          <w:p>
            <w:pPr>
              <w:pStyle w:val="yTableNAm"/>
            </w:pPr>
            <w:r>
              <w:rPr>
                <w:sz w:val="20"/>
              </w:rPr>
              <w:t>It is alleged that you have committed the above offence.</w:t>
            </w:r>
          </w:p>
          <w:p>
            <w:pPr>
              <w:pStyle w:val="yTableNAm"/>
            </w:pPr>
            <w:r>
              <w:rPr>
                <w:b/>
              </w:rPr>
              <w:t>If you do not want to be prosecuted in court for the alleged offence</w:t>
            </w:r>
            <w:r>
              <w:t>, pay the modified penalty above within 28 days after the date of issue of this notice. See below for how and where to pay the modified penalty.</w:t>
            </w:r>
          </w:p>
          <w:p>
            <w:pPr>
              <w:pStyle w:val="yTableNAm"/>
            </w:pPr>
            <w:r>
              <w:rPr>
                <w:b/>
              </w:rPr>
              <w:t>If you do not pay the modified penalty within 28 days</w:t>
            </w:r>
            <w:r>
              <w:t xml:space="preserve">, you may be prosecuted in court for the alleged offence or enforcement action may be taken under the </w:t>
            </w:r>
            <w:r>
              <w:rPr>
                <w:i/>
              </w:rPr>
              <w:t xml:space="preserve">Fines, Penalties and Infringement Notices Enforcement Act 1994 </w:t>
            </w:r>
            <w:r>
              <w:t>to recover the modified penalty.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p>
          <w:p>
            <w:pPr>
              <w:pStyle w:val="yTableNAm"/>
              <w:keepNext/>
              <w:keepLines/>
            </w:pPr>
            <w:r>
              <w:rPr>
                <w:b/>
              </w:rPr>
              <w:t>If you want this matter to be dealt with by prosecution in court</w:t>
            </w:r>
            <w:r>
              <w:t xml:space="preserve">, sign and date here: </w:t>
            </w:r>
          </w:p>
          <w:p>
            <w:pPr>
              <w:pStyle w:val="yTableNAm"/>
            </w:pPr>
            <w:r>
              <w:t xml:space="preserve">__________________________________       /    /20   </w:t>
            </w:r>
            <w:r>
              <w:br/>
              <w:t>and post this notice to the address below within 28 days after the date of issue of this notice.</w:t>
            </w:r>
          </w:p>
          <w:p>
            <w:pPr>
              <w:pStyle w:val="yTableNAm"/>
            </w:pPr>
            <w:r>
              <w:t>If you are prosecuted in a court for the alleged offence, and convicted, you will be liable to a penalty and costs.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yTableNAm"/>
            </w:pPr>
            <w:r>
              <w:rPr>
                <w:b/>
                <w:sz w:val="20"/>
              </w:rPr>
              <w:t>How to pay the modified penalty</w:t>
            </w: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In person</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paying in person]</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post</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sz w:val="20"/>
                <w:szCs w:val="22"/>
              </w:rPr>
              <w:t>Post this notice, with a cheque or money order made payable to [</w:t>
            </w:r>
            <w:r>
              <w:rPr>
                <w:i/>
                <w:sz w:val="20"/>
                <w:szCs w:val="22"/>
              </w:rPr>
              <w:t>payee</w:t>
            </w:r>
            <w:r>
              <w:rPr>
                <w:sz w:val="20"/>
                <w:szCs w:val="22"/>
              </w:rPr>
              <w:t>], to:</w:t>
            </w:r>
          </w:p>
          <w:p>
            <w:pPr>
              <w:pStyle w:val="yTableNAm"/>
              <w:rPr>
                <w:i/>
              </w:rPr>
            </w:pPr>
            <w:r>
              <w:rPr>
                <w:i/>
              </w:rPr>
              <w:t>[Address]</w:t>
            </w:r>
          </w:p>
          <w:p>
            <w:pPr>
              <w:pStyle w:val="yTableNAm"/>
              <w:rPr>
                <w:u w:val="single"/>
              </w:rPr>
            </w:pPr>
            <w:r>
              <w:t>Do not send cash in the mail.</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Online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[Details for online payments]</w:t>
            </w:r>
          </w:p>
        </w:tc>
      </w:tr>
      <w:tr>
        <w:trPr>
          <w:trHeight w:val="401"/>
        </w:trPr>
        <w:tc>
          <w:tcPr>
            <w:tcW w:w="1560" w:type="dxa"/>
            <w:tcBorders>
              <w:top w:val="single" w:sz="4" w:space="0" w:color="auto"/>
              <w:left w:val="single" w:sz="4" w:space="0" w:color="auto"/>
              <w:bottom w:val="single" w:sz="4" w:space="0" w:color="auto"/>
              <w:right w:val="single" w:sz="4" w:space="0" w:color="auto"/>
            </w:tcBorders>
          </w:tcPr>
          <w:p>
            <w:pPr>
              <w:pStyle w:val="zyTableNAm"/>
              <w:rPr>
                <w:sz w:val="20"/>
                <w:szCs w:val="22"/>
              </w:rPr>
            </w:pPr>
          </w:p>
        </w:tc>
        <w:tc>
          <w:tcPr>
            <w:tcW w:w="1417" w:type="dxa"/>
            <w:tcBorders>
              <w:top w:val="single" w:sz="4" w:space="0" w:color="auto"/>
              <w:left w:val="single" w:sz="4" w:space="0" w:color="auto"/>
              <w:bottom w:val="single" w:sz="4" w:space="0" w:color="auto"/>
              <w:right w:val="single" w:sz="4" w:space="0" w:color="auto"/>
            </w:tcBorders>
          </w:tcPr>
          <w:p>
            <w:pPr>
              <w:pStyle w:val="yTableNAm"/>
            </w:pPr>
            <w:r>
              <w:rPr>
                <w:sz w:val="20"/>
                <w:szCs w:val="22"/>
              </w:rPr>
              <w:t>By telephone</w:t>
            </w:r>
          </w:p>
        </w:tc>
        <w:tc>
          <w:tcPr>
            <w:tcW w:w="4106" w:type="dxa"/>
            <w:gridSpan w:val="2"/>
            <w:tcBorders>
              <w:top w:val="single" w:sz="4" w:space="0" w:color="auto"/>
              <w:left w:val="single" w:sz="4" w:space="0" w:color="auto"/>
              <w:bottom w:val="single" w:sz="4" w:space="0" w:color="auto"/>
              <w:right w:val="single" w:sz="4" w:space="0" w:color="auto"/>
            </w:tcBorders>
          </w:tcPr>
          <w:p>
            <w:pPr>
              <w:pStyle w:val="yTableNAm"/>
            </w:pPr>
            <w:r>
              <w:rPr>
                <w:i/>
                <w:sz w:val="20"/>
                <w:szCs w:val="22"/>
              </w:rPr>
              <w:t xml:space="preserve">[Details for telephone payments] </w:t>
            </w:r>
          </w:p>
        </w:tc>
      </w:tr>
    </w:tbl>
    <w:p>
      <w:pPr>
        <w:pStyle w:val="yFootnotesection"/>
      </w:pPr>
      <w:r>
        <w:tab/>
        <w:t>[Form 21 inserted in Gazette 28 Sep 2007 p. 4931; amended in Gazette 20 Aug 2013 p. 3855; 1 Dec 2015 p. 4822</w:t>
      </w:r>
      <w:r>
        <w:noBreakHyphen/>
        <w:t>3.]</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30"/>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30" w:type="dxa"/>
            <w:tcBorders>
              <w:bottom w:val="single" w:sz="4" w:space="0" w:color="auto"/>
            </w:tcBorders>
          </w:tcPr>
          <w:p>
            <w:pPr>
              <w:pStyle w:val="yTableNAm"/>
              <w:keepNext/>
              <w:keepLines/>
              <w:spacing w:before="0"/>
              <w:rPr>
                <w:sz w:val="20"/>
              </w:rPr>
            </w:pPr>
          </w:p>
        </w:tc>
      </w:tr>
      <w:tr>
        <w:trPr>
          <w:cantSplit/>
          <w:trHeight w:val="278"/>
        </w:trPr>
        <w:tc>
          <w:tcPr>
            <w:tcW w:w="4253" w:type="dxa"/>
            <w:gridSpan w:val="2"/>
            <w:vMerge/>
          </w:tcPr>
          <w:p>
            <w:pPr>
              <w:pStyle w:val="yTableNAm"/>
              <w:keepNext/>
              <w:keepLines/>
              <w:spacing w:before="0"/>
              <w:rPr>
                <w:sz w:val="20"/>
              </w:rPr>
            </w:pPr>
          </w:p>
        </w:tc>
        <w:tc>
          <w:tcPr>
            <w:tcW w:w="2830"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3" w:type="dxa"/>
            <w:gridSpan w:val="2"/>
          </w:tcPr>
          <w:p>
            <w:pPr>
              <w:pStyle w:val="yTableNAm"/>
              <w:keepNext/>
              <w:keepLines/>
              <w:tabs>
                <w:tab w:val="clear" w:pos="567"/>
                <w:tab w:val="left" w:pos="732"/>
              </w:tabs>
              <w:spacing w:before="60"/>
              <w:rPr>
                <w:sz w:val="20"/>
              </w:rPr>
            </w:pPr>
            <w:r>
              <w:rPr>
                <w:sz w:val="20"/>
              </w:rPr>
              <w:t>Name:</w:t>
            </w:r>
            <w:r>
              <w:rPr>
                <w:sz w:val="20"/>
              </w:rPr>
              <w:tab/>
              <w:t>Surname</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3"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3"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3"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pPr>
            <w:r>
              <w:rPr>
                <w:b/>
                <w:sz w:val="20"/>
              </w:rPr>
              <w:t xml:space="preserve">Officer withdrawing notice </w:t>
            </w:r>
          </w:p>
        </w:tc>
        <w:tc>
          <w:tcPr>
            <w:tcW w:w="5523" w:type="dxa"/>
            <w:gridSpan w:val="2"/>
          </w:tcPr>
          <w:p>
            <w:pPr>
              <w:pStyle w:val="yTableNAm"/>
            </w:pPr>
            <w:r>
              <w:rPr>
                <w:sz w:val="20"/>
              </w:rPr>
              <w:t>Director of Liquor Licensing</w:t>
            </w:r>
          </w:p>
        </w:tc>
      </w:tr>
      <w:tr>
        <w:trPr>
          <w:cantSplit/>
        </w:trPr>
        <w:tc>
          <w:tcPr>
            <w:tcW w:w="1560" w:type="dxa"/>
            <w:vMerge/>
          </w:tcPr>
          <w:p>
            <w:pPr>
              <w:pStyle w:val="zyTableNAm"/>
              <w:rPr>
                <w:sz w:val="20"/>
              </w:rPr>
            </w:pPr>
          </w:p>
        </w:tc>
        <w:tc>
          <w:tcPr>
            <w:tcW w:w="5523" w:type="dxa"/>
            <w:gridSpan w:val="2"/>
          </w:tcPr>
          <w:p>
            <w:pPr>
              <w:pStyle w:val="yTableNAm"/>
            </w:pPr>
            <w:r>
              <w:rPr>
                <w:sz w:val="20"/>
              </w:rPr>
              <w:t>Registered No.</w:t>
            </w:r>
          </w:p>
        </w:tc>
      </w:tr>
      <w:tr>
        <w:trPr>
          <w:cantSplit/>
        </w:trPr>
        <w:tc>
          <w:tcPr>
            <w:tcW w:w="1560" w:type="dxa"/>
            <w:vMerge/>
          </w:tcPr>
          <w:p>
            <w:pPr>
              <w:pStyle w:val="zyTableNAm"/>
              <w:rPr>
                <w:sz w:val="20"/>
              </w:rPr>
            </w:pPr>
          </w:p>
        </w:tc>
        <w:tc>
          <w:tcPr>
            <w:tcW w:w="5523" w:type="dxa"/>
            <w:gridSpan w:val="2"/>
          </w:tcPr>
          <w:p>
            <w:pPr>
              <w:pStyle w:val="yTableNAm"/>
            </w:pPr>
            <w:r>
              <w:rPr>
                <w:sz w:val="20"/>
              </w:rPr>
              <w:t>Station/Unit</w:t>
            </w:r>
          </w:p>
        </w:tc>
      </w:tr>
      <w:tr>
        <w:tc>
          <w:tcPr>
            <w:tcW w:w="1560" w:type="dxa"/>
          </w:tcPr>
          <w:p>
            <w:pPr>
              <w:pStyle w:val="yTableNAm"/>
            </w:pPr>
            <w:r>
              <w:rPr>
                <w:b/>
                <w:sz w:val="20"/>
              </w:rPr>
              <w:t>Withdrawal of infringement notice</w:t>
            </w:r>
          </w:p>
          <w:p>
            <w:pPr>
              <w:pStyle w:val="zyTableNAm"/>
              <w:rPr>
                <w:sz w:val="20"/>
              </w:rPr>
            </w:pPr>
          </w:p>
        </w:tc>
        <w:tc>
          <w:tcPr>
            <w:tcW w:w="5523" w:type="dxa"/>
            <w:gridSpan w:val="2"/>
          </w:tcPr>
          <w:p>
            <w:pPr>
              <w:pStyle w:val="yTableNAm"/>
            </w:pPr>
            <w:r>
              <w:rPr>
                <w:sz w:val="20"/>
              </w:rPr>
              <w:t>The above infringement notice, which was issued for the above alleged offence, has been withdrawn.</w:t>
            </w:r>
          </w:p>
          <w:p>
            <w:pPr>
              <w:pStyle w:val="yTableNAm"/>
            </w:pPr>
            <w:r>
              <w:t>If you have already paid the modified penalty for the alleged offence in accordance with the infringement notice, the amount will be refunded to you.</w:t>
            </w:r>
          </w:p>
        </w:tc>
      </w:tr>
    </w:tbl>
    <w:p>
      <w:pPr>
        <w:pStyle w:val="yFootnotesection"/>
      </w:pPr>
      <w:r>
        <w:tab/>
        <w:t>[Form 22 inserted in Gazette 28 Sep 2007 p. 4932; amended in Gazette 1 Dec 2015 p. 4823.]</w:t>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yScheduleHeading"/>
      </w:pPr>
      <w:bookmarkStart w:id="90" w:name="_Toc518635978"/>
      <w:r>
        <w:rPr>
          <w:rStyle w:val="CharSchNo"/>
        </w:rPr>
        <w:t>Schedule 2</w:t>
      </w:r>
      <w:bookmarkEnd w:id="90"/>
    </w:p>
    <w:p>
      <w:pPr>
        <w:pStyle w:val="yShoulderClause"/>
        <w:spacing w:before="60"/>
        <w:rPr>
          <w:snapToGrid w:val="0"/>
        </w:rPr>
      </w:pPr>
      <w:r>
        <w:rPr>
          <w:snapToGrid w:val="0"/>
        </w:rPr>
        <w:t>[Regulation 13]</w:t>
      </w:r>
    </w:p>
    <w:p>
      <w:pPr>
        <w:pStyle w:val="yHeading2"/>
        <w:spacing w:before="120" w:after="80"/>
      </w:pPr>
      <w:bookmarkStart w:id="91" w:name="_Toc518635979"/>
      <w:r>
        <w:rPr>
          <w:rStyle w:val="CharSchText"/>
        </w:rPr>
        <w:t>Details of applicant</w:t>
      </w:r>
      <w:bookmarkEnd w:id="91"/>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92" w:name="_Toc518635980"/>
      <w:r>
        <w:rPr>
          <w:rStyle w:val="CharSchNo"/>
        </w:rPr>
        <w:t>Schedule 3</w:t>
      </w:r>
      <w:r>
        <w:rPr>
          <w:rStyle w:val="CharSDivNo"/>
        </w:rPr>
        <w:t> </w:t>
      </w:r>
      <w:r>
        <w:t>—</w:t>
      </w:r>
      <w:r>
        <w:rPr>
          <w:rStyle w:val="CharSDivText"/>
        </w:rPr>
        <w:t> </w:t>
      </w:r>
      <w:r>
        <w:rPr>
          <w:rStyle w:val="CharSchText"/>
        </w:rPr>
        <w:t>Fees</w:t>
      </w:r>
      <w:bookmarkEnd w:id="92"/>
    </w:p>
    <w:p>
      <w:pPr>
        <w:pStyle w:val="yShoulderClause"/>
      </w:pPr>
      <w:r>
        <w:t>[r. </w:t>
      </w:r>
      <w:r>
        <w:rPr>
          <w:szCs w:val="22"/>
        </w:rPr>
        <w:t>11, 14ADF, 18B, 26 and 27A</w:t>
      </w:r>
      <w:r>
        <w:t>]</w:t>
      </w:r>
    </w:p>
    <w:p>
      <w:pPr>
        <w:pStyle w:val="yFootnoteheading"/>
        <w:spacing w:after="60"/>
      </w:pPr>
      <w:r>
        <w:tab/>
        <w:t>[Heading inserted in Gazette 10 Nov 2017 p. 5587.]</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3 514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901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863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t>594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293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53</w:t>
            </w:r>
          </w:p>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229</w:t>
            </w:r>
          </w:p>
          <w:p>
            <w:pPr>
              <w:pStyle w:val="yTableNAm"/>
              <w:tabs>
                <w:tab w:val="clear" w:pos="567"/>
                <w:tab w:val="right" w:pos="659"/>
              </w:tabs>
              <w:ind w:right="48"/>
              <w:jc w:val="right"/>
            </w:pPr>
            <w:r>
              <w:rPr>
                <w:szCs w:val="22"/>
              </w:rPr>
              <w:t>1 156</w:t>
            </w:r>
          </w:p>
          <w:p>
            <w:pPr>
              <w:pStyle w:val="yTableNAm"/>
              <w:tabs>
                <w:tab w:val="clear" w:pos="567"/>
                <w:tab w:val="right" w:pos="659"/>
              </w:tabs>
              <w:ind w:right="48"/>
              <w:jc w:val="right"/>
            </w:pPr>
            <w:r>
              <w:rPr>
                <w:szCs w:val="22"/>
              </w:rPr>
              <w:t>2 314</w:t>
            </w:r>
          </w:p>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53</w:t>
            </w:r>
          </w:p>
          <w:p>
            <w:pPr>
              <w:pStyle w:val="yTableNAm"/>
              <w:tabs>
                <w:tab w:val="clear" w:pos="567"/>
                <w:tab w:val="right" w:pos="659"/>
                <w:tab w:val="right" w:leader="dot" w:pos="6237"/>
              </w:tabs>
              <w:ind w:right="48"/>
              <w:jc w:val="right"/>
            </w:pPr>
            <w:r>
              <w:rPr>
                <w:szCs w:val="22"/>
              </w:rPr>
              <w:t>474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354</w:t>
            </w:r>
          </w:p>
          <w:p>
            <w:pPr>
              <w:pStyle w:val="yTableNAm"/>
              <w:tabs>
                <w:tab w:val="clear" w:pos="567"/>
                <w:tab w:val="right" w:pos="659"/>
              </w:tabs>
              <w:ind w:right="48"/>
              <w:jc w:val="right"/>
            </w:pPr>
            <w:r>
              <w:br/>
            </w:r>
            <w:r>
              <w:rPr>
                <w:szCs w:val="22"/>
              </w:rPr>
              <w:t>354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t>354</w:t>
            </w:r>
          </w:p>
          <w:p>
            <w:pPr>
              <w:pStyle w:val="yTableNAm"/>
              <w:tabs>
                <w:tab w:val="clear" w:pos="567"/>
                <w:tab w:val="right" w:pos="659"/>
              </w:tabs>
              <w:ind w:right="48"/>
              <w:jc w:val="right"/>
              <w:rPr>
                <w:szCs w:val="22"/>
              </w:rPr>
            </w:pPr>
            <w:r>
              <w:rPr>
                <w:szCs w:val="22"/>
              </w:rPr>
              <w:t>298</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1 188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anticipated number of patrons is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43</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181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60</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128</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161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110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74</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241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anticipated number of patrons is —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229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1 156</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2 314</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4 639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281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246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224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268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r>
              <w:rPr>
                <w:szCs w:val="22"/>
              </w:rPr>
              <w:t>65</w:t>
            </w:r>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r>
              <w:rPr>
                <w:szCs w:val="22"/>
              </w:rPr>
              <w:t>90</w:t>
            </w:r>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r>
              <w:rPr>
                <w:szCs w:val="22"/>
              </w:rPr>
              <w:t>59</w:t>
            </w:r>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r>
              <w:rPr>
                <w:szCs w:val="22"/>
              </w:rPr>
              <w:t>144</w:t>
            </w:r>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(up to a max. of 200)</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r>
              <w:t>40</w:t>
            </w:r>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t>40</w:t>
            </w:r>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52</w:t>
            </w:r>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r>
              <w:t>40</w:t>
            </w:r>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r>
              <w:rPr>
                <w:szCs w:val="22"/>
              </w:rPr>
              <w:t>89</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t>150</w:t>
            </w:r>
          </w:p>
        </w:tc>
      </w:tr>
    </w:tbl>
    <w:p>
      <w:pPr>
        <w:pStyle w:val="yFootnotesection"/>
      </w:pPr>
      <w:r>
        <w:tab/>
        <w:t>[Schedule 3 inserted in Gazette 10 Nov 2017 p. 5587</w:t>
      </w:r>
      <w:r>
        <w:noBreakHyphen/>
        <w:t>92.]</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93" w:name="_Toc518635981"/>
      <w:r>
        <w:t>Notes</w:t>
      </w:r>
      <w:bookmarkEnd w:id="93"/>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94" w:name="_Toc518635982"/>
      <w:r>
        <w:rPr>
          <w:snapToGrid w:val="0"/>
        </w:rPr>
        <w:t>Compilation table</w:t>
      </w:r>
      <w:bookmarkEnd w:id="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Sep 2017 (see r. 2(a));</w:t>
            </w:r>
            <w:r>
              <w:rPr>
                <w:rFonts w:ascii="Times" w:hAnsi="Times"/>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rFonts w:ascii="Times" w:hAnsi="Times"/>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rFonts w:ascii="Times" w:hAnsi="Times"/>
                <w:bCs/>
                <w:snapToGrid w:val="0"/>
                <w:spacing w:val="-2"/>
              </w:rPr>
              <w:t>r. 1 and 2: 19 Jan 2018 (see r. 2(a));</w:t>
            </w:r>
            <w:r>
              <w:rPr>
                <w:rFonts w:ascii="Times" w:hAnsi="Times"/>
                <w:bCs/>
                <w:snapToGrid w:val="0"/>
                <w:spacing w:val="-2"/>
              </w:rPr>
              <w:br/>
              <w:t>Regulations other than r. 1 and 2: 20 Jan 2018 (see r. 2(b))</w:t>
            </w:r>
          </w:p>
        </w:tc>
      </w:tr>
      <w:tr>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Mar 2018 (see r. 2(b))</w:t>
            </w:r>
          </w:p>
        </w:tc>
      </w:tr>
      <w:tr>
        <w:trPr>
          <w:cantSplit/>
        </w:trPr>
        <w:tc>
          <w:tcPr>
            <w:tcW w:w="3119" w:type="dxa"/>
            <w:tcBorders>
              <w:bottom w:val="single" w:sz="4" w:space="0" w:color="auto"/>
            </w:tcBorders>
            <w:shd w:val="clear" w:color="auto" w:fill="auto"/>
          </w:tcPr>
          <w:p>
            <w:pPr>
              <w:pStyle w:val="nTable"/>
              <w:spacing w:after="40"/>
              <w:ind w:right="113"/>
            </w:pPr>
            <w:r>
              <w:rPr>
                <w:i/>
              </w:rPr>
              <w:t>Liquor Control (Parnngurr Restricted Area) Regulations 2018</w:t>
            </w:r>
            <w:r>
              <w:t xml:space="preserve"> Pt. 5</w:t>
            </w:r>
          </w:p>
        </w:tc>
        <w:tc>
          <w:tcPr>
            <w:tcW w:w="1276" w:type="dxa"/>
            <w:tcBorders>
              <w:bottom w:val="single" w:sz="4" w:space="0" w:color="auto"/>
            </w:tcBorders>
            <w:shd w:val="clear" w:color="auto" w:fill="auto"/>
          </w:tcPr>
          <w:p>
            <w:pPr>
              <w:pStyle w:val="nTable"/>
              <w:spacing w:after="40"/>
            </w:pPr>
            <w:r>
              <w:t>6 Jul 2018 p. 2546</w:t>
            </w:r>
            <w:r>
              <w:noBreakHyphen/>
              <w:t>8</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7 Jul 2018 (see r. 2(b))</w:t>
            </w:r>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96" w:name="_Toc518635983"/>
      <w:r>
        <w:rPr>
          <w:sz w:val="28"/>
        </w:rPr>
        <w:t>Defined terms</w:t>
      </w:r>
      <w:bookmarkEnd w:id="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inter</w:t>
      </w:r>
      <w:r>
        <w:noBreakHyphen/>
        <w:t>State voyage</w:t>
      </w:r>
      <w:r>
        <w:tab/>
        <w:t>8(3)</w:t>
      </w:r>
    </w:p>
    <w:p>
      <w:pPr>
        <w:pStyle w:val="DefinedTerms"/>
      </w:pPr>
      <w:r>
        <w:t>liqueur chocolate</w:t>
      </w:r>
      <w:r>
        <w:tab/>
        <w:t>4AE(1)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qualifying intra</w:t>
      </w:r>
      <w:r>
        <w:noBreakHyphen/>
        <w:t>State voyage</w:t>
      </w:r>
      <w:r>
        <w:tab/>
        <w:t>8(3)</w:t>
      </w:r>
    </w:p>
    <w:p>
      <w:pPr>
        <w:pStyle w:val="DefinedTerms"/>
      </w:pPr>
      <w:r>
        <w:t>qualifying person</w:t>
      </w:r>
      <w:r>
        <w:tab/>
        <w:t>8(3)</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89" w:name="Schedule"/>
    <w:bookmarkEnd w:id="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7" w:name="DefinedTerms"/>
    <w:bookmarkEnd w:id="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 w:name="Coversheet"/>
    <w:bookmarkEnd w:id="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705164926"/>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4.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0F656-181A-4AA4-8312-EB19ABEF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27768</Words>
  <Characters>132456</Characters>
  <Application>Microsoft Office Word</Application>
  <DocSecurity>0</DocSecurity>
  <Lines>4730</Lines>
  <Paragraphs>2715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1989 - 14-k0-00</dc:title>
  <dc:subject/>
  <dc:creator/>
  <cp:keywords/>
  <dc:description/>
  <cp:lastModifiedBy>svcMRProcess</cp:lastModifiedBy>
  <cp:revision>4</cp:revision>
  <cp:lastPrinted>2017-09-12T01:43:00Z</cp:lastPrinted>
  <dcterms:created xsi:type="dcterms:W3CDTF">2020-02-26T16:56:00Z</dcterms:created>
  <dcterms:modified xsi:type="dcterms:W3CDTF">2020-02-26T16:56:00Z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AsAtDate">
    <vt:lpwstr>07 Jul 2018</vt:lpwstr>
  </property>
  <property fmtid="{D5CDD505-2E9C-101B-9397-08002B2CF9AE}" pid="8" name="Suffix">
    <vt:lpwstr>14-k0-00</vt:lpwstr>
  </property>
  <property fmtid="{D5CDD505-2E9C-101B-9397-08002B2CF9AE}" pid="9" name="CommencementDate">
    <vt:lpwstr>20180707</vt:lpwstr>
  </property>
</Properties>
</file>