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pStyle w:val="ReprintNo"/>
        <w:rPr>
          <w:rFonts w:ascii="Times New Roman" w:hAnsi="Times New Roman"/>
        </w:rPr>
      </w:pPr>
      <w:r>
        <w:rPr>
          <w:rFonts w:ascii="Times New Roman" w:hAnsi="Times New Roman"/>
        </w:rPr>
        <w:t>Reprint 5:  The Act as at 20 July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F97016" w:rsidRDefault="00F9701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F97016" w:rsidRDefault="00F9701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F97016" w:rsidRDefault="00F9701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F97016" w:rsidRDefault="00F9701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209"/>
        </w:tabs>
        <w:ind w:left="1200"/>
        <w:rPr>
          <w:sz w:val="20"/>
        </w:rPr>
      </w:pPr>
      <w:r>
        <w:rPr>
          <w:sz w:val="20"/>
        </w:rPr>
        <w:t>removed (because it was repealed or deleted from the law); or</w:t>
      </w:r>
    </w:p>
    <w:p>
      <w:pPr>
        <w:numPr>
          <w:ilvl w:val="0"/>
          <w:numId w:val="27"/>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July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_Toc520107929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_Toc520107930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_Toc520107931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_Toc520107932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_Toc520107935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_Toc520107936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_Toc520107937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_Toc520107938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_Toc520107939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_Toc520107940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_Toc520107942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_Toc520107943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_Toc520107944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_Toc520107945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_Toc520107946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_Toc520107947 \h </w:instrText>
      </w:r>
      <w:r>
        <w:fldChar w:fldCharType="separate"/>
      </w:r>
      <w:r>
        <w:t>11</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_Toc520107948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_Toc520107949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_Toc520107952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_Toc520107953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_Toc520107954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_Toc520107955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_Toc520107957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_Toc520107958 \h </w:instrText>
      </w:r>
      <w:r>
        <w:fldChar w:fldCharType="separate"/>
      </w:r>
      <w:r>
        <w:t>20</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_Toc520107959 \h </w:instrText>
      </w:r>
      <w:r>
        <w:fldChar w:fldCharType="separate"/>
      </w:r>
      <w:r>
        <w:t>21</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_Toc520107960 \h </w:instrText>
      </w:r>
      <w:r>
        <w:fldChar w:fldCharType="separate"/>
      </w:r>
      <w:r>
        <w:t>22</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_Toc520107961 \h </w:instrText>
      </w:r>
      <w:r>
        <w:fldChar w:fldCharType="separate"/>
      </w:r>
      <w:r>
        <w:t>23</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_Toc520107962 \h </w:instrText>
      </w:r>
      <w:r>
        <w:fldChar w:fldCharType="separate"/>
      </w:r>
      <w:r>
        <w:t>24</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_Toc520107963 \h </w:instrText>
      </w:r>
      <w:r>
        <w:fldChar w:fldCharType="separate"/>
      </w:r>
      <w:r>
        <w:t>25</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_Toc520107964 \h </w:instrText>
      </w:r>
      <w:r>
        <w:fldChar w:fldCharType="separate"/>
      </w:r>
      <w:r>
        <w:t>26</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_Toc520107965 \h </w:instrText>
      </w:r>
      <w:r>
        <w:fldChar w:fldCharType="separate"/>
      </w:r>
      <w:r>
        <w:t>27</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_Toc520107966 \h </w:instrText>
      </w:r>
      <w:r>
        <w:fldChar w:fldCharType="separate"/>
      </w:r>
      <w:r>
        <w:t>28</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_Toc520107967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_Toc520107968 \h </w:instrText>
      </w:r>
      <w:r>
        <w:fldChar w:fldCharType="separate"/>
      </w:r>
      <w:r>
        <w:t>31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_Toc520107969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_Toc520107972 \h </w:instrText>
      </w:r>
      <w:r>
        <w:fldChar w:fldCharType="separate"/>
      </w:r>
      <w:r>
        <w:t>35</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_Toc520107973 \h </w:instrText>
      </w:r>
      <w:r>
        <w:fldChar w:fldCharType="separate"/>
      </w:r>
      <w:r>
        <w:t>36</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_Toc520107974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_Toc520107976 \h </w:instrText>
      </w:r>
      <w:r>
        <w:fldChar w:fldCharType="separate"/>
      </w:r>
      <w:r>
        <w:t>38</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_Toc520107977 \h </w:instrText>
      </w:r>
      <w:r>
        <w:fldChar w:fldCharType="separate"/>
      </w:r>
      <w:r>
        <w:t>38</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_Toc520107978 \h </w:instrText>
      </w:r>
      <w:r>
        <w:fldChar w:fldCharType="separate"/>
      </w:r>
      <w:r>
        <w:t>39</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_Toc520107979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_Toc520107981 \h </w:instrText>
      </w:r>
      <w:r>
        <w:fldChar w:fldCharType="separate"/>
      </w:r>
      <w:r>
        <w:t>40</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_Toc520107982 \h </w:instrText>
      </w:r>
      <w:r>
        <w:fldChar w:fldCharType="separate"/>
      </w:r>
      <w:r>
        <w:t>41</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_Toc520107983 \h </w:instrText>
      </w:r>
      <w:r>
        <w:fldChar w:fldCharType="separate"/>
      </w:r>
      <w:r>
        <w:t>41</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_Toc520107984 \h </w:instrText>
      </w:r>
      <w:r>
        <w:fldChar w:fldCharType="separate"/>
      </w:r>
      <w:r>
        <w:t>42</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_Toc520107985 \h </w:instrText>
      </w:r>
      <w:r>
        <w:fldChar w:fldCharType="separate"/>
      </w:r>
      <w:r>
        <w:t>43</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_Toc520107986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_Toc520107988 \h </w:instrText>
      </w:r>
      <w:r>
        <w:fldChar w:fldCharType="separate"/>
      </w:r>
      <w:r>
        <w:t>44</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_Toc520107989 \h </w:instrText>
      </w:r>
      <w:r>
        <w:fldChar w:fldCharType="separate"/>
      </w:r>
      <w:r>
        <w:t>46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_Toc520107990 \h </w:instrText>
      </w:r>
      <w:r>
        <w:fldChar w:fldCharType="separate"/>
      </w:r>
      <w:r>
        <w:t>47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_Toc520107991 \h </w:instrText>
      </w:r>
      <w:r>
        <w:fldChar w:fldCharType="separate"/>
      </w:r>
      <w:r>
        <w:t>48</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_Toc520107992 \h </w:instrText>
      </w:r>
      <w:r>
        <w:fldChar w:fldCharType="separate"/>
      </w:r>
      <w:r>
        <w:t>48</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_Toc520107993 \h </w:instrText>
      </w:r>
      <w:r>
        <w:fldChar w:fldCharType="separate"/>
      </w:r>
      <w:r>
        <w:t>48</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_Toc520107994 \h </w:instrText>
      </w:r>
      <w:r>
        <w:fldChar w:fldCharType="separate"/>
      </w:r>
      <w:r>
        <w:t>49</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_Toc520107995 \h </w:instrText>
      </w:r>
      <w:r>
        <w:fldChar w:fldCharType="separate"/>
      </w:r>
      <w:r>
        <w:t>49</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_Toc520107996 \h </w:instrText>
      </w:r>
      <w:r>
        <w:fldChar w:fldCharType="separate"/>
      </w:r>
      <w:r>
        <w:t>50</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_Toc520107997 \h </w:instrText>
      </w:r>
      <w:r>
        <w:fldChar w:fldCharType="separate"/>
      </w:r>
      <w:r>
        <w:t>51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_Toc520107998 \h </w:instrText>
      </w:r>
      <w:r>
        <w:fldChar w:fldCharType="separate"/>
      </w:r>
      <w:r>
        <w:t>53</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_Toc520107999 \h </w:instrText>
      </w:r>
      <w:r>
        <w:fldChar w:fldCharType="separate"/>
      </w:r>
      <w:r>
        <w:t>54</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_Toc520108000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_Toc520108002 \h </w:instrText>
      </w:r>
      <w:r>
        <w:fldChar w:fldCharType="separate"/>
      </w:r>
      <w:r>
        <w:t>55</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_Toc520108003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_Toc520108005 \h </w:instrText>
      </w:r>
      <w:r>
        <w:fldChar w:fldCharType="separate"/>
      </w:r>
      <w:r>
        <w:t>58</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_Toc520108006 \h </w:instrText>
      </w:r>
      <w:r>
        <w:fldChar w:fldCharType="separate"/>
      </w:r>
      <w:r>
        <w:t>59</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_Toc520108007 \h </w:instrText>
      </w:r>
      <w:r>
        <w:fldChar w:fldCharType="separate"/>
      </w:r>
      <w:r>
        <w:t>59</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_Toc520108008 \h </w:instrText>
      </w:r>
      <w:r>
        <w:fldChar w:fldCharType="separate"/>
      </w:r>
      <w:r>
        <w:t>59</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_Toc520108009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_Toc520108011 \h </w:instrText>
      </w:r>
      <w:r>
        <w:fldChar w:fldCharType="separate"/>
      </w:r>
      <w:r>
        <w:t>62</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_Toc520108012 \h </w:instrText>
      </w:r>
      <w:r>
        <w:fldChar w:fldCharType="separate"/>
      </w:r>
      <w:r>
        <w:t>62</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_Toc520108013 \h </w:instrText>
      </w:r>
      <w:r>
        <w:fldChar w:fldCharType="separate"/>
      </w:r>
      <w:r>
        <w:t>63</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_Toc520108014 \h </w:instrText>
      </w:r>
      <w:r>
        <w:fldChar w:fldCharType="separate"/>
      </w:r>
      <w:r>
        <w:t>64</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_Toc520108015 \h </w:instrText>
      </w:r>
      <w:r>
        <w:fldChar w:fldCharType="separate"/>
      </w:r>
      <w:r>
        <w:t>65</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_Toc520108016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_Toc520108019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_Toc520108021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_Toc520108023 \h </w:instrText>
      </w:r>
      <w:r>
        <w:fldChar w:fldCharType="separate"/>
      </w:r>
      <w:r>
        <w:t>67</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_Toc520108024 \h </w:instrText>
      </w:r>
      <w:r>
        <w:fldChar w:fldCharType="separate"/>
      </w:r>
      <w:r>
        <w:t>68</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_Toc520108025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_Toc520108028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_Toc520108030 \h </w:instrText>
      </w:r>
      <w:r>
        <w:fldChar w:fldCharType="separate"/>
      </w:r>
      <w:r>
        <w:t>69</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_Toc520108031 \h </w:instrText>
      </w:r>
      <w:r>
        <w:fldChar w:fldCharType="separate"/>
      </w:r>
      <w:r>
        <w:t>70</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_Toc520108032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_Toc520108034 \h </w:instrText>
      </w:r>
      <w:r>
        <w:fldChar w:fldCharType="separate"/>
      </w:r>
      <w:r>
        <w:t>71</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_Toc520108035 \h </w:instrText>
      </w:r>
      <w:r>
        <w:fldChar w:fldCharType="separate"/>
      </w:r>
      <w:r>
        <w:t>72</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_Toc520108036 \h </w:instrText>
      </w:r>
      <w:r>
        <w:fldChar w:fldCharType="separate"/>
      </w:r>
      <w:r>
        <w:t>73</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_Toc520108037 \h </w:instrText>
      </w:r>
      <w:r>
        <w:fldChar w:fldCharType="separate"/>
      </w:r>
      <w:r>
        <w:t>73</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_Toc520108038 \h </w:instrText>
      </w:r>
      <w:r>
        <w:fldChar w:fldCharType="separate"/>
      </w:r>
      <w:r>
        <w:t>73</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_Toc520108039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_Toc520108041 \h </w:instrText>
      </w:r>
      <w:r>
        <w:fldChar w:fldCharType="separate"/>
      </w:r>
      <w:r>
        <w:t>74</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_Toc520108042 \h </w:instrText>
      </w:r>
      <w:r>
        <w:fldChar w:fldCharType="separate"/>
      </w:r>
      <w:r>
        <w:t>75</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_Toc520108043 \h </w:instrText>
      </w:r>
      <w:r>
        <w:fldChar w:fldCharType="separate"/>
      </w:r>
      <w:r>
        <w:t>76</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_Toc520108044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_Toc520108046 \h </w:instrText>
      </w:r>
      <w:r>
        <w:fldChar w:fldCharType="separate"/>
      </w:r>
      <w:r>
        <w:t>77</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_Toc520108047 \h </w:instrText>
      </w:r>
      <w:r>
        <w:fldChar w:fldCharType="separate"/>
      </w:r>
      <w:r>
        <w:t>84</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_Toc520108048 \h </w:instrText>
      </w:r>
      <w:r>
        <w:fldChar w:fldCharType="separate"/>
      </w:r>
      <w:r>
        <w:t>86</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_Toc520108049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_Toc520108051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July 2018</w:t>
            </w:r>
          </w:p>
        </w:tc>
      </w:tr>
    </w:tbl>
    <w:p>
      <w:pPr>
        <w:pStyle w:val="WA"/>
        <w:spacing w:before="12"/>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513124547"/>
      <w:bookmarkStart w:id="4" w:name="_Toc513124966"/>
      <w:bookmarkStart w:id="5" w:name="_Toc515529106"/>
      <w:bookmarkStart w:id="6" w:name="_Toc518998006"/>
      <w:bookmarkStart w:id="7" w:name="_Toc52010792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52010792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9" w:name="_Toc520107930"/>
      <w:r>
        <w:rPr>
          <w:rStyle w:val="CharSectno"/>
        </w:rPr>
        <w:t>2</w:t>
      </w:r>
      <w:r>
        <w:rPr>
          <w:snapToGrid w:val="0"/>
        </w:rPr>
        <w:t>.</w:t>
      </w:r>
      <w:r>
        <w:rPr>
          <w:snapToGrid w:val="0"/>
        </w:rPr>
        <w:tab/>
        <w:t>Commencement</w:t>
      </w:r>
      <w:bookmarkEnd w:id="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0" w:name="_Toc520107931"/>
      <w:r>
        <w:rPr>
          <w:rStyle w:val="CharSectno"/>
        </w:rPr>
        <w:t>3</w:t>
      </w:r>
      <w:r>
        <w:t>.</w:t>
      </w:r>
      <w:r>
        <w:tab/>
        <w:t>Relationship with other Acts</w:t>
      </w:r>
      <w:bookmarkEnd w:id="1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1" w:name="_Toc520107932"/>
      <w:r>
        <w:rPr>
          <w:rStyle w:val="CharSectno"/>
        </w:rPr>
        <w:t>4</w:t>
      </w:r>
      <w:r>
        <w:t>.</w:t>
      </w:r>
      <w:r>
        <w:tab/>
        <w:t>Terms used</w:t>
      </w:r>
      <w:bookmarkEnd w:id="1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2" w:name="_Toc513124552"/>
      <w:bookmarkStart w:id="13" w:name="_Toc513124971"/>
      <w:bookmarkStart w:id="14" w:name="_Toc515529111"/>
      <w:bookmarkStart w:id="15" w:name="_Toc518998011"/>
      <w:bookmarkStart w:id="16" w:name="_Toc520107933"/>
      <w:r>
        <w:rPr>
          <w:rStyle w:val="CharPartNo"/>
        </w:rPr>
        <w:t>Part 2</w:t>
      </w:r>
      <w:r>
        <w:t xml:space="preserve"> — </w:t>
      </w:r>
      <w:r>
        <w:rPr>
          <w:rStyle w:val="CharPartText"/>
        </w:rPr>
        <w:t>Land tax liability and assessment</w:t>
      </w:r>
      <w:bookmarkEnd w:id="12"/>
      <w:bookmarkEnd w:id="13"/>
      <w:bookmarkEnd w:id="14"/>
      <w:bookmarkEnd w:id="15"/>
      <w:bookmarkEnd w:id="16"/>
    </w:p>
    <w:p>
      <w:pPr>
        <w:pStyle w:val="Heading3"/>
      </w:pPr>
      <w:bookmarkStart w:id="17" w:name="_Toc513124553"/>
      <w:bookmarkStart w:id="18" w:name="_Toc513124972"/>
      <w:bookmarkStart w:id="19" w:name="_Toc515529112"/>
      <w:bookmarkStart w:id="20" w:name="_Toc518998012"/>
      <w:bookmarkStart w:id="21" w:name="_Toc520107934"/>
      <w:r>
        <w:rPr>
          <w:rStyle w:val="CharDivNo"/>
        </w:rPr>
        <w:t>Division 1</w:t>
      </w:r>
      <w:r>
        <w:t xml:space="preserve"> — </w:t>
      </w:r>
      <w:r>
        <w:rPr>
          <w:rStyle w:val="CharDivText"/>
        </w:rPr>
        <w:t>Liability to land tax</w:t>
      </w:r>
      <w:bookmarkEnd w:id="17"/>
      <w:bookmarkEnd w:id="18"/>
      <w:bookmarkEnd w:id="19"/>
      <w:bookmarkEnd w:id="20"/>
      <w:bookmarkEnd w:id="21"/>
    </w:p>
    <w:p>
      <w:pPr>
        <w:pStyle w:val="Heading5"/>
      </w:pPr>
      <w:bookmarkStart w:id="22" w:name="_Toc520107935"/>
      <w:r>
        <w:rPr>
          <w:rStyle w:val="CharSectno"/>
        </w:rPr>
        <w:t>5</w:t>
      </w:r>
      <w:r>
        <w:t>.</w:t>
      </w:r>
      <w:r>
        <w:tab/>
        <w:t>Taxable land</w:t>
      </w:r>
      <w:bookmarkEnd w:id="22"/>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23" w:name="_Toc520107936"/>
      <w:r>
        <w:rPr>
          <w:rStyle w:val="CharSectno"/>
        </w:rPr>
        <w:t>6</w:t>
      </w:r>
      <w:r>
        <w:t>.</w:t>
      </w:r>
      <w:r>
        <w:tab/>
        <w:t>Time for payment of land tax</w:t>
      </w:r>
      <w:bookmarkEnd w:id="23"/>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4" w:name="_Toc520107937"/>
      <w:r>
        <w:rPr>
          <w:rStyle w:val="CharSectno"/>
        </w:rPr>
        <w:t>7</w:t>
      </w:r>
      <w:r>
        <w:t>.</w:t>
      </w:r>
      <w:r>
        <w:tab/>
        <w:t>Liability to pay land tax</w:t>
      </w:r>
      <w:bookmarkEnd w:id="2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by No. 5 of 2018 s. 4.]</w:t>
      </w:r>
    </w:p>
    <w:p>
      <w:pPr>
        <w:pStyle w:val="Heading5"/>
      </w:pPr>
      <w:bookmarkStart w:id="25" w:name="_Toc520107938"/>
      <w:r>
        <w:rPr>
          <w:rStyle w:val="CharSectno"/>
        </w:rPr>
        <w:t>8</w:t>
      </w:r>
      <w:r>
        <w:t>.</w:t>
      </w:r>
      <w:r>
        <w:tab/>
        <w:t>Certain persons and bodies taken to be owners of land</w:t>
      </w:r>
      <w:bookmarkEnd w:id="2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by No. 5 of 2018 s. 5.]</w:t>
      </w:r>
    </w:p>
    <w:p>
      <w:pPr>
        <w:pStyle w:val="Heading5"/>
      </w:pPr>
      <w:bookmarkStart w:id="26" w:name="_Toc520107939"/>
      <w:r>
        <w:rPr>
          <w:rStyle w:val="CharSectno"/>
        </w:rPr>
        <w:t>9</w:t>
      </w:r>
      <w:r>
        <w:t>.</w:t>
      </w:r>
      <w:r>
        <w:tab/>
        <w:t>Liability of agents or trustees</w:t>
      </w:r>
      <w:bookmarkEnd w:id="2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7" w:name="_Toc520107940"/>
      <w:r>
        <w:rPr>
          <w:rStyle w:val="CharSectno"/>
        </w:rPr>
        <w:t>9A</w:t>
      </w:r>
      <w:r>
        <w:t>.</w:t>
      </w:r>
      <w:r>
        <w:tab/>
        <w:t>Owners to notify Commissioner of errors or omissions in assessment notices</w:t>
      </w:r>
      <w:bookmarkEnd w:id="2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8" w:name="_Toc513124560"/>
      <w:bookmarkStart w:id="29" w:name="_Toc513124979"/>
      <w:bookmarkStart w:id="30" w:name="_Toc515529119"/>
      <w:bookmarkStart w:id="31" w:name="_Toc518998019"/>
      <w:bookmarkStart w:id="32" w:name="_Toc520107941"/>
      <w:r>
        <w:rPr>
          <w:rStyle w:val="CharDivNo"/>
        </w:rPr>
        <w:t>Division 2</w:t>
      </w:r>
      <w:r>
        <w:t xml:space="preserve"> — </w:t>
      </w:r>
      <w:r>
        <w:rPr>
          <w:rStyle w:val="CharDivText"/>
        </w:rPr>
        <w:t>Assessment of land tax</w:t>
      </w:r>
      <w:bookmarkEnd w:id="28"/>
      <w:bookmarkEnd w:id="29"/>
      <w:bookmarkEnd w:id="30"/>
      <w:bookmarkEnd w:id="31"/>
      <w:bookmarkEnd w:id="32"/>
    </w:p>
    <w:p>
      <w:pPr>
        <w:pStyle w:val="Heading5"/>
      </w:pPr>
      <w:bookmarkStart w:id="33" w:name="_Toc520107942"/>
      <w:r>
        <w:rPr>
          <w:rStyle w:val="CharSectno"/>
        </w:rPr>
        <w:t>10</w:t>
      </w:r>
      <w:r>
        <w:t>.</w:t>
      </w:r>
      <w:r>
        <w:tab/>
        <w:t>Assessing land tax</w:t>
      </w:r>
      <w:bookmarkEnd w:id="33"/>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4" w:name="_Toc520107943"/>
      <w:r>
        <w:rPr>
          <w:rStyle w:val="CharSectno"/>
        </w:rPr>
        <w:t>11</w:t>
      </w:r>
      <w:r>
        <w:t>.</w:t>
      </w:r>
      <w:r>
        <w:tab/>
        <w:t>Two or more lots owned by one person, tax payable on</w:t>
      </w:r>
      <w:bookmarkEnd w:id="34"/>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5" w:name="_Toc520107944"/>
      <w:r>
        <w:rPr>
          <w:rStyle w:val="CharSectno"/>
        </w:rPr>
        <w:t>12</w:t>
      </w:r>
      <w:r>
        <w:t>.</w:t>
      </w:r>
      <w:r>
        <w:tab/>
        <w:t>Land owned jointly, tax payable on</w:t>
      </w:r>
      <w:bookmarkEnd w:id="3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6" w:name="_Toc520107945"/>
      <w:r>
        <w:rPr>
          <w:rStyle w:val="CharSectno"/>
        </w:rPr>
        <w:t>13</w:t>
      </w:r>
      <w:r>
        <w:t>.</w:t>
      </w:r>
      <w:r>
        <w:tab/>
        <w:t>Calculating taxable value of part of a lot</w:t>
      </w:r>
      <w:bookmarkEnd w:id="36"/>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37" w:name="_Toc520107946"/>
      <w:r>
        <w:rPr>
          <w:rStyle w:val="CharSectno"/>
        </w:rPr>
        <w:t>14</w:t>
      </w:r>
      <w:r>
        <w:t>.</w:t>
      </w:r>
      <w:r>
        <w:tab/>
        <w:t>Newly subdivided private residential property, tax payable on</w:t>
      </w:r>
      <w:bookmarkEnd w:id="3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ageBreakBefore/>
        <w:spacing w:before="0"/>
      </w:pPr>
      <w:bookmarkStart w:id="38" w:name="_Toc520107947"/>
      <w:r>
        <w:rPr>
          <w:rStyle w:val="CharSectno"/>
        </w:rPr>
        <w:t>15</w:t>
      </w:r>
      <w:r>
        <w:t>.</w:t>
      </w:r>
      <w:r>
        <w:tab/>
        <w:t>Newly subdivided primary production business land, tax payable on</w:t>
      </w:r>
      <w:bookmarkEnd w:id="38"/>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39" w:name="_Toc520107948"/>
      <w:r>
        <w:rPr>
          <w:rStyle w:val="CharSectno"/>
        </w:rPr>
        <w:t>15A</w:t>
      </w:r>
      <w:r>
        <w:t>.</w:t>
      </w:r>
      <w:r>
        <w:tab/>
        <w:t>Newly subdivided dwelling park land, tax payable on</w:t>
      </w:r>
      <w:bookmarkEnd w:id="3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0" w:name="_Toc520107949"/>
      <w:r>
        <w:rPr>
          <w:rStyle w:val="CharSectno"/>
        </w:rPr>
        <w:t>16</w:t>
      </w:r>
      <w:r>
        <w:t>.</w:t>
      </w:r>
      <w:r>
        <w:tab/>
        <w:t>Non</w:t>
      </w:r>
      <w:r>
        <w:noBreakHyphen/>
        <w:t>strata home units, assessing tax on</w:t>
      </w:r>
      <w:bookmarkEnd w:id="4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1" w:name="_Toc513124569"/>
      <w:bookmarkStart w:id="42" w:name="_Toc513124988"/>
      <w:bookmarkStart w:id="43" w:name="_Toc515529128"/>
      <w:bookmarkStart w:id="44" w:name="_Toc518998028"/>
      <w:bookmarkStart w:id="45" w:name="_Toc520107950"/>
      <w:r>
        <w:rPr>
          <w:rStyle w:val="CharPartNo"/>
        </w:rPr>
        <w:t>Part 3</w:t>
      </w:r>
      <w:r>
        <w:t xml:space="preserve"> — </w:t>
      </w:r>
      <w:r>
        <w:rPr>
          <w:rStyle w:val="CharPartText"/>
        </w:rPr>
        <w:t>Exemptions, concessions and rebates</w:t>
      </w:r>
      <w:bookmarkEnd w:id="41"/>
      <w:bookmarkEnd w:id="42"/>
      <w:bookmarkEnd w:id="43"/>
      <w:bookmarkEnd w:id="44"/>
      <w:bookmarkEnd w:id="45"/>
    </w:p>
    <w:p>
      <w:pPr>
        <w:pStyle w:val="Heading3"/>
      </w:pPr>
      <w:bookmarkStart w:id="46" w:name="_Toc513124570"/>
      <w:bookmarkStart w:id="47" w:name="_Toc513124989"/>
      <w:bookmarkStart w:id="48" w:name="_Toc515529129"/>
      <w:bookmarkStart w:id="49" w:name="_Toc518998029"/>
      <w:bookmarkStart w:id="50" w:name="_Toc520107951"/>
      <w:r>
        <w:rPr>
          <w:rStyle w:val="CharDivNo"/>
        </w:rPr>
        <w:t>Division 1</w:t>
      </w:r>
      <w:r>
        <w:t xml:space="preserve"> — </w:t>
      </w:r>
      <w:r>
        <w:rPr>
          <w:rStyle w:val="CharDivText"/>
        </w:rPr>
        <w:t>General provisions</w:t>
      </w:r>
      <w:bookmarkEnd w:id="46"/>
      <w:bookmarkEnd w:id="47"/>
      <w:bookmarkEnd w:id="48"/>
      <w:bookmarkEnd w:id="49"/>
      <w:bookmarkEnd w:id="50"/>
    </w:p>
    <w:p>
      <w:pPr>
        <w:pStyle w:val="Heading5"/>
      </w:pPr>
      <w:bookmarkStart w:id="51" w:name="_Toc520107952"/>
      <w:r>
        <w:rPr>
          <w:rStyle w:val="CharSectno"/>
        </w:rPr>
        <w:t>17</w:t>
      </w:r>
      <w:r>
        <w:t>.</w:t>
      </w:r>
      <w:r>
        <w:tab/>
        <w:t>Exempt land</w:t>
      </w:r>
      <w:bookmarkEnd w:id="51"/>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52" w:name="_Toc520107953"/>
      <w:r>
        <w:rPr>
          <w:rStyle w:val="CharSectno"/>
        </w:rPr>
        <w:t>18</w:t>
      </w:r>
      <w:r>
        <w:t>.</w:t>
      </w:r>
      <w:r>
        <w:tab/>
        <w:t>Whole and partial exemptions</w:t>
      </w:r>
      <w:bookmarkEnd w:id="52"/>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53" w:name="_Toc520107954"/>
      <w:r>
        <w:rPr>
          <w:rStyle w:val="CharSectno"/>
        </w:rPr>
        <w:t>19</w:t>
      </w:r>
      <w:r>
        <w:t>.</w:t>
      </w:r>
      <w:r>
        <w:tab/>
        <w:t>Applying for exemption or concession</w:t>
      </w:r>
      <w:bookmarkEnd w:id="5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4" w:name="_Toc520107955"/>
      <w:r>
        <w:rPr>
          <w:rStyle w:val="CharSectno"/>
        </w:rPr>
        <w:t>20</w:t>
      </w:r>
      <w:r>
        <w:t>.</w:t>
      </w:r>
      <w:r>
        <w:tab/>
        <w:t>Commissioner’s power to exempt land</w:t>
      </w:r>
      <w:bookmarkEnd w:id="5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by No. 1 of 2015 s. 5 and 15.]</w:t>
      </w:r>
    </w:p>
    <w:p>
      <w:pPr>
        <w:pStyle w:val="Heading3"/>
      </w:pPr>
      <w:bookmarkStart w:id="55" w:name="_Toc513124575"/>
      <w:bookmarkStart w:id="56" w:name="_Toc513124994"/>
      <w:bookmarkStart w:id="57" w:name="_Toc515529134"/>
      <w:bookmarkStart w:id="58" w:name="_Toc518998034"/>
      <w:bookmarkStart w:id="59" w:name="_Toc520107956"/>
      <w:r>
        <w:rPr>
          <w:rStyle w:val="CharDivNo"/>
        </w:rPr>
        <w:t>Division 2</w:t>
      </w:r>
      <w:r>
        <w:t xml:space="preserve"> — </w:t>
      </w:r>
      <w:r>
        <w:rPr>
          <w:rStyle w:val="CharDivText"/>
        </w:rPr>
        <w:t>Private residential property</w:t>
      </w:r>
      <w:bookmarkEnd w:id="55"/>
      <w:bookmarkEnd w:id="56"/>
      <w:bookmarkEnd w:id="57"/>
      <w:bookmarkEnd w:id="58"/>
      <w:bookmarkEnd w:id="59"/>
    </w:p>
    <w:p>
      <w:pPr>
        <w:pStyle w:val="Heading5"/>
        <w:spacing w:before="180"/>
      </w:pPr>
      <w:bookmarkStart w:id="60" w:name="_Toc520107957"/>
      <w:r>
        <w:rPr>
          <w:rStyle w:val="CharSectno"/>
        </w:rPr>
        <w:t>21</w:t>
      </w:r>
      <w:r>
        <w:t>.</w:t>
      </w:r>
      <w:r>
        <w:tab/>
        <w:t>Residences owned by individuals, exemptions for</w:t>
      </w:r>
      <w:bookmarkEnd w:id="6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1" w:name="_Toc520107958"/>
      <w:r>
        <w:rPr>
          <w:rStyle w:val="CharSectno"/>
        </w:rPr>
        <w:t>22</w:t>
      </w:r>
      <w:r>
        <w:t>.</w:t>
      </w:r>
      <w:r>
        <w:tab/>
        <w:t>Residence owned by executor etc., exemption for if beneficiary in will exercising right to reside</w:t>
      </w:r>
      <w:bookmarkEnd w:id="6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2" w:name="_Toc520107959"/>
      <w:r>
        <w:rPr>
          <w:rStyle w:val="CharSectno"/>
        </w:rPr>
        <w:t>23A</w:t>
      </w:r>
      <w:r>
        <w:t>.</w:t>
      </w:r>
      <w:r>
        <w:tab/>
        <w:t>Residence owned by executor etc., exemption for if beneficiary in will has right to future ownership and is resident</w:t>
      </w:r>
      <w:bookmarkEnd w:id="6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3" w:name="_Toc520107960"/>
      <w:r>
        <w:rPr>
          <w:rStyle w:val="CharSectno"/>
        </w:rPr>
        <w:t>23</w:t>
      </w:r>
      <w:r>
        <w:t>.</w:t>
      </w:r>
      <w:r>
        <w:tab/>
        <w:t>Continued exemption after death of resident</w:t>
      </w:r>
      <w:bookmarkEnd w:id="6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4" w:name="_Toc520107961"/>
      <w:r>
        <w:rPr>
          <w:rStyle w:val="CharSectno"/>
        </w:rPr>
        <w:t>24</w:t>
      </w:r>
      <w:r>
        <w:t>.</w:t>
      </w:r>
      <w:r>
        <w:tab/>
        <w:t>Construction of private residence, one year exemption for</w:t>
      </w:r>
      <w:bookmarkEnd w:id="6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5" w:name="_Toc520107962"/>
      <w:r>
        <w:rPr>
          <w:rStyle w:val="CharSectno"/>
        </w:rPr>
        <w:t>24A</w:t>
      </w:r>
      <w:r>
        <w:t>.</w:t>
      </w:r>
      <w:r>
        <w:tab/>
        <w:t>Construction of private residence, 2 year exemption for</w:t>
      </w:r>
      <w:bookmarkEnd w:id="6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66" w:name="_Toc520107963"/>
      <w:r>
        <w:rPr>
          <w:rStyle w:val="CharSectno"/>
        </w:rPr>
        <w:t>25</w:t>
      </w:r>
      <w:r>
        <w:t>.</w:t>
      </w:r>
      <w:r>
        <w:tab/>
        <w:t>Refurbishment of private residence, one year exemption for</w:t>
      </w:r>
      <w:bookmarkEnd w:id="6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67" w:name="_Toc520107964"/>
      <w:r>
        <w:rPr>
          <w:rStyle w:val="CharSectno"/>
        </w:rPr>
        <w:t>25A</w:t>
      </w:r>
      <w:r>
        <w:t>.</w:t>
      </w:r>
      <w:r>
        <w:tab/>
        <w:t>Refurbishment of private residence, 2 year exemption for</w:t>
      </w:r>
      <w:bookmarkEnd w:id="6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68" w:name="_Toc520107965"/>
      <w:r>
        <w:rPr>
          <w:rStyle w:val="CharSectno"/>
        </w:rPr>
        <w:t>26</w:t>
      </w:r>
      <w:r>
        <w:t>.</w:t>
      </w:r>
      <w:r>
        <w:tab/>
        <w:t>Residence of disabled person held in trust, exemption for</w:t>
      </w:r>
      <w:bookmarkEnd w:id="6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9" w:name="_Toc520107966"/>
      <w:r>
        <w:rPr>
          <w:rStyle w:val="CharSectno"/>
        </w:rPr>
        <w:t>26A</w:t>
      </w:r>
      <w:r>
        <w:t>.</w:t>
      </w:r>
      <w:r>
        <w:tab/>
        <w:t>Residence of disabled person owned by relative, exemption for</w:t>
      </w:r>
      <w:bookmarkEnd w:id="6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ageBreakBefore/>
        <w:spacing w:before="0"/>
      </w:pPr>
      <w:bookmarkStart w:id="70" w:name="_Toc520107967"/>
      <w:r>
        <w:rPr>
          <w:rStyle w:val="CharSectno"/>
        </w:rPr>
        <w:t>27</w:t>
      </w:r>
      <w:r>
        <w:t>.</w:t>
      </w:r>
      <w:r>
        <w:tab/>
        <w:t>Moving between 2 private residences, application of exemption</w:t>
      </w:r>
      <w:bookmarkEnd w:id="7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71" w:name="_Toc520107968"/>
      <w:r>
        <w:rPr>
          <w:rStyle w:val="CharSectno"/>
        </w:rPr>
        <w:t>27A</w:t>
      </w:r>
      <w:r>
        <w:t>.</w:t>
      </w:r>
      <w:r>
        <w:tab/>
        <w:t>Construction or refurbishment of second private residence, 2 year exemption for</w:t>
      </w:r>
      <w:bookmarkEnd w:id="7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72" w:name="_Toc520107969"/>
      <w:r>
        <w:rPr>
          <w:rStyle w:val="CharSectno"/>
        </w:rPr>
        <w:t>28</w:t>
      </w:r>
      <w:r>
        <w:t>.</w:t>
      </w:r>
      <w:r>
        <w:tab/>
        <w:t>Inner city residential property, rebate for</w:t>
      </w:r>
      <w:bookmarkEnd w:id="7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23" o:title=""/>
          </v:shape>
          <o:OLEObject Type="Embed" ProgID="Equation.3" ShapeID="_x0000_i1025" DrawAspect="Content" ObjectID="_1645307277" r:id="rId24"/>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3" w:name="_Toc513124589"/>
      <w:bookmarkStart w:id="74" w:name="_Toc513125008"/>
      <w:bookmarkStart w:id="75" w:name="_Toc515529148"/>
      <w:bookmarkStart w:id="76" w:name="_Toc518998048"/>
      <w:bookmarkStart w:id="77" w:name="_Toc520107970"/>
      <w:r>
        <w:rPr>
          <w:rStyle w:val="CharDivNo"/>
        </w:rPr>
        <w:t>Division 3</w:t>
      </w:r>
      <w:r>
        <w:t xml:space="preserve"> — </w:t>
      </w:r>
      <w:r>
        <w:rPr>
          <w:rStyle w:val="CharDivText"/>
        </w:rPr>
        <w:t>Land used for primary production business</w:t>
      </w:r>
      <w:bookmarkEnd w:id="73"/>
      <w:bookmarkEnd w:id="74"/>
      <w:bookmarkEnd w:id="75"/>
      <w:bookmarkEnd w:id="76"/>
      <w:bookmarkEnd w:id="77"/>
      <w:r>
        <w:t xml:space="preserve"> </w:t>
      </w:r>
    </w:p>
    <w:p>
      <w:pPr>
        <w:pStyle w:val="Footnoteheading"/>
      </w:pPr>
      <w:r>
        <w:tab/>
        <w:t>[Heading inserted by No. 1 of 2015 s. 6.]</w:t>
      </w:r>
    </w:p>
    <w:p>
      <w:pPr>
        <w:pStyle w:val="Heading4"/>
      </w:pPr>
      <w:bookmarkStart w:id="78" w:name="_Toc513124590"/>
      <w:bookmarkStart w:id="79" w:name="_Toc513125009"/>
      <w:bookmarkStart w:id="80" w:name="_Toc515529149"/>
      <w:bookmarkStart w:id="81" w:name="_Toc518998049"/>
      <w:bookmarkStart w:id="82" w:name="_Toc520107971"/>
      <w:r>
        <w:t>Subdivision 1 — Terms used</w:t>
      </w:r>
      <w:bookmarkEnd w:id="78"/>
      <w:bookmarkEnd w:id="79"/>
      <w:bookmarkEnd w:id="80"/>
      <w:bookmarkEnd w:id="81"/>
      <w:bookmarkEnd w:id="82"/>
    </w:p>
    <w:p>
      <w:pPr>
        <w:pStyle w:val="Footnoteheading"/>
      </w:pPr>
      <w:r>
        <w:tab/>
        <w:t>[Heading inserted by No. 1 of 2015 s. 6.]</w:t>
      </w:r>
    </w:p>
    <w:p>
      <w:pPr>
        <w:pStyle w:val="Heading5"/>
      </w:pPr>
      <w:bookmarkStart w:id="83" w:name="_Toc520107972"/>
      <w:r>
        <w:rPr>
          <w:rStyle w:val="CharSectno"/>
        </w:rPr>
        <w:t>29</w:t>
      </w:r>
      <w:r>
        <w:t>.</w:t>
      </w:r>
      <w:r>
        <w:tab/>
        <w:t>Terms used</w:t>
      </w:r>
      <w:bookmarkEnd w:id="83"/>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84" w:name="_Toc520107973"/>
      <w:r>
        <w:rPr>
          <w:rStyle w:val="CharSectno"/>
        </w:rPr>
        <w:t>30A</w:t>
      </w:r>
      <w:r>
        <w:t>.</w:t>
      </w:r>
      <w:r>
        <w:tab/>
        <w:t>What is primary production</w:t>
      </w:r>
      <w:bookmarkEnd w:id="84"/>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85" w:name="_Toc520107974"/>
      <w:r>
        <w:rPr>
          <w:rStyle w:val="CharSectno"/>
        </w:rPr>
        <w:t>30B</w:t>
      </w:r>
      <w:r>
        <w:t>.</w:t>
      </w:r>
      <w:r>
        <w:tab/>
        <w:t>When land is used for primary production business</w:t>
      </w:r>
      <w:bookmarkEnd w:id="85"/>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86" w:name="_Toc513124594"/>
      <w:bookmarkStart w:id="87" w:name="_Toc513125013"/>
      <w:bookmarkStart w:id="88" w:name="_Toc515529153"/>
      <w:bookmarkStart w:id="89" w:name="_Toc518998053"/>
      <w:bookmarkStart w:id="90" w:name="_Toc520107975"/>
      <w:r>
        <w:t>Subdivision 2 — Primary production business exemption</w:t>
      </w:r>
      <w:bookmarkEnd w:id="86"/>
      <w:bookmarkEnd w:id="87"/>
      <w:bookmarkEnd w:id="88"/>
      <w:bookmarkEnd w:id="89"/>
      <w:bookmarkEnd w:id="90"/>
    </w:p>
    <w:p>
      <w:pPr>
        <w:pStyle w:val="Footnoteheading"/>
        <w:keepNext/>
      </w:pPr>
      <w:r>
        <w:tab/>
        <w:t>[Heading inserted by No. 1 of 2015 s. 6.]</w:t>
      </w:r>
    </w:p>
    <w:p>
      <w:pPr>
        <w:pStyle w:val="Heading5"/>
      </w:pPr>
      <w:bookmarkStart w:id="91" w:name="_Toc520107976"/>
      <w:r>
        <w:rPr>
          <w:rStyle w:val="CharSectno"/>
        </w:rPr>
        <w:t>30C</w:t>
      </w:r>
      <w:r>
        <w:t>.</w:t>
      </w:r>
      <w:r>
        <w:tab/>
        <w:t>Exemption for rural land</w:t>
      </w:r>
      <w:bookmarkEnd w:id="9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92" w:name="_Toc520107977"/>
      <w:r>
        <w:rPr>
          <w:rStyle w:val="CharSectno"/>
        </w:rPr>
        <w:t>30D</w:t>
      </w:r>
      <w:r>
        <w:t>.</w:t>
      </w:r>
      <w:r>
        <w:tab/>
        <w:t>Exemption for non</w:t>
      </w:r>
      <w:r>
        <w:noBreakHyphen/>
        <w:t>rural land</w:t>
      </w:r>
      <w:bookmarkEnd w:id="92"/>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93" w:name="_Toc520107978"/>
      <w:r>
        <w:rPr>
          <w:rStyle w:val="CharSectno"/>
        </w:rPr>
        <w:t>30E</w:t>
      </w:r>
      <w:r>
        <w:t>.</w:t>
      </w:r>
      <w:r>
        <w:tab/>
        <w:t>Exemption under section 30D after death of family owner or person related to family owner</w:t>
      </w:r>
      <w:bookmarkEnd w:id="9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ageBreakBefore/>
        <w:spacing w:before="0"/>
      </w:pPr>
      <w:bookmarkStart w:id="94" w:name="_Toc520107979"/>
      <w:r>
        <w:rPr>
          <w:rStyle w:val="CharSectno"/>
        </w:rPr>
        <w:t>30F</w:t>
      </w:r>
      <w:r>
        <w:t>.</w:t>
      </w:r>
      <w:r>
        <w:tab/>
        <w:t>Notice to Commissioner about changes to exempt land</w:t>
      </w:r>
      <w:bookmarkEnd w:id="94"/>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95" w:name="_Toc513124599"/>
      <w:bookmarkStart w:id="96" w:name="_Toc513125018"/>
      <w:bookmarkStart w:id="97" w:name="_Toc515529158"/>
      <w:bookmarkStart w:id="98" w:name="_Toc518998058"/>
      <w:bookmarkStart w:id="99" w:name="_Toc520107980"/>
      <w:r>
        <w:t>Subdivision 3 — Family owners of land and persons related to family owners of land</w:t>
      </w:r>
      <w:bookmarkEnd w:id="95"/>
      <w:bookmarkEnd w:id="96"/>
      <w:bookmarkEnd w:id="97"/>
      <w:bookmarkEnd w:id="98"/>
      <w:bookmarkEnd w:id="99"/>
    </w:p>
    <w:p>
      <w:pPr>
        <w:pStyle w:val="Footnoteheading"/>
      </w:pPr>
      <w:r>
        <w:tab/>
        <w:t>[Heading inserted by No. 1 of 2015 s. 6.]</w:t>
      </w:r>
    </w:p>
    <w:p>
      <w:pPr>
        <w:pStyle w:val="Heading5"/>
      </w:pPr>
      <w:bookmarkStart w:id="100" w:name="_Toc520107981"/>
      <w:r>
        <w:rPr>
          <w:rStyle w:val="CharSectno"/>
        </w:rPr>
        <w:t>30G</w:t>
      </w:r>
      <w:r>
        <w:t>.</w:t>
      </w:r>
      <w:r>
        <w:tab/>
        <w:t>References to individuals, family members and nominated individuals</w:t>
      </w:r>
      <w:bookmarkEnd w:id="100"/>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101" w:name="_Toc520107982"/>
      <w:r>
        <w:rPr>
          <w:rStyle w:val="CharSectno"/>
        </w:rPr>
        <w:t>30H</w:t>
      </w:r>
      <w:r>
        <w:t>.</w:t>
      </w:r>
      <w:r>
        <w:tab/>
        <w:t>Family owner of land</w:t>
      </w:r>
      <w:bookmarkEnd w:id="101"/>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102" w:name="_Toc520107983"/>
      <w:r>
        <w:rPr>
          <w:rStyle w:val="CharSectno"/>
        </w:rPr>
        <w:t>30I</w:t>
      </w:r>
      <w:r>
        <w:t>.</w:t>
      </w:r>
      <w:r>
        <w:tab/>
        <w:t>Persons related to family owner who is an individual</w:t>
      </w:r>
      <w:bookmarkEnd w:id="102"/>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103" w:name="_Toc520107984"/>
      <w:r>
        <w:rPr>
          <w:rStyle w:val="CharSectno"/>
        </w:rPr>
        <w:t>30J</w:t>
      </w:r>
      <w:r>
        <w:t>.</w:t>
      </w:r>
      <w:r>
        <w:tab/>
        <w:t>Persons related to family corporation</w:t>
      </w:r>
      <w:bookmarkEnd w:id="10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104" w:name="_Toc520107985"/>
      <w:r>
        <w:rPr>
          <w:rStyle w:val="CharSectno"/>
        </w:rPr>
        <w:t>30K</w:t>
      </w:r>
      <w:r>
        <w:t>.</w:t>
      </w:r>
      <w:r>
        <w:tab/>
        <w:t>Persons related to trustee of family trust</w:t>
      </w:r>
      <w:bookmarkEnd w:id="104"/>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105" w:name="_Toc520107986"/>
      <w:r>
        <w:rPr>
          <w:rStyle w:val="CharSectno"/>
        </w:rPr>
        <w:t>30</w:t>
      </w:r>
      <w:r>
        <w:t>.</w:t>
      </w:r>
      <w:r>
        <w:tab/>
        <w:t>Persons related to trustee of a family unit trust scheme</w:t>
      </w:r>
      <w:bookmarkEnd w:id="10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106" w:name="_Toc513124606"/>
      <w:bookmarkStart w:id="107" w:name="_Toc513125025"/>
      <w:bookmarkStart w:id="108" w:name="_Toc515529165"/>
      <w:bookmarkStart w:id="109" w:name="_Toc518998065"/>
      <w:bookmarkStart w:id="110" w:name="_Toc520107987"/>
      <w:r>
        <w:rPr>
          <w:rStyle w:val="CharDivNo"/>
        </w:rPr>
        <w:t>Division 4</w:t>
      </w:r>
      <w:r>
        <w:t xml:space="preserve"> — </w:t>
      </w:r>
      <w:r>
        <w:rPr>
          <w:rStyle w:val="CharDivText"/>
        </w:rPr>
        <w:t>Crown land and other land used for public purposes</w:t>
      </w:r>
      <w:bookmarkEnd w:id="106"/>
      <w:bookmarkEnd w:id="107"/>
      <w:bookmarkEnd w:id="108"/>
      <w:bookmarkEnd w:id="109"/>
      <w:bookmarkEnd w:id="110"/>
    </w:p>
    <w:p>
      <w:pPr>
        <w:pStyle w:val="Heading5"/>
        <w:spacing w:before="200"/>
      </w:pPr>
      <w:bookmarkStart w:id="111" w:name="_Toc520107988"/>
      <w:r>
        <w:rPr>
          <w:rStyle w:val="CharSectno"/>
        </w:rPr>
        <w:t>31</w:t>
      </w:r>
      <w:r>
        <w:t>.</w:t>
      </w:r>
      <w:r>
        <w:tab/>
        <w:t>Land owned by Crown, public authority etc., exemption for</w:t>
      </w:r>
      <w:bookmarkEnd w:id="111"/>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5pt;height:15.75pt" o:ole="">
            <v:imagedata r:id="rId25" o:title=""/>
          </v:shape>
          <o:OLEObject Type="Embed" ProgID="Equation.3" ShapeID="_x0000_i1026" DrawAspect="Content" ObjectID="_1645307278" r:id="rId26"/>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 No. 5 of 2018 s. 6.]</w:t>
      </w:r>
    </w:p>
    <w:p>
      <w:pPr>
        <w:pStyle w:val="Heading5"/>
      </w:pPr>
      <w:bookmarkStart w:id="112" w:name="_Toc520107989"/>
      <w:r>
        <w:rPr>
          <w:rStyle w:val="CharSectno"/>
        </w:rPr>
        <w:t>32</w:t>
      </w:r>
      <w:r>
        <w:t>.</w:t>
      </w:r>
      <w:r>
        <w:tab/>
        <w:t>Land owned by religious bodies, exemption for</w:t>
      </w:r>
      <w:bookmarkEnd w:id="112"/>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ageBreakBefore/>
        <w:spacing w:before="0"/>
      </w:pPr>
      <w:bookmarkStart w:id="113" w:name="_Toc520107990"/>
      <w:r>
        <w:rPr>
          <w:rStyle w:val="CharSectno"/>
        </w:rPr>
        <w:t>33</w:t>
      </w:r>
      <w:r>
        <w:t>.</w:t>
      </w:r>
      <w:r>
        <w:tab/>
        <w:t>Land owned by educational institutions, exemption for</w:t>
      </w:r>
      <w:bookmarkEnd w:id="11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by No. 32 of 2016 s. 185.]</w:t>
      </w:r>
    </w:p>
    <w:p>
      <w:pPr>
        <w:pStyle w:val="Heading5"/>
      </w:pPr>
      <w:bookmarkStart w:id="114" w:name="_Toc520107991"/>
      <w:r>
        <w:rPr>
          <w:rStyle w:val="CharSectno"/>
        </w:rPr>
        <w:t>34</w:t>
      </w:r>
      <w:r>
        <w:t>.</w:t>
      </w:r>
      <w:r>
        <w:tab/>
        <w:t>Land used for public or religious hospitals, exemption for</w:t>
      </w:r>
      <w:bookmarkEnd w:id="11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15" w:name="_Toc520107992"/>
      <w:r>
        <w:rPr>
          <w:rStyle w:val="CharSectno"/>
        </w:rPr>
        <w:t>35</w:t>
      </w:r>
      <w:r>
        <w:t>.</w:t>
      </w:r>
      <w:r>
        <w:tab/>
        <w:t>Mining tenements, exemption for</w:t>
      </w:r>
      <w:bookmarkEnd w:id="115"/>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16" w:name="_Toc520107993"/>
      <w:r>
        <w:rPr>
          <w:rStyle w:val="CharSectno"/>
        </w:rPr>
        <w:t>36</w:t>
      </w:r>
      <w:r>
        <w:t>.</w:t>
      </w:r>
      <w:r>
        <w:tab/>
        <w:t>Land used for various public purposes, exemption for</w:t>
      </w:r>
      <w:bookmarkEnd w:id="11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17" w:name="_Toc520107994"/>
      <w:r>
        <w:rPr>
          <w:rStyle w:val="CharSectno"/>
        </w:rPr>
        <w:t>37</w:t>
      </w:r>
      <w:r>
        <w:t>.</w:t>
      </w:r>
      <w:r>
        <w:tab/>
        <w:t>Land owned by public charitable or benevolent institutions, exemption for</w:t>
      </w:r>
      <w:bookmarkEnd w:id="117"/>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118" w:name="_Toc520107995"/>
      <w:r>
        <w:rPr>
          <w:rStyle w:val="CharSectno"/>
        </w:rPr>
        <w:t>38AA</w:t>
      </w:r>
      <w:r>
        <w:t>.</w:t>
      </w:r>
      <w:r>
        <w:tab/>
        <w:t>What is a relevant body</w:t>
      </w:r>
      <w:bookmarkEnd w:id="11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119" w:name="_Toc520107996"/>
      <w:r>
        <w:rPr>
          <w:rStyle w:val="CharSectno"/>
        </w:rPr>
        <w:t>38AB</w:t>
      </w:r>
      <w:r>
        <w:t>.</w:t>
      </w:r>
      <w:r>
        <w:tab/>
        <w:t>Application for a beneficial body determination</w:t>
      </w:r>
      <w:bookmarkEnd w:id="119"/>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120" w:name="_Toc520107997"/>
      <w:r>
        <w:rPr>
          <w:rStyle w:val="CharSectno"/>
        </w:rPr>
        <w:t>38AC</w:t>
      </w:r>
      <w:r>
        <w:t>.</w:t>
      </w:r>
      <w:r>
        <w:tab/>
        <w:t>Beneficial body determination</w:t>
      </w:r>
      <w:bookmarkEnd w:id="120"/>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121" w:name="_Toc520107998"/>
      <w:r>
        <w:rPr>
          <w:rStyle w:val="CharSectno"/>
        </w:rPr>
        <w:t>38</w:t>
      </w:r>
      <w:r>
        <w:t>.</w:t>
      </w:r>
      <w:r>
        <w:tab/>
        <w:t>Land owned by non</w:t>
      </w:r>
      <w:r>
        <w:noBreakHyphen/>
        <w:t>profit associations, exemption or concession for</w:t>
      </w:r>
      <w:bookmarkEnd w:id="121"/>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122" w:name="_Toc520107999"/>
      <w:r>
        <w:rPr>
          <w:rStyle w:val="CharSectno"/>
        </w:rPr>
        <w:t>38A</w:t>
      </w:r>
      <w:r>
        <w:t>.</w:t>
      </w:r>
      <w:r>
        <w:tab/>
        <w:t>Land used as aged care facility, exemption for</w:t>
      </w:r>
      <w:bookmarkEnd w:id="122"/>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123" w:name="_Toc520108000"/>
      <w:r>
        <w:rPr>
          <w:rStyle w:val="CharSectno"/>
        </w:rPr>
        <w:t>39</w:t>
      </w:r>
      <w:r>
        <w:t>.</w:t>
      </w:r>
      <w:r>
        <w:tab/>
        <w:t>Land used for retirement villages: exemption for</w:t>
      </w:r>
      <w:bookmarkEnd w:id="123"/>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124" w:name="_Toc513124620"/>
      <w:bookmarkStart w:id="125" w:name="_Toc513125039"/>
      <w:bookmarkStart w:id="126" w:name="_Toc515529179"/>
      <w:bookmarkStart w:id="127" w:name="_Toc518998079"/>
      <w:bookmarkStart w:id="128" w:name="_Toc520108001"/>
      <w:r>
        <w:rPr>
          <w:rStyle w:val="CharDivNo"/>
        </w:rPr>
        <w:t>Division 4A</w:t>
      </w:r>
      <w:r>
        <w:t> — </w:t>
      </w:r>
      <w:r>
        <w:rPr>
          <w:rStyle w:val="CharDivText"/>
        </w:rPr>
        <w:t>Land used for non</w:t>
      </w:r>
      <w:r>
        <w:rPr>
          <w:rStyle w:val="CharDivText"/>
        </w:rPr>
        <w:noBreakHyphen/>
        <w:t>permanent residences</w:t>
      </w:r>
      <w:bookmarkEnd w:id="124"/>
      <w:bookmarkEnd w:id="125"/>
      <w:bookmarkEnd w:id="126"/>
      <w:bookmarkEnd w:id="127"/>
      <w:bookmarkEnd w:id="128"/>
    </w:p>
    <w:p>
      <w:pPr>
        <w:pStyle w:val="Footnoteheading"/>
        <w:spacing w:before="80"/>
      </w:pPr>
      <w:r>
        <w:tab/>
        <w:t>[Heading inserted by No. 10 of 2005 s. 7.]</w:t>
      </w:r>
    </w:p>
    <w:p>
      <w:pPr>
        <w:pStyle w:val="Heading5"/>
        <w:keepNext w:val="0"/>
        <w:keepLines w:val="0"/>
        <w:spacing w:before="200"/>
      </w:pPr>
      <w:bookmarkStart w:id="129" w:name="_Toc520108002"/>
      <w:r>
        <w:rPr>
          <w:rStyle w:val="CharSectno"/>
        </w:rPr>
        <w:t>39A</w:t>
      </w:r>
      <w:r>
        <w:t>.</w:t>
      </w:r>
      <w:r>
        <w:tab/>
        <w:t>Land to which s. 39B applies</w:t>
      </w:r>
      <w:bookmarkEnd w:id="129"/>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ageBreakBefore/>
        <w:spacing w:before="0"/>
      </w:pPr>
      <w:bookmarkStart w:id="130" w:name="_Toc520108003"/>
      <w:r>
        <w:rPr>
          <w:rStyle w:val="CharSectno"/>
        </w:rPr>
        <w:t>39B</w:t>
      </w:r>
      <w:r>
        <w:t>.</w:t>
      </w:r>
      <w:r>
        <w:tab/>
        <w:t>Dwelling park land: concession and exemption for</w:t>
      </w:r>
      <w:bookmarkEnd w:id="130"/>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by No. 10 of 2005 s. 7; amended by No. 30 of 2008 s. 17; No. 27 of 2010 s. 5; No. 1 of 2015 s. 18.]</w:t>
      </w:r>
    </w:p>
    <w:p>
      <w:pPr>
        <w:pStyle w:val="Heading3"/>
      </w:pPr>
      <w:bookmarkStart w:id="131" w:name="_Toc513124623"/>
      <w:bookmarkStart w:id="132" w:name="_Toc513125042"/>
      <w:bookmarkStart w:id="133" w:name="_Toc515529182"/>
      <w:bookmarkStart w:id="134" w:name="_Toc518998082"/>
      <w:bookmarkStart w:id="135" w:name="_Toc520108004"/>
      <w:r>
        <w:rPr>
          <w:rStyle w:val="CharDivNo"/>
        </w:rPr>
        <w:t>Division 5</w:t>
      </w:r>
      <w:r>
        <w:t xml:space="preserve"> — </w:t>
      </w:r>
      <w:r>
        <w:rPr>
          <w:rStyle w:val="CharDivText"/>
        </w:rPr>
        <w:t>Other exemptions and concessions</w:t>
      </w:r>
      <w:bookmarkEnd w:id="131"/>
      <w:bookmarkEnd w:id="132"/>
      <w:bookmarkEnd w:id="133"/>
      <w:bookmarkEnd w:id="134"/>
      <w:bookmarkEnd w:id="135"/>
    </w:p>
    <w:p>
      <w:pPr>
        <w:pStyle w:val="Heading5"/>
      </w:pPr>
      <w:bookmarkStart w:id="136" w:name="_Toc520108005"/>
      <w:r>
        <w:rPr>
          <w:rStyle w:val="CharSectno"/>
        </w:rPr>
        <w:t>40</w:t>
      </w:r>
      <w:r>
        <w:t>.</w:t>
      </w:r>
      <w:r>
        <w:tab/>
        <w:t>Land owned by veteran’s surviving partner or mother, exemption for</w:t>
      </w:r>
      <w:bookmarkEnd w:id="13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ageBreakBefore/>
        <w:spacing w:before="0"/>
      </w:pPr>
      <w:bookmarkStart w:id="137" w:name="_Toc520108006"/>
      <w:r>
        <w:rPr>
          <w:rStyle w:val="CharSectno"/>
        </w:rPr>
        <w:t>41</w:t>
      </w:r>
      <w:r>
        <w:t>.</w:t>
      </w:r>
      <w:r>
        <w:tab/>
        <w:t>Land under conservation covenant, exemption for</w:t>
      </w:r>
      <w:bookmarkEnd w:id="13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38" w:name="_Toc520108007"/>
      <w:r>
        <w:rPr>
          <w:rStyle w:val="CharSectno"/>
        </w:rPr>
        <w:t>42A</w:t>
      </w:r>
      <w:r>
        <w:t>.</w:t>
      </w:r>
      <w:r>
        <w:tab/>
        <w:t>Land under biodiversity conservation covenant, exemption for</w:t>
      </w:r>
      <w:bookmarkEnd w:id="138"/>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139" w:name="_Toc520108008"/>
      <w:r>
        <w:rPr>
          <w:rStyle w:val="CharSectno"/>
        </w:rPr>
        <w:t>42</w:t>
      </w:r>
      <w:r>
        <w:t>.</w:t>
      </w:r>
      <w:r>
        <w:tab/>
        <w:t>Land vacated for sale by mortgagee, one year exemption for</w:t>
      </w:r>
      <w:bookmarkEnd w:id="13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140" w:name="_Toc520108009"/>
      <w:r>
        <w:rPr>
          <w:rStyle w:val="CharSectno"/>
        </w:rPr>
        <w:t>43A</w:t>
      </w:r>
      <w:r>
        <w:t>.</w:t>
      </w:r>
      <w:r>
        <w:tab/>
        <w:t>Newly subdivided land, concession for</w:t>
      </w:r>
      <w:bookmarkEnd w:id="14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141" w:name="_Toc513124629"/>
      <w:bookmarkStart w:id="142" w:name="_Toc513125048"/>
      <w:bookmarkStart w:id="143" w:name="_Toc515529188"/>
      <w:bookmarkStart w:id="144" w:name="_Toc518998088"/>
      <w:bookmarkStart w:id="145" w:name="_Toc520108010"/>
      <w:r>
        <w:rPr>
          <w:rStyle w:val="CharPartNo"/>
        </w:rPr>
        <w:t>Part 4</w:t>
      </w:r>
      <w:r>
        <w:rPr>
          <w:rStyle w:val="CharDivNo"/>
        </w:rPr>
        <w:t xml:space="preserve"> </w:t>
      </w:r>
      <w:r>
        <w:t>—</w:t>
      </w:r>
      <w:r>
        <w:rPr>
          <w:rStyle w:val="CharDivText"/>
        </w:rPr>
        <w:t xml:space="preserve"> </w:t>
      </w:r>
      <w:r>
        <w:rPr>
          <w:rStyle w:val="CharPartText"/>
        </w:rPr>
        <w:t>Miscellaneous</w:t>
      </w:r>
      <w:bookmarkEnd w:id="141"/>
      <w:bookmarkEnd w:id="142"/>
      <w:bookmarkEnd w:id="143"/>
      <w:bookmarkEnd w:id="144"/>
      <w:bookmarkEnd w:id="145"/>
    </w:p>
    <w:p>
      <w:pPr>
        <w:pStyle w:val="Heading5"/>
      </w:pPr>
      <w:bookmarkStart w:id="146" w:name="_Toc520108011"/>
      <w:r>
        <w:rPr>
          <w:rStyle w:val="CharSectno"/>
        </w:rPr>
        <w:t>43</w:t>
      </w:r>
      <w:r>
        <w:t>.</w:t>
      </w:r>
      <w:r>
        <w:tab/>
        <w:t>Occupier etc. of land to give information</w:t>
      </w:r>
      <w:bookmarkEnd w:id="14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by No. 32 of 2016 s. 186.]</w:t>
      </w:r>
    </w:p>
    <w:p>
      <w:pPr>
        <w:pStyle w:val="Heading5"/>
      </w:pPr>
      <w:bookmarkStart w:id="147" w:name="_Toc520108012"/>
      <w:r>
        <w:rPr>
          <w:rStyle w:val="CharSectno"/>
        </w:rPr>
        <w:t>45</w:t>
      </w:r>
      <w:r>
        <w:t>.</w:t>
      </w:r>
      <w:r>
        <w:tab/>
        <w:t>Contracts ineffective to alter incidence of land tax</w:t>
      </w:r>
      <w:bookmarkEnd w:id="14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48" w:name="_Toc520108013"/>
      <w:r>
        <w:rPr>
          <w:rStyle w:val="CharSectno"/>
        </w:rPr>
        <w:t>45A</w:t>
      </w:r>
      <w:r>
        <w:t>.</w:t>
      </w:r>
      <w:r>
        <w:tab/>
        <w:t>Minor interests of joint owners, Commissioner may disregard</w:t>
      </w:r>
      <w:bookmarkEnd w:id="148"/>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149" w:name="_Toc520108014"/>
      <w:r>
        <w:rPr>
          <w:rStyle w:val="CharSectno"/>
        </w:rPr>
        <w:t>45B</w:t>
      </w:r>
      <w:r>
        <w:t>.</w:t>
      </w:r>
      <w:r>
        <w:tab/>
        <w:t>Effect of determination under s. 45A</w:t>
      </w:r>
      <w:bookmarkEnd w:id="149"/>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150" w:name="_Toc520108015"/>
      <w:r>
        <w:rPr>
          <w:rStyle w:val="CharSectno"/>
        </w:rPr>
        <w:t>46</w:t>
      </w:r>
      <w:r>
        <w:t>.</w:t>
      </w:r>
      <w:r>
        <w:tab/>
        <w:t>Regulations</w:t>
      </w:r>
      <w:bookmarkEnd w:id="15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51" w:name="_Toc520108016"/>
      <w:r>
        <w:t>47.</w:t>
      </w:r>
      <w:r>
        <w:tab/>
        <w:t>Transitional provisions</w:t>
      </w:r>
      <w:bookmarkEnd w:id="15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152" w:name="_Toc513124636"/>
      <w:bookmarkStart w:id="153" w:name="_Toc513125055"/>
      <w:bookmarkStart w:id="154" w:name="_Toc515529195"/>
      <w:bookmarkStart w:id="155" w:name="_Toc518998095"/>
      <w:bookmarkStart w:id="156" w:name="_Toc520108017"/>
      <w:r>
        <w:rPr>
          <w:rStyle w:val="CharSchNo"/>
        </w:rPr>
        <w:t>Schedule 1</w:t>
      </w:r>
      <w:r>
        <w:t> — </w:t>
      </w:r>
      <w:r>
        <w:rPr>
          <w:rStyle w:val="CharSchText"/>
        </w:rPr>
        <w:t>Transitional and validation provisions</w:t>
      </w:r>
      <w:bookmarkEnd w:id="152"/>
      <w:bookmarkEnd w:id="153"/>
      <w:bookmarkEnd w:id="154"/>
      <w:bookmarkEnd w:id="155"/>
      <w:bookmarkEnd w:id="156"/>
    </w:p>
    <w:p>
      <w:pPr>
        <w:pStyle w:val="yShoulderClause"/>
      </w:pPr>
      <w:r>
        <w:t>[s. 47]</w:t>
      </w:r>
    </w:p>
    <w:p>
      <w:pPr>
        <w:pStyle w:val="yFootnoteheading"/>
      </w:pPr>
      <w:r>
        <w:tab/>
        <w:t>[Heading inserted by No. 31 of 2006 s. 26; amended by No. 1 of 2015 s. 19.]</w:t>
      </w:r>
    </w:p>
    <w:p>
      <w:pPr>
        <w:pStyle w:val="yHeading3"/>
      </w:pPr>
      <w:bookmarkStart w:id="157" w:name="_Toc513124637"/>
      <w:bookmarkStart w:id="158" w:name="_Toc513125056"/>
      <w:bookmarkStart w:id="159" w:name="_Toc515529196"/>
      <w:bookmarkStart w:id="160" w:name="_Toc518998096"/>
      <w:bookmarkStart w:id="161" w:name="_Toc520108018"/>
      <w:r>
        <w:rPr>
          <w:rStyle w:val="CharSDivNo"/>
        </w:rPr>
        <w:t>Division 1</w:t>
      </w:r>
      <w:r>
        <w:rPr>
          <w:b w:val="0"/>
        </w:rPr>
        <w:t> — </w:t>
      </w:r>
      <w:r>
        <w:rPr>
          <w:rStyle w:val="CharSDivText"/>
        </w:rPr>
        <w:t xml:space="preserve">Provision for </w:t>
      </w:r>
      <w:r>
        <w:rPr>
          <w:rStyle w:val="CharSDivText"/>
          <w:i/>
        </w:rPr>
        <w:t>Revenue Laws Amendment Act 2006</w:t>
      </w:r>
      <w:bookmarkEnd w:id="157"/>
      <w:bookmarkEnd w:id="158"/>
      <w:bookmarkEnd w:id="159"/>
      <w:bookmarkEnd w:id="160"/>
      <w:bookmarkEnd w:id="161"/>
    </w:p>
    <w:p>
      <w:pPr>
        <w:pStyle w:val="yFootnoteheading"/>
      </w:pPr>
      <w:r>
        <w:tab/>
        <w:t>[Heading inserted by No. 31 of 2006 s. 26.]</w:t>
      </w:r>
    </w:p>
    <w:p>
      <w:pPr>
        <w:pStyle w:val="yHeading5"/>
        <w:outlineLvl w:val="9"/>
      </w:pPr>
      <w:bookmarkStart w:id="162" w:name="_Toc520108019"/>
      <w:r>
        <w:rPr>
          <w:rStyle w:val="CharSClsNo"/>
        </w:rPr>
        <w:t>1</w:t>
      </w:r>
      <w:r>
        <w:t>.</w:t>
      </w:r>
      <w:r>
        <w:rPr>
          <w:b w:val="0"/>
        </w:rPr>
        <w:tab/>
      </w:r>
      <w:r>
        <w:t>Application of s. 24A, 25A and 27A</w:t>
      </w:r>
      <w:bookmarkEnd w:id="16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63" w:name="_Toc513124639"/>
      <w:bookmarkStart w:id="164" w:name="_Toc513125058"/>
      <w:bookmarkStart w:id="165" w:name="_Toc515529198"/>
      <w:bookmarkStart w:id="166" w:name="_Toc518998098"/>
      <w:bookmarkStart w:id="167" w:name="_Toc520108020"/>
      <w:r>
        <w:rPr>
          <w:rStyle w:val="CharSDivNo"/>
        </w:rPr>
        <w:t>Division 2</w:t>
      </w:r>
      <w:r>
        <w:rPr>
          <w:b w:val="0"/>
        </w:rPr>
        <w:t> — </w:t>
      </w:r>
      <w:r>
        <w:rPr>
          <w:rStyle w:val="CharSDivText"/>
        </w:rPr>
        <w:t xml:space="preserve">Provision for </w:t>
      </w:r>
      <w:r>
        <w:rPr>
          <w:rStyle w:val="CharSDivText"/>
          <w:i/>
          <w:iCs/>
        </w:rPr>
        <w:t>Revenue Laws Amendment (Taxation) Act 2009</w:t>
      </w:r>
      <w:bookmarkEnd w:id="163"/>
      <w:bookmarkEnd w:id="164"/>
      <w:bookmarkEnd w:id="165"/>
      <w:bookmarkEnd w:id="166"/>
      <w:bookmarkEnd w:id="167"/>
    </w:p>
    <w:p>
      <w:pPr>
        <w:pStyle w:val="Footnoteheading"/>
        <w:rPr>
          <w:i w:val="0"/>
        </w:rPr>
      </w:pPr>
      <w:r>
        <w:tab/>
        <w:t>[Heading inserted by No. 19 of 2009 s. 11.]</w:t>
      </w:r>
    </w:p>
    <w:p>
      <w:pPr>
        <w:pStyle w:val="yHeading5"/>
      </w:pPr>
      <w:bookmarkStart w:id="168" w:name="_Toc520108021"/>
      <w:r>
        <w:rPr>
          <w:rStyle w:val="CharSClsNo"/>
        </w:rPr>
        <w:t>2</w:t>
      </w:r>
      <w:r>
        <w:t>.</w:t>
      </w:r>
      <w:r>
        <w:rPr>
          <w:b w:val="0"/>
        </w:rPr>
        <w:tab/>
      </w:r>
      <w:r>
        <w:t>Regulations for cl. 6</w:t>
      </w:r>
      <w:bookmarkEnd w:id="16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169" w:name="_Toc513124641"/>
      <w:bookmarkStart w:id="170" w:name="_Toc513125060"/>
      <w:bookmarkStart w:id="171" w:name="_Toc515529200"/>
      <w:bookmarkStart w:id="172" w:name="_Toc518998100"/>
      <w:bookmarkStart w:id="173" w:name="_Toc520108022"/>
      <w:r>
        <w:rPr>
          <w:rStyle w:val="CharSDivNo"/>
        </w:rPr>
        <w:t>Division 3</w:t>
      </w:r>
      <w:r>
        <w:rPr>
          <w:b w:val="0"/>
        </w:rPr>
        <w:t> — </w:t>
      </w:r>
      <w:r>
        <w:rPr>
          <w:rStyle w:val="CharSDivText"/>
        </w:rPr>
        <w:t xml:space="preserve">Provisions for the </w:t>
      </w:r>
      <w:r>
        <w:rPr>
          <w:rStyle w:val="CharSDivText"/>
          <w:i/>
        </w:rPr>
        <w:t>Taxation Legislation Amendment Act (No. 2) 2015</w:t>
      </w:r>
      <w:bookmarkEnd w:id="169"/>
      <w:bookmarkEnd w:id="170"/>
      <w:bookmarkEnd w:id="171"/>
      <w:bookmarkEnd w:id="172"/>
      <w:bookmarkEnd w:id="173"/>
    </w:p>
    <w:p>
      <w:pPr>
        <w:pStyle w:val="yFootnoteheading"/>
      </w:pPr>
      <w:r>
        <w:tab/>
        <w:t>[Heading inserted by No. 8 of 2015 s. 10.]</w:t>
      </w:r>
    </w:p>
    <w:p>
      <w:pPr>
        <w:pStyle w:val="yHeading5"/>
      </w:pPr>
      <w:bookmarkStart w:id="174" w:name="_Toc520108023"/>
      <w:r>
        <w:rPr>
          <w:rStyle w:val="CharSClsNo"/>
        </w:rPr>
        <w:t>3</w:t>
      </w:r>
      <w:r>
        <w:t>.</w:t>
      </w:r>
      <w:r>
        <w:tab/>
        <w:t>Terms used</w:t>
      </w:r>
      <w:bookmarkEnd w:id="174"/>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175" w:name="_Toc520108024"/>
      <w:r>
        <w:rPr>
          <w:rStyle w:val="CharSClsNo"/>
        </w:rPr>
        <w:t>4</w:t>
      </w:r>
      <w:r>
        <w:t>.</w:t>
      </w:r>
      <w:r>
        <w:tab/>
        <w:t>Previously exempt land: section 37</w:t>
      </w:r>
      <w:bookmarkEnd w:id="175"/>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176" w:name="_Toc520108025"/>
      <w:r>
        <w:rPr>
          <w:rStyle w:val="CharSClsNo"/>
        </w:rPr>
        <w:t>5</w:t>
      </w:r>
      <w:r>
        <w:t>.</w:t>
      </w:r>
      <w:r>
        <w:tab/>
        <w:t>Beneficial body determination: application may be made</w:t>
      </w:r>
      <w:bookmarkEnd w:id="176"/>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177" w:name="_Toc513124645"/>
      <w:bookmarkStart w:id="178" w:name="_Toc513125064"/>
      <w:bookmarkStart w:id="179" w:name="_Toc515529204"/>
      <w:bookmarkStart w:id="180" w:name="_Toc518998104"/>
      <w:bookmarkStart w:id="181" w:name="_Toc520108026"/>
      <w:r>
        <w:rPr>
          <w:rStyle w:val="CharSDivNo"/>
        </w:rPr>
        <w:t>Division 4</w:t>
      </w:r>
      <w:r>
        <w:t> — </w:t>
      </w:r>
      <w:r>
        <w:rPr>
          <w:rStyle w:val="CharSDivText"/>
        </w:rPr>
        <w:t xml:space="preserve">Provisions for </w:t>
      </w:r>
      <w:r>
        <w:rPr>
          <w:rStyle w:val="CharSDivText"/>
          <w:i/>
        </w:rPr>
        <w:t>Taxation Legislation Amendment Act 2015</w:t>
      </w:r>
      <w:bookmarkEnd w:id="177"/>
      <w:bookmarkEnd w:id="178"/>
      <w:bookmarkEnd w:id="179"/>
      <w:bookmarkEnd w:id="180"/>
      <w:bookmarkEnd w:id="181"/>
    </w:p>
    <w:p>
      <w:pPr>
        <w:pStyle w:val="yFootnoteheading"/>
      </w:pPr>
      <w:r>
        <w:tab/>
        <w:t>[Heading inserted by No. 1 of 2015 s. 7.]</w:t>
      </w:r>
    </w:p>
    <w:p>
      <w:pPr>
        <w:pStyle w:val="yHeading4"/>
      </w:pPr>
      <w:bookmarkStart w:id="182" w:name="_Toc513124646"/>
      <w:bookmarkStart w:id="183" w:name="_Toc513125065"/>
      <w:bookmarkStart w:id="184" w:name="_Toc515529205"/>
      <w:bookmarkStart w:id="185" w:name="_Toc518998105"/>
      <w:bookmarkStart w:id="186" w:name="_Toc520108027"/>
      <w:r>
        <w:t>Subdivision 1 — Preliminary</w:t>
      </w:r>
      <w:bookmarkEnd w:id="182"/>
      <w:bookmarkEnd w:id="183"/>
      <w:bookmarkEnd w:id="184"/>
      <w:bookmarkEnd w:id="185"/>
      <w:bookmarkEnd w:id="186"/>
    </w:p>
    <w:p>
      <w:pPr>
        <w:pStyle w:val="yFootnoteheading"/>
      </w:pPr>
      <w:r>
        <w:tab/>
        <w:t>[Heading inserted by No. 1 of 2015 s. 20.]</w:t>
      </w:r>
    </w:p>
    <w:p>
      <w:pPr>
        <w:pStyle w:val="yHeading5"/>
      </w:pPr>
      <w:bookmarkStart w:id="187" w:name="_Toc520108028"/>
      <w:r>
        <w:rPr>
          <w:rStyle w:val="CharSClsNo"/>
        </w:rPr>
        <w:t>6</w:t>
      </w:r>
      <w:r>
        <w:t>.</w:t>
      </w:r>
      <w:r>
        <w:tab/>
        <w:t>Term used: amending Act</w:t>
      </w:r>
      <w:bookmarkEnd w:id="18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188" w:name="_Toc513124648"/>
      <w:bookmarkStart w:id="189" w:name="_Toc513125067"/>
      <w:bookmarkStart w:id="190" w:name="_Toc515529207"/>
      <w:bookmarkStart w:id="191" w:name="_Toc518998107"/>
      <w:bookmarkStart w:id="192" w:name="_Toc520108029"/>
      <w:r>
        <w:t>Subdivision 2 — Provisions about primary production</w:t>
      </w:r>
      <w:bookmarkEnd w:id="188"/>
      <w:bookmarkEnd w:id="189"/>
      <w:bookmarkEnd w:id="190"/>
      <w:bookmarkEnd w:id="191"/>
      <w:bookmarkEnd w:id="192"/>
    </w:p>
    <w:p>
      <w:pPr>
        <w:pStyle w:val="yFootnoteheading"/>
      </w:pPr>
      <w:r>
        <w:tab/>
        <w:t>[Heading inserted by No. 1 of 2015 s. 21.]</w:t>
      </w:r>
    </w:p>
    <w:p>
      <w:pPr>
        <w:pStyle w:val="yHeading5"/>
      </w:pPr>
      <w:bookmarkStart w:id="193" w:name="_Toc520108030"/>
      <w:r>
        <w:rPr>
          <w:rStyle w:val="CharSClsNo"/>
        </w:rPr>
        <w:t>7</w:t>
      </w:r>
      <w:r>
        <w:t>.</w:t>
      </w:r>
      <w:r>
        <w:tab/>
        <w:t>Application of section 15 during transitional period</w:t>
      </w:r>
      <w:bookmarkEnd w:id="193"/>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194" w:name="_Toc520108031"/>
      <w:r>
        <w:rPr>
          <w:rStyle w:val="CharSClsNo"/>
        </w:rPr>
        <w:t>8</w:t>
      </w:r>
      <w:r>
        <w:t>.</w:t>
      </w:r>
      <w:r>
        <w:tab/>
        <w:t>Application of section 20 to previous assessment years</w:t>
      </w:r>
      <w:bookmarkEnd w:id="194"/>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195" w:name="_Toc520108032"/>
      <w:r>
        <w:rPr>
          <w:rStyle w:val="CharSClsNo"/>
        </w:rPr>
        <w:t>9</w:t>
      </w:r>
      <w:r>
        <w:t>.</w:t>
      </w:r>
      <w:r>
        <w:tab/>
        <w:t>Application of section 30D to land held in trust for assessment year 2014/15</w:t>
      </w:r>
      <w:bookmarkEnd w:id="195"/>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196" w:name="_Toc513124652"/>
      <w:bookmarkStart w:id="197" w:name="_Toc513125071"/>
      <w:bookmarkStart w:id="198" w:name="_Toc515529211"/>
      <w:bookmarkStart w:id="199" w:name="_Toc518998111"/>
      <w:bookmarkStart w:id="200" w:name="_Toc520108033"/>
      <w:r>
        <w:t>Subdivision 3 — Provisions about exemptions and rural business land</w:t>
      </w:r>
      <w:bookmarkEnd w:id="196"/>
      <w:bookmarkEnd w:id="197"/>
      <w:bookmarkEnd w:id="198"/>
      <w:bookmarkEnd w:id="199"/>
      <w:bookmarkEnd w:id="200"/>
    </w:p>
    <w:p>
      <w:pPr>
        <w:pStyle w:val="yFootnoteheading"/>
      </w:pPr>
      <w:r>
        <w:tab/>
        <w:t>[Heading inserted by No. 1 of 2015 s. 22.]</w:t>
      </w:r>
    </w:p>
    <w:p>
      <w:pPr>
        <w:pStyle w:val="yHeading5"/>
      </w:pPr>
      <w:bookmarkStart w:id="201" w:name="_Toc520108034"/>
      <w:r>
        <w:rPr>
          <w:rStyle w:val="CharSClsNo"/>
        </w:rPr>
        <w:t>10</w:t>
      </w:r>
      <w:r>
        <w:t>.</w:t>
      </w:r>
      <w:r>
        <w:tab/>
        <w:t>Terms used</w:t>
      </w:r>
      <w:bookmarkEnd w:id="20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202" w:name="_Toc520108035"/>
      <w:r>
        <w:rPr>
          <w:rStyle w:val="CharSClsNo"/>
        </w:rPr>
        <w:t>11</w:t>
      </w:r>
      <w:r>
        <w:t>.</w:t>
      </w:r>
      <w:r>
        <w:tab/>
        <w:t>Validation of previous assessments</w:t>
      </w:r>
      <w:bookmarkEnd w:id="202"/>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ageBreakBefore/>
        <w:spacing w:before="0"/>
      </w:pPr>
      <w:bookmarkStart w:id="203" w:name="_Toc520108036"/>
      <w:r>
        <w:rPr>
          <w:rStyle w:val="CharSClsNo"/>
        </w:rPr>
        <w:t>12</w:t>
      </w:r>
      <w:r>
        <w:t>.</w:t>
      </w:r>
      <w:r>
        <w:tab/>
        <w:t>Land tax decisions made or pending</w:t>
      </w:r>
      <w:bookmarkEnd w:id="20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204" w:name="_Toc520108037"/>
      <w:r>
        <w:rPr>
          <w:rStyle w:val="CharSClsNo"/>
        </w:rPr>
        <w:t>13</w:t>
      </w:r>
      <w:r>
        <w:t>.</w:t>
      </w:r>
      <w:r>
        <w:tab/>
        <w:t>Application of modified rural business land provisions during the 2012 to 2014 assessment period</w:t>
      </w:r>
      <w:bookmarkEnd w:id="20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205" w:name="_Toc520108038"/>
      <w:r>
        <w:rPr>
          <w:rStyle w:val="CharSClsNo"/>
        </w:rPr>
        <w:t>14</w:t>
      </w:r>
      <w:r>
        <w:t>.</w:t>
      </w:r>
      <w:r>
        <w:tab/>
        <w:t>Validation of rural business land assessments</w:t>
      </w:r>
      <w:bookmarkEnd w:id="20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206" w:name="_Toc520108039"/>
      <w:r>
        <w:rPr>
          <w:rStyle w:val="CharSClsNo"/>
        </w:rPr>
        <w:t>15</w:t>
      </w:r>
      <w:r>
        <w:t>.</w:t>
      </w:r>
      <w:r>
        <w:tab/>
        <w:t>Reassessment</w:t>
      </w:r>
      <w:bookmarkEnd w:id="20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pStyle w:val="yHeading3"/>
        <w:rPr>
          <w:i/>
        </w:rPr>
      </w:pPr>
      <w:bookmarkStart w:id="207" w:name="_Toc513124659"/>
      <w:bookmarkStart w:id="208" w:name="_Toc513125078"/>
      <w:bookmarkStart w:id="209" w:name="_Toc515529218"/>
      <w:bookmarkStart w:id="210" w:name="_Toc518998118"/>
      <w:bookmarkStart w:id="211" w:name="_Toc520108040"/>
      <w:r>
        <w:rPr>
          <w:rStyle w:val="CharSDivNo"/>
        </w:rPr>
        <w:t>Division 5</w:t>
      </w:r>
      <w:r>
        <w:rPr>
          <w:b w:val="0"/>
        </w:rPr>
        <w:t> — </w:t>
      </w:r>
      <w:r>
        <w:rPr>
          <w:rStyle w:val="CharSDivText"/>
        </w:rPr>
        <w:t xml:space="preserve">Provisions for </w:t>
      </w:r>
      <w:r>
        <w:rPr>
          <w:rStyle w:val="CharSDivText"/>
          <w:i/>
        </w:rPr>
        <w:t>Land Tax Assessment Amendment Act 2018</w:t>
      </w:r>
      <w:bookmarkEnd w:id="207"/>
      <w:bookmarkEnd w:id="208"/>
      <w:bookmarkEnd w:id="209"/>
      <w:bookmarkEnd w:id="210"/>
      <w:bookmarkEnd w:id="211"/>
    </w:p>
    <w:p>
      <w:pPr>
        <w:pStyle w:val="yFootnoteheading"/>
      </w:pPr>
      <w:r>
        <w:tab/>
        <w:t>[Heading inserted by No. 5 of 2018 s. 8.]</w:t>
      </w:r>
    </w:p>
    <w:p>
      <w:pPr>
        <w:pStyle w:val="yHeading5"/>
      </w:pPr>
      <w:bookmarkStart w:id="212" w:name="_Toc520108041"/>
      <w:r>
        <w:rPr>
          <w:rStyle w:val="CharSClsNo"/>
        </w:rPr>
        <w:t>16</w:t>
      </w:r>
      <w:r>
        <w:t>.</w:t>
      </w:r>
      <w:r>
        <w:tab/>
        <w:t>Terms used</w:t>
      </w:r>
      <w:bookmarkEnd w:id="212"/>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by No. 5 of 2018 s. 8.]</w:t>
      </w:r>
    </w:p>
    <w:p>
      <w:pPr>
        <w:pStyle w:val="yHeading5"/>
      </w:pPr>
      <w:bookmarkStart w:id="213" w:name="_Toc520108042"/>
      <w:r>
        <w:rPr>
          <w:rStyle w:val="CharSClsNo"/>
        </w:rPr>
        <w:t>17</w:t>
      </w:r>
      <w:r>
        <w:t>.</w:t>
      </w:r>
      <w:r>
        <w:tab/>
        <w:t>Validation of previous assessments</w:t>
      </w:r>
      <w:bookmarkEnd w:id="213"/>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by No. 5 of 2018 s. 8.]</w:t>
      </w:r>
    </w:p>
    <w:p>
      <w:pPr>
        <w:pStyle w:val="yHeading5"/>
        <w:pageBreakBefore/>
        <w:spacing w:before="0"/>
      </w:pPr>
      <w:bookmarkStart w:id="214" w:name="_Toc520108043"/>
      <w:r>
        <w:rPr>
          <w:rStyle w:val="CharSClsNo"/>
        </w:rPr>
        <w:t>18</w:t>
      </w:r>
      <w:r>
        <w:t>.</w:t>
      </w:r>
      <w:r>
        <w:tab/>
        <w:t>Land tax decisions made or pending</w:t>
      </w:r>
      <w:bookmarkEnd w:id="21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by No. 5 of 2018 s. 8.]</w:t>
      </w:r>
    </w:p>
    <w:p>
      <w:pPr>
        <w:pStyle w:val="yHeading5"/>
      </w:pPr>
      <w:bookmarkStart w:id="215" w:name="_Toc520108044"/>
      <w:r>
        <w:rPr>
          <w:rStyle w:val="CharSClsNo"/>
        </w:rPr>
        <w:t>19</w:t>
      </w:r>
      <w:r>
        <w:t>.</w:t>
      </w:r>
      <w:r>
        <w:tab/>
        <w:t>Reassessment</w:t>
      </w:r>
      <w:bookmarkEnd w:id="215"/>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by No. 5 of 2018 s. 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17" w:name="_Toc513124664"/>
      <w:bookmarkStart w:id="218" w:name="_Toc513125083"/>
      <w:bookmarkStart w:id="219" w:name="_Toc515529223"/>
      <w:bookmarkStart w:id="220" w:name="_Toc518998123"/>
      <w:bookmarkStart w:id="221" w:name="_Toc520108045"/>
      <w:r>
        <w:rPr>
          <w:rStyle w:val="CharSchNo"/>
        </w:rPr>
        <w:t>Glossary</w:t>
      </w:r>
      <w:bookmarkEnd w:id="217"/>
      <w:bookmarkEnd w:id="218"/>
      <w:bookmarkEnd w:id="219"/>
      <w:bookmarkEnd w:id="220"/>
      <w:bookmarkEnd w:id="221"/>
      <w:r>
        <w:rPr>
          <w:rStyle w:val="CharSchText"/>
        </w:rPr>
        <w:t xml:space="preserve"> </w:t>
      </w:r>
    </w:p>
    <w:p>
      <w:pPr>
        <w:pStyle w:val="yShoulderClause"/>
        <w:spacing w:before="40"/>
      </w:pPr>
      <w:r>
        <w:t>[s. 4]</w:t>
      </w:r>
    </w:p>
    <w:p>
      <w:pPr>
        <w:pStyle w:val="yHeading5"/>
      </w:pPr>
      <w:bookmarkStart w:id="222" w:name="_Toc520108046"/>
      <w:r>
        <w:rPr>
          <w:rStyle w:val="CharSClsNo"/>
        </w:rPr>
        <w:t>1</w:t>
      </w:r>
      <w:r>
        <w:t>.</w:t>
      </w:r>
      <w:r>
        <w:tab/>
        <w:t>Terms used</w:t>
      </w:r>
      <w:bookmarkEnd w:id="222"/>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2</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3</w:t>
      </w:r>
      <w:r>
        <w:t>, or the Department of Mines</w:t>
      </w:r>
      <w:r>
        <w:rPr>
          <w:vertAlign w:val="superscript"/>
        </w:rPr>
        <w:t> 4</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 No. 5 of 2018 s. 7.]</w:t>
      </w:r>
    </w:p>
    <w:p>
      <w:pPr>
        <w:pStyle w:val="Footnotesection"/>
      </w:pPr>
      <w:r>
        <w:tab/>
        <w:t>[Clause 1, modifications have effect under the Commonwealth Places (Mirror Taxes Administration) Act 1999, see note 1M.]</w:t>
      </w:r>
    </w:p>
    <w:p>
      <w:pPr>
        <w:pStyle w:val="Footnotesection"/>
      </w:pPr>
      <w:r>
        <w:tab/>
        <w:t>[Clause 1, modifications have effect under the Commonwealth Places (Mirror Taxes) Act 1998 (Cth), see note 1MC.]</w:t>
      </w:r>
    </w:p>
    <w:p>
      <w:pPr>
        <w:pStyle w:val="yHeading5"/>
      </w:pPr>
      <w:bookmarkStart w:id="223" w:name="_Toc520108047"/>
      <w:r>
        <w:rPr>
          <w:rStyle w:val="CharSClsNo"/>
        </w:rPr>
        <w:t>2</w:t>
      </w:r>
      <w:r>
        <w:t>.</w:t>
      </w:r>
      <w:r>
        <w:tab/>
        <w:t>Lots and parcels of land</w:t>
      </w:r>
      <w:bookmarkEnd w:id="22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5</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224" w:name="_Toc520108048"/>
      <w:r>
        <w:rPr>
          <w:rStyle w:val="CharSClsNo"/>
        </w:rPr>
        <w:t>3</w:t>
      </w:r>
      <w:r>
        <w:t>.</w:t>
      </w:r>
      <w:r>
        <w:tab/>
        <w:t>Subdivided land</w:t>
      </w:r>
      <w:bookmarkEnd w:id="22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w:t>
      </w:r>
      <w:r>
        <w:rPr>
          <w:b/>
        </w:rPr>
        <w:t>4, 5.</w:t>
      </w:r>
      <w:r>
        <w:tab/>
        <w:t>Deleted by No. 1 of 2015 s. 8(2).]</w:t>
      </w:r>
    </w:p>
    <w:p>
      <w:pPr>
        <w:pStyle w:val="yHeading5"/>
      </w:pPr>
      <w:bookmarkStart w:id="225" w:name="_Toc520108049"/>
      <w:r>
        <w:rPr>
          <w:rStyle w:val="CharSClsNo"/>
        </w:rPr>
        <w:t>6</w:t>
      </w:r>
      <w:r>
        <w:t>.</w:t>
      </w:r>
      <w:r>
        <w:rPr>
          <w:b w:val="0"/>
        </w:rPr>
        <w:tab/>
      </w:r>
      <w:r>
        <w:t>Taxable value</w:t>
      </w:r>
      <w:bookmarkEnd w:id="22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226" w:name="_Toc513124669"/>
      <w:bookmarkStart w:id="227" w:name="_Toc513125088"/>
      <w:bookmarkStart w:id="228" w:name="_Toc515529228"/>
      <w:bookmarkStart w:id="229" w:name="_Toc518998128"/>
      <w:bookmarkStart w:id="230" w:name="_Toc520108050"/>
      <w:r>
        <w:t>Notes</w:t>
      </w:r>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reprint is a compilation as at 20 Jul 2018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1M, 1MC, 6</w:t>
      </w:r>
      <w:r>
        <w:rPr>
          <w:snapToGrid w:val="0"/>
        </w:rPr>
        <w:t>.  The table also contains information about any reprint.</w:t>
      </w:r>
    </w:p>
    <w:p>
      <w:pPr>
        <w:pStyle w:val="nHeading3"/>
        <w:rPr>
          <w:snapToGrid w:val="0"/>
        </w:rPr>
      </w:pPr>
      <w:bookmarkStart w:id="231" w:name="_Toc520108051"/>
      <w:r>
        <w:rPr>
          <w:snapToGrid w:val="0"/>
        </w:rPr>
        <w:t>Compilation table</w:t>
      </w:r>
      <w:bookmarkEnd w:id="23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7"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1"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7</w:t>
            </w:r>
          </w:p>
        </w:tc>
        <w:tc>
          <w:tcPr>
            <w:tcW w:w="1135"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tcPr>
          <w:p>
            <w:pPr>
              <w:pStyle w:val="nTable"/>
              <w:spacing w:after="40"/>
              <w:rPr>
                <w:rFonts w:ascii="Times New Roman" w:hAnsi="Times New Roman"/>
              </w:rPr>
            </w:pPr>
            <w:r>
              <w:rPr>
                <w:rFonts w:ascii="Times New Roman" w:hAnsi="Times New Roman"/>
              </w:rPr>
              <w:t>66 of 2003</w:t>
            </w:r>
          </w:p>
        </w:tc>
        <w:tc>
          <w:tcPr>
            <w:tcW w:w="1134" w:type="dxa"/>
          </w:tcPr>
          <w:p>
            <w:pPr>
              <w:pStyle w:val="nTable"/>
              <w:spacing w:after="40"/>
              <w:rPr>
                <w:rFonts w:ascii="Times New Roman" w:hAnsi="Times New Roman"/>
              </w:rPr>
            </w:pPr>
            <w:r>
              <w:rPr>
                <w:rFonts w:ascii="Times New Roman" w:hAnsi="Times New Roman"/>
              </w:rPr>
              <w:t>5 Dec 2003</w:t>
            </w:r>
          </w:p>
        </w:tc>
        <w:tc>
          <w:tcPr>
            <w:tcW w:w="2551" w:type="dxa"/>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1 Jul 2004 (see s. 2(2))</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8</w:t>
            </w:r>
          </w:p>
        </w:tc>
        <w:tc>
          <w:tcPr>
            <w:tcW w:w="1135" w:type="dxa"/>
          </w:tcPr>
          <w:p>
            <w:pPr>
              <w:pStyle w:val="nTable"/>
              <w:spacing w:after="40"/>
              <w:rPr>
                <w:rFonts w:ascii="Times New Roman" w:hAnsi="Times New Roman"/>
              </w:rPr>
            </w:pPr>
            <w:r>
              <w:rPr>
                <w:rFonts w:ascii="Times New Roman" w:hAnsi="Times New Roman"/>
              </w:rPr>
              <w:t>55 of 2004</w:t>
            </w:r>
          </w:p>
        </w:tc>
        <w:tc>
          <w:tcPr>
            <w:tcW w:w="1134" w:type="dxa"/>
          </w:tcPr>
          <w:p>
            <w:pPr>
              <w:pStyle w:val="nTable"/>
              <w:spacing w:after="40"/>
              <w:rPr>
                <w:rFonts w:ascii="Times New Roman" w:hAnsi="Times New Roman"/>
              </w:rPr>
            </w:pPr>
            <w:r>
              <w:rPr>
                <w:rFonts w:ascii="Times New Roman" w:hAnsi="Times New Roman"/>
              </w:rPr>
              <w:t>24 Nov 2004</w:t>
            </w:r>
          </w:p>
        </w:tc>
        <w:tc>
          <w:tcPr>
            <w:tcW w:w="2551" w:type="dxa"/>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tcPr>
          <w:p>
            <w:pPr>
              <w:pStyle w:val="nTable"/>
              <w:spacing w:after="40"/>
              <w:rPr>
                <w:rFonts w:ascii="Times New Roman" w:hAnsi="Times New Roman"/>
              </w:rPr>
            </w:pPr>
            <w:r>
              <w:rPr>
                <w:rFonts w:ascii="Times New Roman" w:hAnsi="Times New Roman"/>
              </w:rPr>
              <w:t>10 of 2005</w:t>
            </w:r>
          </w:p>
        </w:tc>
        <w:tc>
          <w:tcPr>
            <w:tcW w:w="1134" w:type="dxa"/>
          </w:tcPr>
          <w:p>
            <w:pPr>
              <w:pStyle w:val="nTable"/>
              <w:spacing w:after="40"/>
              <w:rPr>
                <w:rFonts w:ascii="Times New Roman" w:hAnsi="Times New Roman"/>
              </w:rPr>
            </w:pPr>
            <w:r>
              <w:rPr>
                <w:rFonts w:ascii="Times New Roman" w:hAnsi="Times New Roman"/>
              </w:rPr>
              <w:t>29 Aug 2005</w:t>
            </w:r>
          </w:p>
        </w:tc>
        <w:tc>
          <w:tcPr>
            <w:tcW w:w="2551" w:type="dxa"/>
          </w:tcPr>
          <w:p>
            <w:pPr>
              <w:pStyle w:val="nTable"/>
              <w:spacing w:after="40"/>
              <w:rPr>
                <w:rFonts w:ascii="Times New Roman" w:hAnsi="Times New Roman"/>
              </w:rPr>
            </w:pPr>
            <w:r>
              <w:rPr>
                <w:rFonts w:ascii="Times New Roman" w:hAnsi="Times New Roman"/>
              </w:rPr>
              <w:t>1 Jul 2005 (see s. 2(2))</w:t>
            </w:r>
          </w:p>
        </w:tc>
      </w:tr>
      <w:tr>
        <w:trPr>
          <w:cantSplit/>
        </w:trP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4" w:type="dxa"/>
          </w:tcPr>
          <w:p>
            <w:pPr>
              <w:pStyle w:val="nTable"/>
              <w:spacing w:after="40"/>
              <w:rPr>
                <w:rFonts w:ascii="Times New Roman" w:hAnsi="Times New Roman"/>
                <w:noProof/>
                <w:snapToGrid w:val="0"/>
              </w:rPr>
            </w:pPr>
            <w:r>
              <w:rPr>
                <w:rFonts w:ascii="Times New Roman" w:hAnsi="Times New Roman"/>
              </w:rPr>
              <w:t>4 Jul 2006</w:t>
            </w:r>
          </w:p>
        </w:tc>
        <w:tc>
          <w:tcPr>
            <w:tcW w:w="2551" w:type="dxa"/>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7" w:type="dxa"/>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tcPr>
          <w:p>
            <w:pPr>
              <w:pStyle w:val="nTable"/>
              <w:spacing w:after="40"/>
              <w:rPr>
                <w:rFonts w:ascii="Times New Roman" w:hAnsi="Times New Roman"/>
                <w:snapToGrid w:val="0"/>
              </w:rPr>
            </w:pPr>
            <w:r>
              <w:rPr>
                <w:rFonts w:ascii="Times New Roman" w:hAnsi="Times New Roman"/>
                <w:snapToGrid w:val="0"/>
              </w:rPr>
              <w:t>73 of 2006</w:t>
            </w:r>
          </w:p>
        </w:tc>
        <w:tc>
          <w:tcPr>
            <w:tcW w:w="1134" w:type="dxa"/>
          </w:tcPr>
          <w:p>
            <w:pPr>
              <w:pStyle w:val="nTable"/>
              <w:spacing w:after="40"/>
              <w:rPr>
                <w:rFonts w:ascii="Times New Roman" w:hAnsi="Times New Roman"/>
                <w:snapToGrid w:val="0"/>
              </w:rPr>
            </w:pPr>
            <w:r>
              <w:rPr>
                <w:rFonts w:ascii="Times New Roman" w:hAnsi="Times New Roman"/>
                <w:snapToGrid w:val="0"/>
              </w:rPr>
              <w:t>13 Dec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7" w:type="dxa"/>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tcPr>
          <w:p>
            <w:pPr>
              <w:pStyle w:val="nTable"/>
              <w:spacing w:after="40"/>
              <w:rPr>
                <w:rFonts w:ascii="Times New Roman" w:hAnsi="Times New Roman"/>
              </w:rPr>
            </w:pPr>
            <w:r>
              <w:rPr>
                <w:rFonts w:ascii="Times New Roman" w:hAnsi="Times New Roman"/>
              </w:rPr>
              <w:t>12 of 2007</w:t>
            </w:r>
          </w:p>
        </w:tc>
        <w:tc>
          <w:tcPr>
            <w:tcW w:w="1134" w:type="dxa"/>
          </w:tcPr>
          <w:p>
            <w:pPr>
              <w:pStyle w:val="nTable"/>
              <w:spacing w:after="40"/>
              <w:rPr>
                <w:rFonts w:ascii="Times New Roman" w:hAnsi="Times New Roman"/>
              </w:rPr>
            </w:pPr>
            <w:r>
              <w:rPr>
                <w:rFonts w:ascii="Times New Roman" w:hAnsi="Times New Roman"/>
              </w:rPr>
              <w:t>29 Jun 2007</w:t>
            </w:r>
          </w:p>
        </w:tc>
        <w:tc>
          <w:tcPr>
            <w:tcW w:w="2551" w:type="dxa"/>
          </w:tcPr>
          <w:p>
            <w:pPr>
              <w:pStyle w:val="nTable"/>
              <w:spacing w:after="40"/>
              <w:rPr>
                <w:rFonts w:ascii="Times New Roman" w:hAnsi="Times New Roman"/>
              </w:rPr>
            </w:pPr>
            <w:r>
              <w:rPr>
                <w:rFonts w:ascii="Times New Roman" w:hAnsi="Times New Roman"/>
              </w:rPr>
              <w:t>30 Jun 2007 (see s. 2(c)(i))</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1" w:type="dxa"/>
          </w:tcPr>
          <w:p>
            <w:pPr>
              <w:pStyle w:val="nTable"/>
              <w:spacing w:after="40"/>
              <w:rPr>
                <w:rFonts w:ascii="Times New Roman" w:hAnsi="Times New Roman"/>
              </w:rPr>
            </w:pPr>
            <w:r>
              <w:rPr>
                <w:rFonts w:ascii="Times New Roman" w:hAnsi="Times New Roman"/>
              </w:rPr>
              <w:t>1 Jul 2008 (see s. 2(1)(c)(i))</w:t>
            </w:r>
          </w:p>
        </w:tc>
      </w:tr>
      <w:tr>
        <w:tc>
          <w:tcPr>
            <w:tcW w:w="2267" w:type="dxa"/>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tcPr>
          <w:p>
            <w:pPr>
              <w:pStyle w:val="nTable"/>
              <w:spacing w:after="40"/>
              <w:rPr>
                <w:rFonts w:ascii="Times New Roman" w:hAnsi="Times New Roman"/>
              </w:rPr>
            </w:pPr>
            <w:r>
              <w:rPr>
                <w:rFonts w:ascii="Times New Roman" w:hAnsi="Times New Roman"/>
              </w:rPr>
              <w:t>19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 Jul 2009 (see s. 2(b)(ii))</w:t>
            </w:r>
          </w:p>
        </w:tc>
      </w:tr>
      <w:tr>
        <w:trPr>
          <w:cantSplit/>
        </w:trPr>
        <w:tc>
          <w:tcPr>
            <w:tcW w:w="2267" w:type="dxa"/>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tcPr>
          <w:p>
            <w:pPr>
              <w:pStyle w:val="nTable"/>
              <w:spacing w:after="40"/>
              <w:rPr>
                <w:rFonts w:ascii="Times New Roman" w:hAnsi="Times New Roman"/>
                <w:snapToGrid w:val="0"/>
              </w:rPr>
            </w:pPr>
            <w:r>
              <w:rPr>
                <w:rFonts w:ascii="Times New Roman" w:hAnsi="Times New Roman"/>
                <w:snapToGrid w:val="0"/>
              </w:rPr>
              <w:t>19 of 2010</w:t>
            </w:r>
          </w:p>
        </w:tc>
        <w:tc>
          <w:tcPr>
            <w:tcW w:w="1134" w:type="dxa"/>
          </w:tcPr>
          <w:p>
            <w:pPr>
              <w:pStyle w:val="nTable"/>
              <w:spacing w:after="40"/>
              <w:rPr>
                <w:rFonts w:ascii="Times New Roman" w:hAnsi="Times New Roman"/>
                <w:snapToGrid w:val="0"/>
              </w:rPr>
            </w:pPr>
            <w:r>
              <w:rPr>
                <w:rFonts w:ascii="Times New Roman" w:hAnsi="Times New Roman"/>
                <w:snapToGrid w:val="0"/>
              </w:rPr>
              <w:t>28 Jun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7" w:type="dxa"/>
          </w:tcPr>
          <w:p>
            <w:pPr>
              <w:pStyle w:val="nTable"/>
              <w:spacing w:after="40"/>
              <w:rPr>
                <w:rFonts w:ascii="Times New Roman" w:hAnsi="Times New Roman"/>
                <w:i/>
              </w:rPr>
            </w:pPr>
            <w:r>
              <w:rPr>
                <w:rFonts w:ascii="Times New Roman" w:hAnsi="Times New Roman"/>
                <w:i/>
              </w:rPr>
              <w:t>Land Tax Assessment Amendment Act 2010</w:t>
            </w:r>
          </w:p>
        </w:tc>
        <w:tc>
          <w:tcPr>
            <w:tcW w:w="1135" w:type="dxa"/>
          </w:tcPr>
          <w:p>
            <w:pPr>
              <w:pStyle w:val="nTable"/>
              <w:spacing w:after="40"/>
              <w:rPr>
                <w:rFonts w:ascii="Times New Roman" w:hAnsi="Times New Roman"/>
              </w:rPr>
            </w:pPr>
            <w:r>
              <w:rPr>
                <w:rFonts w:ascii="Times New Roman" w:hAnsi="Times New Roman"/>
              </w:rPr>
              <w:t>27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1" w:type="dxa"/>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9</w:t>
            </w:r>
          </w:p>
        </w:tc>
        <w:tc>
          <w:tcPr>
            <w:tcW w:w="1135" w:type="dxa"/>
          </w:tcPr>
          <w:p>
            <w:pPr>
              <w:pStyle w:val="nTable"/>
              <w:spacing w:after="40"/>
              <w:rPr>
                <w:rFonts w:ascii="Times New Roman" w:hAnsi="Times New Roman"/>
              </w:rPr>
            </w:pPr>
            <w:r>
              <w:rPr>
                <w:rFonts w:ascii="Times New Roman" w:hAnsi="Times New Roman"/>
                <w:snapToGrid w:val="0"/>
              </w:rPr>
              <w:t>28 of 2010</w:t>
            </w:r>
          </w:p>
        </w:tc>
        <w:tc>
          <w:tcPr>
            <w:tcW w:w="1134" w:type="dxa"/>
          </w:tcPr>
          <w:p>
            <w:pPr>
              <w:pStyle w:val="nTable"/>
              <w:spacing w:after="40"/>
              <w:rPr>
                <w:rFonts w:ascii="Times New Roman" w:hAnsi="Times New Roman"/>
              </w:rPr>
            </w:pPr>
            <w:r>
              <w:rPr>
                <w:rFonts w:ascii="Times New Roman" w:hAnsi="Times New Roman"/>
                <w:snapToGrid w:val="0"/>
              </w:rPr>
              <w:t>19 Aug 2010</w:t>
            </w:r>
          </w:p>
        </w:tc>
        <w:tc>
          <w:tcPr>
            <w:tcW w:w="2551" w:type="dxa"/>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7" w:type="dxa"/>
            <w:gridSpan w:val="4"/>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tcPr>
          <w:p>
            <w:pPr>
              <w:pStyle w:val="nTable"/>
              <w:spacing w:after="40"/>
              <w:rPr>
                <w:rFonts w:ascii="Times New Roman" w:hAnsi="Times New Roman"/>
                <w:snapToGrid w:val="0"/>
              </w:rPr>
            </w:pPr>
            <w:r>
              <w:rPr>
                <w:rFonts w:ascii="Times New Roman" w:hAnsi="Times New Roman"/>
                <w:snapToGrid w:val="0"/>
              </w:rPr>
              <w:t>24 of 2011</w:t>
            </w:r>
          </w:p>
        </w:tc>
        <w:tc>
          <w:tcPr>
            <w:tcW w:w="1134" w:type="dxa"/>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p>
        </w:tc>
        <w:tc>
          <w:tcPr>
            <w:tcW w:w="1135" w:type="dxa"/>
          </w:tcPr>
          <w:p>
            <w:pPr>
              <w:pStyle w:val="nTable"/>
              <w:spacing w:after="40"/>
              <w:rPr>
                <w:rFonts w:ascii="Times New Roman" w:hAnsi="Times New Roman"/>
              </w:rPr>
            </w:pPr>
            <w:r>
              <w:rPr>
                <w:rFonts w:ascii="Times New Roman" w:hAnsi="Times New Roman"/>
                <w:snapToGrid w:val="0"/>
              </w:rPr>
              <w:t>45 of 2011</w:t>
            </w:r>
          </w:p>
        </w:tc>
        <w:tc>
          <w:tcPr>
            <w:tcW w:w="1134" w:type="dxa"/>
          </w:tcPr>
          <w:p>
            <w:pPr>
              <w:pStyle w:val="nTable"/>
              <w:spacing w:after="40"/>
              <w:rPr>
                <w:rFonts w:ascii="Times New Roman" w:hAnsi="Times New Roman"/>
              </w:rPr>
            </w:pPr>
            <w:r>
              <w:rPr>
                <w:rFonts w:ascii="Times New Roman" w:hAnsi="Times New Roman"/>
                <w:snapToGrid w:val="0"/>
              </w:rPr>
              <w:t>12 Oct 2011</w:t>
            </w:r>
          </w:p>
        </w:tc>
        <w:tc>
          <w:tcPr>
            <w:tcW w:w="2551" w:type="dxa"/>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7" w:type="dxa"/>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7" w:type="dxa"/>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tcPr>
          <w:p>
            <w:pPr>
              <w:pStyle w:val="nTable"/>
              <w:spacing w:after="40"/>
              <w:rPr>
                <w:rFonts w:ascii="Times New Roman" w:hAnsi="Times New Roman"/>
                <w:snapToGrid w:val="0"/>
              </w:rPr>
            </w:pPr>
            <w:r>
              <w:rPr>
                <w:rFonts w:ascii="Times New Roman" w:hAnsi="Times New Roman"/>
                <w:snapToGrid w:val="0"/>
              </w:rPr>
              <w:t>32 of 2012</w:t>
            </w:r>
          </w:p>
        </w:tc>
        <w:tc>
          <w:tcPr>
            <w:tcW w:w="1134" w:type="dxa"/>
          </w:tcPr>
          <w:p>
            <w:pPr>
              <w:pStyle w:val="nTable"/>
              <w:spacing w:after="40"/>
              <w:rPr>
                <w:rFonts w:ascii="Times New Roman" w:hAnsi="Times New Roman"/>
                <w:snapToGrid w:val="0"/>
              </w:rPr>
            </w:pPr>
            <w:r>
              <w:rPr>
                <w:rFonts w:ascii="Times New Roman" w:hAnsi="Times New Roman"/>
                <w:snapToGrid w:val="0"/>
              </w:rPr>
              <w:t>8 Oct 2012</w:t>
            </w:r>
          </w:p>
        </w:tc>
        <w:tc>
          <w:tcPr>
            <w:tcW w:w="2551" w:type="dxa"/>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7" w:type="dxa"/>
            <w:gridSpan w:val="4"/>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7" w:type="dxa"/>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i/>
              </w:rPr>
              <w:t>Land Tax Assessment Amendment Act 2018</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5 of 2018</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Apr 2018</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Pt. 2: 1 Jul 2003 </w:t>
            </w:r>
            <w:r>
              <w:rPr>
                <w:rFonts w:ascii="Times New Roman" w:hAnsi="Times New Roman"/>
              </w:rPr>
              <w:t>(see s. 2(a) and </w:t>
            </w:r>
            <w:r>
              <w:rPr>
                <w:rFonts w:ascii="Times New Roman" w:hAnsi="Times New Roman"/>
                <w:i/>
              </w:rPr>
              <w:t>Gazette</w:t>
            </w:r>
            <w:r>
              <w:rPr>
                <w:rFonts w:ascii="Times New Roman" w:hAnsi="Times New Roman"/>
              </w:rPr>
              <w:t xml:space="preserve"> 27 Jun 2003 p. 2383);</w:t>
            </w:r>
            <w:r>
              <w:rPr>
                <w:rFonts w:ascii="Times New Roman" w:hAnsi="Times New Roman"/>
              </w:rPr>
              <w:br/>
              <w:t>Act other than Pt. 2: 26 Apr 2018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5: The </w:t>
            </w:r>
            <w:r>
              <w:rPr>
                <w:rFonts w:ascii="Times New Roman" w:hAnsi="Times New Roman"/>
                <w:b/>
                <w:i/>
                <w:noProof/>
                <w:snapToGrid w:val="0"/>
              </w:rPr>
              <w:t>Land Tax Assessment Act 2002</w:t>
            </w:r>
            <w:r>
              <w:rPr>
                <w:rFonts w:ascii="Times New Roman" w:hAnsi="Times New Roman"/>
                <w:b/>
                <w:snapToGrid w:val="0"/>
              </w:rPr>
              <w:t xml:space="preserve"> as at 20 Jul 2018</w:t>
            </w:r>
            <w:r>
              <w:rPr>
                <w:rFonts w:ascii="Times New Roman" w:hAnsi="Times New Roman"/>
                <w:snapToGrid w:val="0"/>
              </w:rPr>
              <w:t xml:space="preserve"> (includes amendments listed above)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widowControl w:val="0"/>
        <w:spacing w:before="160"/>
      </w:pPr>
      <w:r>
        <w:rPr>
          <w:vertAlign w:val="superscript"/>
        </w:rPr>
        <w:t>2</w:t>
      </w:r>
      <w:r>
        <w:tab/>
        <w:t xml:space="preserve">Repealed by the </w:t>
      </w:r>
      <w:r>
        <w:rPr>
          <w:i/>
        </w:rPr>
        <w:t>Aged Care Amendment Act 2011</w:t>
      </w:r>
      <w:r>
        <w:t xml:space="preserve"> (Cwlth).</w:t>
      </w:r>
    </w:p>
    <w:p>
      <w:pPr>
        <w:pStyle w:val="nSubsection"/>
        <w:widowControl w:val="0"/>
      </w:pPr>
      <w:r>
        <w:rPr>
          <w:vertAlign w:val="superscript"/>
        </w:rPr>
        <w:t>3</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Subsection"/>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Subsection"/>
        <w:widowControl w:val="0"/>
      </w:pPr>
      <w:r>
        <w:tab/>
        <w:t xml:space="preserve">At the time of this reprint,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Subsection"/>
        <w:rPr>
          <w:rFonts w:ascii="Times" w:hAnsi="Times"/>
        </w:rPr>
      </w:pPr>
      <w:r>
        <w:rPr>
          <w:vertAlign w:val="superscript"/>
        </w:rPr>
        <w:t>4</w:t>
      </w:r>
      <w:r>
        <w:tab/>
        <w:t xml:space="preserve">At the time of this reprint,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Subsection"/>
        <w:rPr>
          <w:snapToGrid w:val="0"/>
        </w:rPr>
      </w:pPr>
      <w:r>
        <w:rPr>
          <w:snapToGrid w:val="0"/>
          <w:vertAlign w:val="superscript"/>
        </w:rPr>
        <w:t>5</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keepLines/>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233" w:name="_Toc513124671"/>
      <w:bookmarkStart w:id="234" w:name="_Toc513125090"/>
      <w:bookmarkStart w:id="235" w:name="_Toc515529230"/>
      <w:bookmarkStart w:id="236" w:name="_Toc518998130"/>
      <w:bookmarkStart w:id="237" w:name="_Toc520108052"/>
      <w:r>
        <w:rPr>
          <w:sz w:val="28"/>
        </w:rPr>
        <w:t>Defined terms</w:t>
      </w:r>
      <w:bookmarkEnd w:id="233"/>
      <w:bookmarkEnd w:id="234"/>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 29, 30K</w:t>
      </w:r>
    </w:p>
    <w:p>
      <w:pPr>
        <w:pStyle w:val="DefinedTerms"/>
      </w:pPr>
      <w:r>
        <w:t>building contract</w:t>
      </w:r>
      <w:r>
        <w:tab/>
        <w:t>Gl. cl. 1</w:t>
      </w:r>
    </w:p>
    <w:p>
      <w:pPr>
        <w:pStyle w:val="DefinedTerms"/>
      </w:pPr>
      <w:r>
        <w:t>change</w:t>
      </w:r>
      <w:r>
        <w:tab/>
        <w:t>30F(1)</w:t>
      </w:r>
    </w:p>
    <w:p>
      <w:pPr>
        <w:pStyle w:val="DefinedTerms"/>
      </w:pPr>
      <w:r>
        <w:t>clause</w:t>
      </w:r>
      <w:r>
        <w:tab/>
        <w:t>Gl. cl. 1</w:t>
      </w:r>
    </w:p>
    <w:p>
      <w:pPr>
        <w:pStyle w:val="DefinedTerms"/>
      </w:pPr>
      <w:r>
        <w:t xml:space="preserve">commencement </w:t>
      </w:r>
      <w:r>
        <w:tab/>
        <w:t>Sch. 1 cl. 10 and 16</w:t>
      </w:r>
    </w:p>
    <w:p>
      <w:pPr>
        <w:pStyle w:val="DefinedTerms"/>
      </w:pPr>
      <w:r>
        <w:t>commencement date</w:t>
      </w:r>
      <w:r>
        <w:tab/>
        <w:t>Gl. cl. 1</w:t>
      </w:r>
    </w:p>
    <w:p>
      <w:pPr>
        <w:pStyle w:val="DefinedTerms"/>
      </w:pPr>
      <w:r>
        <w:t>completion date</w:t>
      </w:r>
      <w:r>
        <w:tab/>
        <w:t>Gl. cl. 1</w:t>
      </w:r>
    </w:p>
    <w:p>
      <w:pPr>
        <w:pStyle w:val="DefinedTerms"/>
      </w:pPr>
      <w:r>
        <w:t>compliant trustee</w:t>
      </w:r>
      <w:r>
        <w:tab/>
        <w:t>Sch. 1 cl. 9(1)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exemption provision</w:t>
      </w:r>
      <w:r>
        <w:tab/>
        <w:t>18(1)</w:t>
      </w:r>
    </w:p>
    <w:p>
      <w:pPr>
        <w:pStyle w:val="DefinedTerms"/>
      </w:pPr>
      <w:r>
        <w:t>family corporation</w:t>
      </w:r>
      <w:r>
        <w:tab/>
        <w:t>29, 30H(b)</w:t>
      </w:r>
    </w:p>
    <w:p>
      <w:pPr>
        <w:pStyle w:val="DefinedTerms"/>
      </w:pPr>
      <w:r>
        <w:t>family member</w:t>
      </w:r>
      <w:r>
        <w:tab/>
        <w:t>29</w:t>
      </w:r>
    </w:p>
    <w:p>
      <w:pPr>
        <w:pStyle w:val="DefinedTerms"/>
      </w:pPr>
      <w:r>
        <w:t>family owner</w:t>
      </w:r>
      <w:r>
        <w:tab/>
        <w:t>29, 30H</w:t>
      </w:r>
    </w:p>
    <w:p>
      <w:pPr>
        <w:pStyle w:val="DefinedTerms"/>
      </w:pPr>
      <w:r>
        <w:t>family trust</w:t>
      </w:r>
      <w:r>
        <w:tab/>
        <w:t>29, 30H(c)</w:t>
      </w:r>
    </w:p>
    <w:p>
      <w:pPr>
        <w:pStyle w:val="DefinedTerms"/>
      </w:pPr>
      <w:r>
        <w:t>family unit trust scheme</w:t>
      </w:r>
      <w:r>
        <w:tab/>
        <w:t>29, 30H(d)</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 cl. 1</w:t>
      </w:r>
    </w:p>
    <w:p>
      <w:pPr>
        <w:pStyle w:val="DefinedTerms"/>
      </w:pPr>
      <w:r>
        <w:t>home unit</w:t>
      </w:r>
      <w:r>
        <w:tab/>
        <w:t>Gl. cl. 1</w:t>
      </w:r>
    </w:p>
    <w:p>
      <w:pPr>
        <w:pStyle w:val="DefinedTerms"/>
      </w:pPr>
      <w:r>
        <w:t>improvement scheme</w:t>
      </w:r>
      <w:r>
        <w:tab/>
        <w:t>Gl. cl. 1</w:t>
      </w:r>
    </w:p>
    <w:p>
      <w:pPr>
        <w:pStyle w:val="DefinedTerms"/>
      </w:pPr>
      <w:r>
        <w:t>improvements</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w:t>
      </w:r>
    </w:p>
    <w:p>
      <w:pPr>
        <w:pStyle w:val="DefinedTerms"/>
      </w:pPr>
      <w:r>
        <w:t>metropolitan region</w:t>
      </w:r>
      <w:r>
        <w:tab/>
        <w:t>Gl. cl. 1 and 2</w:t>
      </w:r>
    </w:p>
    <w:p>
      <w:pPr>
        <w:pStyle w:val="DefinedTerms"/>
      </w:pPr>
      <w:r>
        <w:t xml:space="preserve">modified rural business land provisions </w:t>
      </w:r>
      <w:r>
        <w:tab/>
        <w:t>Sch. 1 cl. 10</w:t>
      </w:r>
    </w:p>
    <w:p>
      <w:pPr>
        <w:pStyle w:val="DefinedTerms"/>
      </w:pPr>
      <w:r>
        <w:t>new lot</w:t>
      </w:r>
      <w:r>
        <w:tab/>
        <w:t>43A(1)</w:t>
      </w:r>
    </w:p>
    <w:p>
      <w:pPr>
        <w:pStyle w:val="DefinedTerms"/>
      </w:pPr>
      <w:r>
        <w:t>new provisions</w:t>
      </w:r>
      <w:r>
        <w:tab/>
        <w:t>Sch. 1 cl. 3</w:t>
      </w:r>
    </w:p>
    <w:p>
      <w:pPr>
        <w:pStyle w:val="DefinedTerms"/>
      </w:pPr>
      <w:r>
        <w:t>non</w:t>
      </w:r>
      <w:r>
        <w:noBreakHyphen/>
        <w:t>profit association</w:t>
      </w:r>
      <w:r>
        <w:tab/>
        <w:t>Gl. cl. 1</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 cl. 1</w:t>
      </w:r>
    </w:p>
    <w:p>
      <w:pPr>
        <w:pStyle w:val="DefinedTerms"/>
      </w:pPr>
      <w:r>
        <w:t>old lot</w:t>
      </w:r>
      <w:r>
        <w:tab/>
        <w:t>43A(1)</w:t>
      </w:r>
    </w:p>
    <w:p>
      <w:pPr>
        <w:pStyle w:val="DefinedTerms"/>
      </w:pPr>
      <w:r>
        <w:t>original assessment year</w:t>
      </w:r>
      <w:r>
        <w:tab/>
        <w:t>38AC(8)(a)</w:t>
      </w:r>
    </w:p>
    <w:p>
      <w:pPr>
        <w:pStyle w:val="DefinedTerms"/>
      </w:pPr>
      <w:r>
        <w:t>other lots</w:t>
      </w:r>
      <w:r>
        <w:tab/>
        <w:t>Gl. cl. 1</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previously exempt land</w:t>
      </w:r>
      <w:r>
        <w:tab/>
        <w:t>Sch. 1 cl. 3</w:t>
      </w:r>
    </w:p>
    <w:p>
      <w:pPr>
        <w:pStyle w:val="DefinedTerms"/>
      </w:pPr>
      <w:r>
        <w:t>previous financial year</w:t>
      </w:r>
      <w:r>
        <w:tab/>
        <w:t>Gl. cl. 6(5)(a)</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30A(1)(b)</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27(1)(a)</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related purpose</w:t>
      </w:r>
      <w:r>
        <w:tab/>
        <w:t>39A(1)</w:t>
      </w:r>
    </w:p>
    <w:p>
      <w:pPr>
        <w:pStyle w:val="DefinedTerms"/>
      </w:pPr>
      <w:r>
        <w:t>relevant body</w:t>
      </w:r>
      <w:r>
        <w:tab/>
        <w:t>Gl. cl. 1</w:t>
      </w:r>
    </w:p>
    <w:p>
      <w:pPr>
        <w:pStyle w:val="DefinedTerms"/>
      </w:pPr>
      <w:r>
        <w:t>relevant requirements</w:t>
      </w:r>
      <w:r>
        <w:tab/>
        <w:t>18(1)</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validation period</w:t>
      </w:r>
      <w:r>
        <w:tab/>
        <w:t>Sch. 1 cl. 10 and 16</w:t>
      </w:r>
    </w:p>
    <w:p>
      <w:pPr>
        <w:pStyle w:val="DefinedTerms"/>
      </w:pPr>
      <w:r>
        <w:t>year A</w:t>
      </w:r>
      <w:r>
        <w:tab/>
        <w:t>39A(5A)</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9"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9"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x9Q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713J8fUC&#10;AACBBgAADgAAAAAAAAAAAAAAAAAuAgAAZHJzL2Uyb0RvYy54bWxQSwECLQAUAAYACAAAACEAJix4&#10;QdsAAAAEAQAADwAAAAAAAAAAAAAAAABPBQAAZHJzL2Rvd25yZXYueG1sUEsFBgAAAAAEAAQA8wAA&#10;AFcGAAAAAA==&#10;" stroked="f" strokeweight=".5pt">
                <v:textbox>
                  <w:txbxContent>
                    <w:p w:rsidR="00F97016" w:rsidRDefault="00F97016">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4563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350A-44E5-4CE3-A226-26C7E916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27436</Words>
  <Characters>126759</Characters>
  <Application>Microsoft Office Word</Application>
  <DocSecurity>0</DocSecurity>
  <Lines>3425</Lines>
  <Paragraphs>1976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152219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2002 - 05-00-00</dc:title>
  <dc:subject/>
  <dc:creator/>
  <cp:keywords/>
  <dc:description/>
  <cp:lastModifiedBy>svcMRProcess</cp:lastModifiedBy>
  <cp:revision>4</cp:revision>
  <cp:lastPrinted>2018-06-11T02:18:00Z</cp:lastPrinted>
  <dcterms:created xsi:type="dcterms:W3CDTF">2020-03-09T17:01:00Z</dcterms:created>
  <dcterms:modified xsi:type="dcterms:W3CDTF">2020-03-09T17:01:00Z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AsAtDate">
    <vt:lpwstr>20 Jul 2018</vt:lpwstr>
  </property>
  <property fmtid="{D5CDD505-2E9C-101B-9397-08002B2CF9AE}" pid="6" name="Suffix">
    <vt:lpwstr>05-00-00</vt:lpwstr>
  </property>
  <property fmtid="{D5CDD505-2E9C-101B-9397-08002B2CF9AE}" pid="7" name="ReprintedAsAt">
    <vt:filetime>2018-07-19T16:00:00Z</vt:filetime>
  </property>
  <property fmtid="{D5CDD505-2E9C-101B-9397-08002B2CF9AE}" pid="8" name="ReprintNo">
    <vt:lpwstr>5</vt:lpwstr>
  </property>
  <property fmtid="{D5CDD505-2E9C-101B-9397-08002B2CF9AE}" pid="9" name="CommencementDate">
    <vt:lpwstr>20180720</vt:lpwstr>
  </property>
</Properties>
</file>