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1911350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Food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Food Regulations 2009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August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Food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_Toc513121762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_Toc513121763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_Toc513121764 \h </w:instrText>
      </w:r>
      <w:r>
        <w:fldChar w:fldCharType="separate"/>
      </w:r>
      <w:r>
        <w:t>1</w:t>
      </w:r>
      <w:r>
        <w:fldChar w:fldCharType="end"/>
      </w:r>
    </w:p>
    <w:p>
      <w:pPr>
        <w:pStyle w:val="TOC8"/>
        <w:rPr>
          <w:rFonts w:asciiTheme="minorHAnsi" w:eastAsiaTheme="minorEastAsia" w:hAnsiTheme="minorHAnsi" w:cstheme="minorBidi"/>
          <w:szCs w:val="22"/>
        </w:rPr>
      </w:pPr>
      <w:r>
        <w:t>4.</w:t>
      </w:r>
      <w:r>
        <w:tab/>
        <w:t>Appropriate enforcement agency: CEO (s. 8)</w:t>
      </w:r>
      <w:r>
        <w:tab/>
      </w:r>
      <w:r>
        <w:fldChar w:fldCharType="begin"/>
      </w:r>
      <w:r>
        <w:instrText xml:space="preserve"> PAGEREF _Toc513121765 \h </w:instrText>
      </w:r>
      <w:r>
        <w:fldChar w:fldCharType="separate"/>
      </w:r>
      <w:r>
        <w:t>2</w:t>
      </w:r>
      <w:r>
        <w:fldChar w:fldCharType="end"/>
      </w:r>
    </w:p>
    <w:p>
      <w:pPr>
        <w:pStyle w:val="TOC8"/>
        <w:rPr>
          <w:rFonts w:asciiTheme="minorHAnsi" w:eastAsiaTheme="minorEastAsia" w:hAnsiTheme="minorHAnsi" w:cstheme="minorBidi"/>
          <w:szCs w:val="22"/>
        </w:rPr>
      </w:pPr>
      <w:r>
        <w:t>5.</w:t>
      </w:r>
      <w:r>
        <w:tab/>
        <w:t>Appropriate enforcement agency: local government (s. 8)</w:t>
      </w:r>
      <w:r>
        <w:tab/>
      </w:r>
      <w:r>
        <w:fldChar w:fldCharType="begin"/>
      </w:r>
      <w:r>
        <w:instrText xml:space="preserve"> PAGEREF _Toc513121766 \h </w:instrText>
      </w:r>
      <w:r>
        <w:fldChar w:fldCharType="separate"/>
      </w:r>
      <w:r>
        <w:t>3</w:t>
      </w:r>
      <w:r>
        <w:fldChar w:fldCharType="end"/>
      </w:r>
    </w:p>
    <w:p>
      <w:pPr>
        <w:pStyle w:val="TOC8"/>
        <w:rPr>
          <w:rFonts w:asciiTheme="minorHAnsi" w:eastAsiaTheme="minorEastAsia" w:hAnsiTheme="minorHAnsi" w:cstheme="minorBidi"/>
          <w:szCs w:val="22"/>
        </w:rPr>
      </w:pPr>
      <w:r>
        <w:t>6.</w:t>
      </w:r>
      <w:r>
        <w:tab/>
        <w:t>Food production activities that are not primary food production (s. 11(2))</w:t>
      </w:r>
      <w:r>
        <w:tab/>
      </w:r>
      <w:r>
        <w:fldChar w:fldCharType="begin"/>
      </w:r>
      <w:r>
        <w:instrText xml:space="preserve"> PAGEREF _Toc513121767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Adoption of Food Standards Code</w:t>
      </w:r>
    </w:p>
    <w:p>
      <w:pPr>
        <w:pStyle w:val="TOC8"/>
        <w:rPr>
          <w:rFonts w:asciiTheme="minorHAnsi" w:eastAsiaTheme="minorEastAsia" w:hAnsiTheme="minorHAnsi" w:cstheme="minorBidi"/>
          <w:szCs w:val="22"/>
        </w:rPr>
      </w:pPr>
      <w:r>
        <w:t>7.</w:t>
      </w:r>
      <w:r>
        <w:tab/>
        <w:t>Adoption of Food Standards Code (s. 144(7))</w:t>
      </w:r>
      <w:r>
        <w:tab/>
      </w:r>
      <w:r>
        <w:fldChar w:fldCharType="begin"/>
      </w:r>
      <w:r>
        <w:instrText xml:space="preserve"> PAGEREF _Toc513121769 \h </w:instrText>
      </w:r>
      <w:r>
        <w:fldChar w:fldCharType="separate"/>
      </w:r>
      <w:r>
        <w:t>5</w:t>
      </w:r>
      <w:r>
        <w:fldChar w:fldCharType="end"/>
      </w:r>
    </w:p>
    <w:p>
      <w:pPr>
        <w:pStyle w:val="TOC8"/>
        <w:rPr>
          <w:rFonts w:asciiTheme="minorHAnsi" w:eastAsiaTheme="minorEastAsia" w:hAnsiTheme="minorHAnsi" w:cstheme="minorBidi"/>
          <w:szCs w:val="22"/>
        </w:rPr>
      </w:pPr>
      <w:r>
        <w:t>8.</w:t>
      </w:r>
      <w:r>
        <w:tab/>
        <w:t>FSC standard 4.2.4 clause 15: express provision for goat’s milk</w:t>
      </w:r>
      <w:r>
        <w:tab/>
      </w:r>
      <w:r>
        <w:fldChar w:fldCharType="begin"/>
      </w:r>
      <w:r>
        <w:instrText xml:space="preserve"> PAGEREF _Toc513121770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Exempted food businesses</w:t>
      </w:r>
    </w:p>
    <w:p>
      <w:pPr>
        <w:pStyle w:val="TOC8"/>
        <w:rPr>
          <w:rFonts w:asciiTheme="minorHAnsi" w:eastAsiaTheme="minorEastAsia" w:hAnsiTheme="minorHAnsi" w:cstheme="minorBidi"/>
          <w:szCs w:val="22"/>
        </w:rPr>
      </w:pPr>
      <w:r>
        <w:t>9.</w:t>
      </w:r>
      <w:r>
        <w:tab/>
        <w:t>Term used: potentially hazardous food</w:t>
      </w:r>
      <w:r>
        <w:tab/>
      </w:r>
      <w:r>
        <w:fldChar w:fldCharType="begin"/>
      </w:r>
      <w:r>
        <w:instrText xml:space="preserve"> PAGEREF _Toc513121772 \h </w:instrText>
      </w:r>
      <w:r>
        <w:fldChar w:fldCharType="separate"/>
      </w:r>
      <w:r>
        <w:t>6</w:t>
      </w:r>
      <w:r>
        <w:fldChar w:fldCharType="end"/>
      </w:r>
    </w:p>
    <w:p>
      <w:pPr>
        <w:pStyle w:val="TOC8"/>
        <w:rPr>
          <w:rFonts w:asciiTheme="minorHAnsi" w:eastAsiaTheme="minorEastAsia" w:hAnsiTheme="minorHAnsi" w:cstheme="minorBidi"/>
          <w:szCs w:val="22"/>
        </w:rPr>
      </w:pPr>
      <w:r>
        <w:t>10.</w:t>
      </w:r>
      <w:r>
        <w:tab/>
        <w:t>Food businesses conducted as fundraising events (s. 109)</w:t>
      </w:r>
      <w:r>
        <w:tab/>
      </w:r>
      <w:r>
        <w:fldChar w:fldCharType="begin"/>
      </w:r>
      <w:r>
        <w:instrText xml:space="preserve"> PAGEREF _Toc513121773 \h </w:instrText>
      </w:r>
      <w:r>
        <w:fldChar w:fldCharType="separate"/>
      </w:r>
      <w:r>
        <w:t>6</w:t>
      </w:r>
      <w:r>
        <w:fldChar w:fldCharType="end"/>
      </w:r>
    </w:p>
    <w:p>
      <w:pPr>
        <w:pStyle w:val="TOC8"/>
        <w:rPr>
          <w:rFonts w:asciiTheme="minorHAnsi" w:eastAsiaTheme="minorEastAsia" w:hAnsiTheme="minorHAnsi" w:cstheme="minorBidi"/>
          <w:szCs w:val="22"/>
        </w:rPr>
      </w:pPr>
      <w:r>
        <w:t>11.</w:t>
      </w:r>
      <w:r>
        <w:tab/>
        <w:t>Food businesses that sell certain packaged food (s. 109)</w:t>
      </w:r>
      <w:r>
        <w:tab/>
      </w:r>
      <w:r>
        <w:fldChar w:fldCharType="begin"/>
      </w:r>
      <w:r>
        <w:instrText xml:space="preserve"> PAGEREF _Toc513121774 \h </w:instrText>
      </w:r>
      <w:r>
        <w:fldChar w:fldCharType="separate"/>
      </w:r>
      <w:r>
        <w:t>6</w:t>
      </w:r>
      <w:r>
        <w:fldChar w:fldCharType="end"/>
      </w:r>
    </w:p>
    <w:p>
      <w:pPr>
        <w:pStyle w:val="TOC8"/>
        <w:rPr>
          <w:rFonts w:asciiTheme="minorHAnsi" w:eastAsiaTheme="minorEastAsia" w:hAnsiTheme="minorHAnsi" w:cstheme="minorBidi"/>
          <w:szCs w:val="22"/>
        </w:rPr>
      </w:pPr>
      <w:r>
        <w:t>12.</w:t>
      </w:r>
      <w:r>
        <w:tab/>
        <w:t>Food businesses that provide complimentary drinks in conjunction with another kind of business (s. 109)</w:t>
      </w:r>
      <w:r>
        <w:tab/>
      </w:r>
      <w:r>
        <w:fldChar w:fldCharType="begin"/>
      </w:r>
      <w:r>
        <w:instrText xml:space="preserve"> PAGEREF _Toc513121775 \h </w:instrText>
      </w:r>
      <w:r>
        <w:fldChar w:fldCharType="separate"/>
      </w:r>
      <w:r>
        <w:t>7</w:t>
      </w:r>
      <w:r>
        <w:fldChar w:fldCharType="end"/>
      </w:r>
    </w:p>
    <w:p>
      <w:pPr>
        <w:pStyle w:val="TOC8"/>
        <w:rPr>
          <w:rFonts w:asciiTheme="minorHAnsi" w:eastAsiaTheme="minorEastAsia" w:hAnsiTheme="minorHAnsi" w:cstheme="minorBidi"/>
          <w:szCs w:val="22"/>
        </w:rPr>
      </w:pPr>
      <w:r>
        <w:t>13.</w:t>
      </w:r>
      <w:r>
        <w:tab/>
        <w:t>Food businesses conducted at registered establishments (s. 109)</w:t>
      </w:r>
      <w:r>
        <w:tab/>
      </w:r>
      <w:r>
        <w:fldChar w:fldCharType="begin"/>
      </w:r>
      <w:r>
        <w:instrText xml:space="preserve"> PAGEREF _Toc513121776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Control of pathogens</w:t>
      </w:r>
    </w:p>
    <w:p>
      <w:pPr>
        <w:pStyle w:val="TOC8"/>
        <w:rPr>
          <w:rFonts w:asciiTheme="minorHAnsi" w:eastAsiaTheme="minorEastAsia" w:hAnsiTheme="minorHAnsi" w:cstheme="minorBidi"/>
          <w:szCs w:val="22"/>
        </w:rPr>
      </w:pPr>
      <w:r>
        <w:t>14.</w:t>
      </w:r>
      <w:r>
        <w:tab/>
        <w:t>Term used: pathogen</w:t>
      </w:r>
      <w:r>
        <w:tab/>
      </w:r>
      <w:r>
        <w:fldChar w:fldCharType="begin"/>
      </w:r>
      <w:r>
        <w:instrText xml:space="preserve"> PAGEREF _Toc513121778 \h </w:instrText>
      </w:r>
      <w:r>
        <w:fldChar w:fldCharType="separate"/>
      </w:r>
      <w:r>
        <w:t>8</w:t>
      </w:r>
      <w:r>
        <w:fldChar w:fldCharType="end"/>
      </w:r>
    </w:p>
    <w:p>
      <w:pPr>
        <w:pStyle w:val="TOC8"/>
        <w:rPr>
          <w:rFonts w:asciiTheme="minorHAnsi" w:eastAsiaTheme="minorEastAsia" w:hAnsiTheme="minorHAnsi" w:cstheme="minorBidi"/>
          <w:szCs w:val="22"/>
        </w:rPr>
      </w:pPr>
      <w:r>
        <w:t>15.</w:t>
      </w:r>
      <w:r>
        <w:tab/>
        <w:t>CEO to be informed of isolation of pathogens associated with food businesses</w:t>
      </w:r>
      <w:r>
        <w:tab/>
      </w:r>
      <w:r>
        <w:fldChar w:fldCharType="begin"/>
      </w:r>
      <w:r>
        <w:instrText xml:space="preserve"> PAGEREF _Toc513121779 \h </w:instrText>
      </w:r>
      <w:r>
        <w:fldChar w:fldCharType="separate"/>
      </w:r>
      <w:r>
        <w:t>8</w:t>
      </w:r>
      <w:r>
        <w:fldChar w:fldCharType="end"/>
      </w:r>
    </w:p>
    <w:p>
      <w:pPr>
        <w:pStyle w:val="TOC8"/>
        <w:rPr>
          <w:rFonts w:asciiTheme="minorHAnsi" w:eastAsiaTheme="minorEastAsia" w:hAnsiTheme="minorHAnsi" w:cstheme="minorBidi"/>
          <w:szCs w:val="22"/>
        </w:rPr>
      </w:pPr>
      <w:r>
        <w:t>16.</w:t>
      </w:r>
      <w:r>
        <w:tab/>
        <w:t>CEO may give directions</w:t>
      </w:r>
      <w:r>
        <w:tab/>
      </w:r>
      <w:r>
        <w:fldChar w:fldCharType="begin"/>
      </w:r>
      <w:r>
        <w:instrText xml:space="preserve"> PAGEREF _Toc513121780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Meat hygiene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_Toc513121783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Adoption of certain Australian Standards</w:t>
      </w:r>
    </w:p>
    <w:p>
      <w:pPr>
        <w:pStyle w:val="TOC8"/>
        <w:rPr>
          <w:rFonts w:asciiTheme="minorHAnsi" w:eastAsiaTheme="minorEastAsia" w:hAnsiTheme="minorHAnsi" w:cstheme="minorBidi"/>
          <w:szCs w:val="22"/>
        </w:rPr>
      </w:pPr>
      <w:r>
        <w:t>18.</w:t>
      </w:r>
      <w:r>
        <w:tab/>
        <w:t>Adoption of certain Australian Standards (s. 144(6))</w:t>
      </w:r>
      <w:r>
        <w:tab/>
      </w:r>
      <w:r>
        <w:fldChar w:fldCharType="begin"/>
      </w:r>
      <w:r>
        <w:instrText xml:space="preserve"> PAGEREF _Toc513121785 \h </w:instrText>
      </w:r>
      <w:r>
        <w:fldChar w:fldCharType="separate"/>
      </w:r>
      <w:r>
        <w:t>12</w:t>
      </w:r>
      <w:r>
        <w:fldChar w:fldCharType="end"/>
      </w:r>
    </w:p>
    <w:p>
      <w:pPr>
        <w:pStyle w:val="TOC8"/>
        <w:rPr>
          <w:rFonts w:asciiTheme="minorHAnsi" w:eastAsiaTheme="minorEastAsia" w:hAnsiTheme="minorHAnsi" w:cstheme="minorBidi"/>
          <w:szCs w:val="22"/>
        </w:rPr>
      </w:pPr>
      <w:r>
        <w:t>19.</w:t>
      </w:r>
      <w:r>
        <w:tab/>
        <w:t>Modification of adopted standards</w:t>
      </w:r>
      <w:r>
        <w:tab/>
      </w:r>
      <w:r>
        <w:fldChar w:fldCharType="begin"/>
      </w:r>
      <w:r>
        <w:instrText xml:space="preserve"> PAGEREF _Toc513121786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Inspection and branding</w:t>
      </w:r>
    </w:p>
    <w:p>
      <w:pPr>
        <w:pStyle w:val="TOC8"/>
        <w:rPr>
          <w:rFonts w:asciiTheme="minorHAnsi" w:eastAsiaTheme="minorEastAsia" w:hAnsiTheme="minorHAnsi" w:cstheme="minorBidi"/>
          <w:szCs w:val="22"/>
        </w:rPr>
      </w:pPr>
      <w:r>
        <w:t>20.</w:t>
      </w:r>
      <w:r>
        <w:tab/>
        <w:t>Application of Division to primary producers</w:t>
      </w:r>
      <w:r>
        <w:tab/>
      </w:r>
      <w:r>
        <w:fldChar w:fldCharType="begin"/>
      </w:r>
      <w:r>
        <w:instrText xml:space="preserve"> PAGEREF _Toc513121788 \h </w:instrText>
      </w:r>
      <w:r>
        <w:fldChar w:fldCharType="separate"/>
      </w:r>
      <w:r>
        <w:t>13</w:t>
      </w:r>
      <w:r>
        <w:fldChar w:fldCharType="end"/>
      </w:r>
    </w:p>
    <w:p>
      <w:pPr>
        <w:pStyle w:val="TOC8"/>
        <w:rPr>
          <w:rFonts w:asciiTheme="minorHAnsi" w:eastAsiaTheme="minorEastAsia" w:hAnsiTheme="minorHAnsi" w:cstheme="minorBidi"/>
          <w:szCs w:val="22"/>
        </w:rPr>
      </w:pPr>
      <w:r>
        <w:t>21.</w:t>
      </w:r>
      <w:r>
        <w:tab/>
        <w:t>Inspection of animals and carcases at abattoirs</w:t>
      </w:r>
      <w:r>
        <w:tab/>
      </w:r>
      <w:r>
        <w:fldChar w:fldCharType="begin"/>
      </w:r>
      <w:r>
        <w:instrText xml:space="preserve"> PAGEREF _Toc513121789 \h </w:instrText>
      </w:r>
      <w:r>
        <w:fldChar w:fldCharType="separate"/>
      </w:r>
      <w:r>
        <w:t>14</w:t>
      </w:r>
      <w:r>
        <w:fldChar w:fldCharType="end"/>
      </w:r>
    </w:p>
    <w:p>
      <w:pPr>
        <w:pStyle w:val="TOC8"/>
        <w:rPr>
          <w:rFonts w:asciiTheme="minorHAnsi" w:eastAsiaTheme="minorEastAsia" w:hAnsiTheme="minorHAnsi" w:cstheme="minorBidi"/>
          <w:szCs w:val="22"/>
        </w:rPr>
      </w:pPr>
      <w:r>
        <w:t>22.</w:t>
      </w:r>
      <w:r>
        <w:tab/>
        <w:t>Branding carcases if fit for human consumption</w:t>
      </w:r>
      <w:r>
        <w:tab/>
      </w:r>
      <w:r>
        <w:fldChar w:fldCharType="begin"/>
      </w:r>
      <w:r>
        <w:instrText xml:space="preserve"> PAGEREF _Toc513121790 \h </w:instrText>
      </w:r>
      <w:r>
        <w:fldChar w:fldCharType="separate"/>
      </w:r>
      <w:r>
        <w:t>14</w:t>
      </w:r>
      <w:r>
        <w:fldChar w:fldCharType="end"/>
      </w:r>
    </w:p>
    <w:p>
      <w:pPr>
        <w:pStyle w:val="TOC8"/>
        <w:rPr>
          <w:rFonts w:asciiTheme="minorHAnsi" w:eastAsiaTheme="minorEastAsia" w:hAnsiTheme="minorHAnsi" w:cstheme="minorBidi"/>
          <w:szCs w:val="22"/>
        </w:rPr>
      </w:pPr>
      <w:r>
        <w:t>23.</w:t>
      </w:r>
      <w:r>
        <w:tab/>
        <w:t>Branding carcases if fit for consumption by animals</w:t>
      </w:r>
      <w:r>
        <w:tab/>
      </w:r>
      <w:r>
        <w:fldChar w:fldCharType="begin"/>
      </w:r>
      <w:r>
        <w:instrText xml:space="preserve"> PAGEREF _Toc513121791 \h </w:instrText>
      </w:r>
      <w:r>
        <w:fldChar w:fldCharType="separate"/>
      </w:r>
      <w:r>
        <w:t>15</w:t>
      </w:r>
      <w:r>
        <w:fldChar w:fldCharType="end"/>
      </w:r>
    </w:p>
    <w:p>
      <w:pPr>
        <w:pStyle w:val="TOC8"/>
        <w:rPr>
          <w:rFonts w:asciiTheme="minorHAnsi" w:eastAsiaTheme="minorEastAsia" w:hAnsiTheme="minorHAnsi" w:cstheme="minorBidi"/>
          <w:szCs w:val="22"/>
        </w:rPr>
      </w:pPr>
      <w:r>
        <w:t>24.</w:t>
      </w:r>
      <w:r>
        <w:tab/>
        <w:t>How carcases are to be branded</w:t>
      </w:r>
      <w:r>
        <w:tab/>
      </w:r>
      <w:r>
        <w:fldChar w:fldCharType="begin"/>
      </w:r>
      <w:r>
        <w:instrText xml:space="preserve"> PAGEREF _Toc513121792 \h </w:instrText>
      </w:r>
      <w:r>
        <w:fldChar w:fldCharType="separate"/>
      </w:r>
      <w:r>
        <w:t>15</w:t>
      </w:r>
      <w:r>
        <w:fldChar w:fldCharType="end"/>
      </w:r>
    </w:p>
    <w:p>
      <w:pPr>
        <w:pStyle w:val="TOC8"/>
        <w:rPr>
          <w:rFonts w:asciiTheme="minorHAnsi" w:eastAsiaTheme="minorEastAsia" w:hAnsiTheme="minorHAnsi" w:cstheme="minorBidi"/>
          <w:szCs w:val="22"/>
        </w:rPr>
      </w:pPr>
      <w:r>
        <w:t>25.</w:t>
      </w:r>
      <w:r>
        <w:tab/>
        <w:t>Branding carcases if unfit for human consumption or unfit for consumption by animals</w:t>
      </w:r>
      <w:r>
        <w:tab/>
      </w:r>
      <w:r>
        <w:fldChar w:fldCharType="begin"/>
      </w:r>
      <w:r>
        <w:instrText xml:space="preserve"> PAGEREF _Toc513121793 \h </w:instrText>
      </w:r>
      <w:r>
        <w:fldChar w:fldCharType="separate"/>
      </w:r>
      <w:r>
        <w:t>16</w:t>
      </w:r>
      <w:r>
        <w:fldChar w:fldCharType="end"/>
      </w:r>
    </w:p>
    <w:p>
      <w:pPr>
        <w:pStyle w:val="TOC8"/>
        <w:rPr>
          <w:rFonts w:asciiTheme="minorHAnsi" w:eastAsiaTheme="minorEastAsia" w:hAnsiTheme="minorHAnsi" w:cstheme="minorBidi"/>
          <w:szCs w:val="22"/>
        </w:rPr>
      </w:pPr>
      <w:r>
        <w:t>26.</w:t>
      </w:r>
      <w:r>
        <w:tab/>
        <w:t>Offences relating to brands or tags</w:t>
      </w:r>
      <w:r>
        <w:tab/>
      </w:r>
      <w:r>
        <w:fldChar w:fldCharType="begin"/>
      </w:r>
      <w:r>
        <w:instrText xml:space="preserve"> PAGEREF _Toc513121794 \h </w:instrText>
      </w:r>
      <w:r>
        <w:fldChar w:fldCharType="separate"/>
      </w:r>
      <w:r>
        <w:t>17</w:t>
      </w:r>
      <w:r>
        <w:fldChar w:fldCharType="end"/>
      </w:r>
    </w:p>
    <w:p>
      <w:pPr>
        <w:pStyle w:val="TOC8"/>
        <w:rPr>
          <w:rFonts w:asciiTheme="minorHAnsi" w:eastAsiaTheme="minorEastAsia" w:hAnsiTheme="minorHAnsi" w:cstheme="minorBidi"/>
          <w:szCs w:val="22"/>
        </w:rPr>
      </w:pPr>
      <w:r>
        <w:t>27.</w:t>
      </w:r>
      <w:r>
        <w:tab/>
        <w:t>Restrictions on sale of carcases</w:t>
      </w:r>
      <w:r>
        <w:tab/>
      </w:r>
      <w:r>
        <w:fldChar w:fldCharType="begin"/>
      </w:r>
      <w:r>
        <w:instrText xml:space="preserve"> PAGEREF _Toc513121795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 — Pet meat</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28.</w:t>
      </w:r>
      <w:r>
        <w:tab/>
        <w:t>Term used: proprietor</w:t>
      </w:r>
      <w:r>
        <w:tab/>
      </w:r>
      <w:r>
        <w:fldChar w:fldCharType="begin"/>
      </w:r>
      <w:r>
        <w:instrText xml:space="preserve"> PAGEREF _Toc513121798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Staining of pet meat</w:t>
      </w:r>
    </w:p>
    <w:p>
      <w:pPr>
        <w:pStyle w:val="TOC8"/>
        <w:rPr>
          <w:rFonts w:asciiTheme="minorHAnsi" w:eastAsiaTheme="minorEastAsia" w:hAnsiTheme="minorHAnsi" w:cstheme="minorBidi"/>
          <w:szCs w:val="22"/>
        </w:rPr>
      </w:pPr>
      <w:r>
        <w:t>29.</w:t>
      </w:r>
      <w:r>
        <w:tab/>
        <w:t>Term used: dressing</w:t>
      </w:r>
      <w:r>
        <w:tab/>
      </w:r>
      <w:r>
        <w:fldChar w:fldCharType="begin"/>
      </w:r>
      <w:r>
        <w:instrText xml:space="preserve"> PAGEREF _Toc513121800 \h </w:instrText>
      </w:r>
      <w:r>
        <w:fldChar w:fldCharType="separate"/>
      </w:r>
      <w:r>
        <w:t>19</w:t>
      </w:r>
      <w:r>
        <w:fldChar w:fldCharType="end"/>
      </w:r>
    </w:p>
    <w:p>
      <w:pPr>
        <w:pStyle w:val="TOC8"/>
        <w:rPr>
          <w:rFonts w:asciiTheme="minorHAnsi" w:eastAsiaTheme="minorEastAsia" w:hAnsiTheme="minorHAnsi" w:cstheme="minorBidi"/>
          <w:szCs w:val="22"/>
        </w:rPr>
      </w:pPr>
      <w:r>
        <w:t>30.</w:t>
      </w:r>
      <w:r>
        <w:tab/>
        <w:t>Requirement for pet meat to be stained</w:t>
      </w:r>
      <w:r>
        <w:tab/>
      </w:r>
      <w:r>
        <w:fldChar w:fldCharType="begin"/>
      </w:r>
      <w:r>
        <w:instrText xml:space="preserve"> PAGEREF _Toc513121801 \h </w:instrText>
      </w:r>
      <w:r>
        <w:fldChar w:fldCharType="separate"/>
      </w:r>
      <w:r>
        <w:t>19</w:t>
      </w:r>
      <w:r>
        <w:fldChar w:fldCharType="end"/>
      </w:r>
    </w:p>
    <w:p>
      <w:pPr>
        <w:pStyle w:val="TOC8"/>
        <w:rPr>
          <w:rFonts w:asciiTheme="minorHAnsi" w:eastAsiaTheme="minorEastAsia" w:hAnsiTheme="minorHAnsi" w:cstheme="minorBidi"/>
          <w:szCs w:val="22"/>
        </w:rPr>
      </w:pPr>
      <w:r>
        <w:t>31.</w:t>
      </w:r>
      <w:r>
        <w:tab/>
        <w:t>How pet meat is to be stained</w:t>
      </w:r>
      <w:r>
        <w:tab/>
      </w:r>
      <w:r>
        <w:fldChar w:fldCharType="begin"/>
      </w:r>
      <w:r>
        <w:instrText xml:space="preserve"> PAGEREF _Toc513121802 \h </w:instrText>
      </w:r>
      <w:r>
        <w:fldChar w:fldCharType="separate"/>
      </w:r>
      <w:r>
        <w:t>20</w:t>
      </w:r>
      <w:r>
        <w:fldChar w:fldCharType="end"/>
      </w:r>
    </w:p>
    <w:p>
      <w:pPr>
        <w:pStyle w:val="TOC8"/>
        <w:rPr>
          <w:rFonts w:asciiTheme="minorHAnsi" w:eastAsiaTheme="minorEastAsia" w:hAnsiTheme="minorHAnsi" w:cstheme="minorBidi"/>
          <w:szCs w:val="22"/>
        </w:rPr>
      </w:pPr>
      <w:r>
        <w:t>32.</w:t>
      </w:r>
      <w:r>
        <w:tab/>
        <w:t>Removal of stain from pet meat prohibited</w:t>
      </w:r>
      <w:r>
        <w:tab/>
      </w:r>
      <w:r>
        <w:fldChar w:fldCharType="begin"/>
      </w:r>
      <w:r>
        <w:instrText xml:space="preserve"> PAGEREF _Toc513121803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Requirements relating to packaged and unpackaged pet meat</w:t>
      </w:r>
    </w:p>
    <w:p>
      <w:pPr>
        <w:pStyle w:val="TOC8"/>
        <w:rPr>
          <w:rFonts w:asciiTheme="minorHAnsi" w:eastAsiaTheme="minorEastAsia" w:hAnsiTheme="minorHAnsi" w:cstheme="minorBidi"/>
          <w:szCs w:val="22"/>
        </w:rPr>
      </w:pPr>
      <w:r>
        <w:t>33.</w:t>
      </w:r>
      <w:r>
        <w:tab/>
        <w:t>Pet meat sold by food businesses to be packaged</w:t>
      </w:r>
      <w:r>
        <w:tab/>
      </w:r>
      <w:r>
        <w:fldChar w:fldCharType="begin"/>
      </w:r>
      <w:r>
        <w:instrText xml:space="preserve"> PAGEREF _Toc513121805 \h </w:instrText>
      </w:r>
      <w:r>
        <w:fldChar w:fldCharType="separate"/>
      </w:r>
      <w:r>
        <w:t>20</w:t>
      </w:r>
      <w:r>
        <w:fldChar w:fldCharType="end"/>
      </w:r>
    </w:p>
    <w:p>
      <w:pPr>
        <w:pStyle w:val="TOC8"/>
        <w:rPr>
          <w:rFonts w:asciiTheme="minorHAnsi" w:eastAsiaTheme="minorEastAsia" w:hAnsiTheme="minorHAnsi" w:cstheme="minorBidi"/>
          <w:szCs w:val="22"/>
        </w:rPr>
      </w:pPr>
      <w:r>
        <w:t>34.</w:t>
      </w:r>
      <w:r>
        <w:tab/>
        <w:t>Unpackaged pet meat to be sold only at animal food processing premises or retail pet meat shops</w:t>
      </w:r>
      <w:r>
        <w:tab/>
      </w:r>
      <w:r>
        <w:fldChar w:fldCharType="begin"/>
      </w:r>
      <w:r>
        <w:instrText xml:space="preserve"> PAGEREF _Toc513121806 \h </w:instrText>
      </w:r>
      <w:r>
        <w:fldChar w:fldCharType="separate"/>
      </w:r>
      <w:r>
        <w:t>21</w:t>
      </w:r>
      <w:r>
        <w:fldChar w:fldCharType="end"/>
      </w:r>
    </w:p>
    <w:p>
      <w:pPr>
        <w:pStyle w:val="TOC8"/>
        <w:rPr>
          <w:rFonts w:asciiTheme="minorHAnsi" w:eastAsiaTheme="minorEastAsia" w:hAnsiTheme="minorHAnsi" w:cstheme="minorBidi"/>
          <w:szCs w:val="22"/>
        </w:rPr>
      </w:pPr>
      <w:r>
        <w:t>35.</w:t>
      </w:r>
      <w:r>
        <w:tab/>
        <w:t>Unpackaged pet meat to be stored at animal food processing premises and retail pet meat shops in marked containers</w:t>
      </w:r>
      <w:r>
        <w:tab/>
      </w:r>
      <w:r>
        <w:fldChar w:fldCharType="begin"/>
      </w:r>
      <w:r>
        <w:instrText xml:space="preserve"> PAGEREF _Toc513121807 \h </w:instrText>
      </w:r>
      <w:r>
        <w:fldChar w:fldCharType="separate"/>
      </w:r>
      <w:r>
        <w:t>21</w:t>
      </w:r>
      <w:r>
        <w:fldChar w:fldCharType="end"/>
      </w:r>
    </w:p>
    <w:p>
      <w:pPr>
        <w:pStyle w:val="TOC8"/>
        <w:rPr>
          <w:rFonts w:asciiTheme="minorHAnsi" w:eastAsiaTheme="minorEastAsia" w:hAnsiTheme="minorHAnsi" w:cstheme="minorBidi"/>
          <w:szCs w:val="22"/>
        </w:rPr>
      </w:pPr>
      <w:r>
        <w:t>36.</w:t>
      </w:r>
      <w:r>
        <w:tab/>
        <w:t>Unpackaged pet meat and food not to be processed, handled or sold at same food business premises</w:t>
      </w:r>
      <w:r>
        <w:tab/>
      </w:r>
      <w:r>
        <w:fldChar w:fldCharType="begin"/>
      </w:r>
      <w:r>
        <w:instrText xml:space="preserve"> PAGEREF _Toc513121808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requirements</w:t>
      </w:r>
    </w:p>
    <w:p>
      <w:pPr>
        <w:pStyle w:val="TOC8"/>
        <w:rPr>
          <w:rFonts w:asciiTheme="minorHAnsi" w:eastAsiaTheme="minorEastAsia" w:hAnsiTheme="minorHAnsi" w:cstheme="minorBidi"/>
          <w:szCs w:val="22"/>
        </w:rPr>
      </w:pPr>
      <w:r>
        <w:t>37.</w:t>
      </w:r>
      <w:r>
        <w:tab/>
        <w:t>Proprietor of animal food processing premises to establish and maintain system for tracing pet meat</w:t>
      </w:r>
      <w:r>
        <w:tab/>
      </w:r>
      <w:r>
        <w:fldChar w:fldCharType="begin"/>
      </w:r>
      <w:r>
        <w:instrText xml:space="preserve"> PAGEREF _Toc513121810 \h </w:instrText>
      </w:r>
      <w:r>
        <w:fldChar w:fldCharType="separate"/>
      </w:r>
      <w:r>
        <w:t>23</w:t>
      </w:r>
      <w:r>
        <w:fldChar w:fldCharType="end"/>
      </w:r>
    </w:p>
    <w:p>
      <w:pPr>
        <w:pStyle w:val="TOC8"/>
        <w:rPr>
          <w:rFonts w:asciiTheme="minorHAnsi" w:eastAsiaTheme="minorEastAsia" w:hAnsiTheme="minorHAnsi" w:cstheme="minorBidi"/>
          <w:szCs w:val="22"/>
        </w:rPr>
      </w:pPr>
      <w:r>
        <w:t>38.</w:t>
      </w:r>
      <w:r>
        <w:tab/>
        <w:t>Meat and game meat for human consumption not to be stored in animal food processing premises</w:t>
      </w:r>
      <w:r>
        <w:tab/>
      </w:r>
      <w:r>
        <w:fldChar w:fldCharType="begin"/>
      </w:r>
      <w:r>
        <w:instrText xml:space="preserve"> PAGEREF _Toc513121811 \h </w:instrText>
      </w:r>
      <w:r>
        <w:fldChar w:fldCharType="separate"/>
      </w:r>
      <w:r>
        <w:t>23</w:t>
      </w:r>
      <w:r>
        <w:fldChar w:fldCharType="end"/>
      </w:r>
    </w:p>
    <w:p>
      <w:pPr>
        <w:pStyle w:val="TOC8"/>
        <w:rPr>
          <w:rFonts w:asciiTheme="minorHAnsi" w:eastAsiaTheme="minorEastAsia" w:hAnsiTheme="minorHAnsi" w:cstheme="minorBidi"/>
          <w:szCs w:val="22"/>
        </w:rPr>
      </w:pPr>
      <w:r>
        <w:t>39.</w:t>
      </w:r>
      <w:r>
        <w:tab/>
        <w:t>Pet meat not to be sold as food</w:t>
      </w:r>
      <w:r>
        <w:tab/>
      </w:r>
      <w:r>
        <w:fldChar w:fldCharType="begin"/>
      </w:r>
      <w:r>
        <w:instrText xml:space="preserve"> PAGEREF _Toc513121812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5 — Notification of conduct of business at animal food processing premises and retail pet meat shops</w:t>
      </w:r>
    </w:p>
    <w:p>
      <w:pPr>
        <w:pStyle w:val="TOC8"/>
        <w:rPr>
          <w:rFonts w:asciiTheme="minorHAnsi" w:eastAsiaTheme="minorEastAsia" w:hAnsiTheme="minorHAnsi" w:cstheme="minorBidi"/>
          <w:szCs w:val="22"/>
        </w:rPr>
      </w:pPr>
      <w:r>
        <w:t>40.</w:t>
      </w:r>
      <w:r>
        <w:tab/>
        <w:t>Notification of conduct of business at animal food processing premises and retail pet meat shops</w:t>
      </w:r>
      <w:r>
        <w:tab/>
      </w:r>
      <w:r>
        <w:fldChar w:fldCharType="begin"/>
      </w:r>
      <w:r>
        <w:instrText xml:space="preserve"> PAGEREF _Toc513121814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Statements and inspection fees</w:t>
      </w:r>
    </w:p>
    <w:p>
      <w:pPr>
        <w:pStyle w:val="TOC8"/>
        <w:rPr>
          <w:rFonts w:asciiTheme="minorHAnsi" w:eastAsiaTheme="minorEastAsia" w:hAnsiTheme="minorHAnsi" w:cstheme="minorBidi"/>
          <w:szCs w:val="22"/>
        </w:rPr>
      </w:pPr>
      <w:r>
        <w:t>41.</w:t>
      </w:r>
      <w:r>
        <w:tab/>
        <w:t>Statements and inspection fees</w:t>
      </w:r>
      <w:r>
        <w:tab/>
      </w:r>
      <w:r>
        <w:fldChar w:fldCharType="begin"/>
      </w:r>
      <w:r>
        <w:instrText xml:space="preserve"> PAGEREF _Toc513121816 \h </w:instrText>
      </w:r>
      <w:r>
        <w:fldChar w:fldCharType="separate"/>
      </w:r>
      <w:r>
        <w:t>25</w:t>
      </w:r>
      <w:r>
        <w:fldChar w:fldCharType="end"/>
      </w:r>
    </w:p>
    <w:p>
      <w:pPr>
        <w:pStyle w:val="TOC8"/>
        <w:rPr>
          <w:rFonts w:asciiTheme="minorHAnsi" w:eastAsiaTheme="minorEastAsia" w:hAnsiTheme="minorHAnsi" w:cstheme="minorBidi"/>
          <w:szCs w:val="22"/>
        </w:rPr>
      </w:pPr>
      <w:r>
        <w:t>42.</w:t>
      </w:r>
      <w:r>
        <w:tab/>
        <w:t>Application of inspection fees</w:t>
      </w:r>
      <w:r>
        <w:tab/>
      </w:r>
      <w:r>
        <w:fldChar w:fldCharType="begin"/>
      </w:r>
      <w:r>
        <w:instrText xml:space="preserve"> PAGEREF _Toc513121817 \h </w:instrText>
      </w:r>
      <w:r>
        <w:fldChar w:fldCharType="separate"/>
      </w:r>
      <w:r>
        <w:t>25</w:t>
      </w:r>
      <w:r>
        <w:fldChar w:fldCharType="end"/>
      </w:r>
    </w:p>
    <w:p>
      <w:pPr>
        <w:pStyle w:val="TOC8"/>
        <w:rPr>
          <w:rFonts w:asciiTheme="minorHAnsi" w:eastAsiaTheme="minorEastAsia" w:hAnsiTheme="minorHAnsi" w:cstheme="minorBidi"/>
          <w:szCs w:val="22"/>
        </w:rPr>
      </w:pPr>
      <w:r>
        <w:t>43.</w:t>
      </w:r>
      <w:r>
        <w:tab/>
        <w:t>Local governments may require security</w:t>
      </w:r>
      <w:r>
        <w:tab/>
      </w:r>
      <w:r>
        <w:fldChar w:fldCharType="begin"/>
      </w:r>
      <w:r>
        <w:instrText xml:space="preserve"> PAGEREF _Toc513121818 \h </w:instrText>
      </w:r>
      <w:r>
        <w:fldChar w:fldCharType="separate"/>
      </w:r>
      <w:r>
        <w:t>26</w:t>
      </w:r>
      <w:r>
        <w:fldChar w:fldCharType="end"/>
      </w:r>
    </w:p>
    <w:p>
      <w:pPr>
        <w:pStyle w:val="TOC8"/>
        <w:rPr>
          <w:rFonts w:asciiTheme="minorHAnsi" w:eastAsiaTheme="minorEastAsia" w:hAnsiTheme="minorHAnsi" w:cstheme="minorBidi"/>
          <w:szCs w:val="22"/>
        </w:rPr>
      </w:pPr>
      <w:r>
        <w:t>44.</w:t>
      </w:r>
      <w:r>
        <w:tab/>
        <w:t>Application of security to recover unpaid fees</w:t>
      </w:r>
      <w:r>
        <w:tab/>
      </w:r>
      <w:r>
        <w:fldChar w:fldCharType="begin"/>
      </w:r>
      <w:r>
        <w:instrText xml:space="preserve"> PAGEREF _Toc513121819 \h </w:instrText>
      </w:r>
      <w:r>
        <w:fldChar w:fldCharType="separate"/>
      </w:r>
      <w:r>
        <w:t>26</w:t>
      </w:r>
      <w:r>
        <w:fldChar w:fldCharType="end"/>
      </w:r>
    </w:p>
    <w:p>
      <w:pPr>
        <w:pStyle w:val="TOC8"/>
        <w:rPr>
          <w:rFonts w:asciiTheme="minorHAnsi" w:eastAsiaTheme="minorEastAsia" w:hAnsiTheme="minorHAnsi" w:cstheme="minorBidi"/>
          <w:szCs w:val="22"/>
        </w:rPr>
      </w:pPr>
      <w:r>
        <w:t>45.</w:t>
      </w:r>
      <w:r>
        <w:tab/>
        <w:t>Withdrawal of inspection services</w:t>
      </w:r>
      <w:r>
        <w:tab/>
      </w:r>
      <w:r>
        <w:fldChar w:fldCharType="begin"/>
      </w:r>
      <w:r>
        <w:instrText xml:space="preserve"> PAGEREF _Toc513121820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 — Premises used in meat production</w:t>
      </w:r>
    </w:p>
    <w:p>
      <w:pPr>
        <w:pStyle w:val="TOC8"/>
        <w:rPr>
          <w:rFonts w:asciiTheme="minorHAnsi" w:eastAsiaTheme="minorEastAsia" w:hAnsiTheme="minorHAnsi" w:cstheme="minorBidi"/>
          <w:szCs w:val="22"/>
        </w:rPr>
      </w:pPr>
      <w:r>
        <w:t>46.</w:t>
      </w:r>
      <w:r>
        <w:tab/>
        <w:t>Abattoirs and processing premises to comply with requirements of adopted standards</w:t>
      </w:r>
      <w:r>
        <w:tab/>
      </w:r>
      <w:r>
        <w:fldChar w:fldCharType="begin"/>
      </w:r>
      <w:r>
        <w:instrText xml:space="preserve"> PAGEREF _Toc513121822 \h </w:instrText>
      </w:r>
      <w:r>
        <w:fldChar w:fldCharType="separate"/>
      </w:r>
      <w:r>
        <w:t>27</w:t>
      </w:r>
      <w:r>
        <w:fldChar w:fldCharType="end"/>
      </w:r>
    </w:p>
    <w:p>
      <w:pPr>
        <w:pStyle w:val="TOC8"/>
        <w:rPr>
          <w:rFonts w:asciiTheme="minorHAnsi" w:eastAsiaTheme="minorEastAsia" w:hAnsiTheme="minorHAnsi" w:cstheme="minorBidi"/>
          <w:szCs w:val="22"/>
        </w:rPr>
      </w:pPr>
      <w:r>
        <w:t>47.</w:t>
      </w:r>
      <w:r>
        <w:tab/>
        <w:t>Slaughtering and processing to comply with requirements of adopted standards</w:t>
      </w:r>
      <w:r>
        <w:tab/>
      </w:r>
      <w:r>
        <w:fldChar w:fldCharType="begin"/>
      </w:r>
      <w:r>
        <w:instrText xml:space="preserve"> PAGEREF _Toc513121823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7 — Premises used in game meat production</w:t>
      </w:r>
    </w:p>
    <w:p>
      <w:pPr>
        <w:pStyle w:val="TOC8"/>
        <w:rPr>
          <w:rFonts w:asciiTheme="minorHAnsi" w:eastAsiaTheme="minorEastAsia" w:hAnsiTheme="minorHAnsi" w:cstheme="minorBidi"/>
          <w:szCs w:val="22"/>
        </w:rPr>
      </w:pPr>
      <w:r>
        <w:t>48.</w:t>
      </w:r>
      <w:r>
        <w:tab/>
        <w:t>Field depots to comply with requirements of wild game standard</w:t>
      </w:r>
      <w:r>
        <w:tab/>
      </w:r>
      <w:r>
        <w:fldChar w:fldCharType="begin"/>
      </w:r>
      <w:r>
        <w:instrText xml:space="preserve"> PAGEREF _Toc513121825 \h </w:instrText>
      </w:r>
      <w:r>
        <w:fldChar w:fldCharType="separate"/>
      </w:r>
      <w:r>
        <w:t>28</w:t>
      </w:r>
      <w:r>
        <w:fldChar w:fldCharType="end"/>
      </w:r>
    </w:p>
    <w:p>
      <w:pPr>
        <w:pStyle w:val="TOC8"/>
        <w:rPr>
          <w:rFonts w:asciiTheme="minorHAnsi" w:eastAsiaTheme="minorEastAsia" w:hAnsiTheme="minorHAnsi" w:cstheme="minorBidi"/>
          <w:szCs w:val="22"/>
        </w:rPr>
      </w:pPr>
      <w:r>
        <w:t>49.</w:t>
      </w:r>
      <w:r>
        <w:tab/>
        <w:t>Wild game meat processing establishments to comply with requirements of wild game standard</w:t>
      </w:r>
      <w:r>
        <w:tab/>
      </w:r>
      <w:r>
        <w:fldChar w:fldCharType="begin"/>
      </w:r>
      <w:r>
        <w:instrText xml:space="preserve"> PAGEREF _Toc513121826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8 — Transporting meat and game meat</w:t>
      </w:r>
    </w:p>
    <w:p>
      <w:pPr>
        <w:pStyle w:val="TOC8"/>
        <w:rPr>
          <w:rFonts w:asciiTheme="minorHAnsi" w:eastAsiaTheme="minorEastAsia" w:hAnsiTheme="minorHAnsi" w:cstheme="minorBidi"/>
          <w:szCs w:val="22"/>
        </w:rPr>
      </w:pPr>
      <w:r>
        <w:t>50.</w:t>
      </w:r>
      <w:r>
        <w:tab/>
        <w:t>Vehicles transporting meat or game meat</w:t>
      </w:r>
      <w:r>
        <w:tab/>
      </w:r>
      <w:r>
        <w:fldChar w:fldCharType="begin"/>
      </w:r>
      <w:r>
        <w:instrText xml:space="preserve"> PAGEREF _Toc513121828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51.</w:t>
      </w:r>
      <w:r>
        <w:tab/>
        <w:t>Enforcement agency may make list of food businesses publicly available</w:t>
      </w:r>
      <w:r>
        <w:tab/>
      </w:r>
      <w:r>
        <w:fldChar w:fldCharType="begin"/>
      </w:r>
      <w:r>
        <w:instrText xml:space="preserve"> PAGEREF _Toc513121830 \h </w:instrText>
      </w:r>
      <w:r>
        <w:fldChar w:fldCharType="separate"/>
      </w:r>
      <w:r>
        <w:t>30</w:t>
      </w:r>
      <w:r>
        <w:fldChar w:fldCharType="end"/>
      </w:r>
    </w:p>
    <w:p>
      <w:pPr>
        <w:pStyle w:val="TOC8"/>
        <w:rPr>
          <w:rFonts w:asciiTheme="minorHAnsi" w:eastAsiaTheme="minorEastAsia" w:hAnsiTheme="minorHAnsi" w:cstheme="minorBidi"/>
          <w:szCs w:val="22"/>
        </w:rPr>
      </w:pPr>
      <w:r>
        <w:t>52.</w:t>
      </w:r>
      <w:r>
        <w:tab/>
        <w:t>Prescribed fees</w:t>
      </w:r>
      <w:r>
        <w:tab/>
      </w:r>
      <w:r>
        <w:fldChar w:fldCharType="begin"/>
      </w:r>
      <w:r>
        <w:instrText xml:space="preserve"> PAGEREF _Toc513121831 \h </w:instrText>
      </w:r>
      <w:r>
        <w:fldChar w:fldCharType="separate"/>
      </w:r>
      <w:r>
        <w:t>30</w:t>
      </w:r>
      <w:r>
        <w:fldChar w:fldCharType="end"/>
      </w:r>
    </w:p>
    <w:p>
      <w:pPr>
        <w:pStyle w:val="TOC8"/>
        <w:rPr>
          <w:rFonts w:asciiTheme="minorHAnsi" w:eastAsiaTheme="minorEastAsia" w:hAnsiTheme="minorHAnsi" w:cstheme="minorBidi"/>
          <w:szCs w:val="22"/>
        </w:rPr>
      </w:pPr>
      <w:r>
        <w:t>53.</w:t>
      </w:r>
      <w:r>
        <w:tab/>
        <w:t>Prescribed offences and modified penalties (s. 126)</w:t>
      </w:r>
      <w:r>
        <w:tab/>
      </w:r>
      <w:r>
        <w:fldChar w:fldCharType="begin"/>
      </w:r>
      <w:r>
        <w:instrText xml:space="preserve"> PAGEREF _Toc513121832 \h </w:instrText>
      </w:r>
      <w:r>
        <w:fldChar w:fldCharType="separate"/>
      </w:r>
      <w:r>
        <w:t>30</w:t>
      </w:r>
      <w:r>
        <w:fldChar w:fldCharType="end"/>
      </w:r>
    </w:p>
    <w:p>
      <w:pPr>
        <w:pStyle w:val="TOC8"/>
        <w:rPr>
          <w:rFonts w:asciiTheme="minorHAnsi" w:eastAsiaTheme="minorEastAsia" w:hAnsiTheme="minorHAnsi" w:cstheme="minorBidi"/>
          <w:szCs w:val="22"/>
        </w:rPr>
      </w:pPr>
      <w:r>
        <w:t>54.</w:t>
      </w:r>
      <w:r>
        <w:tab/>
        <w:t>Prescribed forms (s. 126(3) and (7))</w:t>
      </w:r>
      <w:r>
        <w:tab/>
      </w:r>
      <w:r>
        <w:fldChar w:fldCharType="begin"/>
      </w:r>
      <w:r>
        <w:instrText xml:space="preserve"> PAGEREF _Toc513121833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1 — Inspection fees</w:t>
      </w:r>
    </w:p>
    <w:p>
      <w:pPr>
        <w:pStyle w:val="TOC2"/>
        <w:tabs>
          <w:tab w:val="right" w:leader="dot" w:pos="7077"/>
        </w:tabs>
        <w:rPr>
          <w:rFonts w:asciiTheme="minorHAnsi" w:eastAsiaTheme="minorEastAsia" w:hAnsiTheme="minorHAnsi" w:cstheme="minorBidi"/>
          <w:b w:val="0"/>
          <w:sz w:val="22"/>
          <w:szCs w:val="22"/>
        </w:rPr>
      </w:pPr>
      <w:r>
        <w:t>Schedule 2 — Prescribed fees</w:t>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4 — Infringement notice</w:t>
      </w:r>
    </w:p>
    <w:p>
      <w:pPr>
        <w:pStyle w:val="TOC2"/>
        <w:tabs>
          <w:tab w:val="right" w:leader="dot" w:pos="7077"/>
        </w:tabs>
        <w:rPr>
          <w:rFonts w:asciiTheme="minorHAnsi" w:eastAsiaTheme="minorEastAsia" w:hAnsiTheme="minorHAnsi" w:cstheme="minorBidi"/>
          <w:b w:val="0"/>
          <w:sz w:val="22"/>
          <w:szCs w:val="22"/>
        </w:rPr>
      </w:pPr>
      <w:r>
        <w:t>Schedule 5 — Notice to withdraw infringement notice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_Toc513121840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August 2018</w:t>
            </w:r>
          </w:p>
        </w:tc>
      </w:tr>
    </w:tbl>
    <w:p>
      <w:pPr>
        <w:pStyle w:val="WA"/>
        <w:spacing w:before="12"/>
      </w:pPr>
      <w:r>
        <w:t>Western Australia</w:t>
      </w:r>
    </w:p>
    <w:p>
      <w:pPr>
        <w:pStyle w:val="PrincipalActReg"/>
      </w:pPr>
      <w:r>
        <w:t>Food Act 2008</w:t>
      </w:r>
    </w:p>
    <w:p>
      <w:pPr>
        <w:pStyle w:val="NameofActReg"/>
        <w:spacing w:before="960" w:after="800"/>
      </w:pPr>
      <w:r>
        <w:t>Food Regulations 2009</w:t>
      </w:r>
    </w:p>
    <w:p>
      <w:pPr>
        <w:pStyle w:val="Heading2"/>
        <w:pageBreakBefore w:val="0"/>
        <w:spacing w:before="240"/>
      </w:pPr>
      <w:bookmarkStart w:id="3" w:name="_Toc511203221"/>
      <w:bookmarkStart w:id="4" w:name="_Toc513121761"/>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513121762"/>
      <w:r>
        <w:rPr>
          <w:rStyle w:val="CharSectno"/>
        </w:rPr>
        <w:t>1</w:t>
      </w:r>
      <w:r>
        <w:t>.</w:t>
      </w:r>
      <w:r>
        <w:tab/>
        <w:t>Citation</w:t>
      </w:r>
      <w:bookmarkEnd w:id="5"/>
    </w:p>
    <w:p>
      <w:pPr>
        <w:pStyle w:val="Subsection"/>
      </w:pPr>
      <w:r>
        <w:tab/>
      </w:r>
      <w:r>
        <w:tab/>
      </w:r>
      <w:bookmarkStart w:id="6" w:name="Start_Cursor"/>
      <w:bookmarkEnd w:id="6"/>
      <w:r>
        <w:t xml:space="preserve">These regulations are the </w:t>
      </w:r>
      <w:r>
        <w:rPr>
          <w:i/>
        </w:rPr>
        <w:t>Food Regulations 2009</w:t>
      </w:r>
      <w:r>
        <w:rPr>
          <w:vertAlign w:val="superscript"/>
        </w:rPr>
        <w:t> 1</w:t>
      </w:r>
      <w:r>
        <w:t>.</w:t>
      </w:r>
    </w:p>
    <w:p>
      <w:pPr>
        <w:pStyle w:val="Heading5"/>
      </w:pPr>
      <w:bookmarkStart w:id="7" w:name="_Toc513121763"/>
      <w:r>
        <w:rPr>
          <w:rStyle w:val="CharSectno"/>
        </w:rPr>
        <w:t>2</w:t>
      </w:r>
      <w:r>
        <w:t>.</w:t>
      </w:r>
      <w:r>
        <w:tab/>
        <w:t>Commencement</w:t>
      </w:r>
      <w:bookmarkEnd w:id="7"/>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r>
        <w:rPr>
          <w:vertAlign w:val="superscript"/>
        </w:rPr>
        <w:t> 2</w:t>
      </w:r>
      <w:r>
        <w:t>.</w:t>
      </w:r>
    </w:p>
    <w:p>
      <w:pPr>
        <w:pStyle w:val="Heading5"/>
      </w:pPr>
      <w:bookmarkStart w:id="8" w:name="_Toc513121764"/>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FSC standard</w:t>
      </w:r>
      <w:r>
        <w:t xml:space="preserve"> means a standard that forms part of the Food Standards Code;</w:t>
      </w:r>
    </w:p>
    <w:p>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9" w:name="_Toc513121765"/>
      <w:r>
        <w:rPr>
          <w:rStyle w:val="CharSectno"/>
        </w:rPr>
        <w:t>4</w:t>
      </w:r>
      <w:r>
        <w:t>.</w:t>
      </w:r>
      <w:r>
        <w:tab/>
        <w:t>Appropriate enforcement agency: CEO (s. 8)</w:t>
      </w:r>
      <w:bookmarkEnd w:id="9"/>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King’s Park</w:t>
      </w:r>
      <w:r>
        <w:t xml:space="preserve"> means all of the land from time to time within Reserve No. 1720 classified as of Class A;</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 xml:space="preserve">Health Services Act 2016 </w:t>
      </w:r>
      <w:r>
        <w:t>section 8(6);</w:t>
      </w:r>
    </w:p>
    <w:p>
      <w:pPr>
        <w:pStyle w:val="Defstart"/>
      </w:pPr>
      <w:r>
        <w:tab/>
      </w:r>
      <w:r>
        <w:rPr>
          <w:rStyle w:val="CharDefText"/>
        </w:rPr>
        <w:t>Rottnest Island</w:t>
      </w:r>
      <w:r>
        <w:t xml:space="preserve"> means the Rottnest Island Reserve described in the </w:t>
      </w:r>
      <w:r>
        <w:rPr>
          <w:i/>
        </w:rPr>
        <w:t>Rottnest Island Authority Act 1987</w:t>
      </w:r>
      <w:r>
        <w:t xml:space="preserve"> section 4.</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conducted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(da)</w:t>
      </w:r>
      <w:r>
        <w:tab/>
        <w:t>is conducted at premises located in King’s Park or on Rottnest Island; or</w:t>
      </w:r>
    </w:p>
    <w:p>
      <w:pPr>
        <w:pStyle w:val="Indenta"/>
      </w:pPr>
      <w:r>
        <w:tab/>
        <w:t>(d)</w:t>
      </w:r>
      <w:r>
        <w:tab/>
        <w:t>is not in a district.</w:t>
      </w:r>
    </w:p>
    <w:p>
      <w:pPr>
        <w:pStyle w:val="Footnotesection"/>
      </w:pPr>
      <w:r>
        <w:tab/>
        <w:t>[Regulation 4 amended: Gazette 20 Mar 2015 p. 905</w:t>
      </w:r>
      <w:r>
        <w:noBreakHyphen/>
        <w:t>6; 24 Jun 2016 p. 2312.]</w:t>
      </w:r>
    </w:p>
    <w:p>
      <w:pPr>
        <w:pStyle w:val="Heading5"/>
      </w:pPr>
      <w:bookmarkStart w:id="10" w:name="_Toc513121766"/>
      <w:r>
        <w:rPr>
          <w:rStyle w:val="CharSectno"/>
        </w:rPr>
        <w:t>5</w:t>
      </w:r>
      <w:r>
        <w:t>.</w:t>
      </w:r>
      <w:r>
        <w:tab/>
        <w:t>Appropriate enforcement agency: local government (s. 8)</w:t>
      </w:r>
      <w:bookmarkEnd w:id="10"/>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11" w:name="_Toc513121767"/>
      <w:r>
        <w:rPr>
          <w:rStyle w:val="CharSectno"/>
        </w:rPr>
        <w:t>6</w:t>
      </w:r>
      <w:r>
        <w:t>.</w:t>
      </w:r>
      <w:r>
        <w:tab/>
        <w:t>Food production activities that are not primary food production (s. 11(2))</w:t>
      </w:r>
      <w:bookmarkEnd w:id="11"/>
    </w:p>
    <w:p>
      <w:pPr>
        <w:pStyle w:val="Subsection"/>
      </w:pPr>
      <w:r>
        <w:tab/>
      </w:r>
      <w:r>
        <w:tab/>
        <w:t>For section 11(2) of the Act, any food production activity to which a standard in Chapter 4 of the Food Standards Code applies is prescribed.</w:t>
      </w:r>
    </w:p>
    <w:p>
      <w:pPr>
        <w:pStyle w:val="Heading2"/>
      </w:pPr>
      <w:bookmarkStart w:id="12" w:name="_Toc511203228"/>
      <w:bookmarkStart w:id="13" w:name="_Toc513121768"/>
      <w:r>
        <w:rPr>
          <w:rStyle w:val="CharPartNo"/>
        </w:rPr>
        <w:t>Part 2</w:t>
      </w:r>
      <w:r>
        <w:rPr>
          <w:rStyle w:val="CharDivNo"/>
        </w:rPr>
        <w:t> </w:t>
      </w:r>
      <w:r>
        <w:t>—</w:t>
      </w:r>
      <w:r>
        <w:rPr>
          <w:rStyle w:val="CharDivText"/>
        </w:rPr>
        <w:t> </w:t>
      </w:r>
      <w:r>
        <w:rPr>
          <w:rStyle w:val="CharPartText"/>
        </w:rPr>
        <w:t>Adoption of Food Standards Code</w:t>
      </w:r>
      <w:bookmarkEnd w:id="12"/>
      <w:bookmarkEnd w:id="13"/>
    </w:p>
    <w:p>
      <w:pPr>
        <w:pStyle w:val="Heading5"/>
      </w:pPr>
      <w:bookmarkStart w:id="14" w:name="_Toc513121769"/>
      <w:r>
        <w:rPr>
          <w:rStyle w:val="CharSectno"/>
        </w:rPr>
        <w:t>7</w:t>
      </w:r>
      <w:r>
        <w:t>.</w:t>
      </w:r>
      <w:r>
        <w:tab/>
        <w:t>Adoption of Food Standards Code (s. 144(7))</w:t>
      </w:r>
      <w:bookmarkEnd w:id="14"/>
    </w:p>
    <w:p>
      <w:pPr>
        <w:pStyle w:val="Subsection"/>
      </w:pPr>
      <w:r>
        <w:tab/>
      </w:r>
      <w:r>
        <w:tab/>
        <w:t>Under section 144(7) of the Act, the Food Standards Code is adopted as in force from time to time.</w:t>
      </w:r>
    </w:p>
    <w:p>
      <w:pPr>
        <w:pStyle w:val="Heading5"/>
      </w:pPr>
      <w:bookmarkStart w:id="15" w:name="_Toc513121770"/>
      <w:r>
        <w:rPr>
          <w:rStyle w:val="CharSectno"/>
        </w:rPr>
        <w:t>8</w:t>
      </w:r>
      <w:r>
        <w:t>.</w:t>
      </w:r>
      <w:r>
        <w:tab/>
        <w:t>FSC standard 4.2.4 clause 15: express provision for goat’s milk</w:t>
      </w:r>
      <w:bookmarkEnd w:id="15"/>
    </w:p>
    <w:p>
      <w:pPr>
        <w:pStyle w:val="Subsection"/>
      </w:pPr>
      <w:r>
        <w:tab/>
      </w:r>
      <w:r>
        <w:tab/>
        <w:t>Clause 15 of FSC standard 4.2.4 does not apply to goat’s milk.</w:t>
      </w:r>
    </w:p>
    <w:p>
      <w:pPr>
        <w:pStyle w:val="Heading2"/>
      </w:pPr>
      <w:bookmarkStart w:id="16" w:name="_Toc511203231"/>
      <w:bookmarkStart w:id="17" w:name="_Toc513121771"/>
      <w:r>
        <w:rPr>
          <w:rStyle w:val="CharPartNo"/>
        </w:rPr>
        <w:t>Part 3</w:t>
      </w:r>
      <w:r>
        <w:rPr>
          <w:rStyle w:val="CharDivNo"/>
        </w:rPr>
        <w:t> </w:t>
      </w:r>
      <w:r>
        <w:t>—</w:t>
      </w:r>
      <w:r>
        <w:rPr>
          <w:rStyle w:val="CharDivText"/>
        </w:rPr>
        <w:t> </w:t>
      </w:r>
      <w:r>
        <w:rPr>
          <w:rStyle w:val="CharPartText"/>
        </w:rPr>
        <w:t>Exempted food businesses</w:t>
      </w:r>
      <w:bookmarkEnd w:id="16"/>
      <w:bookmarkEnd w:id="17"/>
    </w:p>
    <w:p>
      <w:pPr>
        <w:pStyle w:val="Heading5"/>
      </w:pPr>
      <w:bookmarkStart w:id="18" w:name="_Toc513121772"/>
      <w:r>
        <w:rPr>
          <w:rStyle w:val="CharSectno"/>
        </w:rPr>
        <w:t>9</w:t>
      </w:r>
      <w:r>
        <w:t>.</w:t>
      </w:r>
      <w:r>
        <w:tab/>
        <w:t>Term used: potentially hazardous food</w:t>
      </w:r>
      <w:bookmarkEnd w:id="18"/>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19" w:name="_Toc513121773"/>
      <w:r>
        <w:rPr>
          <w:rStyle w:val="CharSectno"/>
        </w:rPr>
        <w:t>10</w:t>
      </w:r>
      <w:r>
        <w:t>.</w:t>
      </w:r>
      <w:r>
        <w:tab/>
        <w:t>Food businesses conducted as fundraising events (s. 109)</w:t>
      </w:r>
      <w:bookmarkEnd w:id="19"/>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spacing w:before="76"/>
      </w:pPr>
      <w:r>
        <w:tab/>
        <w:t>(a)</w:t>
      </w:r>
      <w:r>
        <w:tab/>
        <w:t>a food business conducted at any premises is an exempted food business under subregulation (1); and</w:t>
      </w:r>
    </w:p>
    <w:p>
      <w:pPr>
        <w:pStyle w:val="Indenta"/>
        <w:spacing w:before="76"/>
      </w:pPr>
      <w:r>
        <w:tab/>
        <w:t>(b)</w:t>
      </w:r>
      <w:r>
        <w:tab/>
        <w:t>notification is given by the proprietor of the food business under section 107(1) of the Act in respect of those premises,</w:t>
      </w:r>
    </w:p>
    <w:p>
      <w:pPr>
        <w:pStyle w:val="Subsection"/>
        <w:spacing w:before="120"/>
      </w:pPr>
      <w:r>
        <w:tab/>
      </w:r>
      <w:r>
        <w:tab/>
        <w:t>the requirement for the notification to be accompanied by a fee under section 107(3) or (4) of the Act does not apply.</w:t>
      </w:r>
    </w:p>
    <w:p>
      <w:pPr>
        <w:pStyle w:val="Heading5"/>
      </w:pPr>
      <w:bookmarkStart w:id="20" w:name="_Toc513121774"/>
      <w:r>
        <w:rPr>
          <w:rStyle w:val="CharSectno"/>
        </w:rPr>
        <w:t>11</w:t>
      </w:r>
      <w:r>
        <w:t>.</w:t>
      </w:r>
      <w:r>
        <w:tab/>
        <w:t>Food businesses that sell certain packaged food (s. 109)</w:t>
      </w:r>
      <w:bookmarkEnd w:id="20"/>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21" w:name="_Toc513121775"/>
      <w:r>
        <w:rPr>
          <w:rStyle w:val="CharSectno"/>
        </w:rPr>
        <w:t>12</w:t>
      </w:r>
      <w:r>
        <w:t>.</w:t>
      </w:r>
      <w:r>
        <w:tab/>
        <w:t>Food businesses that provide complimentary drinks in conjunction with another kind of business (s. 109)</w:t>
      </w:r>
      <w:bookmarkEnd w:id="21"/>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22" w:name="_Toc513121776"/>
      <w:r>
        <w:rPr>
          <w:rStyle w:val="CharSectno"/>
        </w:rPr>
        <w:t>13</w:t>
      </w:r>
      <w:r>
        <w:t>.</w:t>
      </w:r>
      <w:r>
        <w:tab/>
        <w:t>Food businesses conducted at registered establishments (s. 109)</w:t>
      </w:r>
      <w:bookmarkEnd w:id="22"/>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23" w:name="_Toc511203237"/>
      <w:bookmarkStart w:id="24" w:name="_Toc513121777"/>
      <w:r>
        <w:rPr>
          <w:rStyle w:val="CharPartNo"/>
        </w:rPr>
        <w:t>Part 4</w:t>
      </w:r>
      <w:r>
        <w:rPr>
          <w:rStyle w:val="CharDivNo"/>
        </w:rPr>
        <w:t> </w:t>
      </w:r>
      <w:r>
        <w:t>—</w:t>
      </w:r>
      <w:r>
        <w:rPr>
          <w:rStyle w:val="CharDivText"/>
        </w:rPr>
        <w:t> </w:t>
      </w:r>
      <w:r>
        <w:rPr>
          <w:rStyle w:val="CharPartText"/>
        </w:rPr>
        <w:t>Control of pathogens</w:t>
      </w:r>
      <w:bookmarkEnd w:id="23"/>
      <w:bookmarkEnd w:id="24"/>
    </w:p>
    <w:p>
      <w:pPr>
        <w:pStyle w:val="Heading5"/>
      </w:pPr>
      <w:bookmarkStart w:id="25" w:name="_Toc513121778"/>
      <w:r>
        <w:rPr>
          <w:rStyle w:val="CharSectno"/>
        </w:rPr>
        <w:t>14</w:t>
      </w:r>
      <w:r>
        <w:t>.</w:t>
      </w:r>
      <w:r>
        <w:tab/>
        <w:t>Term used: pathogen</w:t>
      </w:r>
      <w:bookmarkEnd w:id="25"/>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26" w:name="_Toc513121779"/>
      <w:r>
        <w:rPr>
          <w:rStyle w:val="CharSectno"/>
        </w:rPr>
        <w:t>15</w:t>
      </w:r>
      <w:r>
        <w:t>.</w:t>
      </w:r>
      <w:r>
        <w:tab/>
        <w:t>CEO to be informed of isolation of pathogens associated with food businesses</w:t>
      </w:r>
      <w:bookmarkEnd w:id="26"/>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27" w:name="_Toc513121780"/>
      <w:r>
        <w:rPr>
          <w:rStyle w:val="CharSectno"/>
        </w:rPr>
        <w:t>16</w:t>
      </w:r>
      <w:r>
        <w:t>.</w:t>
      </w:r>
      <w:r>
        <w:tab/>
        <w:t>CEO may give directions</w:t>
      </w:r>
      <w:bookmarkEnd w:id="27"/>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28" w:name="_Toc511203241"/>
      <w:bookmarkStart w:id="29" w:name="_Toc513121781"/>
      <w:r>
        <w:rPr>
          <w:rStyle w:val="CharPartNo"/>
        </w:rPr>
        <w:t>Part 5</w:t>
      </w:r>
      <w:r>
        <w:t> — </w:t>
      </w:r>
      <w:r>
        <w:rPr>
          <w:rStyle w:val="CharPartText"/>
        </w:rPr>
        <w:t>Meat hygiene</w:t>
      </w:r>
      <w:bookmarkEnd w:id="28"/>
      <w:bookmarkEnd w:id="29"/>
    </w:p>
    <w:p>
      <w:pPr>
        <w:pStyle w:val="Heading3"/>
      </w:pPr>
      <w:bookmarkStart w:id="30" w:name="_Toc511203242"/>
      <w:bookmarkStart w:id="31" w:name="_Toc513121782"/>
      <w:r>
        <w:rPr>
          <w:rStyle w:val="CharDivNo"/>
        </w:rPr>
        <w:t>Division 1</w:t>
      </w:r>
      <w:r>
        <w:t> — </w:t>
      </w:r>
      <w:r>
        <w:rPr>
          <w:rStyle w:val="CharDivText"/>
        </w:rPr>
        <w:t>Preliminary</w:t>
      </w:r>
      <w:bookmarkEnd w:id="30"/>
      <w:bookmarkEnd w:id="31"/>
    </w:p>
    <w:p>
      <w:pPr>
        <w:pStyle w:val="Heading5"/>
      </w:pPr>
      <w:bookmarkStart w:id="32" w:name="_Toc513121783"/>
      <w:r>
        <w:rPr>
          <w:rStyle w:val="CharSectno"/>
        </w:rPr>
        <w:t>17</w:t>
      </w:r>
      <w:r>
        <w:t>.</w:t>
      </w:r>
      <w:r>
        <w:tab/>
        <w:t>Terms used</w:t>
      </w:r>
      <w:bookmarkEnd w:id="32"/>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spacing w:before="900"/>
      </w:pPr>
      <w:bookmarkStart w:id="33" w:name="_Toc511203244"/>
      <w:bookmarkStart w:id="34" w:name="_Toc513121784"/>
      <w:r>
        <w:rPr>
          <w:rStyle w:val="CharDivNo"/>
        </w:rPr>
        <w:t>Division 2</w:t>
      </w:r>
      <w:r>
        <w:t> — </w:t>
      </w:r>
      <w:r>
        <w:rPr>
          <w:rStyle w:val="CharDivText"/>
        </w:rPr>
        <w:t>Adoption of certain Australian Standards</w:t>
      </w:r>
      <w:bookmarkEnd w:id="33"/>
      <w:bookmarkEnd w:id="34"/>
    </w:p>
    <w:p>
      <w:pPr>
        <w:pStyle w:val="Heading5"/>
      </w:pPr>
      <w:bookmarkStart w:id="35" w:name="_Toc513121785"/>
      <w:r>
        <w:rPr>
          <w:rStyle w:val="CharSectno"/>
        </w:rPr>
        <w:t>18</w:t>
      </w:r>
      <w:r>
        <w:t>.</w:t>
      </w:r>
      <w:r>
        <w:tab/>
        <w:t>Adoption of certain Australian Standards (s. 144(6))</w:t>
      </w:r>
      <w:bookmarkEnd w:id="35"/>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 xml:space="preserve">The CEO is to make copies of the adopted standards available for public inspection during normal business hours at the offices of the Department at Grace Vaughan House, 227 Stubbs Terrace, </w:t>
      </w:r>
      <w:smartTag w:uri="urn:schemas-microsoft-com:office:smarttags" w:element="place">
        <w:smartTag w:uri="urn:schemas-microsoft-com:office:smarttags" w:element="PlaceName">
          <w:r>
            <w:t>Shenton</w:t>
          </w:r>
        </w:smartTag>
        <w:r>
          <w:t xml:space="preserve"> </w:t>
        </w:r>
        <w:smartTag w:uri="urn:schemas-microsoft-com:office:smarttags" w:element="PlaceType">
          <w:r>
            <w:t>Park</w:t>
          </w:r>
        </w:smartTag>
      </w:smartTag>
      <w:r>
        <w:t>.</w:t>
      </w:r>
    </w:p>
    <w:p>
      <w:pPr>
        <w:pStyle w:val="Subsection"/>
        <w:keepNext/>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36" w:name="_Toc513121786"/>
      <w:r>
        <w:rPr>
          <w:rStyle w:val="CharSectno"/>
        </w:rPr>
        <w:t>19</w:t>
      </w:r>
      <w:r>
        <w:t>.</w:t>
      </w:r>
      <w:r>
        <w:tab/>
        <w:t>Modification of adopted standards</w:t>
      </w:r>
      <w:bookmarkEnd w:id="36"/>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37" w:name="_Toc511203247"/>
      <w:bookmarkStart w:id="38" w:name="_Toc513121787"/>
      <w:r>
        <w:rPr>
          <w:rStyle w:val="CharDivNo"/>
        </w:rPr>
        <w:t>Division 3</w:t>
      </w:r>
      <w:r>
        <w:t> — </w:t>
      </w:r>
      <w:r>
        <w:rPr>
          <w:rStyle w:val="CharDivText"/>
        </w:rPr>
        <w:t>Inspection and branding</w:t>
      </w:r>
      <w:bookmarkEnd w:id="37"/>
      <w:bookmarkEnd w:id="38"/>
    </w:p>
    <w:p>
      <w:pPr>
        <w:pStyle w:val="Heading5"/>
      </w:pPr>
      <w:bookmarkStart w:id="39" w:name="_Toc513121788"/>
      <w:r>
        <w:rPr>
          <w:rStyle w:val="CharSectno"/>
        </w:rPr>
        <w:t>20</w:t>
      </w:r>
      <w:r>
        <w:t>.</w:t>
      </w:r>
      <w:r>
        <w:tab/>
        <w:t>Application of Division to primary producers</w:t>
      </w:r>
      <w:bookmarkEnd w:id="39"/>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40" w:name="_Toc513121789"/>
      <w:r>
        <w:rPr>
          <w:rStyle w:val="CharSectno"/>
        </w:rPr>
        <w:t>21</w:t>
      </w:r>
      <w:r>
        <w:t>.</w:t>
      </w:r>
      <w:r>
        <w:tab/>
        <w:t>Inspection of animals and carcases at abattoirs</w:t>
      </w:r>
      <w:bookmarkEnd w:id="40"/>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41" w:name="_Toc513121790"/>
      <w:r>
        <w:rPr>
          <w:rStyle w:val="CharSectno"/>
        </w:rPr>
        <w:t>22</w:t>
      </w:r>
      <w:r>
        <w:t>.</w:t>
      </w:r>
      <w:r>
        <w:tab/>
        <w:t>Branding carcases if fit for human consumption</w:t>
      </w:r>
      <w:bookmarkEnd w:id="41"/>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 xml:space="preserve">Subregulation (1) does not apply in relation to — </w:t>
      </w:r>
    </w:p>
    <w:p>
      <w:pPr>
        <w:pStyle w:val="Indenta"/>
        <w:spacing w:before="60"/>
      </w:pPr>
      <w:r>
        <w:tab/>
        <w:t>(a)</w:t>
      </w:r>
      <w:r>
        <w:tab/>
        <w:t>a carcase of poultry; or</w:t>
      </w:r>
    </w:p>
    <w:p>
      <w:pPr>
        <w:pStyle w:val="Indenta"/>
        <w:spacing w:before="60"/>
      </w:pPr>
      <w:r>
        <w:tab/>
        <w:t>(b)</w:t>
      </w:r>
      <w:r>
        <w:tab/>
        <w:t>a carcase of an animal slaughtered in the district of Kellerberrin or Kondinin; or</w:t>
      </w:r>
    </w:p>
    <w:p>
      <w:pPr>
        <w:pStyle w:val="Indenta"/>
        <w:spacing w:before="60"/>
      </w:pPr>
      <w:r>
        <w:tab/>
        <w:t>(c)</w:t>
      </w:r>
      <w:r>
        <w:tab/>
        <w:t>a carcase that is to be processed in a boning room (whether located at the abattoir or at separate premises) if the carcase is tagged with a tag specifying the name of the abattoir and the date on which the animal was slaughtered.</w:t>
      </w:r>
    </w:p>
    <w:p>
      <w:pPr>
        <w:pStyle w:val="Footnotesection"/>
      </w:pPr>
      <w:r>
        <w:tab/>
        <w:t>[Regulation 22 amended: Gazette 11 Aug 2015 p. 3219.]</w:t>
      </w:r>
    </w:p>
    <w:p>
      <w:pPr>
        <w:pStyle w:val="Heading5"/>
      </w:pPr>
      <w:bookmarkStart w:id="42" w:name="_Toc513121791"/>
      <w:r>
        <w:rPr>
          <w:rStyle w:val="CharSectno"/>
        </w:rPr>
        <w:t>23</w:t>
      </w:r>
      <w:r>
        <w:t>.</w:t>
      </w:r>
      <w:r>
        <w:tab/>
        <w:t>Branding carcases if fit for consumption by animals</w:t>
      </w:r>
      <w:bookmarkEnd w:id="42"/>
    </w:p>
    <w:p>
      <w:pPr>
        <w:pStyle w:val="Subsection"/>
        <w:spacing w:before="150"/>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Subregulation (1) does not apply in relation to a carcase of poultry.</w:t>
      </w:r>
    </w:p>
    <w:p>
      <w:pPr>
        <w:pStyle w:val="Heading5"/>
      </w:pPr>
      <w:bookmarkStart w:id="43" w:name="_Toc513121792"/>
      <w:r>
        <w:rPr>
          <w:rStyle w:val="CharSectno"/>
        </w:rPr>
        <w:t>24</w:t>
      </w:r>
      <w:r>
        <w:t>.</w:t>
      </w:r>
      <w:r>
        <w:tab/>
        <w:t>How carcases are to be branded</w:t>
      </w:r>
      <w:bookmarkEnd w:id="43"/>
    </w:p>
    <w:p>
      <w:pPr>
        <w:pStyle w:val="Subsection"/>
        <w:spacing w:before="150"/>
      </w:pPr>
      <w:r>
        <w:tab/>
        <w:t>(1)</w:t>
      </w:r>
      <w:r>
        <w:tab/>
        <w:t>This regulation applies to a carcase that is to be branded under regulation 22 or 23.</w:t>
      </w:r>
    </w:p>
    <w:p>
      <w:pPr>
        <w:pStyle w:val="Subsection"/>
        <w:spacing w:before="150"/>
      </w:pPr>
      <w:r>
        <w:tab/>
        <w:t>(2)</w:t>
      </w:r>
      <w:r>
        <w:tab/>
        <w:t>Except for rabbits, the carcase is to be branded on each side.</w:t>
      </w:r>
    </w:p>
    <w:p>
      <w:pPr>
        <w:pStyle w:val="Subsection"/>
        <w:spacing w:before="150"/>
      </w:pPr>
      <w:r>
        <w:tab/>
        <w:t>(3)</w:t>
      </w:r>
      <w:r>
        <w:tab/>
        <w:t xml:space="preserve">For a bovine, the carcase is to be branded — </w:t>
      </w:r>
    </w:p>
    <w:p>
      <w:pPr>
        <w:pStyle w:val="Indenta"/>
        <w:spacing w:before="60"/>
      </w:pPr>
      <w:r>
        <w:tab/>
        <w:t>(a)</w:t>
      </w:r>
      <w:r>
        <w:tab/>
        <w:t>on the outside of the buttock; and</w:t>
      </w:r>
    </w:p>
    <w:p>
      <w:pPr>
        <w:pStyle w:val="Indenta"/>
        <w:spacing w:before="60"/>
      </w:pPr>
      <w:r>
        <w:tab/>
        <w:t>(b)</w:t>
      </w:r>
      <w:r>
        <w:tab/>
        <w:t>on the outside of the ribs; and</w:t>
      </w:r>
    </w:p>
    <w:p>
      <w:pPr>
        <w:pStyle w:val="Indenta"/>
        <w:spacing w:before="60"/>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44" w:name="_Toc513121793"/>
      <w:r>
        <w:rPr>
          <w:rStyle w:val="CharSectno"/>
        </w:rPr>
        <w:t>25</w:t>
      </w:r>
      <w:r>
        <w:t>.</w:t>
      </w:r>
      <w:r>
        <w:tab/>
        <w:t>Branding carcases if unfit for human consumption or unfit for consumption by animals</w:t>
      </w:r>
      <w:bookmarkEnd w:id="44"/>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spacing w:before="70"/>
      </w:pPr>
      <w:r>
        <w:tab/>
        <w:t>Penalty: a fine of $5 000.</w:t>
      </w:r>
    </w:p>
    <w:p>
      <w:pPr>
        <w:pStyle w:val="Subsection"/>
        <w:spacing w:before="140"/>
      </w:pPr>
      <w:r>
        <w:tab/>
        <w:t>(3)</w:t>
      </w:r>
      <w:r>
        <w:tab/>
        <w:t>The carcase is to be branded on the shoulders, loins and legs, or on the portion of the carcase that is rejected, with a brand approved by the CEO for the purposes of this regulation.</w:t>
      </w:r>
    </w:p>
    <w:p>
      <w:pPr>
        <w:pStyle w:val="Subsection"/>
        <w:spacing w:before="140"/>
      </w:pPr>
      <w:r>
        <w:tab/>
        <w:t>(4)</w:t>
      </w:r>
      <w:r>
        <w:tab/>
        <w:t>A brand approved by the CEO to brand a carcase for the purposes of this regulation is to include a means of identifying the premises at which the animal was slaughtered.</w:t>
      </w:r>
    </w:p>
    <w:p>
      <w:pPr>
        <w:pStyle w:val="Subsection"/>
        <w:spacing w:before="140"/>
      </w:pPr>
      <w:r>
        <w:tab/>
        <w:t>(5)</w:t>
      </w:r>
      <w:r>
        <w:tab/>
        <w:t>A brand applied to a carcase under this regulation is to be coloured blue and made from a substance listed in a Schedule to FSC standard 1.3.1.</w:t>
      </w:r>
    </w:p>
    <w:p>
      <w:pPr>
        <w:pStyle w:val="Heading5"/>
        <w:spacing w:before="200"/>
      </w:pPr>
      <w:bookmarkStart w:id="45" w:name="_Toc513121794"/>
      <w:r>
        <w:rPr>
          <w:rStyle w:val="CharSectno"/>
        </w:rPr>
        <w:t>26</w:t>
      </w:r>
      <w:r>
        <w:t>.</w:t>
      </w:r>
      <w:r>
        <w:tab/>
        <w:t>Offences relating to brands or tags</w:t>
      </w:r>
      <w:bookmarkEnd w:id="45"/>
    </w:p>
    <w:p>
      <w:pPr>
        <w:pStyle w:val="Subsection"/>
        <w:spacing w:before="140"/>
      </w:pPr>
      <w:r>
        <w:tab/>
        <w:t>(1)</w:t>
      </w:r>
      <w:r>
        <w:tab/>
        <w:t>A person other than an authorised officer or a person acting on the direction of an authorised officer must not brand or tag a carcase for the purposes of regulation 22.</w:t>
      </w:r>
    </w:p>
    <w:p>
      <w:pPr>
        <w:pStyle w:val="Penstart"/>
        <w:spacing w:before="70"/>
      </w:pPr>
      <w:r>
        <w:tab/>
        <w:t>Penalty: a fine of $5 000.</w:t>
      </w:r>
    </w:p>
    <w:p>
      <w:pPr>
        <w:pStyle w:val="Subsection"/>
        <w:spacing w:before="130"/>
      </w:pPr>
      <w:r>
        <w:tab/>
        <w:t>(2)</w:t>
      </w:r>
      <w:r>
        <w:tab/>
        <w:t>Subregulation (1) does not apply to a carcase branded or tagged at a registered establishment.</w:t>
      </w:r>
    </w:p>
    <w:p>
      <w:pPr>
        <w:pStyle w:val="Subsection"/>
        <w:spacing w:before="130"/>
      </w:pPr>
      <w:r>
        <w:tab/>
        <w:t>(3)</w:t>
      </w:r>
      <w:r>
        <w:tab/>
        <w:t>A person must not, for a purpose relating to fitness for consumption, brand or tag a carcase or cause a carcase to be branded or tagged except in accordance with this Division.</w:t>
      </w:r>
    </w:p>
    <w:p>
      <w:pPr>
        <w:pStyle w:val="Penstart"/>
        <w:spacing w:before="70"/>
      </w:pPr>
      <w:r>
        <w:tab/>
        <w:t>Penalty: a fine of $5 000.</w:t>
      </w:r>
    </w:p>
    <w:p>
      <w:pPr>
        <w:pStyle w:val="Subsection"/>
        <w:keepNext/>
        <w:spacing w:before="130"/>
      </w:pPr>
      <w:r>
        <w:tab/>
        <w:t>(4)</w:t>
      </w:r>
      <w:r>
        <w:tab/>
        <w:t>A person must not remove from a carcase before it is sold by way of retail sale a brand applied to the carcase under this Division.</w:t>
      </w:r>
    </w:p>
    <w:p>
      <w:pPr>
        <w:pStyle w:val="Penstart"/>
        <w:spacing w:before="70"/>
      </w:pPr>
      <w:r>
        <w:tab/>
        <w:t>Penalty: a fine of $5 000.</w:t>
      </w:r>
    </w:p>
    <w:p>
      <w:pPr>
        <w:pStyle w:val="Subsection"/>
        <w:spacing w:before="130"/>
      </w:pPr>
      <w:r>
        <w:tab/>
        <w:t>(5)</w:t>
      </w:r>
      <w:r>
        <w:tab/>
        <w:t>A person must not remove from a carcase before it is processed in a boning room a tag attached to the carcase under regulation 22(3)(c).</w:t>
      </w:r>
    </w:p>
    <w:p>
      <w:pPr>
        <w:pStyle w:val="Penstart"/>
        <w:spacing w:before="70"/>
      </w:pPr>
      <w:r>
        <w:tab/>
        <w:t>Penalty: a fine of $5 000.</w:t>
      </w:r>
    </w:p>
    <w:p>
      <w:pPr>
        <w:pStyle w:val="Footnotesection"/>
      </w:pPr>
      <w:r>
        <w:tab/>
        <w:t>[Regulation 26 amended: Gazette 11 Aug 2015 p. 3220.]</w:t>
      </w:r>
    </w:p>
    <w:p>
      <w:pPr>
        <w:pStyle w:val="Heading5"/>
        <w:spacing w:before="200"/>
      </w:pPr>
      <w:bookmarkStart w:id="46" w:name="_Toc513121795"/>
      <w:r>
        <w:rPr>
          <w:rStyle w:val="CharSectno"/>
        </w:rPr>
        <w:t>27</w:t>
      </w:r>
      <w:r>
        <w:t>.</w:t>
      </w:r>
      <w:r>
        <w:tab/>
        <w:t>Restrictions on sale of carcases</w:t>
      </w:r>
      <w:bookmarkEnd w:id="46"/>
    </w:p>
    <w:p>
      <w:pPr>
        <w:pStyle w:val="Subsection"/>
        <w:spacing w:before="130"/>
      </w:pPr>
      <w:r>
        <w:tab/>
        <w:t>(1)</w:t>
      </w:r>
      <w:r>
        <w:tab/>
        <w:t xml:space="preserve">Unless a carcase is branded in accordance with this Division, a person must not — </w:t>
      </w:r>
    </w:p>
    <w:p>
      <w:pPr>
        <w:pStyle w:val="Indenta"/>
        <w:spacing w:before="60"/>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or (c)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Footnotesection"/>
      </w:pPr>
      <w:r>
        <w:tab/>
        <w:t>[Regulation 27 amended: Gazette 11 Aug 2015 p. 3220.]</w:t>
      </w:r>
    </w:p>
    <w:p>
      <w:pPr>
        <w:pStyle w:val="Heading3"/>
        <w:pageBreakBefore/>
        <w:spacing w:before="0"/>
      </w:pPr>
      <w:bookmarkStart w:id="47" w:name="_Toc511203256"/>
      <w:bookmarkStart w:id="48" w:name="_Toc513121796"/>
      <w:r>
        <w:rPr>
          <w:rStyle w:val="CharDivNo"/>
        </w:rPr>
        <w:t>Division 4</w:t>
      </w:r>
      <w:r>
        <w:t> — </w:t>
      </w:r>
      <w:r>
        <w:rPr>
          <w:rStyle w:val="CharDivText"/>
        </w:rPr>
        <w:t>Pet meat</w:t>
      </w:r>
      <w:bookmarkEnd w:id="47"/>
      <w:bookmarkEnd w:id="48"/>
    </w:p>
    <w:p>
      <w:pPr>
        <w:pStyle w:val="Heading4"/>
      </w:pPr>
      <w:bookmarkStart w:id="49" w:name="_Toc511203257"/>
      <w:bookmarkStart w:id="50" w:name="_Toc513121797"/>
      <w:r>
        <w:t>Subdivision 1 — Preliminary</w:t>
      </w:r>
      <w:bookmarkEnd w:id="49"/>
      <w:bookmarkEnd w:id="50"/>
    </w:p>
    <w:p>
      <w:pPr>
        <w:pStyle w:val="Heading5"/>
      </w:pPr>
      <w:bookmarkStart w:id="51" w:name="_Toc513121798"/>
      <w:r>
        <w:rPr>
          <w:rStyle w:val="CharSectno"/>
        </w:rPr>
        <w:t>28</w:t>
      </w:r>
      <w:r>
        <w:t>.</w:t>
      </w:r>
      <w:r>
        <w:tab/>
        <w:t>Term used: proprietor</w:t>
      </w:r>
      <w:bookmarkEnd w:id="51"/>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52" w:name="_Toc511203259"/>
      <w:bookmarkStart w:id="53" w:name="_Toc513121799"/>
      <w:r>
        <w:t>Subdivision 2 — Staining of pet meat</w:t>
      </w:r>
      <w:bookmarkEnd w:id="52"/>
      <w:bookmarkEnd w:id="53"/>
    </w:p>
    <w:p>
      <w:pPr>
        <w:pStyle w:val="Heading5"/>
        <w:spacing w:before="120"/>
      </w:pPr>
      <w:bookmarkStart w:id="54" w:name="_Toc513121800"/>
      <w:r>
        <w:rPr>
          <w:rStyle w:val="CharSectno"/>
        </w:rPr>
        <w:t>29</w:t>
      </w:r>
      <w:r>
        <w:t>.</w:t>
      </w:r>
      <w:r>
        <w:tab/>
        <w:t>Term used: dressing</w:t>
      </w:r>
      <w:bookmarkEnd w:id="54"/>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55" w:name="_Toc513121801"/>
      <w:r>
        <w:rPr>
          <w:rStyle w:val="CharSectno"/>
        </w:rPr>
        <w:t>30</w:t>
      </w:r>
      <w:r>
        <w:t>.</w:t>
      </w:r>
      <w:r>
        <w:tab/>
        <w:t>Requirement for pet meat to be stained</w:t>
      </w:r>
      <w:bookmarkEnd w:id="55"/>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56" w:name="_Toc513121802"/>
      <w:r>
        <w:rPr>
          <w:rStyle w:val="CharSectno"/>
        </w:rPr>
        <w:t>31</w:t>
      </w:r>
      <w:r>
        <w:t>.</w:t>
      </w:r>
      <w:r>
        <w:tab/>
        <w:t>How pet meat is to be stained</w:t>
      </w:r>
      <w:bookmarkEnd w:id="56"/>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57" w:name="_Toc513121803"/>
      <w:r>
        <w:rPr>
          <w:rStyle w:val="CharSectno"/>
        </w:rPr>
        <w:t>32</w:t>
      </w:r>
      <w:r>
        <w:t>.</w:t>
      </w:r>
      <w:r>
        <w:tab/>
        <w:t>Removal of stain from pet meat prohibited</w:t>
      </w:r>
      <w:bookmarkEnd w:id="57"/>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58" w:name="_Toc511203264"/>
      <w:bookmarkStart w:id="59" w:name="_Toc513121804"/>
      <w:r>
        <w:t>Subdivision 3 — Requirements relating to packaged and unpackaged pet meat</w:t>
      </w:r>
      <w:bookmarkEnd w:id="58"/>
      <w:bookmarkEnd w:id="59"/>
    </w:p>
    <w:p>
      <w:pPr>
        <w:pStyle w:val="Heading5"/>
      </w:pPr>
      <w:bookmarkStart w:id="60" w:name="_Toc513121805"/>
      <w:r>
        <w:rPr>
          <w:rStyle w:val="CharSectno"/>
        </w:rPr>
        <w:t>33</w:t>
      </w:r>
      <w:r>
        <w:t>.</w:t>
      </w:r>
      <w:r>
        <w:tab/>
        <w:t>Pet meat sold by food businesses to be packaged</w:t>
      </w:r>
      <w:bookmarkEnd w:id="60"/>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61" w:name="_Toc513121806"/>
      <w:r>
        <w:rPr>
          <w:rStyle w:val="CharSectno"/>
        </w:rPr>
        <w:t>34</w:t>
      </w:r>
      <w:r>
        <w:t>.</w:t>
      </w:r>
      <w:r>
        <w:tab/>
        <w:t>Unpackaged pet meat to be sold only at animal food processing premises or retail pet meat shops</w:t>
      </w:r>
      <w:bookmarkEnd w:id="61"/>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62" w:name="_Toc513121807"/>
      <w:r>
        <w:rPr>
          <w:rStyle w:val="CharSectno"/>
        </w:rPr>
        <w:t>35</w:t>
      </w:r>
      <w:r>
        <w:t>.</w:t>
      </w:r>
      <w:r>
        <w:tab/>
        <w:t>Unpackaged pet meat to be stored at animal food processing premises and retail pet meat shops in marked containers</w:t>
      </w:r>
      <w:bookmarkEnd w:id="62"/>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63" w:name="_Toc513121808"/>
      <w:r>
        <w:rPr>
          <w:rStyle w:val="CharSectno"/>
        </w:rPr>
        <w:t>36</w:t>
      </w:r>
      <w:r>
        <w:t>.</w:t>
      </w:r>
      <w:r>
        <w:tab/>
        <w:t>Unpackaged pet meat and food not to be processed, handled or sold at same food business premises</w:t>
      </w:r>
      <w:bookmarkEnd w:id="63"/>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spacing w:before="140"/>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spacing w:before="140"/>
      </w:pPr>
      <w:r>
        <w:tab/>
        <w:t>(4)</w:t>
      </w:r>
      <w:r>
        <w:tab/>
        <w:t>Subregulation (1) does not apply to the handling or storage of pet meat in poultry processing premises if the requirements stated in clauses 15.148 and 15.149 of the poultry standard are, to the extent applicable, complied with in relation to the handling or storage of that pet meat.</w:t>
      </w:r>
    </w:p>
    <w:p>
      <w:pPr>
        <w:pStyle w:val="Subsection"/>
        <w:spacing w:before="140"/>
      </w:pPr>
      <w:r>
        <w:tab/>
        <w:t>(5)</w:t>
      </w:r>
      <w:r>
        <w:tab/>
        <w:t>Subregulation (1) does not apply to the processing, handling, storage or sale of pet meat at premises if the pet meat, before it became pet meat, was processed, handled or stored as food at those premises.</w:t>
      </w:r>
    </w:p>
    <w:p>
      <w:pPr>
        <w:pStyle w:val="Footnotesection"/>
        <w:spacing w:before="100"/>
      </w:pPr>
      <w:r>
        <w:tab/>
        <w:t>[Regulation 36 amended: Gazette 20 Apr 2012 p. 1697.]</w:t>
      </w:r>
    </w:p>
    <w:p>
      <w:pPr>
        <w:pStyle w:val="Heading4"/>
      </w:pPr>
      <w:bookmarkStart w:id="64" w:name="_Toc511203269"/>
      <w:bookmarkStart w:id="65" w:name="_Toc513121809"/>
      <w:r>
        <w:t>Subdivision 4 — Other requirements</w:t>
      </w:r>
      <w:bookmarkEnd w:id="64"/>
      <w:bookmarkEnd w:id="65"/>
    </w:p>
    <w:p>
      <w:pPr>
        <w:pStyle w:val="Heading5"/>
        <w:spacing w:before="200"/>
      </w:pPr>
      <w:bookmarkStart w:id="66" w:name="_Toc513121810"/>
      <w:r>
        <w:rPr>
          <w:rStyle w:val="CharSectno"/>
        </w:rPr>
        <w:t>37</w:t>
      </w:r>
      <w:r>
        <w:t>.</w:t>
      </w:r>
      <w:r>
        <w:tab/>
        <w:t>Proprietor of animal food processing premises to establish and maintain system for tracing pet meat</w:t>
      </w:r>
      <w:bookmarkEnd w:id="66"/>
    </w:p>
    <w:p>
      <w:pPr>
        <w:pStyle w:val="Subsection"/>
        <w:spacing w:before="140"/>
      </w:pPr>
      <w:r>
        <w:tab/>
      </w:r>
      <w:r>
        <w:tab/>
        <w:t xml:space="preserve">The proprietor of animal food processing premises — </w:t>
      </w:r>
    </w:p>
    <w:p>
      <w:pPr>
        <w:pStyle w:val="Indenta"/>
        <w:spacing w:before="60"/>
      </w:pPr>
      <w:r>
        <w:tab/>
        <w:t>(a)</w:t>
      </w:r>
      <w:r>
        <w:tab/>
        <w:t xml:space="preserve">must establish and maintain a system that enables, to the extent reasonably possible, any pet meat supplied from those premises — </w:t>
      </w:r>
    </w:p>
    <w:p>
      <w:pPr>
        <w:pStyle w:val="Indenti"/>
        <w:spacing w:before="60"/>
      </w:pPr>
      <w:r>
        <w:tab/>
        <w:t>(i)</w:t>
      </w:r>
      <w:r>
        <w:tab/>
        <w:t>to be identified as having been supplied from those premises; and</w:t>
      </w:r>
    </w:p>
    <w:p>
      <w:pPr>
        <w:pStyle w:val="Indenti"/>
        <w:spacing w:before="60"/>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67" w:name="_Toc513121811"/>
      <w:r>
        <w:rPr>
          <w:rStyle w:val="CharSectno"/>
        </w:rPr>
        <w:t>38</w:t>
      </w:r>
      <w:r>
        <w:t>.</w:t>
      </w:r>
      <w:r>
        <w:tab/>
        <w:t>Meat and game meat for human consumption not to be stored in animal food processing premises</w:t>
      </w:r>
      <w:bookmarkEnd w:id="67"/>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68" w:name="_Toc513121812"/>
      <w:r>
        <w:rPr>
          <w:rStyle w:val="CharSectno"/>
        </w:rPr>
        <w:t>39</w:t>
      </w:r>
      <w:r>
        <w:t>.</w:t>
      </w:r>
      <w:r>
        <w:tab/>
        <w:t>Pet meat not to be sold as food</w:t>
      </w:r>
      <w:bookmarkEnd w:id="68"/>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69" w:name="_Toc511203273"/>
      <w:bookmarkStart w:id="70" w:name="_Toc513121813"/>
      <w:r>
        <w:t>Subdivision 5 — Notification of conduct of business at animal food processing premises and retail pet meat shops</w:t>
      </w:r>
      <w:bookmarkEnd w:id="69"/>
      <w:bookmarkEnd w:id="70"/>
    </w:p>
    <w:p>
      <w:pPr>
        <w:pStyle w:val="Heading5"/>
      </w:pPr>
      <w:bookmarkStart w:id="71" w:name="_Toc513121814"/>
      <w:r>
        <w:rPr>
          <w:rStyle w:val="CharSectno"/>
        </w:rPr>
        <w:t>40</w:t>
      </w:r>
      <w:r>
        <w:t>.</w:t>
      </w:r>
      <w:r>
        <w:tab/>
        <w:t>Notification of conduct of business at animal food processing premises and retail pet meat shops</w:t>
      </w:r>
      <w:bookmarkEnd w:id="71"/>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72" w:name="_Toc511203275"/>
      <w:bookmarkStart w:id="73" w:name="_Toc513121815"/>
      <w:r>
        <w:rPr>
          <w:rStyle w:val="CharDivNo"/>
        </w:rPr>
        <w:t>Division 5</w:t>
      </w:r>
      <w:r>
        <w:t> — </w:t>
      </w:r>
      <w:r>
        <w:rPr>
          <w:rStyle w:val="CharDivText"/>
        </w:rPr>
        <w:t>Statements and inspection fees</w:t>
      </w:r>
      <w:bookmarkEnd w:id="72"/>
      <w:bookmarkEnd w:id="73"/>
    </w:p>
    <w:p>
      <w:pPr>
        <w:pStyle w:val="Heading5"/>
      </w:pPr>
      <w:bookmarkStart w:id="74" w:name="_Toc513121816"/>
      <w:r>
        <w:rPr>
          <w:rStyle w:val="CharSectno"/>
        </w:rPr>
        <w:t>41</w:t>
      </w:r>
      <w:r>
        <w:t>.</w:t>
      </w:r>
      <w:r>
        <w:tab/>
        <w:t>Statements and inspection fees</w:t>
      </w:r>
      <w:bookmarkEnd w:id="74"/>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75" w:name="_Toc513121817"/>
      <w:r>
        <w:rPr>
          <w:rStyle w:val="CharSectno"/>
        </w:rPr>
        <w:t>42</w:t>
      </w:r>
      <w:r>
        <w:t>.</w:t>
      </w:r>
      <w:r>
        <w:tab/>
        <w:t>Application of inspection fees</w:t>
      </w:r>
      <w:bookmarkEnd w:id="75"/>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rPr>
        <w:t>Health (Miscellaneous Provisions) Act 1911</w:t>
      </w:r>
      <w:r>
        <w:t xml:space="preserve"> section 246F(4)(b)</w:t>
      </w:r>
      <w:r>
        <w:rPr>
          <w:vertAlign w:val="superscript"/>
        </w:rPr>
        <w:t> 3</w:t>
      </w:r>
      <w:r>
        <w:t xml:space="preserve"> immediately before the commencement of this regulation may be used by the local government for the purposes of subregulation (1).</w:t>
      </w:r>
    </w:p>
    <w:p>
      <w:pPr>
        <w:pStyle w:val="Footnotesection"/>
      </w:pPr>
      <w:r>
        <w:tab/>
        <w:t>[Regulation 42 amended: Gazette 10 Jan 2017 p. 254.]</w:t>
      </w:r>
    </w:p>
    <w:p>
      <w:pPr>
        <w:pStyle w:val="Heading5"/>
      </w:pPr>
      <w:bookmarkStart w:id="76" w:name="_Toc513121818"/>
      <w:r>
        <w:rPr>
          <w:rStyle w:val="CharSectno"/>
        </w:rPr>
        <w:t>43</w:t>
      </w:r>
      <w:r>
        <w:t>.</w:t>
      </w:r>
      <w:r>
        <w:tab/>
        <w:t>Local governments may require security</w:t>
      </w:r>
      <w:bookmarkEnd w:id="76"/>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77" w:name="_Toc513121819"/>
      <w:r>
        <w:rPr>
          <w:rStyle w:val="CharSectno"/>
        </w:rPr>
        <w:t>44</w:t>
      </w:r>
      <w:r>
        <w:t>.</w:t>
      </w:r>
      <w:r>
        <w:tab/>
        <w:t>Application of security to recover unpaid fees</w:t>
      </w:r>
      <w:bookmarkEnd w:id="77"/>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spacing w:before="120"/>
      </w:pPr>
      <w:r>
        <w:tab/>
      </w:r>
      <w:r>
        <w:tab/>
      </w:r>
      <w:r>
        <w:rPr>
          <w:spacing w:val="-4"/>
        </w:rPr>
        <w:t>the local government may use any security provided by the person under regulation 43(1) to recover the amount of the unpaid fees</w:t>
      </w:r>
      <w:r>
        <w:t>.</w:t>
      </w:r>
    </w:p>
    <w:p>
      <w:pPr>
        <w:pStyle w:val="Subsection"/>
      </w:pPr>
      <w:r>
        <w:tab/>
        <w:t>(2)</w:t>
      </w:r>
      <w:r>
        <w:tab/>
        <w:t>Subregulation (1) does not limit the means by which unpaid fees that are due and payable to a local government under regulation 41 may be recovered.</w:t>
      </w:r>
    </w:p>
    <w:p>
      <w:pPr>
        <w:pStyle w:val="Heading5"/>
      </w:pPr>
      <w:bookmarkStart w:id="78" w:name="_Toc513121820"/>
      <w:r>
        <w:rPr>
          <w:rStyle w:val="CharSectno"/>
        </w:rPr>
        <w:t>45</w:t>
      </w:r>
      <w:r>
        <w:t>.</w:t>
      </w:r>
      <w:r>
        <w:tab/>
        <w:t>Withdrawal of inspection services</w:t>
      </w:r>
      <w:bookmarkEnd w:id="78"/>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r>
      <w:r>
        <w:rPr>
          <w:spacing w:val="-4"/>
        </w:rPr>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r>
      <w:r>
        <w:rPr>
          <w:spacing w:val="-4"/>
        </w:rPr>
        <w:t>has had regard to any submissions made within that period</w:t>
      </w:r>
      <w:r>
        <w:t>.</w:t>
      </w:r>
    </w:p>
    <w:p>
      <w:pPr>
        <w:pStyle w:val="Heading3"/>
      </w:pPr>
      <w:bookmarkStart w:id="79" w:name="_Toc511203281"/>
      <w:bookmarkStart w:id="80" w:name="_Toc513121821"/>
      <w:r>
        <w:rPr>
          <w:rStyle w:val="CharDivNo"/>
        </w:rPr>
        <w:t>Division 6</w:t>
      </w:r>
      <w:r>
        <w:t> — </w:t>
      </w:r>
      <w:r>
        <w:rPr>
          <w:rStyle w:val="CharDivText"/>
        </w:rPr>
        <w:t>Premises used in meat production</w:t>
      </w:r>
      <w:bookmarkEnd w:id="79"/>
      <w:bookmarkEnd w:id="80"/>
    </w:p>
    <w:p>
      <w:pPr>
        <w:pStyle w:val="Heading5"/>
      </w:pPr>
      <w:bookmarkStart w:id="81" w:name="_Toc513121822"/>
      <w:r>
        <w:rPr>
          <w:rStyle w:val="CharSectno"/>
        </w:rPr>
        <w:t>46</w:t>
      </w:r>
      <w:r>
        <w:t>.</w:t>
      </w:r>
      <w:r>
        <w:tab/>
        <w:t>Abattoirs and processing premises to comply with requirements of adopted standards</w:t>
      </w:r>
      <w:bookmarkEnd w:id="81"/>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82" w:name="_Toc513121823"/>
      <w:r>
        <w:rPr>
          <w:rStyle w:val="CharSectno"/>
        </w:rPr>
        <w:t>47</w:t>
      </w:r>
      <w:r>
        <w:t>.</w:t>
      </w:r>
      <w:r>
        <w:tab/>
        <w:t>Slaughtering and processing to comply with requirements of adopted standards</w:t>
      </w:r>
      <w:bookmarkEnd w:id="82"/>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83" w:name="_Toc511203284"/>
      <w:bookmarkStart w:id="84" w:name="_Toc513121824"/>
      <w:r>
        <w:rPr>
          <w:rStyle w:val="CharDivNo"/>
        </w:rPr>
        <w:t>Division 7</w:t>
      </w:r>
      <w:r>
        <w:t> — </w:t>
      </w:r>
      <w:r>
        <w:rPr>
          <w:rStyle w:val="CharDivText"/>
        </w:rPr>
        <w:t>Premises used in game meat production</w:t>
      </w:r>
      <w:bookmarkEnd w:id="83"/>
      <w:bookmarkEnd w:id="84"/>
    </w:p>
    <w:p>
      <w:pPr>
        <w:pStyle w:val="Heading5"/>
      </w:pPr>
      <w:bookmarkStart w:id="85" w:name="_Toc513121825"/>
      <w:r>
        <w:rPr>
          <w:rStyle w:val="CharSectno"/>
        </w:rPr>
        <w:t>48</w:t>
      </w:r>
      <w:r>
        <w:t>.</w:t>
      </w:r>
      <w:r>
        <w:tab/>
        <w:t>Field depots to comply with requirements of wild game standard</w:t>
      </w:r>
      <w:bookmarkEnd w:id="85"/>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86" w:name="_Toc513121826"/>
      <w:r>
        <w:rPr>
          <w:rStyle w:val="CharSectno"/>
        </w:rPr>
        <w:t>49</w:t>
      </w:r>
      <w:r>
        <w:t>.</w:t>
      </w:r>
      <w:r>
        <w:tab/>
        <w:t>Wild game meat processing establishments to comply with requirements of wild game standard</w:t>
      </w:r>
      <w:bookmarkEnd w:id="86"/>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87" w:name="_Toc511203287"/>
      <w:bookmarkStart w:id="88" w:name="_Toc513121827"/>
      <w:r>
        <w:rPr>
          <w:rStyle w:val="CharDivNo"/>
        </w:rPr>
        <w:t>Division 8</w:t>
      </w:r>
      <w:r>
        <w:t> — </w:t>
      </w:r>
      <w:r>
        <w:rPr>
          <w:rStyle w:val="CharDivText"/>
        </w:rPr>
        <w:t>Transporting meat and game meat</w:t>
      </w:r>
      <w:bookmarkEnd w:id="87"/>
      <w:bookmarkEnd w:id="88"/>
    </w:p>
    <w:p>
      <w:pPr>
        <w:pStyle w:val="Heading5"/>
      </w:pPr>
      <w:bookmarkStart w:id="89" w:name="_Toc513121828"/>
      <w:r>
        <w:rPr>
          <w:rStyle w:val="CharSectno"/>
        </w:rPr>
        <w:t>50</w:t>
      </w:r>
      <w:r>
        <w:t>.</w:t>
      </w:r>
      <w:r>
        <w:tab/>
        <w:t>Vehicles transporting meat or game meat</w:t>
      </w:r>
      <w:bookmarkEnd w:id="89"/>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90" w:name="_Toc511203289"/>
      <w:bookmarkStart w:id="91" w:name="_Toc513121829"/>
      <w:r>
        <w:rPr>
          <w:rStyle w:val="CharPartNo"/>
        </w:rPr>
        <w:t>Part 6</w:t>
      </w:r>
      <w:r>
        <w:rPr>
          <w:rStyle w:val="CharDivNo"/>
        </w:rPr>
        <w:t> </w:t>
      </w:r>
      <w:r>
        <w:t>—</w:t>
      </w:r>
      <w:r>
        <w:rPr>
          <w:rStyle w:val="CharDivText"/>
        </w:rPr>
        <w:t> </w:t>
      </w:r>
      <w:r>
        <w:rPr>
          <w:rStyle w:val="CharPartText"/>
        </w:rPr>
        <w:t>Miscellaneous</w:t>
      </w:r>
      <w:bookmarkEnd w:id="90"/>
      <w:bookmarkEnd w:id="91"/>
    </w:p>
    <w:p>
      <w:pPr>
        <w:pStyle w:val="Heading5"/>
      </w:pPr>
      <w:bookmarkStart w:id="92" w:name="_Toc513121830"/>
      <w:r>
        <w:rPr>
          <w:rStyle w:val="CharSectno"/>
        </w:rPr>
        <w:t>51</w:t>
      </w:r>
      <w:r>
        <w:t>.</w:t>
      </w:r>
      <w:r>
        <w:tab/>
        <w:t>Enforcement agency may make list of food businesses publicly available</w:t>
      </w:r>
      <w:bookmarkEnd w:id="92"/>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93" w:name="_Toc513121831"/>
      <w:r>
        <w:rPr>
          <w:rStyle w:val="CharSectno"/>
        </w:rPr>
        <w:t>52</w:t>
      </w:r>
      <w:r>
        <w:t>.</w:t>
      </w:r>
      <w:r>
        <w:tab/>
        <w:t>Prescribed fees</w:t>
      </w:r>
      <w:bookmarkEnd w:id="93"/>
    </w:p>
    <w:p>
      <w:pPr>
        <w:pStyle w:val="Subsection"/>
      </w:pPr>
      <w:r>
        <w:tab/>
      </w:r>
      <w:r>
        <w:tab/>
        <w:t>The fee specified in Schedule 2 column 3 opposite a provision of the Act specified in Schedule 2 column 2 is the prescribed fee for that provision of the Act.</w:t>
      </w:r>
    </w:p>
    <w:p>
      <w:pPr>
        <w:pStyle w:val="Heading5"/>
      </w:pPr>
      <w:bookmarkStart w:id="94" w:name="_Toc513121832"/>
      <w:r>
        <w:rPr>
          <w:rStyle w:val="CharSectno"/>
        </w:rPr>
        <w:t>53</w:t>
      </w:r>
      <w:r>
        <w:t>.</w:t>
      </w:r>
      <w:r>
        <w:tab/>
        <w:t>Prescribed offences and modified penalties (s. 126)</w:t>
      </w:r>
      <w:bookmarkEnd w:id="94"/>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95" w:name="_Toc513121833"/>
      <w:r>
        <w:rPr>
          <w:rStyle w:val="CharSectno"/>
        </w:rPr>
        <w:t>54</w:t>
      </w:r>
      <w:r>
        <w:t>.</w:t>
      </w:r>
      <w:r>
        <w:tab/>
        <w:t>Prescribed forms (s. 126(3) and (7))</w:t>
      </w:r>
      <w:bookmarkEnd w:id="95"/>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Gazette 20 Apr 2012 p. 1697.]</w:t>
      </w:r>
    </w:p>
    <w:p>
      <w:pPr>
        <w:sectPr>
          <w:headerReference w:type="even" r:id="rId23"/>
          <w:headerReference w:type="default"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96" w:name="_Toc511203294"/>
      <w:bookmarkStart w:id="97" w:name="_Toc513121834"/>
      <w:r>
        <w:rPr>
          <w:rStyle w:val="CharSchNo"/>
        </w:rPr>
        <w:t>Schedule 1</w:t>
      </w:r>
      <w:r>
        <w:rPr>
          <w:rStyle w:val="CharSDivNo"/>
        </w:rPr>
        <w:t> </w:t>
      </w:r>
      <w:r>
        <w:t>—</w:t>
      </w:r>
      <w:r>
        <w:rPr>
          <w:rStyle w:val="CharSDivText"/>
        </w:rPr>
        <w:t> </w:t>
      </w:r>
      <w:r>
        <w:rPr>
          <w:rStyle w:val="CharSchText"/>
        </w:rPr>
        <w:t>Inspection fees</w:t>
      </w:r>
      <w:bookmarkEnd w:id="96"/>
      <w:bookmarkEnd w:id="97"/>
    </w:p>
    <w:p>
      <w:pPr>
        <w:pStyle w:val="yShoulderClause"/>
        <w:spacing w:after="60"/>
      </w:pPr>
      <w:r>
        <w:t>[r.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923"/>
        <w:gridCol w:w="1559"/>
        <w:gridCol w:w="1134"/>
      </w:tblGrid>
      <w:tr>
        <w:trPr>
          <w:cantSplit/>
          <w:tblHeader/>
        </w:trPr>
        <w:tc>
          <w:tcPr>
            <w:tcW w:w="709" w:type="dxa"/>
            <w:vMerge w:val="restart"/>
            <w:tcBorders>
              <w:top w:val="single" w:sz="4" w:space="0" w:color="auto"/>
              <w:left w:val="nil"/>
              <w:bottom w:val="single" w:sz="4" w:space="0" w:color="auto"/>
              <w:right w:val="nil"/>
            </w:tcBorders>
          </w:tcPr>
          <w:p>
            <w:pPr>
              <w:pStyle w:val="yTableNAm"/>
            </w:pPr>
          </w:p>
        </w:tc>
        <w:tc>
          <w:tcPr>
            <w:tcW w:w="2763" w:type="dxa"/>
            <w:vMerge w:val="restart"/>
            <w:tcBorders>
              <w:top w:val="single" w:sz="4" w:space="0" w:color="auto"/>
              <w:left w:val="nil"/>
              <w:bottom w:val="single" w:sz="4" w:space="0" w:color="auto"/>
              <w:right w:val="nil"/>
            </w:tcBorders>
          </w:tcPr>
          <w:p>
            <w:pPr>
              <w:pStyle w:val="yTableNAm"/>
            </w:pPr>
          </w:p>
          <w:p>
            <w:pPr>
              <w:pStyle w:val="yTableNAm"/>
              <w:rPr>
                <w:b/>
              </w:rPr>
            </w:pPr>
            <w:r>
              <w:rPr>
                <w:b/>
              </w:rPr>
              <w:t>Local government</w:t>
            </w:r>
          </w:p>
        </w:tc>
        <w:tc>
          <w:tcPr>
            <w:tcW w:w="3616" w:type="dxa"/>
            <w:gridSpan w:val="3"/>
            <w:tcBorders>
              <w:top w:val="single" w:sz="4" w:space="0" w:color="auto"/>
              <w:left w:val="nil"/>
              <w:bottom w:val="single" w:sz="4" w:space="0" w:color="auto"/>
              <w:right w:val="nil"/>
            </w:tcBorders>
          </w:tcPr>
          <w:p>
            <w:pPr>
              <w:pStyle w:val="yTableNAm"/>
            </w:pPr>
            <w:r>
              <w:rPr>
                <w:b/>
              </w:rPr>
              <w:t>Fee per animal ($)</w:t>
            </w:r>
          </w:p>
        </w:tc>
      </w:tr>
      <w:tr>
        <w:trPr>
          <w:cantSplit/>
          <w:tblHeader/>
        </w:trPr>
        <w:tc>
          <w:tcPr>
            <w:tcW w:w="709" w:type="dxa"/>
            <w:vMerge/>
            <w:tcBorders>
              <w:top w:val="nil"/>
              <w:left w:val="nil"/>
              <w:bottom w:val="single" w:sz="4" w:space="0" w:color="auto"/>
              <w:right w:val="nil"/>
            </w:tcBorders>
          </w:tcPr>
          <w:p>
            <w:pPr>
              <w:pStyle w:val="yTableNAm"/>
            </w:pPr>
          </w:p>
        </w:tc>
        <w:tc>
          <w:tcPr>
            <w:tcW w:w="2763" w:type="dxa"/>
            <w:vMerge/>
            <w:tcBorders>
              <w:top w:val="nil"/>
              <w:left w:val="nil"/>
              <w:bottom w:val="single" w:sz="4" w:space="0" w:color="auto"/>
              <w:right w:val="nil"/>
            </w:tcBorders>
          </w:tcPr>
          <w:p>
            <w:pPr>
              <w:pStyle w:val="yTableNAm"/>
            </w:pPr>
          </w:p>
        </w:tc>
        <w:tc>
          <w:tcPr>
            <w:tcW w:w="923" w:type="dxa"/>
            <w:tcBorders>
              <w:top w:val="single" w:sz="4" w:space="0" w:color="auto"/>
              <w:left w:val="nil"/>
              <w:bottom w:val="single" w:sz="4" w:space="0" w:color="auto"/>
              <w:right w:val="nil"/>
            </w:tcBorders>
          </w:tcPr>
          <w:p>
            <w:pPr>
              <w:pStyle w:val="yTableNAm"/>
            </w:pPr>
            <w:r>
              <w:rPr>
                <w:b/>
              </w:rPr>
              <w:t>Pigs</w:t>
            </w:r>
          </w:p>
        </w:tc>
        <w:tc>
          <w:tcPr>
            <w:tcW w:w="1559" w:type="dxa"/>
            <w:tcBorders>
              <w:top w:val="single" w:sz="4" w:space="0" w:color="auto"/>
              <w:left w:val="nil"/>
              <w:bottom w:val="single" w:sz="4" w:space="0" w:color="auto"/>
              <w:right w:val="nil"/>
            </w:tcBorders>
          </w:tcPr>
          <w:p>
            <w:pPr>
              <w:pStyle w:val="yTableNAm"/>
              <w:rPr>
                <w:b/>
              </w:rPr>
            </w:pPr>
            <w:r>
              <w:rPr>
                <w:b/>
              </w:rPr>
              <w:t xml:space="preserve">Bovines </w:t>
            </w:r>
            <w:r>
              <w:rPr>
                <w:b/>
              </w:rPr>
              <w:br/>
            </w:r>
            <w:r>
              <w:rPr>
                <w:sz w:val="18"/>
              </w:rPr>
              <w:t xml:space="preserve">(70 kg &amp; under) </w:t>
            </w:r>
            <w:r>
              <w:rPr>
                <w:sz w:val="18"/>
              </w:rPr>
              <w:br/>
            </w:r>
            <w:r>
              <w:rPr>
                <w:b/>
              </w:rPr>
              <w:t>and other animals</w:t>
            </w:r>
          </w:p>
        </w:tc>
        <w:tc>
          <w:tcPr>
            <w:tcW w:w="1134" w:type="dxa"/>
            <w:tcBorders>
              <w:top w:val="single" w:sz="4" w:space="0" w:color="auto"/>
              <w:left w:val="nil"/>
              <w:bottom w:val="single" w:sz="4" w:space="0" w:color="auto"/>
              <w:right w:val="nil"/>
            </w:tcBorders>
          </w:tcPr>
          <w:p>
            <w:pPr>
              <w:pStyle w:val="yTableNAm"/>
            </w:pPr>
            <w:r>
              <w:rPr>
                <w:b/>
              </w:rPr>
              <w:t xml:space="preserve">Bovines </w:t>
            </w:r>
            <w:r>
              <w:rPr>
                <w:sz w:val="18"/>
              </w:rPr>
              <w:t>(over 70 kg)</w:t>
            </w:r>
          </w:p>
        </w:tc>
      </w:tr>
      <w:tr>
        <w:trPr>
          <w:cantSplit/>
        </w:trPr>
        <w:tc>
          <w:tcPr>
            <w:tcW w:w="709" w:type="dxa"/>
            <w:tcBorders>
              <w:top w:val="nil"/>
              <w:left w:val="nil"/>
              <w:bottom w:val="nil"/>
              <w:right w:val="nil"/>
            </w:tcBorders>
          </w:tcPr>
          <w:p>
            <w:pPr>
              <w:pStyle w:val="yTableNAm"/>
            </w:pPr>
            <w:r>
              <w:t>1.</w:t>
            </w:r>
          </w:p>
        </w:tc>
        <w:tc>
          <w:tcPr>
            <w:tcW w:w="2763" w:type="dxa"/>
            <w:tcBorders>
              <w:top w:val="nil"/>
              <w:left w:val="nil"/>
              <w:bottom w:val="nil"/>
              <w:right w:val="nil"/>
            </w:tcBorders>
          </w:tcPr>
          <w:p>
            <w:pPr>
              <w:pStyle w:val="yTableNAm"/>
              <w:rPr>
                <w:spacing w:val="-2"/>
              </w:rPr>
            </w:pPr>
            <w:r>
              <w:rPr>
                <w:bCs/>
              </w:rPr>
              <w:t>Bunbury ...............................</w:t>
            </w:r>
          </w:p>
        </w:tc>
        <w:tc>
          <w:tcPr>
            <w:tcW w:w="923" w:type="dxa"/>
            <w:tcBorders>
              <w:top w:val="nil"/>
              <w:left w:val="nil"/>
              <w:bottom w:val="nil"/>
              <w:right w:val="nil"/>
            </w:tcBorders>
          </w:tcPr>
          <w:p>
            <w:pPr>
              <w:pStyle w:val="yTableNAm"/>
              <w:rPr>
                <w:szCs w:val="22"/>
              </w:rPr>
            </w:pPr>
            <w:r>
              <w:rPr>
                <w:bCs/>
              </w:rPr>
              <w:t>3.30</w:t>
            </w:r>
          </w:p>
        </w:tc>
        <w:tc>
          <w:tcPr>
            <w:tcW w:w="1559" w:type="dxa"/>
            <w:tcBorders>
              <w:top w:val="nil"/>
              <w:left w:val="nil"/>
              <w:bottom w:val="nil"/>
              <w:right w:val="nil"/>
            </w:tcBorders>
          </w:tcPr>
          <w:p>
            <w:pPr>
              <w:pStyle w:val="yTableNAm"/>
              <w:rPr>
                <w:szCs w:val="22"/>
              </w:rPr>
            </w:pPr>
            <w:r>
              <w:rPr>
                <w:bCs/>
              </w:rPr>
              <w:t>0.80</w:t>
            </w:r>
          </w:p>
        </w:tc>
        <w:tc>
          <w:tcPr>
            <w:tcW w:w="1134" w:type="dxa"/>
            <w:tcBorders>
              <w:top w:val="nil"/>
              <w:left w:val="nil"/>
              <w:bottom w:val="nil"/>
              <w:right w:val="nil"/>
            </w:tcBorders>
          </w:tcPr>
          <w:p>
            <w:pPr>
              <w:pStyle w:val="yTableNAm"/>
              <w:rPr>
                <w:szCs w:val="22"/>
              </w:rPr>
            </w:pPr>
            <w:r>
              <w:rPr>
                <w:bCs/>
              </w:rPr>
              <w:t>3.55</w:t>
            </w:r>
          </w:p>
        </w:tc>
      </w:tr>
      <w:tr>
        <w:trPr>
          <w:cantSplit/>
        </w:trPr>
        <w:tc>
          <w:tcPr>
            <w:tcW w:w="709" w:type="dxa"/>
            <w:tcBorders>
              <w:top w:val="nil"/>
              <w:left w:val="nil"/>
              <w:bottom w:val="nil"/>
              <w:right w:val="nil"/>
            </w:tcBorders>
          </w:tcPr>
          <w:p>
            <w:pPr>
              <w:pStyle w:val="yTableNAm"/>
            </w:pPr>
            <w:r>
              <w:t>2.</w:t>
            </w:r>
          </w:p>
        </w:tc>
        <w:tc>
          <w:tcPr>
            <w:tcW w:w="2763" w:type="dxa"/>
            <w:tcBorders>
              <w:top w:val="nil"/>
              <w:left w:val="nil"/>
              <w:bottom w:val="nil"/>
              <w:right w:val="nil"/>
            </w:tcBorders>
          </w:tcPr>
          <w:p>
            <w:pPr>
              <w:pStyle w:val="yTableNAm"/>
            </w:pPr>
            <w:r>
              <w:t>Canning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1.38</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3.</w:t>
            </w:r>
          </w:p>
        </w:tc>
        <w:tc>
          <w:tcPr>
            <w:tcW w:w="2763" w:type="dxa"/>
            <w:tcBorders>
              <w:top w:val="nil"/>
              <w:left w:val="nil"/>
              <w:bottom w:val="nil"/>
              <w:right w:val="nil"/>
            </w:tcBorders>
          </w:tcPr>
          <w:p>
            <w:pPr>
              <w:pStyle w:val="yTableNAm"/>
            </w:pPr>
            <w:r>
              <w:t>Coolgardie ...........................</w:t>
            </w:r>
          </w:p>
        </w:tc>
        <w:tc>
          <w:tcPr>
            <w:tcW w:w="923" w:type="dxa"/>
            <w:tcBorders>
              <w:top w:val="nil"/>
              <w:left w:val="nil"/>
              <w:bottom w:val="nil"/>
              <w:right w:val="nil"/>
            </w:tcBorders>
          </w:tcPr>
          <w:p>
            <w:pPr>
              <w:pStyle w:val="yTableNAm"/>
            </w:pPr>
            <w:r>
              <w:t>9.90</w:t>
            </w:r>
          </w:p>
        </w:tc>
        <w:tc>
          <w:tcPr>
            <w:tcW w:w="1559" w:type="dxa"/>
            <w:tcBorders>
              <w:top w:val="nil"/>
              <w:left w:val="nil"/>
              <w:bottom w:val="nil"/>
              <w:right w:val="nil"/>
            </w:tcBorders>
          </w:tcPr>
          <w:p>
            <w:pPr>
              <w:pStyle w:val="yTableNAm"/>
            </w:pPr>
            <w:r>
              <w:t>3.85</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4.</w:t>
            </w:r>
          </w:p>
        </w:tc>
        <w:tc>
          <w:tcPr>
            <w:tcW w:w="2763" w:type="dxa"/>
            <w:tcBorders>
              <w:top w:val="nil"/>
              <w:left w:val="nil"/>
              <w:bottom w:val="nil"/>
              <w:right w:val="nil"/>
            </w:tcBorders>
          </w:tcPr>
          <w:p>
            <w:pPr>
              <w:pStyle w:val="yTableNAm"/>
              <w:rPr>
                <w:spacing w:val="-2"/>
              </w:rPr>
            </w:pPr>
            <w:r>
              <w:t>Corrigin ...............................</w:t>
            </w:r>
          </w:p>
        </w:tc>
        <w:tc>
          <w:tcPr>
            <w:tcW w:w="923" w:type="dxa"/>
            <w:tcBorders>
              <w:top w:val="nil"/>
              <w:left w:val="nil"/>
              <w:bottom w:val="nil"/>
              <w:right w:val="nil"/>
            </w:tcBorders>
          </w:tcPr>
          <w:p>
            <w:pPr>
              <w:pStyle w:val="yTableNAm"/>
            </w:pPr>
            <w:r>
              <w:t>5.88</w:t>
            </w:r>
          </w:p>
        </w:tc>
        <w:tc>
          <w:tcPr>
            <w:tcW w:w="1559" w:type="dxa"/>
            <w:tcBorders>
              <w:top w:val="nil"/>
              <w:left w:val="nil"/>
              <w:bottom w:val="nil"/>
              <w:right w:val="nil"/>
            </w:tcBorders>
          </w:tcPr>
          <w:p>
            <w:pPr>
              <w:pStyle w:val="yTableNAm"/>
            </w:pPr>
            <w:r>
              <w:t>1.65</w:t>
            </w:r>
          </w:p>
        </w:tc>
        <w:tc>
          <w:tcPr>
            <w:tcW w:w="1134" w:type="dxa"/>
            <w:tcBorders>
              <w:top w:val="nil"/>
              <w:left w:val="nil"/>
              <w:bottom w:val="nil"/>
              <w:right w:val="nil"/>
            </w:tcBorders>
          </w:tcPr>
          <w:p>
            <w:pPr>
              <w:pStyle w:val="yTableNAm"/>
            </w:pPr>
            <w:r>
              <w:t>9.00</w:t>
            </w:r>
          </w:p>
        </w:tc>
      </w:tr>
      <w:tr>
        <w:trPr>
          <w:cantSplit/>
        </w:trPr>
        <w:tc>
          <w:tcPr>
            <w:tcW w:w="709" w:type="dxa"/>
            <w:tcBorders>
              <w:top w:val="nil"/>
              <w:left w:val="nil"/>
              <w:bottom w:val="nil"/>
              <w:right w:val="nil"/>
            </w:tcBorders>
          </w:tcPr>
          <w:p>
            <w:pPr>
              <w:pStyle w:val="yTableNAm"/>
            </w:pPr>
            <w:r>
              <w:t>5.</w:t>
            </w:r>
          </w:p>
        </w:tc>
        <w:tc>
          <w:tcPr>
            <w:tcW w:w="2763" w:type="dxa"/>
            <w:tcBorders>
              <w:top w:val="nil"/>
              <w:left w:val="nil"/>
              <w:bottom w:val="nil"/>
              <w:right w:val="nil"/>
            </w:tcBorders>
          </w:tcPr>
          <w:p>
            <w:pPr>
              <w:pStyle w:val="yTableNAm"/>
            </w:pPr>
            <w:r>
              <w:t>Esperance ............................</w:t>
            </w:r>
          </w:p>
        </w:tc>
        <w:tc>
          <w:tcPr>
            <w:tcW w:w="923" w:type="dxa"/>
            <w:tcBorders>
              <w:top w:val="nil"/>
              <w:left w:val="nil"/>
              <w:bottom w:val="nil"/>
              <w:right w:val="nil"/>
            </w:tcBorders>
          </w:tcPr>
          <w:p>
            <w:pPr>
              <w:pStyle w:val="yTableNAm"/>
            </w:pPr>
            <w:r>
              <w:rPr>
                <w:szCs w:val="22"/>
              </w:rPr>
              <w:t>2.20</w:t>
            </w:r>
          </w:p>
        </w:tc>
        <w:tc>
          <w:tcPr>
            <w:tcW w:w="1559" w:type="dxa"/>
            <w:tcBorders>
              <w:top w:val="nil"/>
              <w:left w:val="nil"/>
              <w:bottom w:val="nil"/>
              <w:right w:val="nil"/>
            </w:tcBorders>
          </w:tcPr>
          <w:p>
            <w:pPr>
              <w:pStyle w:val="yTableNAm"/>
            </w:pPr>
            <w:r>
              <w:rPr>
                <w:szCs w:val="22"/>
              </w:rPr>
              <w:t>0.52</w:t>
            </w:r>
          </w:p>
        </w:tc>
        <w:tc>
          <w:tcPr>
            <w:tcW w:w="1134" w:type="dxa"/>
            <w:tcBorders>
              <w:top w:val="nil"/>
              <w:left w:val="nil"/>
              <w:bottom w:val="nil"/>
              <w:right w:val="nil"/>
            </w:tcBorders>
          </w:tcPr>
          <w:p>
            <w:pPr>
              <w:pStyle w:val="yTableNAm"/>
            </w:pPr>
            <w:r>
              <w:rPr>
                <w:szCs w:val="22"/>
              </w:rPr>
              <w:t>4.11</w:t>
            </w:r>
          </w:p>
        </w:tc>
      </w:tr>
      <w:tr>
        <w:trPr>
          <w:cantSplit/>
        </w:trPr>
        <w:tc>
          <w:tcPr>
            <w:tcW w:w="709" w:type="dxa"/>
            <w:tcBorders>
              <w:top w:val="nil"/>
              <w:left w:val="nil"/>
              <w:bottom w:val="nil"/>
              <w:right w:val="nil"/>
            </w:tcBorders>
          </w:tcPr>
          <w:p>
            <w:pPr>
              <w:pStyle w:val="yTableNAm"/>
            </w:pPr>
            <w:r>
              <w:t>6.</w:t>
            </w:r>
          </w:p>
        </w:tc>
        <w:tc>
          <w:tcPr>
            <w:tcW w:w="2763" w:type="dxa"/>
            <w:tcBorders>
              <w:top w:val="nil"/>
              <w:left w:val="nil"/>
              <w:bottom w:val="nil"/>
              <w:right w:val="nil"/>
            </w:tcBorders>
          </w:tcPr>
          <w:p>
            <w:pPr>
              <w:pStyle w:val="yTableNAm"/>
            </w:pPr>
            <w:r>
              <w:t>Gingin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0.33</w:t>
            </w:r>
          </w:p>
        </w:tc>
        <w:tc>
          <w:tcPr>
            <w:tcW w:w="1134" w:type="dxa"/>
            <w:tcBorders>
              <w:top w:val="nil"/>
              <w:left w:val="nil"/>
              <w:bottom w:val="nil"/>
              <w:right w:val="nil"/>
            </w:tcBorders>
          </w:tcPr>
          <w:p>
            <w:pPr>
              <w:pStyle w:val="yTableNAm"/>
            </w:pPr>
            <w:r>
              <w:t>4.23</w:t>
            </w:r>
          </w:p>
        </w:tc>
      </w:tr>
      <w:tr>
        <w:trPr>
          <w:cantSplit/>
        </w:trPr>
        <w:tc>
          <w:tcPr>
            <w:tcW w:w="709" w:type="dxa"/>
            <w:tcBorders>
              <w:top w:val="nil"/>
              <w:left w:val="nil"/>
              <w:bottom w:val="nil"/>
              <w:right w:val="nil"/>
            </w:tcBorders>
          </w:tcPr>
          <w:p>
            <w:pPr>
              <w:pStyle w:val="yTableNAm"/>
            </w:pPr>
            <w:r>
              <w:t>7.</w:t>
            </w:r>
          </w:p>
        </w:tc>
        <w:tc>
          <w:tcPr>
            <w:tcW w:w="2763" w:type="dxa"/>
            <w:tcBorders>
              <w:top w:val="nil"/>
              <w:left w:val="nil"/>
              <w:bottom w:val="nil"/>
              <w:right w:val="nil"/>
            </w:tcBorders>
          </w:tcPr>
          <w:p>
            <w:pPr>
              <w:pStyle w:val="yTableNAm"/>
            </w:pPr>
            <w:r>
              <w:t>Greenough ...........................</w:t>
            </w:r>
          </w:p>
        </w:tc>
        <w:tc>
          <w:tcPr>
            <w:tcW w:w="923" w:type="dxa"/>
            <w:tcBorders>
              <w:top w:val="nil"/>
              <w:left w:val="nil"/>
              <w:bottom w:val="nil"/>
              <w:right w:val="nil"/>
            </w:tcBorders>
          </w:tcPr>
          <w:p>
            <w:pPr>
              <w:pStyle w:val="yTableNAm"/>
            </w:pPr>
            <w:r>
              <w:t>6.50</w:t>
            </w:r>
          </w:p>
        </w:tc>
        <w:tc>
          <w:tcPr>
            <w:tcW w:w="1559" w:type="dxa"/>
            <w:tcBorders>
              <w:top w:val="nil"/>
              <w:left w:val="nil"/>
              <w:bottom w:val="nil"/>
              <w:right w:val="nil"/>
            </w:tcBorders>
          </w:tcPr>
          <w:p>
            <w:pPr>
              <w:pStyle w:val="yTableNAm"/>
            </w:pPr>
            <w:r>
              <w:t>1.85</w:t>
            </w:r>
          </w:p>
        </w:tc>
        <w:tc>
          <w:tcPr>
            <w:tcW w:w="1134" w:type="dxa"/>
            <w:tcBorders>
              <w:top w:val="nil"/>
              <w:left w:val="nil"/>
              <w:bottom w:val="nil"/>
              <w:right w:val="nil"/>
            </w:tcBorders>
          </w:tcPr>
          <w:p>
            <w:pPr>
              <w:pStyle w:val="yTableNAm"/>
            </w:pPr>
            <w:r>
              <w:t>10.20</w:t>
            </w:r>
          </w:p>
        </w:tc>
      </w:tr>
      <w:tr>
        <w:trPr>
          <w:cantSplit/>
        </w:trPr>
        <w:tc>
          <w:tcPr>
            <w:tcW w:w="709" w:type="dxa"/>
            <w:tcBorders>
              <w:top w:val="nil"/>
              <w:left w:val="nil"/>
              <w:bottom w:val="nil"/>
              <w:right w:val="nil"/>
            </w:tcBorders>
          </w:tcPr>
          <w:p>
            <w:pPr>
              <w:pStyle w:val="yTableNAm"/>
            </w:pPr>
            <w:r>
              <w:t>8.</w:t>
            </w:r>
          </w:p>
        </w:tc>
        <w:tc>
          <w:tcPr>
            <w:tcW w:w="2763" w:type="dxa"/>
            <w:tcBorders>
              <w:top w:val="nil"/>
              <w:left w:val="nil"/>
              <w:bottom w:val="nil"/>
              <w:right w:val="nil"/>
            </w:tcBorders>
          </w:tcPr>
          <w:p>
            <w:pPr>
              <w:pStyle w:val="yTableNAm"/>
            </w:pPr>
            <w:r>
              <w:t>Harvey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1.19</w:t>
            </w:r>
          </w:p>
        </w:tc>
        <w:tc>
          <w:tcPr>
            <w:tcW w:w="1134" w:type="dxa"/>
            <w:tcBorders>
              <w:top w:val="nil"/>
              <w:left w:val="nil"/>
              <w:bottom w:val="nil"/>
              <w:right w:val="nil"/>
            </w:tcBorders>
          </w:tcPr>
          <w:p>
            <w:pPr>
              <w:pStyle w:val="yTableNAm"/>
            </w:pPr>
            <w:r>
              <w:t>7.60</w:t>
            </w:r>
          </w:p>
        </w:tc>
      </w:tr>
      <w:tr>
        <w:trPr>
          <w:cantSplit/>
        </w:trPr>
        <w:tc>
          <w:tcPr>
            <w:tcW w:w="709" w:type="dxa"/>
            <w:tcBorders>
              <w:top w:val="nil"/>
              <w:left w:val="nil"/>
              <w:bottom w:val="nil"/>
              <w:right w:val="nil"/>
            </w:tcBorders>
          </w:tcPr>
          <w:p>
            <w:pPr>
              <w:pStyle w:val="yTableNAm"/>
            </w:pPr>
            <w:r>
              <w:t>9.</w:t>
            </w:r>
          </w:p>
        </w:tc>
        <w:tc>
          <w:tcPr>
            <w:tcW w:w="2763" w:type="dxa"/>
            <w:tcBorders>
              <w:top w:val="nil"/>
              <w:left w:val="nil"/>
              <w:bottom w:val="nil"/>
              <w:right w:val="nil"/>
            </w:tcBorders>
          </w:tcPr>
          <w:p>
            <w:pPr>
              <w:pStyle w:val="yTableNAm"/>
            </w:pPr>
            <w:r>
              <w:t>Northam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0.85</w:t>
            </w:r>
          </w:p>
        </w:tc>
        <w:tc>
          <w:tcPr>
            <w:tcW w:w="1134" w:type="dxa"/>
            <w:tcBorders>
              <w:top w:val="nil"/>
              <w:left w:val="nil"/>
              <w:bottom w:val="nil"/>
              <w:right w:val="nil"/>
            </w:tcBorders>
          </w:tcPr>
          <w:p>
            <w:pPr>
              <w:pStyle w:val="yTableNAm"/>
            </w:pPr>
            <w:r>
              <w:t>7.59</w:t>
            </w:r>
          </w:p>
        </w:tc>
      </w:tr>
      <w:tr>
        <w:trPr>
          <w:cantSplit/>
        </w:trPr>
        <w:tc>
          <w:tcPr>
            <w:tcW w:w="709" w:type="dxa"/>
            <w:tcBorders>
              <w:top w:val="nil"/>
              <w:left w:val="nil"/>
              <w:bottom w:val="nil"/>
              <w:right w:val="nil"/>
            </w:tcBorders>
          </w:tcPr>
          <w:p>
            <w:pPr>
              <w:pStyle w:val="yTableNAm"/>
            </w:pPr>
            <w:r>
              <w:t>10.</w:t>
            </w:r>
          </w:p>
        </w:tc>
        <w:tc>
          <w:tcPr>
            <w:tcW w:w="2763" w:type="dxa"/>
            <w:tcBorders>
              <w:top w:val="nil"/>
              <w:left w:val="nil"/>
              <w:bottom w:val="nil"/>
              <w:right w:val="nil"/>
            </w:tcBorders>
          </w:tcPr>
          <w:p>
            <w:pPr>
              <w:pStyle w:val="yTableNAm"/>
            </w:pPr>
            <w:r>
              <w:t>Rockingham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0.60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11.</w:t>
            </w:r>
          </w:p>
        </w:tc>
        <w:tc>
          <w:tcPr>
            <w:tcW w:w="2763" w:type="dxa"/>
            <w:tcBorders>
              <w:top w:val="nil"/>
              <w:left w:val="nil"/>
              <w:bottom w:val="nil"/>
              <w:right w:val="nil"/>
            </w:tcBorders>
          </w:tcPr>
          <w:p>
            <w:pPr>
              <w:pStyle w:val="yTableNAm"/>
            </w:pPr>
            <w:r>
              <w:t>Tammin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1.00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12.</w:t>
            </w:r>
          </w:p>
        </w:tc>
        <w:tc>
          <w:tcPr>
            <w:tcW w:w="2763" w:type="dxa"/>
            <w:tcBorders>
              <w:top w:val="nil"/>
              <w:left w:val="nil"/>
              <w:bottom w:val="nil"/>
              <w:right w:val="nil"/>
            </w:tcBorders>
          </w:tcPr>
          <w:p>
            <w:pPr>
              <w:pStyle w:val="yTableNAm"/>
            </w:pPr>
            <w:r>
              <w:t>Wyndham/East Kimberley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0.55</w:t>
            </w:r>
          </w:p>
        </w:tc>
        <w:tc>
          <w:tcPr>
            <w:tcW w:w="1134" w:type="dxa"/>
            <w:tcBorders>
              <w:top w:val="nil"/>
              <w:left w:val="nil"/>
              <w:bottom w:val="nil"/>
              <w:right w:val="nil"/>
            </w:tcBorders>
          </w:tcPr>
          <w:p>
            <w:pPr>
              <w:pStyle w:val="yTableNAm"/>
            </w:pPr>
            <w:r>
              <w:t>4.40</w:t>
            </w:r>
          </w:p>
        </w:tc>
      </w:tr>
      <w:tr>
        <w:trPr>
          <w:cantSplit/>
        </w:trPr>
        <w:tc>
          <w:tcPr>
            <w:tcW w:w="709" w:type="dxa"/>
            <w:tcBorders>
              <w:top w:val="nil"/>
              <w:left w:val="nil"/>
              <w:bottom w:val="single" w:sz="4" w:space="0" w:color="auto"/>
              <w:right w:val="nil"/>
            </w:tcBorders>
          </w:tcPr>
          <w:p>
            <w:pPr>
              <w:pStyle w:val="yTableNAm"/>
            </w:pPr>
            <w:r>
              <w:t>13.</w:t>
            </w:r>
          </w:p>
        </w:tc>
        <w:tc>
          <w:tcPr>
            <w:tcW w:w="2763" w:type="dxa"/>
            <w:tcBorders>
              <w:top w:val="nil"/>
              <w:left w:val="nil"/>
              <w:bottom w:val="single" w:sz="4" w:space="0" w:color="auto"/>
              <w:right w:val="nil"/>
            </w:tcBorders>
          </w:tcPr>
          <w:p>
            <w:pPr>
              <w:pStyle w:val="yTableNAm"/>
            </w:pPr>
            <w:r>
              <w:t>Waroona ..............................</w:t>
            </w:r>
          </w:p>
        </w:tc>
        <w:tc>
          <w:tcPr>
            <w:tcW w:w="923" w:type="dxa"/>
            <w:tcBorders>
              <w:top w:val="nil"/>
              <w:left w:val="nil"/>
              <w:bottom w:val="single" w:sz="4" w:space="0" w:color="auto"/>
              <w:right w:val="nil"/>
            </w:tcBorders>
          </w:tcPr>
          <w:p>
            <w:pPr>
              <w:pStyle w:val="yTableNAm"/>
            </w:pPr>
            <w:r>
              <w:t>1.38</w:t>
            </w:r>
          </w:p>
        </w:tc>
        <w:tc>
          <w:tcPr>
            <w:tcW w:w="1559" w:type="dxa"/>
            <w:tcBorders>
              <w:top w:val="nil"/>
              <w:left w:val="nil"/>
              <w:bottom w:val="single" w:sz="4" w:space="0" w:color="auto"/>
              <w:right w:val="nil"/>
            </w:tcBorders>
          </w:tcPr>
          <w:p>
            <w:pPr>
              <w:pStyle w:val="yTableNAm"/>
            </w:pPr>
            <w:r>
              <w:t>0.85</w:t>
            </w:r>
          </w:p>
        </w:tc>
        <w:tc>
          <w:tcPr>
            <w:tcW w:w="1134" w:type="dxa"/>
            <w:tcBorders>
              <w:top w:val="nil"/>
              <w:left w:val="nil"/>
              <w:bottom w:val="single" w:sz="4" w:space="0" w:color="auto"/>
              <w:right w:val="nil"/>
            </w:tcBorders>
          </w:tcPr>
          <w:p>
            <w:pPr>
              <w:pStyle w:val="yTableNAm"/>
            </w:pPr>
            <w:r>
              <w:t>—</w:t>
            </w:r>
          </w:p>
        </w:tc>
      </w:tr>
    </w:tbl>
    <w:p>
      <w:pPr>
        <w:pStyle w:val="yFootnotesection"/>
        <w:rPr>
          <w:rStyle w:val="CharSchNo"/>
        </w:rPr>
      </w:pPr>
      <w:r>
        <w:rPr>
          <w:rStyle w:val="CharSchNo"/>
        </w:rPr>
        <w:tab/>
        <w:t xml:space="preserve">[Schedule 1 </w:t>
      </w:r>
      <w:r>
        <w:t>amended: Gazette 20 Sep 2011 p. 3799; 20 Mar 2015 p. 906; 28 Jul 2015 p. 3083.]</w:t>
      </w:r>
    </w:p>
    <w:p>
      <w:pPr>
        <w:pStyle w:val="yScheduleHeading"/>
      </w:pPr>
      <w:bookmarkStart w:id="98" w:name="_Toc512937904"/>
      <w:bookmarkStart w:id="99" w:name="_Toc512937935"/>
      <w:bookmarkStart w:id="100" w:name="_Toc512939221"/>
      <w:bookmarkStart w:id="101" w:name="_Toc512945316"/>
      <w:bookmarkStart w:id="102" w:name="_Toc512945516"/>
      <w:bookmarkStart w:id="103" w:name="_Toc512945589"/>
      <w:bookmarkStart w:id="104" w:name="_Toc513022091"/>
      <w:bookmarkStart w:id="105" w:name="_Toc518028056"/>
      <w:bookmarkStart w:id="106" w:name="_Toc514926497"/>
      <w:bookmarkStart w:id="107" w:name="_Toc514926580"/>
      <w:bookmarkStart w:id="108" w:name="_Toc514934586"/>
      <w:bookmarkStart w:id="109" w:name="_Toc514936786"/>
      <w:bookmarkStart w:id="110" w:name="_Toc515003498"/>
      <w:bookmarkStart w:id="111" w:name="_Toc511203296"/>
      <w:bookmarkStart w:id="112" w:name="_Toc513121836"/>
      <w:r>
        <w:rPr>
          <w:rStyle w:val="CharSchNo"/>
        </w:rPr>
        <w:t>Schedule 2</w:t>
      </w:r>
      <w:r>
        <w:rPr>
          <w:rStyle w:val="CharSDivNo"/>
        </w:rPr>
        <w:t> </w:t>
      </w:r>
      <w:r>
        <w:t>—</w:t>
      </w:r>
      <w:r>
        <w:rPr>
          <w:rStyle w:val="CharSDivText"/>
        </w:rPr>
        <w:t> </w:t>
      </w:r>
      <w:r>
        <w:rPr>
          <w:rStyle w:val="CharSchText"/>
        </w:rPr>
        <w:t>Prescribed fees</w:t>
      </w:r>
      <w:bookmarkEnd w:id="98"/>
      <w:bookmarkEnd w:id="99"/>
      <w:bookmarkEnd w:id="100"/>
      <w:bookmarkEnd w:id="101"/>
      <w:bookmarkEnd w:id="102"/>
      <w:bookmarkEnd w:id="103"/>
      <w:bookmarkEnd w:id="104"/>
      <w:bookmarkEnd w:id="105"/>
    </w:p>
    <w:p>
      <w:pPr>
        <w:pStyle w:val="yShoulderClause"/>
      </w:pPr>
      <w:r>
        <w:t>[r. 52]</w:t>
      </w:r>
    </w:p>
    <w:p>
      <w:pPr>
        <w:pStyle w:val="yFootnoteheading"/>
        <w:spacing w:after="120"/>
      </w:pPr>
      <w:r>
        <w:tab/>
        <w:t>[Heading inserted: Gazette 25 May 2018 p. 1633.]</w:t>
      </w:r>
    </w:p>
    <w:tbl>
      <w:tblPr>
        <w:tblW w:w="0" w:type="auto"/>
        <w:jc w:val="center"/>
        <w:tblLayout w:type="fixed"/>
        <w:tblLook w:val="0000" w:firstRow="0" w:lastRow="0" w:firstColumn="0" w:lastColumn="0" w:noHBand="0" w:noVBand="0"/>
      </w:tblPr>
      <w:tblGrid>
        <w:gridCol w:w="1276"/>
        <w:gridCol w:w="2410"/>
        <w:gridCol w:w="1984"/>
      </w:tblGrid>
      <w:tr>
        <w:trPr>
          <w:tblHeader/>
          <w:jc w:val="center"/>
        </w:trPr>
        <w:tc>
          <w:tcPr>
            <w:tcW w:w="1276" w:type="dxa"/>
          </w:tcPr>
          <w:p>
            <w:pPr>
              <w:pStyle w:val="yTableNAm"/>
            </w:pPr>
            <w:r>
              <w:rPr>
                <w:b/>
              </w:rPr>
              <w:t>Item</w:t>
            </w:r>
          </w:p>
        </w:tc>
        <w:tc>
          <w:tcPr>
            <w:tcW w:w="2410" w:type="dxa"/>
          </w:tcPr>
          <w:p>
            <w:pPr>
              <w:pStyle w:val="yTableNAm"/>
            </w:pPr>
            <w:r>
              <w:rPr>
                <w:b/>
              </w:rPr>
              <w:t xml:space="preserve">Provision of </w:t>
            </w:r>
            <w:r>
              <w:rPr>
                <w:b/>
                <w:i/>
                <w:iCs/>
              </w:rPr>
              <w:t>Food Act 2008</w:t>
            </w:r>
          </w:p>
        </w:tc>
        <w:tc>
          <w:tcPr>
            <w:tcW w:w="1984" w:type="dxa"/>
          </w:tcPr>
          <w:p>
            <w:pPr>
              <w:pStyle w:val="yTableNAm"/>
            </w:pPr>
            <w:r>
              <w:rPr>
                <w:b/>
              </w:rPr>
              <w:t>Prescribed fee</w:t>
            </w:r>
          </w:p>
        </w:tc>
      </w:tr>
      <w:tr>
        <w:trPr>
          <w:jc w:val="center"/>
        </w:trPr>
        <w:tc>
          <w:tcPr>
            <w:tcW w:w="1276" w:type="dxa"/>
          </w:tcPr>
          <w:p>
            <w:pPr>
              <w:pStyle w:val="yTableNAm"/>
            </w:pPr>
            <w:r>
              <w:t>1.</w:t>
            </w:r>
          </w:p>
        </w:tc>
        <w:tc>
          <w:tcPr>
            <w:tcW w:w="2410" w:type="dxa"/>
          </w:tcPr>
          <w:p>
            <w:pPr>
              <w:pStyle w:val="yTableNAm"/>
            </w:pPr>
            <w:r>
              <w:t>s. 82(3)(b)</w:t>
            </w:r>
          </w:p>
        </w:tc>
        <w:tc>
          <w:tcPr>
            <w:tcW w:w="1984" w:type="dxa"/>
          </w:tcPr>
          <w:p>
            <w:pPr>
              <w:pStyle w:val="yTableNAm"/>
            </w:pPr>
            <w:r>
              <w:rPr>
                <w:szCs w:val="22"/>
              </w:rPr>
              <w:t>$205</w:t>
            </w:r>
          </w:p>
        </w:tc>
      </w:tr>
      <w:tr>
        <w:trPr>
          <w:jc w:val="center"/>
        </w:trPr>
        <w:tc>
          <w:tcPr>
            <w:tcW w:w="1276" w:type="dxa"/>
          </w:tcPr>
          <w:p>
            <w:pPr>
              <w:pStyle w:val="yTableNAm"/>
            </w:pPr>
            <w:r>
              <w:t>2.</w:t>
            </w:r>
          </w:p>
        </w:tc>
        <w:tc>
          <w:tcPr>
            <w:tcW w:w="2410" w:type="dxa"/>
          </w:tcPr>
          <w:p>
            <w:pPr>
              <w:pStyle w:val="yTableNAm"/>
            </w:pPr>
            <w:r>
              <w:t>s. 88(3)(b)</w:t>
            </w:r>
          </w:p>
        </w:tc>
        <w:tc>
          <w:tcPr>
            <w:tcW w:w="1984" w:type="dxa"/>
          </w:tcPr>
          <w:p>
            <w:pPr>
              <w:pStyle w:val="yTableNAm"/>
            </w:pPr>
            <w:r>
              <w:rPr>
                <w:szCs w:val="22"/>
              </w:rPr>
              <w:t>$205</w:t>
            </w:r>
          </w:p>
        </w:tc>
      </w:tr>
      <w:tr>
        <w:trPr>
          <w:jc w:val="center"/>
        </w:trPr>
        <w:tc>
          <w:tcPr>
            <w:tcW w:w="1276" w:type="dxa"/>
          </w:tcPr>
          <w:p>
            <w:pPr>
              <w:pStyle w:val="yTableNAm"/>
            </w:pPr>
            <w:r>
              <w:t>3.</w:t>
            </w:r>
          </w:p>
        </w:tc>
        <w:tc>
          <w:tcPr>
            <w:tcW w:w="2410" w:type="dxa"/>
          </w:tcPr>
          <w:p>
            <w:pPr>
              <w:pStyle w:val="yTableNAm"/>
            </w:pPr>
            <w:r>
              <w:t>s. 94(3)(b)</w:t>
            </w:r>
          </w:p>
        </w:tc>
        <w:tc>
          <w:tcPr>
            <w:tcW w:w="1984" w:type="dxa"/>
          </w:tcPr>
          <w:p>
            <w:pPr>
              <w:pStyle w:val="yTableNAm"/>
            </w:pPr>
            <w:r>
              <w:rPr>
                <w:szCs w:val="22"/>
              </w:rPr>
              <w:t>$210</w:t>
            </w:r>
          </w:p>
        </w:tc>
      </w:tr>
      <w:tr>
        <w:trPr>
          <w:jc w:val="center"/>
        </w:trPr>
        <w:tc>
          <w:tcPr>
            <w:tcW w:w="1276" w:type="dxa"/>
          </w:tcPr>
          <w:p>
            <w:pPr>
              <w:pStyle w:val="yTableNAm"/>
            </w:pPr>
            <w:r>
              <w:t>4.</w:t>
            </w:r>
          </w:p>
        </w:tc>
        <w:tc>
          <w:tcPr>
            <w:tcW w:w="2410" w:type="dxa"/>
          </w:tcPr>
          <w:p>
            <w:pPr>
              <w:pStyle w:val="yTableNAm"/>
            </w:pPr>
            <w:r>
              <w:t>s. 107(3)</w:t>
            </w:r>
          </w:p>
        </w:tc>
        <w:tc>
          <w:tcPr>
            <w:tcW w:w="1984" w:type="dxa"/>
          </w:tcPr>
          <w:p>
            <w:pPr>
              <w:pStyle w:val="yTableNAm"/>
            </w:pPr>
            <w:r>
              <w:rPr>
                <w:szCs w:val="22"/>
              </w:rPr>
              <w:t>$72</w:t>
            </w:r>
          </w:p>
        </w:tc>
      </w:tr>
      <w:tr>
        <w:trPr>
          <w:jc w:val="center"/>
        </w:trPr>
        <w:tc>
          <w:tcPr>
            <w:tcW w:w="1276" w:type="dxa"/>
          </w:tcPr>
          <w:p>
            <w:pPr>
              <w:pStyle w:val="yTableNAm"/>
            </w:pPr>
            <w:r>
              <w:t>5.</w:t>
            </w:r>
          </w:p>
        </w:tc>
        <w:tc>
          <w:tcPr>
            <w:tcW w:w="2410" w:type="dxa"/>
          </w:tcPr>
          <w:p>
            <w:pPr>
              <w:pStyle w:val="yTableNAm"/>
            </w:pPr>
            <w:r>
              <w:t>s. 110(3)(c)</w:t>
            </w:r>
          </w:p>
        </w:tc>
        <w:tc>
          <w:tcPr>
            <w:tcW w:w="1984" w:type="dxa"/>
          </w:tcPr>
          <w:p>
            <w:pPr>
              <w:pStyle w:val="yTableNAm"/>
            </w:pPr>
            <w:r>
              <w:rPr>
                <w:szCs w:val="22"/>
              </w:rPr>
              <w:t>$210</w:t>
            </w:r>
          </w:p>
        </w:tc>
      </w:tr>
    </w:tbl>
    <w:p>
      <w:pPr>
        <w:pStyle w:val="yFootnotesection"/>
      </w:pPr>
      <w:r>
        <w:tab/>
        <w:t>[Schedule 2 inserted: Gazette 25 May 2018 p. 1633.]</w:t>
      </w:r>
    </w:p>
    <w:bookmarkEnd w:id="106"/>
    <w:bookmarkEnd w:id="107"/>
    <w:bookmarkEnd w:id="108"/>
    <w:bookmarkEnd w:id="109"/>
    <w:bookmarkEnd w:id="110"/>
    <w:p>
      <w:pPr>
        <w:pStyle w:val="yScheduleHeading"/>
      </w:pPr>
      <w:r>
        <w:rPr>
          <w:rStyle w:val="CharSchNo"/>
        </w:rPr>
        <w:t>Schedule 3</w:t>
      </w:r>
      <w:r>
        <w:rPr>
          <w:rStyle w:val="CharSDivNo"/>
        </w:rPr>
        <w:t> </w:t>
      </w:r>
      <w:r>
        <w:t>—</w:t>
      </w:r>
      <w:r>
        <w:rPr>
          <w:rStyle w:val="CharSDivText"/>
        </w:rPr>
        <w:t> </w:t>
      </w:r>
      <w:r>
        <w:rPr>
          <w:rStyle w:val="CharSchText"/>
        </w:rPr>
        <w:t>Prescribed offences and modified penalties</w:t>
      </w:r>
      <w:bookmarkEnd w:id="111"/>
      <w:bookmarkEnd w:id="112"/>
    </w:p>
    <w:p>
      <w:pPr>
        <w:pStyle w:val="yShoulderClause"/>
      </w:pPr>
      <w:r>
        <w:t>[r. 53]</w:t>
      </w:r>
    </w:p>
    <w:tbl>
      <w:tblPr>
        <w:tblW w:w="0" w:type="auto"/>
        <w:tblInd w:w="108" w:type="dxa"/>
        <w:tblLayout w:type="fixed"/>
        <w:tblLook w:val="0000" w:firstRow="0" w:lastRow="0" w:firstColumn="0" w:lastColumn="0" w:noHBand="0" w:noVBand="0"/>
      </w:tblPr>
      <w:tblGrid>
        <w:gridCol w:w="851"/>
        <w:gridCol w:w="2173"/>
        <w:gridCol w:w="2032"/>
        <w:gridCol w:w="2032"/>
      </w:tblGrid>
      <w:t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Act 2008</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w:t>
            </w:r>
          </w:p>
        </w:tc>
        <w:tc>
          <w:tcPr>
            <w:tcW w:w="2173" w:type="dxa"/>
          </w:tcPr>
          <w:p>
            <w:pPr>
              <w:pStyle w:val="yTableNAm"/>
            </w:pPr>
            <w:r>
              <w:t>s. 19(2)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w:t>
            </w:r>
          </w:p>
        </w:tc>
        <w:tc>
          <w:tcPr>
            <w:tcW w:w="2173" w:type="dxa"/>
          </w:tcPr>
          <w:p>
            <w:pPr>
              <w:pStyle w:val="yTableNAm"/>
            </w:pPr>
            <w:r>
              <w:t>s. 19(3)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w:t>
            </w:r>
          </w:p>
        </w:tc>
        <w:tc>
          <w:tcPr>
            <w:tcW w:w="2173" w:type="dxa"/>
          </w:tcPr>
          <w:p>
            <w:pPr>
              <w:pStyle w:val="yTableNAm"/>
            </w:pPr>
            <w:r>
              <w:t>s. 22(1)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4.</w:t>
            </w:r>
          </w:p>
        </w:tc>
        <w:tc>
          <w:tcPr>
            <w:tcW w:w="2173" w:type="dxa"/>
          </w:tcPr>
          <w:p>
            <w:pPr>
              <w:pStyle w:val="yTableNAm"/>
            </w:pPr>
            <w:r>
              <w:t>s. 22(2)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w:t>
            </w:r>
          </w:p>
        </w:tc>
        <w:tc>
          <w:tcPr>
            <w:tcW w:w="2173" w:type="dxa"/>
          </w:tcPr>
          <w:p>
            <w:pPr>
              <w:pStyle w:val="yTableNAm"/>
            </w:pPr>
            <w:r>
              <w:t>s. 22(3)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6.</w:t>
            </w:r>
          </w:p>
        </w:tc>
        <w:tc>
          <w:tcPr>
            <w:tcW w:w="2173" w:type="dxa"/>
          </w:tcPr>
          <w:p>
            <w:pPr>
              <w:pStyle w:val="yTableNAm"/>
            </w:pPr>
            <w:r>
              <w:t>s. 22(4)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7A.</w:t>
            </w:r>
          </w:p>
        </w:tc>
        <w:tc>
          <w:tcPr>
            <w:tcW w:w="2173" w:type="dxa"/>
          </w:tcPr>
          <w:p>
            <w:pPr>
              <w:pStyle w:val="yTableNAm"/>
            </w:pPr>
            <w:r>
              <w:t>s. 36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7B.</w:t>
            </w:r>
          </w:p>
        </w:tc>
        <w:tc>
          <w:tcPr>
            <w:tcW w:w="2173" w:type="dxa"/>
          </w:tcPr>
          <w:p>
            <w:pPr>
              <w:pStyle w:val="yTableNAm"/>
            </w:pPr>
            <w:r>
              <w:t>s. 45(1)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7C.</w:t>
            </w:r>
          </w:p>
        </w:tc>
        <w:tc>
          <w:tcPr>
            <w:tcW w:w="2173" w:type="dxa"/>
          </w:tcPr>
          <w:p>
            <w:pPr>
              <w:pStyle w:val="yTableNAm"/>
            </w:pPr>
            <w:r>
              <w:t>s. 46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7D.</w:t>
            </w:r>
          </w:p>
        </w:tc>
        <w:tc>
          <w:tcPr>
            <w:tcW w:w="2173" w:type="dxa"/>
          </w:tcPr>
          <w:p>
            <w:pPr>
              <w:pStyle w:val="yTableNAm"/>
            </w:pPr>
            <w:r>
              <w:t>s. 48(1)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7E.</w:t>
            </w:r>
          </w:p>
        </w:tc>
        <w:tc>
          <w:tcPr>
            <w:tcW w:w="2173" w:type="dxa"/>
          </w:tcPr>
          <w:p>
            <w:pPr>
              <w:pStyle w:val="yTableNAm"/>
            </w:pPr>
            <w:r>
              <w:t>s. 48(2)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7F.</w:t>
            </w:r>
          </w:p>
        </w:tc>
        <w:tc>
          <w:tcPr>
            <w:tcW w:w="2173" w:type="dxa"/>
          </w:tcPr>
          <w:p>
            <w:pPr>
              <w:pStyle w:val="yTableNAm"/>
            </w:pPr>
            <w:r>
              <w:t>s. 48(3)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w:t>
            </w:r>
          </w:p>
        </w:tc>
        <w:tc>
          <w:tcPr>
            <w:tcW w:w="2173" w:type="dxa"/>
          </w:tcPr>
          <w:p>
            <w:pPr>
              <w:pStyle w:val="yTableNAm"/>
            </w:pPr>
            <w:r>
              <w:t>s. 68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8.</w:t>
            </w:r>
          </w:p>
        </w:tc>
        <w:tc>
          <w:tcPr>
            <w:tcW w:w="2173" w:type="dxa"/>
          </w:tcPr>
          <w:p>
            <w:pPr>
              <w:pStyle w:val="yTableNAm"/>
            </w:pPr>
            <w:r>
              <w:t>s. 84</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9.</w:t>
            </w:r>
          </w:p>
        </w:tc>
        <w:tc>
          <w:tcPr>
            <w:tcW w:w="2173" w:type="dxa"/>
          </w:tcPr>
          <w:p>
            <w:pPr>
              <w:pStyle w:val="yTableNAm"/>
            </w:pPr>
            <w:r>
              <w:t>s. 90</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10.</w:t>
            </w:r>
          </w:p>
        </w:tc>
        <w:tc>
          <w:tcPr>
            <w:tcW w:w="2173" w:type="dxa"/>
          </w:tcPr>
          <w:p>
            <w:pPr>
              <w:pStyle w:val="yTableNAm"/>
            </w:pPr>
            <w:r>
              <w:t>s. 96(1)</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11.</w:t>
            </w:r>
          </w:p>
        </w:tc>
        <w:tc>
          <w:tcPr>
            <w:tcW w:w="2173" w:type="dxa"/>
          </w:tcPr>
          <w:p>
            <w:pPr>
              <w:pStyle w:val="yTableNAm"/>
            </w:pPr>
            <w:r>
              <w:t>s. 99(2)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12.</w:t>
            </w:r>
          </w:p>
        </w:tc>
        <w:tc>
          <w:tcPr>
            <w:tcW w:w="2173" w:type="dxa"/>
          </w:tcPr>
          <w:p>
            <w:pPr>
              <w:pStyle w:val="yTableNAm"/>
            </w:pPr>
            <w:r>
              <w:t>s. 106(1)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13.</w:t>
            </w:r>
          </w:p>
        </w:tc>
        <w:tc>
          <w:tcPr>
            <w:tcW w:w="2173" w:type="dxa"/>
          </w:tcPr>
          <w:p>
            <w:pPr>
              <w:pStyle w:val="yTableNAm"/>
            </w:pPr>
            <w:r>
              <w:t>s. 106(2)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14.</w:t>
            </w:r>
          </w:p>
        </w:tc>
        <w:tc>
          <w:tcPr>
            <w:tcW w:w="2173" w:type="dxa"/>
          </w:tcPr>
          <w:p>
            <w:pPr>
              <w:pStyle w:val="yTableNAm"/>
            </w:pPr>
            <w:r>
              <w:t>s. 106(3)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15.</w:t>
            </w:r>
          </w:p>
        </w:tc>
        <w:tc>
          <w:tcPr>
            <w:tcW w:w="2173" w:type="dxa"/>
          </w:tcPr>
          <w:p>
            <w:pPr>
              <w:pStyle w:val="yTableNAm"/>
            </w:pPr>
            <w:r>
              <w:t>s. 107(1)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16.</w:t>
            </w:r>
          </w:p>
        </w:tc>
        <w:tc>
          <w:tcPr>
            <w:tcW w:w="2173" w:type="dxa"/>
          </w:tcPr>
          <w:p>
            <w:pPr>
              <w:pStyle w:val="yTableNAm"/>
            </w:pPr>
            <w:r>
              <w:t>s. 109(1)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17.</w:t>
            </w:r>
          </w:p>
        </w:tc>
        <w:tc>
          <w:tcPr>
            <w:tcW w:w="2173" w:type="dxa"/>
          </w:tcPr>
          <w:p>
            <w:pPr>
              <w:pStyle w:val="yTableNAm"/>
            </w:pPr>
            <w:r>
              <w:t>s. 113</w:t>
            </w:r>
          </w:p>
        </w:tc>
        <w:tc>
          <w:tcPr>
            <w:tcW w:w="2032" w:type="dxa"/>
          </w:tcPr>
          <w:p>
            <w:pPr>
              <w:pStyle w:val="yTableNAm"/>
            </w:pPr>
            <w:r>
              <w:t>$500</w:t>
            </w:r>
          </w:p>
        </w:tc>
        <w:tc>
          <w:tcPr>
            <w:tcW w:w="2032" w:type="dxa"/>
          </w:tcPr>
          <w:p>
            <w:pPr>
              <w:pStyle w:val="yTableNAm"/>
            </w:pPr>
            <w:r>
              <w:t>$1 000</w:t>
            </w:r>
          </w:p>
        </w:tc>
      </w:tr>
    </w:tbl>
    <w:p>
      <w:pPr>
        <w:rPr>
          <w:sz w:val="12"/>
          <w:szCs w:val="12"/>
        </w:rPr>
      </w:pPr>
    </w:p>
    <w:tbl>
      <w:tblPr>
        <w:tblW w:w="0" w:type="auto"/>
        <w:tblInd w:w="108" w:type="dxa"/>
        <w:tblLayout w:type="fixed"/>
        <w:tblLook w:val="0000" w:firstRow="0" w:lastRow="0" w:firstColumn="0" w:lastColumn="0" w:noHBand="0" w:noVBand="0"/>
      </w:tblPr>
      <w:tblGrid>
        <w:gridCol w:w="851"/>
        <w:gridCol w:w="2173"/>
        <w:gridCol w:w="2032"/>
        <w:gridCol w:w="2032"/>
      </w:tblGrid>
      <w:tr>
        <w:trPr>
          <w:tblHeader/>
        </w:trP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Regulations 2009</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18.</w:t>
            </w:r>
          </w:p>
        </w:tc>
        <w:tc>
          <w:tcPr>
            <w:tcW w:w="2173" w:type="dxa"/>
          </w:tcPr>
          <w:p>
            <w:pPr>
              <w:pStyle w:val="yTableNAm"/>
            </w:pPr>
            <w:r>
              <w:t xml:space="preserve">r. 15(2)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19.</w:t>
            </w:r>
          </w:p>
        </w:tc>
        <w:tc>
          <w:tcPr>
            <w:tcW w:w="2173" w:type="dxa"/>
          </w:tcPr>
          <w:p>
            <w:pPr>
              <w:pStyle w:val="yTableNAm"/>
            </w:pPr>
            <w:r>
              <w:t>r. 16(2)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20.</w:t>
            </w:r>
          </w:p>
        </w:tc>
        <w:tc>
          <w:tcPr>
            <w:tcW w:w="2173" w:type="dxa"/>
          </w:tcPr>
          <w:p>
            <w:pPr>
              <w:pStyle w:val="yTableNAm"/>
            </w:pPr>
            <w:r>
              <w:t>r. 21(2)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21.</w:t>
            </w:r>
          </w:p>
        </w:tc>
        <w:tc>
          <w:tcPr>
            <w:tcW w:w="2173" w:type="dxa"/>
          </w:tcPr>
          <w:p>
            <w:pPr>
              <w:pStyle w:val="yTableNAm"/>
            </w:pPr>
            <w:r>
              <w:t>r. 21(4)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22.</w:t>
            </w:r>
          </w:p>
        </w:tc>
        <w:tc>
          <w:tcPr>
            <w:tcW w:w="2173" w:type="dxa"/>
          </w:tcPr>
          <w:p>
            <w:pPr>
              <w:pStyle w:val="yTableNAm"/>
            </w:pPr>
            <w:r>
              <w:t>r. 22(1)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23</w:t>
            </w:r>
          </w:p>
        </w:tc>
        <w:tc>
          <w:tcPr>
            <w:tcW w:w="2173" w:type="dxa"/>
          </w:tcPr>
          <w:p>
            <w:pPr>
              <w:pStyle w:val="yTableNAm"/>
            </w:pPr>
            <w:r>
              <w:t>r. 23(1)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24.</w:t>
            </w:r>
          </w:p>
        </w:tc>
        <w:tc>
          <w:tcPr>
            <w:tcW w:w="2173" w:type="dxa"/>
          </w:tcPr>
          <w:p>
            <w:pPr>
              <w:pStyle w:val="yTableNAm"/>
            </w:pPr>
            <w:r>
              <w:t xml:space="preserve">r. 25(1)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25.</w:t>
            </w:r>
          </w:p>
        </w:tc>
        <w:tc>
          <w:tcPr>
            <w:tcW w:w="2173" w:type="dxa"/>
          </w:tcPr>
          <w:p>
            <w:pPr>
              <w:pStyle w:val="yTableNAm"/>
            </w:pPr>
            <w:r>
              <w:t>r. 25(2)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26.</w:t>
            </w:r>
          </w:p>
        </w:tc>
        <w:tc>
          <w:tcPr>
            <w:tcW w:w="2173" w:type="dxa"/>
          </w:tcPr>
          <w:p>
            <w:pPr>
              <w:pStyle w:val="yTableNAm"/>
            </w:pPr>
            <w:r>
              <w:t xml:space="preserve">r. 26(1)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27.</w:t>
            </w:r>
          </w:p>
        </w:tc>
        <w:tc>
          <w:tcPr>
            <w:tcW w:w="2173" w:type="dxa"/>
          </w:tcPr>
          <w:p>
            <w:pPr>
              <w:pStyle w:val="yTableNAm"/>
            </w:pPr>
            <w:r>
              <w:t>r. 26(3)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28.</w:t>
            </w:r>
          </w:p>
        </w:tc>
        <w:tc>
          <w:tcPr>
            <w:tcW w:w="2173" w:type="dxa"/>
          </w:tcPr>
          <w:p>
            <w:pPr>
              <w:pStyle w:val="yTableNAm"/>
            </w:pPr>
            <w:r>
              <w:t>r. 26(4)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29.</w:t>
            </w:r>
          </w:p>
        </w:tc>
        <w:tc>
          <w:tcPr>
            <w:tcW w:w="2173" w:type="dxa"/>
          </w:tcPr>
          <w:p>
            <w:pPr>
              <w:pStyle w:val="yTableNAm"/>
            </w:pPr>
            <w:r>
              <w:t>r. 27(1)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30.</w:t>
            </w:r>
          </w:p>
        </w:tc>
        <w:tc>
          <w:tcPr>
            <w:tcW w:w="2173" w:type="dxa"/>
          </w:tcPr>
          <w:p>
            <w:pPr>
              <w:pStyle w:val="yTableNAm"/>
            </w:pPr>
            <w:r>
              <w:t>r. 30(1)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31.</w:t>
            </w:r>
          </w:p>
        </w:tc>
        <w:tc>
          <w:tcPr>
            <w:tcW w:w="2173" w:type="dxa"/>
          </w:tcPr>
          <w:p>
            <w:pPr>
              <w:pStyle w:val="yTableNAm"/>
            </w:pPr>
            <w:r>
              <w:t>r. 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32.</w:t>
            </w:r>
          </w:p>
        </w:tc>
        <w:tc>
          <w:tcPr>
            <w:tcW w:w="2173" w:type="dxa"/>
          </w:tcPr>
          <w:p>
            <w:pPr>
              <w:pStyle w:val="yTableNAm"/>
            </w:pPr>
            <w:r>
              <w:t>r. 33(1)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33.</w:t>
            </w:r>
          </w:p>
        </w:tc>
        <w:tc>
          <w:tcPr>
            <w:tcW w:w="2173" w:type="dxa"/>
          </w:tcPr>
          <w:p>
            <w:pPr>
              <w:pStyle w:val="yTableNAm"/>
            </w:pPr>
            <w:r>
              <w:t>r. 33(2)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34.</w:t>
            </w:r>
          </w:p>
        </w:tc>
        <w:tc>
          <w:tcPr>
            <w:tcW w:w="2173" w:type="dxa"/>
          </w:tcPr>
          <w:p>
            <w:pPr>
              <w:pStyle w:val="yTableNAm"/>
            </w:pPr>
            <w:r>
              <w:t>r. 34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35.</w:t>
            </w:r>
          </w:p>
        </w:tc>
        <w:tc>
          <w:tcPr>
            <w:tcW w:w="2173" w:type="dxa"/>
          </w:tcPr>
          <w:p>
            <w:pPr>
              <w:pStyle w:val="yTableNAm"/>
            </w:pPr>
            <w:r>
              <w:t>r. 35(1)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36.</w:t>
            </w:r>
          </w:p>
        </w:tc>
        <w:tc>
          <w:tcPr>
            <w:tcW w:w="2173" w:type="dxa"/>
          </w:tcPr>
          <w:p>
            <w:pPr>
              <w:pStyle w:val="yTableNAm"/>
            </w:pPr>
            <w:r>
              <w:t>r. 36(1)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37.</w:t>
            </w:r>
          </w:p>
        </w:tc>
        <w:tc>
          <w:tcPr>
            <w:tcW w:w="2173" w:type="dxa"/>
          </w:tcPr>
          <w:p>
            <w:pPr>
              <w:pStyle w:val="yTableNAm"/>
            </w:pPr>
            <w:r>
              <w:t>r. 37</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38.</w:t>
            </w:r>
          </w:p>
        </w:tc>
        <w:tc>
          <w:tcPr>
            <w:tcW w:w="2173" w:type="dxa"/>
          </w:tcPr>
          <w:p>
            <w:pPr>
              <w:pStyle w:val="yTableNAm"/>
            </w:pPr>
            <w:r>
              <w:t>r. 38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39.</w:t>
            </w:r>
          </w:p>
        </w:tc>
        <w:tc>
          <w:tcPr>
            <w:tcW w:w="2173" w:type="dxa"/>
          </w:tcPr>
          <w:p>
            <w:pPr>
              <w:pStyle w:val="yTableNAm"/>
            </w:pPr>
            <w:r>
              <w:t>r. 39(2)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40.</w:t>
            </w:r>
          </w:p>
        </w:tc>
        <w:tc>
          <w:tcPr>
            <w:tcW w:w="2173" w:type="dxa"/>
          </w:tcPr>
          <w:p>
            <w:pPr>
              <w:pStyle w:val="yTableNAm"/>
            </w:pPr>
            <w:r>
              <w:t>r. 40</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41.</w:t>
            </w:r>
          </w:p>
        </w:tc>
        <w:tc>
          <w:tcPr>
            <w:tcW w:w="2173" w:type="dxa"/>
          </w:tcPr>
          <w:p>
            <w:pPr>
              <w:pStyle w:val="yTableNAm"/>
            </w:pPr>
            <w:r>
              <w:t xml:space="preserve">r. 41(1)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42</w:t>
            </w:r>
          </w:p>
        </w:tc>
        <w:tc>
          <w:tcPr>
            <w:tcW w:w="2173" w:type="dxa"/>
          </w:tcPr>
          <w:p>
            <w:pPr>
              <w:pStyle w:val="yTableNAm"/>
            </w:pPr>
            <w:r>
              <w:t>r. 41(2)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43.</w:t>
            </w:r>
          </w:p>
        </w:tc>
        <w:tc>
          <w:tcPr>
            <w:tcW w:w="2173" w:type="dxa"/>
          </w:tcPr>
          <w:p>
            <w:pPr>
              <w:pStyle w:val="yTableNAm"/>
            </w:pPr>
            <w:r>
              <w:t>r. 46(1)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44.</w:t>
            </w:r>
          </w:p>
        </w:tc>
        <w:tc>
          <w:tcPr>
            <w:tcW w:w="2173" w:type="dxa"/>
          </w:tcPr>
          <w:p>
            <w:pPr>
              <w:pStyle w:val="yTableNAm"/>
            </w:pPr>
            <w:r>
              <w:t>r. 46(2)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45.</w:t>
            </w:r>
          </w:p>
        </w:tc>
        <w:tc>
          <w:tcPr>
            <w:tcW w:w="2173" w:type="dxa"/>
          </w:tcPr>
          <w:p>
            <w:pPr>
              <w:pStyle w:val="yTableNAm"/>
            </w:pPr>
            <w:r>
              <w:t>r. 47(1)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46.</w:t>
            </w:r>
          </w:p>
        </w:tc>
        <w:tc>
          <w:tcPr>
            <w:tcW w:w="2173" w:type="dxa"/>
          </w:tcPr>
          <w:p>
            <w:pPr>
              <w:pStyle w:val="yTableNAm"/>
            </w:pPr>
            <w:r>
              <w:t>r. 47(3)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47.</w:t>
            </w:r>
          </w:p>
        </w:tc>
        <w:tc>
          <w:tcPr>
            <w:tcW w:w="2173" w:type="dxa"/>
          </w:tcPr>
          <w:p>
            <w:pPr>
              <w:pStyle w:val="yTableNAm"/>
            </w:pPr>
            <w:r>
              <w:t xml:space="preserve">r. 48(1)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48.</w:t>
            </w:r>
          </w:p>
        </w:tc>
        <w:tc>
          <w:tcPr>
            <w:tcW w:w="2173" w:type="dxa"/>
          </w:tcPr>
          <w:p>
            <w:pPr>
              <w:pStyle w:val="yTableNAm"/>
            </w:pPr>
            <w:r>
              <w:t>r. 48(2)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49.</w:t>
            </w:r>
          </w:p>
        </w:tc>
        <w:tc>
          <w:tcPr>
            <w:tcW w:w="2173" w:type="dxa"/>
          </w:tcPr>
          <w:p>
            <w:pPr>
              <w:pStyle w:val="yTableNAm"/>
            </w:pPr>
            <w:r>
              <w:t xml:space="preserve">r. 49(2)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50.</w:t>
            </w:r>
          </w:p>
        </w:tc>
        <w:tc>
          <w:tcPr>
            <w:tcW w:w="2173" w:type="dxa"/>
          </w:tcPr>
          <w:p>
            <w:pPr>
              <w:pStyle w:val="yTableNAm"/>
            </w:pPr>
            <w:r>
              <w:t>r. 49(3)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51.</w:t>
            </w:r>
          </w:p>
        </w:tc>
        <w:tc>
          <w:tcPr>
            <w:tcW w:w="2173" w:type="dxa"/>
          </w:tcPr>
          <w:p>
            <w:pPr>
              <w:pStyle w:val="yTableNAm"/>
            </w:pPr>
            <w:r>
              <w:t>r. 50</w:t>
            </w:r>
          </w:p>
        </w:tc>
        <w:tc>
          <w:tcPr>
            <w:tcW w:w="2032" w:type="dxa"/>
          </w:tcPr>
          <w:p>
            <w:pPr>
              <w:pStyle w:val="yTableNAm"/>
            </w:pPr>
            <w:r>
              <w:t>$500</w:t>
            </w:r>
          </w:p>
        </w:tc>
        <w:tc>
          <w:tcPr>
            <w:tcW w:w="2032" w:type="dxa"/>
          </w:tcPr>
          <w:p>
            <w:pPr>
              <w:pStyle w:val="yTableNAm"/>
            </w:pPr>
            <w:r>
              <w:t>$1 000</w:t>
            </w:r>
          </w:p>
        </w:tc>
      </w:tr>
    </w:tbl>
    <w:p>
      <w:pPr>
        <w:pStyle w:val="yFootnotesection"/>
      </w:pPr>
      <w:r>
        <w:tab/>
        <w:t>[Schedule 3 amended: Gazette 20 Apr 2012 p. 1697</w:t>
      </w:r>
      <w:r>
        <w:noBreakHyphen/>
        <w:t>8.]</w:t>
      </w:r>
    </w:p>
    <w:p>
      <w:pPr>
        <w:pStyle w:val="yScheduleHeading"/>
      </w:pPr>
      <w:bookmarkStart w:id="113" w:name="_Toc511203297"/>
      <w:bookmarkStart w:id="114" w:name="_Toc513121837"/>
      <w:r>
        <w:rPr>
          <w:rStyle w:val="CharSchNo"/>
        </w:rPr>
        <w:t>Schedule 4</w:t>
      </w:r>
      <w:r>
        <w:rPr>
          <w:rStyle w:val="CharSDivNo"/>
        </w:rPr>
        <w:t> </w:t>
      </w:r>
      <w:r>
        <w:t>—</w:t>
      </w:r>
      <w:r>
        <w:rPr>
          <w:rStyle w:val="CharSDivText"/>
        </w:rPr>
        <w:t> </w:t>
      </w:r>
      <w:r>
        <w:rPr>
          <w:rStyle w:val="CharSchText"/>
        </w:rPr>
        <w:t>Infringement notice</w:t>
      </w:r>
      <w:bookmarkEnd w:id="113"/>
      <w:bookmarkEnd w:id="114"/>
    </w:p>
    <w:p>
      <w:pPr>
        <w:pStyle w:val="yShoulderClause"/>
        <w:spacing w:after="60"/>
      </w:pPr>
      <w:r>
        <w:t>[r. 54(1)]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850"/>
        <w:gridCol w:w="1843"/>
        <w:gridCol w:w="142"/>
        <w:gridCol w:w="1701"/>
      </w:tblGrid>
      <w:tr>
        <w:trPr>
          <w:cantSplit/>
          <w:trHeight w:val="282"/>
        </w:trPr>
        <w:tc>
          <w:tcPr>
            <w:tcW w:w="5245" w:type="dxa"/>
            <w:gridSpan w:val="4"/>
          </w:tcPr>
          <w:p>
            <w:pPr>
              <w:pStyle w:val="yTableNAm"/>
              <w:spacing w:before="60"/>
              <w:rPr>
                <w:i/>
                <w:sz w:val="20"/>
              </w:rPr>
            </w:pPr>
            <w:r>
              <w:rPr>
                <w:i/>
                <w:sz w:val="20"/>
              </w:rPr>
              <w:t>Food Act 2008 s. 126(3) and Food Regulations 2009 r. </w:t>
            </w:r>
            <w:r>
              <w:rPr>
                <w:i/>
                <w:iCs/>
                <w:sz w:val="20"/>
              </w:rPr>
              <w:t>54(1)</w:t>
            </w:r>
          </w:p>
          <w:p>
            <w:pPr>
              <w:pStyle w:val="yTableNAm"/>
              <w:spacing w:before="60" w:after="20"/>
              <w:rPr>
                <w:b/>
                <w:szCs w:val="22"/>
              </w:rPr>
            </w:pPr>
            <w:r>
              <w:rPr>
                <w:b/>
                <w:szCs w:val="22"/>
              </w:rPr>
              <w:t>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b/>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850" w:type="dxa"/>
            <w:tcBorders>
              <w:bottom w:val="single" w:sz="4" w:space="0" w:color="auto"/>
            </w:tcBorders>
          </w:tcPr>
          <w:p>
            <w:pPr>
              <w:pStyle w:val="yTableNAm"/>
              <w:spacing w:before="60"/>
              <w:rPr>
                <w:sz w:val="20"/>
              </w:rPr>
            </w:pPr>
            <w:r>
              <w:rPr>
                <w:sz w:val="20"/>
              </w:rPr>
              <w:t>No.</w:t>
            </w:r>
          </w:p>
        </w:tc>
        <w:tc>
          <w:tcPr>
            <w:tcW w:w="3686"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835" w:type="dxa"/>
            <w:gridSpan w:val="3"/>
            <w:tcBorders>
              <w:bottom w:val="single" w:sz="4" w:space="0" w:color="auto"/>
            </w:tcBorders>
          </w:tcPr>
          <w:p>
            <w:pPr>
              <w:pStyle w:val="yTableNAm"/>
              <w:spacing w:before="60"/>
              <w:rPr>
                <w:sz w:val="20"/>
              </w:rPr>
            </w:pPr>
          </w:p>
        </w:tc>
        <w:tc>
          <w:tcPr>
            <w:tcW w:w="1701"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rPr>
                <w:sz w:val="20"/>
              </w:rPr>
            </w:pPr>
            <w:r>
              <w:rPr>
                <w:sz w:val="20"/>
              </w:rPr>
              <w:t>Description of offence</w:t>
            </w:r>
          </w:p>
          <w:p>
            <w:pPr>
              <w:pStyle w:val="yTableNAm"/>
              <w:spacing w:before="60"/>
              <w:rPr>
                <w:sz w:val="20"/>
              </w:rPr>
            </w:pP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t>
            </w:r>
            <w:r>
              <w:rPr>
                <w:i/>
                <w:iCs/>
                <w:sz w:val="20"/>
              </w:rPr>
              <w:t>Food Act 2008</w:t>
            </w:r>
            <w:r>
              <w:rPr>
                <w:sz w:val="20"/>
              </w:rPr>
              <w:t xml:space="preserve"> s. ________</w:t>
            </w:r>
          </w:p>
          <w:p>
            <w:pPr>
              <w:pStyle w:val="yTableNAm"/>
              <w:spacing w:before="60"/>
              <w:rPr>
                <w:sz w:val="20"/>
              </w:rPr>
            </w:pPr>
            <w:r>
              <w:rPr>
                <w:sz w:val="20"/>
              </w:rPr>
              <w:t>*</w:t>
            </w:r>
            <w:r>
              <w:rPr>
                <w:i/>
                <w:iCs/>
                <w:sz w:val="20"/>
              </w:rPr>
              <w:t>Food Regulations 2009</w:t>
            </w:r>
            <w:r>
              <w:rPr>
                <w:sz w:val="20"/>
              </w:rPr>
              <w:t xml:space="preserve"> r. ________</w:t>
            </w:r>
          </w:p>
          <w:p>
            <w:pPr>
              <w:pStyle w:val="yTableNAm"/>
              <w:spacing w:before="60"/>
              <w:rPr>
                <w:sz w:val="20"/>
              </w:rPr>
            </w:pPr>
            <w:r>
              <w:rPr>
                <w:sz w:val="20"/>
              </w:rPr>
              <w:t>The modified penalty for the offence is $</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Where and when offence committed</w:t>
            </w:r>
          </w:p>
          <w:p>
            <w:pPr>
              <w:pStyle w:val="yTableNAm"/>
              <w:spacing w:before="60"/>
              <w:rPr>
                <w:sz w:val="20"/>
              </w:rPr>
            </w:pPr>
          </w:p>
        </w:tc>
      </w:tr>
      <w:tr>
        <w:trPr>
          <w:cantSplit/>
        </w:trPr>
        <w:tc>
          <w:tcPr>
            <w:tcW w:w="1560" w:type="dxa"/>
            <w:vMerge w:val="restart"/>
          </w:tcPr>
          <w:p>
            <w:pPr>
              <w:pStyle w:val="yTableNAm"/>
              <w:spacing w:before="60"/>
              <w:rPr>
                <w:b/>
                <w:sz w:val="20"/>
              </w:rPr>
            </w:pPr>
            <w:r>
              <w:rPr>
                <w:b/>
                <w:sz w:val="20"/>
              </w:rPr>
              <w:t>Designated officer issuing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Borders>
              <w:bottom w:val="single" w:sz="4" w:space="0" w:color="auto"/>
            </w:tcBorders>
          </w:tcPr>
          <w:p>
            <w:pPr>
              <w:pStyle w:val="yTableNAm"/>
              <w:spacing w:before="60"/>
              <w:rPr>
                <w:sz w:val="20"/>
              </w:rPr>
            </w:pPr>
          </w:p>
        </w:tc>
        <w:tc>
          <w:tcPr>
            <w:tcW w:w="5528" w:type="dxa"/>
            <w:gridSpan w:val="5"/>
            <w:tcBorders>
              <w:bottom w:val="single" w:sz="4" w:space="0" w:color="auto"/>
            </w:tcBorders>
          </w:tcPr>
          <w:p>
            <w:pPr>
              <w:pStyle w:val="yTableNAm"/>
              <w:spacing w:before="60"/>
              <w:rPr>
                <w:sz w:val="20"/>
              </w:rPr>
            </w:pPr>
            <w:r>
              <w:rPr>
                <w:sz w:val="20"/>
              </w:rPr>
              <w:t>Date of notice</w:t>
            </w:r>
          </w:p>
        </w:tc>
      </w:tr>
      <w:tr>
        <w:trPr>
          <w:cantSplit/>
        </w:trPr>
        <w:tc>
          <w:tcPr>
            <w:tcW w:w="1560" w:type="dxa"/>
            <w:tcBorders>
              <w:bottom w:val="nil"/>
            </w:tcBorders>
          </w:tcPr>
          <w:p>
            <w:pPr>
              <w:pStyle w:val="yTableNAm"/>
              <w:spacing w:before="60"/>
              <w:rPr>
                <w:b/>
                <w:sz w:val="20"/>
              </w:rPr>
            </w:pPr>
            <w:r>
              <w:rPr>
                <w:b/>
                <w:sz w:val="20"/>
              </w:rPr>
              <w:t>Notice to alleged offender</w:t>
            </w:r>
          </w:p>
        </w:tc>
        <w:tc>
          <w:tcPr>
            <w:tcW w:w="5528" w:type="dxa"/>
            <w:gridSpan w:val="5"/>
            <w:tcBorders>
              <w:bottom w:val="nil"/>
            </w:tcBorders>
          </w:tcPr>
          <w:p>
            <w:pPr>
              <w:pStyle w:val="yTableNAm"/>
              <w:spacing w:before="60"/>
              <w:rPr>
                <w:sz w:val="20"/>
              </w:rPr>
            </w:pPr>
            <w:r>
              <w:rPr>
                <w:sz w:val="20"/>
              </w:rPr>
              <w:t>It is alleged that you have committed the above offence.</w:t>
            </w:r>
          </w:p>
          <w:p>
            <w:pPr>
              <w:pStyle w:val="yTableNAm"/>
              <w:spacing w:before="60"/>
              <w:rPr>
                <w:sz w:val="20"/>
              </w:rPr>
            </w:pPr>
            <w:r>
              <w:rPr>
                <w:sz w:val="20"/>
              </w:rPr>
              <w:t>If you do not wish to be prosecuted for the alleged offence in a court, you may pay the modified penalty within 28 days after the date of this notice.</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bCs/>
                <w:sz w:val="20"/>
              </w:rPr>
            </w:pPr>
            <w:r>
              <w:rPr>
                <w:b/>
                <w:bCs/>
                <w:sz w:val="20"/>
              </w:rPr>
              <w:t>How to pay</w:t>
            </w:r>
          </w:p>
          <w:p>
            <w:pPr>
              <w:pStyle w:val="yTableNAm"/>
              <w:tabs>
                <w:tab w:val="clear" w:pos="567"/>
                <w:tab w:val="left" w:pos="175"/>
              </w:tabs>
              <w:spacing w:before="6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NAm"/>
              <w:tabs>
                <w:tab w:val="clear" w:pos="567"/>
                <w:tab w:val="left" w:pos="175"/>
              </w:tabs>
              <w:spacing w:before="6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560" w:type="dxa"/>
            <w:tcBorders>
              <w:top w:val="nil"/>
              <w:bottom w:val="single" w:sz="4" w:space="0" w:color="auto"/>
            </w:tcBorders>
          </w:tcPr>
          <w:p>
            <w:pPr>
              <w:pStyle w:val="yTableNAm"/>
              <w:spacing w:before="60"/>
              <w:rPr>
                <w:b/>
                <w:sz w:val="20"/>
              </w:rPr>
            </w:pPr>
          </w:p>
        </w:tc>
        <w:tc>
          <w:tcPr>
            <w:tcW w:w="5528" w:type="dxa"/>
            <w:gridSpan w:val="5"/>
            <w:tcBorders>
              <w:top w:val="nil"/>
              <w:bottom w:val="single" w:sz="4" w:space="0" w:color="auto"/>
            </w:tcBorders>
          </w:tcPr>
          <w:p>
            <w:pPr>
              <w:pStyle w:val="yTableNAm"/>
              <w:spacing w:before="60"/>
              <w:rPr>
                <w:sz w:val="20"/>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Footnotesection"/>
      </w:pPr>
      <w:r>
        <w:tab/>
        <w:t>[Schedule 4 amended: Gazette 20 Aug 2013 p. 3852.]</w:t>
      </w:r>
    </w:p>
    <w:p>
      <w:pPr>
        <w:pStyle w:val="yScheduleHeading"/>
      </w:pPr>
      <w:bookmarkStart w:id="115" w:name="_Toc511203298"/>
      <w:bookmarkStart w:id="116" w:name="_Toc513121838"/>
      <w:r>
        <w:rPr>
          <w:rStyle w:val="CharSchNo"/>
        </w:rPr>
        <w:t>Schedule 5</w:t>
      </w:r>
      <w:r>
        <w:rPr>
          <w:rStyle w:val="CharSDivNo"/>
        </w:rPr>
        <w:t> </w:t>
      </w:r>
      <w:r>
        <w:t>—</w:t>
      </w:r>
      <w:r>
        <w:rPr>
          <w:rStyle w:val="CharSDivText"/>
        </w:rPr>
        <w:t> </w:t>
      </w:r>
      <w:r>
        <w:rPr>
          <w:rStyle w:val="CharSchText"/>
        </w:rPr>
        <w:t>Notice to withdraw infringement notice</w:t>
      </w:r>
      <w:bookmarkEnd w:id="115"/>
      <w:bookmarkEnd w:id="116"/>
    </w:p>
    <w:p>
      <w:pPr>
        <w:pStyle w:val="yShoulderClause"/>
        <w:spacing w:after="60"/>
      </w:pPr>
      <w:r>
        <w:t>[r. 54(2)]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1701"/>
        <w:gridCol w:w="284"/>
        <w:gridCol w:w="1559"/>
      </w:tblGrid>
      <w:tr>
        <w:trPr>
          <w:cantSplit/>
          <w:trHeight w:val="282"/>
        </w:trPr>
        <w:tc>
          <w:tcPr>
            <w:tcW w:w="5245" w:type="dxa"/>
            <w:gridSpan w:val="4"/>
          </w:tcPr>
          <w:p>
            <w:pPr>
              <w:pStyle w:val="yTableNAm"/>
              <w:spacing w:before="60"/>
              <w:rPr>
                <w:i/>
                <w:sz w:val="20"/>
              </w:rPr>
            </w:pPr>
            <w:r>
              <w:rPr>
                <w:i/>
                <w:sz w:val="20"/>
              </w:rPr>
              <w:t>Food Act 2008 s. 126(7) and Food Regulations 2009 r. </w:t>
            </w:r>
            <w:r>
              <w:rPr>
                <w:i/>
                <w:iCs/>
                <w:sz w:val="20"/>
              </w:rPr>
              <w:t>54(2)</w:t>
            </w:r>
          </w:p>
          <w:p>
            <w:pPr>
              <w:pStyle w:val="yTableNAm"/>
              <w:spacing w:before="60"/>
              <w:rPr>
                <w:b/>
                <w:szCs w:val="22"/>
              </w:rPr>
            </w:pPr>
            <w:r>
              <w:rPr>
                <w:b/>
                <w:szCs w:val="22"/>
              </w:rPr>
              <w:t>Withdrawal of 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992" w:type="dxa"/>
            <w:tcBorders>
              <w:bottom w:val="single" w:sz="4" w:space="0" w:color="auto"/>
            </w:tcBorders>
          </w:tcPr>
          <w:p>
            <w:pPr>
              <w:pStyle w:val="yTableNAm"/>
              <w:spacing w:before="60"/>
              <w:rPr>
                <w:sz w:val="20"/>
              </w:rPr>
            </w:pPr>
            <w:r>
              <w:rPr>
                <w:sz w:val="20"/>
              </w:rPr>
              <w:t>No.</w:t>
            </w:r>
          </w:p>
        </w:tc>
        <w:tc>
          <w:tcPr>
            <w:tcW w:w="3544"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977" w:type="dxa"/>
            <w:gridSpan w:val="3"/>
            <w:tcBorders>
              <w:bottom w:val="single" w:sz="4" w:space="0" w:color="auto"/>
            </w:tcBorders>
          </w:tcPr>
          <w:p>
            <w:pPr>
              <w:pStyle w:val="yTableNAm"/>
              <w:spacing w:before="60"/>
              <w:rPr>
                <w:sz w:val="20"/>
              </w:rPr>
            </w:pPr>
          </w:p>
        </w:tc>
        <w:tc>
          <w:tcPr>
            <w:tcW w:w="1559"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Infringement notice</w:t>
            </w:r>
          </w:p>
        </w:tc>
        <w:tc>
          <w:tcPr>
            <w:tcW w:w="5528" w:type="dxa"/>
            <w:gridSpan w:val="5"/>
          </w:tcPr>
          <w:p>
            <w:pPr>
              <w:pStyle w:val="yTableNAm"/>
              <w:spacing w:before="60"/>
              <w:rPr>
                <w:sz w:val="20"/>
              </w:rPr>
            </w:pPr>
            <w:r>
              <w:rPr>
                <w:sz w:val="20"/>
              </w:rPr>
              <w:t>Infringement notice No.</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issue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ind w:right="-108"/>
              <w:rPr>
                <w:i/>
                <w:sz w:val="20"/>
              </w:rPr>
            </w:pPr>
            <w:r>
              <w:rPr>
                <w:sz w:val="20"/>
              </w:rPr>
              <w:t>Description of offence ___________________________________</w:t>
            </w:r>
          </w:p>
          <w:p>
            <w:pPr>
              <w:pStyle w:val="yTableNAm"/>
              <w:spacing w:before="60"/>
              <w:rPr>
                <w:sz w:val="20"/>
              </w:rPr>
            </w:pPr>
          </w:p>
        </w:tc>
      </w:tr>
      <w:tr>
        <w:trPr>
          <w:cantSplit/>
        </w:trPr>
        <w:tc>
          <w:tcPr>
            <w:tcW w:w="1560" w:type="dxa"/>
            <w:vMerge/>
          </w:tcPr>
          <w:p>
            <w:pPr>
              <w:pStyle w:val="yTableNAm"/>
              <w:spacing w:before="60"/>
              <w:rPr>
                <w:b/>
                <w:sz w:val="20"/>
              </w:rPr>
            </w:pPr>
          </w:p>
        </w:tc>
        <w:tc>
          <w:tcPr>
            <w:tcW w:w="5528" w:type="dxa"/>
            <w:gridSpan w:val="5"/>
          </w:tcPr>
          <w:p>
            <w:pPr>
              <w:pStyle w:val="yTableNAm"/>
              <w:spacing w:before="60"/>
              <w:rPr>
                <w:sz w:val="20"/>
              </w:rPr>
            </w:pPr>
            <w:r>
              <w:rPr>
                <w:iCs/>
                <w:sz w:val="20"/>
              </w:rPr>
              <w:t>*</w:t>
            </w:r>
            <w:r>
              <w:rPr>
                <w:i/>
                <w:sz w:val="20"/>
              </w:rPr>
              <w:t>Food Act 2008</w:t>
            </w:r>
            <w:r>
              <w:rPr>
                <w:sz w:val="20"/>
              </w:rPr>
              <w:t xml:space="preserve"> s. ________</w:t>
            </w:r>
          </w:p>
          <w:p>
            <w:pPr>
              <w:pStyle w:val="yTableNAm"/>
              <w:spacing w:before="60" w:after="20"/>
              <w:rPr>
                <w:sz w:val="20"/>
              </w:rPr>
            </w:pPr>
            <w:r>
              <w:rPr>
                <w:iCs/>
                <w:sz w:val="20"/>
              </w:rPr>
              <w:t>*</w:t>
            </w:r>
            <w:r>
              <w:rPr>
                <w:i/>
                <w:sz w:val="20"/>
              </w:rPr>
              <w:t>Food Regulations 2009</w:t>
            </w:r>
            <w:r>
              <w:rPr>
                <w:sz w:val="20"/>
              </w:rPr>
              <w:t xml:space="preserve"> r. _________</w:t>
            </w:r>
          </w:p>
        </w:tc>
      </w:tr>
      <w:tr>
        <w:trPr>
          <w:cantSplit/>
        </w:trPr>
        <w:tc>
          <w:tcPr>
            <w:tcW w:w="1560" w:type="dxa"/>
            <w:vMerge w:val="restart"/>
          </w:tcPr>
          <w:p>
            <w:pPr>
              <w:pStyle w:val="yTableNAm"/>
              <w:spacing w:before="60"/>
              <w:rPr>
                <w:b/>
                <w:sz w:val="20"/>
              </w:rPr>
            </w:pPr>
            <w:r>
              <w:rPr>
                <w:b/>
                <w:sz w:val="20"/>
              </w:rPr>
              <w:t>Designated officer withdrawing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notice</w:t>
            </w:r>
          </w:p>
        </w:tc>
      </w:tr>
      <w:tr>
        <w:trPr>
          <w:cantSplit/>
        </w:trPr>
        <w:tc>
          <w:tcPr>
            <w:tcW w:w="1560" w:type="dxa"/>
          </w:tcPr>
          <w:p>
            <w:pPr>
              <w:pStyle w:val="yTableNAm"/>
              <w:spacing w:before="60"/>
              <w:rPr>
                <w:b/>
                <w:sz w:val="20"/>
              </w:rPr>
            </w:pPr>
            <w:r>
              <w:rPr>
                <w:b/>
                <w:sz w:val="20"/>
              </w:rPr>
              <w:t>Withdrawal of infringement notice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spacing w:before="60"/>
              <w:rPr>
                <w:sz w:val="20"/>
              </w:rPr>
            </w:pPr>
            <w:r>
              <w:rPr>
                <w:sz w:val="20"/>
              </w:rPr>
              <w:t>*Your refund is enclosed.</w:t>
            </w:r>
          </w:p>
          <w:p>
            <w:pPr>
              <w:pStyle w:val="yTableNAm"/>
              <w:spacing w:before="60"/>
              <w:rPr>
                <w:i/>
                <w:iCs/>
                <w:sz w:val="20"/>
              </w:rPr>
            </w:pPr>
            <w:r>
              <w:rPr>
                <w:i/>
                <w:iCs/>
                <w:sz w:val="20"/>
              </w:rPr>
              <w:t>or</w:t>
            </w:r>
          </w:p>
          <w:p>
            <w:pPr>
              <w:pStyle w:val="yTableNAm"/>
              <w:spacing w:before="6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NAm"/>
              <w:spacing w:before="60"/>
              <w:rPr>
                <w:sz w:val="20"/>
              </w:rPr>
            </w:pPr>
            <w:r>
              <w:rPr>
                <w:sz w:val="20"/>
              </w:rPr>
              <w:t>Signature</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118" w:name="_Toc511203299"/>
      <w:bookmarkStart w:id="119" w:name="_Toc513121839"/>
      <w:r>
        <w:t>Notes</w:t>
      </w:r>
      <w:bookmarkEnd w:id="118"/>
      <w:bookmarkEnd w:id="119"/>
    </w:p>
    <w:p>
      <w:pPr>
        <w:pStyle w:val="nSubsection"/>
      </w:pPr>
      <w:r>
        <w:rPr>
          <w:vertAlign w:val="superscript"/>
        </w:rPr>
        <w:t>1</w:t>
      </w:r>
      <w:r>
        <w:tab/>
        <w:t xml:space="preserve">This is a compilation of the </w:t>
      </w:r>
      <w:r>
        <w:rPr>
          <w:i/>
          <w:noProof/>
        </w:rPr>
        <w:t>Food Regulations 2009</w:t>
      </w:r>
      <w:r>
        <w:t xml:space="preserve"> and includes the amendments made by the other written laws referred to in the following table.  The table also contains information about any reprint.</w:t>
      </w:r>
    </w:p>
    <w:p>
      <w:pPr>
        <w:pStyle w:val="nHeading3"/>
      </w:pPr>
      <w:bookmarkStart w:id="120" w:name="_Toc513121840"/>
      <w:r>
        <w:t>Compilation table</w:t>
      </w:r>
      <w:bookmarkEnd w:id="120"/>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pPr>
            <w:r>
              <w:rPr>
                <w:i/>
              </w:rPr>
              <w:t>Food Regulations 2009</w:t>
            </w:r>
          </w:p>
        </w:tc>
        <w:tc>
          <w:tcPr>
            <w:tcW w:w="1276" w:type="dxa"/>
            <w:tcBorders>
              <w:top w:val="single" w:sz="8" w:space="0" w:color="auto"/>
              <w:bottom w:val="nil"/>
            </w:tcBorders>
          </w:tcPr>
          <w:p>
            <w:pPr>
              <w:pStyle w:val="nTable"/>
              <w:spacing w:after="40"/>
            </w:pPr>
            <w:r>
              <w:t>23 Oct 2009 p. 4095-142</w:t>
            </w:r>
          </w:p>
        </w:tc>
        <w:tc>
          <w:tcPr>
            <w:tcW w:w="2694" w:type="dxa"/>
            <w:tcBorders>
              <w:top w:val="single" w:sz="8" w:space="0" w:color="auto"/>
              <w:bottom w:val="nil"/>
            </w:tcBorders>
          </w:tcPr>
          <w:p>
            <w:pPr>
              <w:pStyle w:val="nTable"/>
              <w:spacing w:after="40"/>
            </w:pPr>
            <w:r>
              <w:t>r. 1 and 2: 23 Oct 2009 (see r. 2(a));</w:t>
            </w:r>
            <w:r>
              <w:br/>
              <w:t xml:space="preserve">Regulations other than r. 1 and 2: 24 Oct 2009 (see r. 2(b) and </w:t>
            </w:r>
            <w:r>
              <w:rPr>
                <w:i/>
                <w:iCs/>
              </w:rPr>
              <w:t>Gazette</w:t>
            </w:r>
            <w:r>
              <w:t xml:space="preserve"> 23 Oct 2009 p. 4157)</w:t>
            </w:r>
          </w:p>
        </w:tc>
      </w:tr>
      <w:tr>
        <w:trPr>
          <w:cantSplit/>
        </w:trPr>
        <w:tc>
          <w:tcPr>
            <w:tcW w:w="3118" w:type="dxa"/>
            <w:tcBorders>
              <w:top w:val="nil"/>
              <w:bottom w:val="nil"/>
            </w:tcBorders>
          </w:tcPr>
          <w:p>
            <w:pPr>
              <w:pStyle w:val="nTable"/>
              <w:spacing w:after="40"/>
              <w:rPr>
                <w:i/>
              </w:rPr>
            </w:pPr>
            <w:r>
              <w:rPr>
                <w:i/>
              </w:rPr>
              <w:t>Food Amendment Regulations 2011</w:t>
            </w:r>
          </w:p>
        </w:tc>
        <w:tc>
          <w:tcPr>
            <w:tcW w:w="1276" w:type="dxa"/>
            <w:tcBorders>
              <w:top w:val="nil"/>
              <w:bottom w:val="nil"/>
            </w:tcBorders>
          </w:tcPr>
          <w:p>
            <w:pPr>
              <w:pStyle w:val="nTable"/>
              <w:spacing w:after="40"/>
            </w:pPr>
            <w:r>
              <w:t>20 Sep 2011 p. 3799</w:t>
            </w:r>
          </w:p>
        </w:tc>
        <w:tc>
          <w:tcPr>
            <w:tcW w:w="2694" w:type="dxa"/>
            <w:tcBorders>
              <w:top w:val="nil"/>
              <w:bottom w:val="nil"/>
            </w:tcBorders>
          </w:tcPr>
          <w:p>
            <w:pPr>
              <w:pStyle w:val="nTable"/>
              <w:spacing w:after="40"/>
            </w:pPr>
            <w:r>
              <w:t>r. 1 and 2: 20 Sep 2011 (see r. 2(a));</w:t>
            </w:r>
            <w:r>
              <w:br/>
              <w:t>Regulations other than r. 1 and 2: 21 Sep 2011 (see r. 2(b))</w:t>
            </w:r>
          </w:p>
        </w:tc>
      </w:tr>
      <w:tr>
        <w:trPr>
          <w:cantSplit/>
        </w:trPr>
        <w:tc>
          <w:tcPr>
            <w:tcW w:w="3118" w:type="dxa"/>
            <w:tcBorders>
              <w:top w:val="nil"/>
              <w:bottom w:val="nil"/>
            </w:tcBorders>
          </w:tcPr>
          <w:p>
            <w:pPr>
              <w:pStyle w:val="nTable"/>
              <w:spacing w:after="40"/>
              <w:rPr>
                <w:i/>
              </w:rPr>
            </w:pPr>
            <w:r>
              <w:rPr>
                <w:i/>
              </w:rPr>
              <w:t>Food Amendment Regulations 2012</w:t>
            </w:r>
          </w:p>
        </w:tc>
        <w:tc>
          <w:tcPr>
            <w:tcW w:w="1276" w:type="dxa"/>
            <w:tcBorders>
              <w:top w:val="nil"/>
              <w:bottom w:val="nil"/>
            </w:tcBorders>
          </w:tcPr>
          <w:p>
            <w:pPr>
              <w:pStyle w:val="nTable"/>
              <w:spacing w:after="40"/>
            </w:pPr>
            <w:r>
              <w:t>20 Apr 2012 p. 1696</w:t>
            </w:r>
            <w:r>
              <w:noBreakHyphen/>
              <w:t>8</w:t>
            </w:r>
          </w:p>
        </w:tc>
        <w:tc>
          <w:tcPr>
            <w:tcW w:w="2694" w:type="dxa"/>
            <w:tcBorders>
              <w:top w:val="nil"/>
              <w:bottom w:val="nil"/>
            </w:tcBorders>
          </w:tcPr>
          <w:p>
            <w:pPr>
              <w:pStyle w:val="nTable"/>
              <w:spacing w:after="40"/>
            </w:pPr>
            <w:r>
              <w:t>r. 1 and 2: 20 Apr 2012 (see r. 2(a));</w:t>
            </w:r>
            <w:r>
              <w:br/>
              <w:t>Regulations other than r. 1 and 2: 21 Apr 2012 (see r. 2(b))</w:t>
            </w:r>
          </w:p>
        </w:tc>
      </w:tr>
      <w:tr>
        <w:trPr>
          <w:cantSplit/>
        </w:trPr>
        <w:tc>
          <w:tcPr>
            <w:tcW w:w="3118" w:type="dxa"/>
            <w:tcBorders>
              <w:top w:val="nil"/>
              <w:bottom w:val="nil"/>
            </w:tcBorders>
          </w:tcPr>
          <w:p>
            <w:pPr>
              <w:pStyle w:val="nTable"/>
              <w:spacing w:after="40"/>
              <w:rPr>
                <w:i/>
              </w:rPr>
            </w:pPr>
            <w:r>
              <w:rPr>
                <w:i/>
              </w:rPr>
              <w:t>Food Amendment Regulations 2013</w:t>
            </w:r>
          </w:p>
        </w:tc>
        <w:tc>
          <w:tcPr>
            <w:tcW w:w="1276" w:type="dxa"/>
            <w:tcBorders>
              <w:top w:val="nil"/>
              <w:bottom w:val="nil"/>
            </w:tcBorders>
          </w:tcPr>
          <w:p>
            <w:pPr>
              <w:pStyle w:val="nTable"/>
              <w:spacing w:after="40"/>
            </w:pPr>
            <w:r>
              <w:t>20 Aug 2013 p. 3852</w:t>
            </w:r>
          </w:p>
        </w:tc>
        <w:tc>
          <w:tcPr>
            <w:tcW w:w="2694" w:type="dxa"/>
            <w:tcBorders>
              <w:top w:val="nil"/>
              <w:bottom w:val="nil"/>
            </w:tcBorders>
          </w:tcPr>
          <w:p>
            <w:pPr>
              <w:pStyle w:val="nTable"/>
              <w:spacing w:after="40"/>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8" w:type="dxa"/>
            <w:tcBorders>
              <w:top w:val="nil"/>
              <w:bottom w:val="nil"/>
            </w:tcBorders>
          </w:tcPr>
          <w:p>
            <w:pPr>
              <w:pStyle w:val="nTable"/>
              <w:spacing w:after="40"/>
              <w:rPr>
                <w:i/>
              </w:rPr>
            </w:pPr>
            <w:r>
              <w:rPr>
                <w:i/>
              </w:rPr>
              <w:t>Food Amendment Regulations 2014</w:t>
            </w:r>
          </w:p>
        </w:tc>
        <w:tc>
          <w:tcPr>
            <w:tcW w:w="1276" w:type="dxa"/>
            <w:tcBorders>
              <w:top w:val="nil"/>
              <w:bottom w:val="nil"/>
            </w:tcBorders>
          </w:tcPr>
          <w:p>
            <w:pPr>
              <w:pStyle w:val="nTable"/>
              <w:spacing w:after="40"/>
            </w:pPr>
            <w:r>
              <w:t>12 Dec 2014 p. 4713-14</w:t>
            </w:r>
          </w:p>
        </w:tc>
        <w:tc>
          <w:tcPr>
            <w:tcW w:w="2694" w:type="dxa"/>
            <w:tcBorders>
              <w:top w:val="nil"/>
              <w:bottom w:val="nil"/>
            </w:tcBorders>
          </w:tcPr>
          <w:p>
            <w:pPr>
              <w:pStyle w:val="nTable"/>
              <w:spacing w:after="40"/>
              <w:rPr>
                <w:snapToGrid w:val="0"/>
              </w:rPr>
            </w:pPr>
            <w:r>
              <w:rPr>
                <w:bCs/>
                <w:snapToGrid w:val="0"/>
              </w:rPr>
              <w:t>r. 1 and 2: 12 Dec 2014 (see r. 2(a));</w:t>
            </w:r>
            <w:r>
              <w:rPr>
                <w:bCs/>
                <w:snapToGrid w:val="0"/>
              </w:rPr>
              <w:br/>
              <w:t>Regulations other than r. 1 and 2: 13 Dec 2014 (see r. 2(b))</w:t>
            </w:r>
          </w:p>
        </w:tc>
      </w:tr>
      <w:tr>
        <w:trPr>
          <w:cantSplit/>
        </w:trPr>
        <w:tc>
          <w:tcPr>
            <w:tcW w:w="3118" w:type="dxa"/>
            <w:tcBorders>
              <w:top w:val="nil"/>
              <w:bottom w:val="nil"/>
            </w:tcBorders>
            <w:shd w:val="clear" w:color="auto" w:fill="auto"/>
          </w:tcPr>
          <w:p>
            <w:pPr>
              <w:pStyle w:val="nTable"/>
              <w:spacing w:after="40"/>
              <w:rPr>
                <w:i/>
              </w:rPr>
            </w:pPr>
            <w:r>
              <w:rPr>
                <w:i/>
              </w:rPr>
              <w:t>Food Amendment Regulations 2015</w:t>
            </w:r>
          </w:p>
        </w:tc>
        <w:tc>
          <w:tcPr>
            <w:tcW w:w="1276" w:type="dxa"/>
            <w:tcBorders>
              <w:top w:val="nil"/>
              <w:bottom w:val="nil"/>
            </w:tcBorders>
            <w:shd w:val="clear" w:color="auto" w:fill="auto"/>
          </w:tcPr>
          <w:p>
            <w:pPr>
              <w:pStyle w:val="nTable"/>
              <w:spacing w:after="40"/>
            </w:pPr>
            <w:r>
              <w:t>20 Mar 2015 p. 905</w:t>
            </w:r>
            <w:r>
              <w:noBreakHyphen/>
              <w:t>6</w:t>
            </w:r>
          </w:p>
        </w:tc>
        <w:tc>
          <w:tcPr>
            <w:tcW w:w="2694" w:type="dxa"/>
            <w:tcBorders>
              <w:top w:val="nil"/>
              <w:bottom w:val="nil"/>
            </w:tcBorders>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rPr>
          <w:cantSplit/>
        </w:trPr>
        <w:tc>
          <w:tcPr>
            <w:tcW w:w="7088" w:type="dxa"/>
            <w:gridSpan w:val="3"/>
            <w:tcBorders>
              <w:top w:val="nil"/>
              <w:bottom w:val="nil"/>
            </w:tcBorders>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w:t>
            </w:r>
            <w:r>
              <w:rPr>
                <w:b/>
                <w:bCs/>
                <w:snapToGrid w:val="0"/>
              </w:rPr>
              <w:t xml:space="preserve">: The </w:t>
            </w:r>
            <w:r>
              <w:rPr>
                <w:rFonts w:ascii="Times" w:hAnsi="Times"/>
                <w:b/>
                <w:bCs/>
                <w:i/>
                <w:noProof/>
                <w:snapToGrid w:val="0"/>
                <w:spacing w:val="-2"/>
              </w:rPr>
              <w:t>Food Regulations 2009</w:t>
            </w:r>
            <w:r>
              <w:rPr>
                <w:b/>
                <w:bCs/>
                <w:snapToGrid w:val="0"/>
              </w:rPr>
              <w:t xml:space="preserve"> as at </w:t>
            </w:r>
            <w:r>
              <w:rPr>
                <w:rFonts w:ascii="Times" w:hAnsi="Times"/>
                <w:b/>
                <w:bCs/>
                <w:snapToGrid w:val="0"/>
                <w:spacing w:val="-2"/>
              </w:rPr>
              <w:t>15 May 2015</w:t>
            </w:r>
            <w:r>
              <w:rPr>
                <w:bCs/>
                <w:snapToGrid w:val="0"/>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Food Amendment Regulations (No. 2) 2015</w:t>
            </w:r>
          </w:p>
        </w:tc>
        <w:tc>
          <w:tcPr>
            <w:tcW w:w="1276" w:type="dxa"/>
            <w:tcBorders>
              <w:top w:val="nil"/>
              <w:bottom w:val="nil"/>
            </w:tcBorders>
            <w:shd w:val="clear" w:color="auto" w:fill="auto"/>
          </w:tcPr>
          <w:p>
            <w:pPr>
              <w:pStyle w:val="nTable"/>
              <w:spacing w:after="40"/>
            </w:pPr>
            <w:r>
              <w:t>19 May 2015 p. 1760</w:t>
            </w:r>
          </w:p>
        </w:tc>
        <w:tc>
          <w:tcPr>
            <w:tcW w:w="2694" w:type="dxa"/>
            <w:tcBorders>
              <w:top w:val="nil"/>
              <w:bottom w:val="nil"/>
            </w:tcBorders>
            <w:shd w:val="clear" w:color="auto" w:fill="auto"/>
          </w:tcPr>
          <w:p>
            <w:pPr>
              <w:pStyle w:val="nTable"/>
              <w:spacing w:after="40"/>
              <w:rPr>
                <w:bCs/>
                <w:snapToGrid w:val="0"/>
              </w:rPr>
            </w:pPr>
            <w:r>
              <w:rPr>
                <w:bCs/>
                <w:snapToGrid w:val="0"/>
              </w:rPr>
              <w:t xml:space="preserve">r. 1 and 2: </w:t>
            </w:r>
            <w:r>
              <w:t>19 May 2015</w:t>
            </w:r>
            <w:r>
              <w:rPr>
                <w:bCs/>
                <w:snapToGrid w:val="0"/>
              </w:rPr>
              <w:t xml:space="preserve"> (see r. 2(a));</w:t>
            </w:r>
            <w:r>
              <w:rPr>
                <w:bCs/>
                <w:snapToGrid w:val="0"/>
              </w:rPr>
              <w:br/>
              <w:t xml:space="preserve">Regulations other than r. 1 and 2: </w:t>
            </w:r>
            <w:r>
              <w:t>1 Jul 2015 (see r. 2(b))</w:t>
            </w:r>
          </w:p>
        </w:tc>
      </w:tr>
      <w:tr>
        <w:trPr>
          <w:cantSplit/>
        </w:trPr>
        <w:tc>
          <w:tcPr>
            <w:tcW w:w="3118" w:type="dxa"/>
            <w:tcBorders>
              <w:top w:val="nil"/>
              <w:bottom w:val="nil"/>
            </w:tcBorders>
            <w:shd w:val="clear" w:color="auto" w:fill="auto"/>
          </w:tcPr>
          <w:p>
            <w:pPr>
              <w:pStyle w:val="nTable"/>
              <w:spacing w:after="40"/>
              <w:rPr>
                <w:i/>
              </w:rPr>
            </w:pPr>
            <w:r>
              <w:rPr>
                <w:i/>
              </w:rPr>
              <w:t>Food Amendment Regulations (No. 3) 2015</w:t>
            </w:r>
          </w:p>
        </w:tc>
        <w:tc>
          <w:tcPr>
            <w:tcW w:w="1276" w:type="dxa"/>
            <w:tcBorders>
              <w:top w:val="nil"/>
              <w:bottom w:val="nil"/>
            </w:tcBorders>
            <w:shd w:val="clear" w:color="auto" w:fill="auto"/>
          </w:tcPr>
          <w:p>
            <w:pPr>
              <w:pStyle w:val="nTable"/>
              <w:keepNext/>
              <w:spacing w:after="40"/>
            </w:pPr>
            <w:r>
              <w:t>28 Jul 2015 p. 3083</w:t>
            </w:r>
          </w:p>
        </w:tc>
        <w:tc>
          <w:tcPr>
            <w:tcW w:w="2694" w:type="dxa"/>
            <w:tcBorders>
              <w:top w:val="nil"/>
              <w:bottom w:val="nil"/>
            </w:tcBorders>
            <w:shd w:val="clear" w:color="auto" w:fill="auto"/>
          </w:tcPr>
          <w:p>
            <w:pPr>
              <w:pStyle w:val="nTable"/>
              <w:keepNext/>
              <w:spacing w:after="40"/>
              <w:rPr>
                <w:bCs/>
                <w:snapToGrid w:val="0"/>
              </w:rPr>
            </w:pPr>
            <w:r>
              <w:rPr>
                <w:bCs/>
                <w:snapToGrid w:val="0"/>
              </w:rPr>
              <w:t>r. 1 and 2: 28 Jul 2015 (see r. 2(a));</w:t>
            </w:r>
            <w:r>
              <w:rPr>
                <w:bCs/>
                <w:snapToGrid w:val="0"/>
              </w:rPr>
              <w:br/>
              <w:t>Regulations other than r. 1 and 2: 29 Jul 2015 (see r. 2(b))</w:t>
            </w:r>
          </w:p>
        </w:tc>
      </w:tr>
      <w:tr>
        <w:trPr>
          <w:cantSplit/>
        </w:trPr>
        <w:tc>
          <w:tcPr>
            <w:tcW w:w="3118" w:type="dxa"/>
            <w:tcBorders>
              <w:top w:val="nil"/>
              <w:bottom w:val="nil"/>
            </w:tcBorders>
            <w:shd w:val="clear" w:color="auto" w:fill="auto"/>
          </w:tcPr>
          <w:p>
            <w:pPr>
              <w:pStyle w:val="nTable"/>
              <w:spacing w:after="40"/>
              <w:rPr>
                <w:i/>
              </w:rPr>
            </w:pPr>
            <w:r>
              <w:rPr>
                <w:i/>
              </w:rPr>
              <w:t>Food Amendment Regulations (No. 4) 2015</w:t>
            </w:r>
          </w:p>
        </w:tc>
        <w:tc>
          <w:tcPr>
            <w:tcW w:w="1276" w:type="dxa"/>
            <w:tcBorders>
              <w:top w:val="nil"/>
              <w:bottom w:val="nil"/>
            </w:tcBorders>
            <w:shd w:val="clear" w:color="auto" w:fill="auto"/>
          </w:tcPr>
          <w:p>
            <w:pPr>
              <w:pStyle w:val="nTable"/>
              <w:spacing w:after="40"/>
            </w:pPr>
            <w:r>
              <w:t>11 Aug 2015 p. 3219</w:t>
            </w:r>
            <w:r>
              <w:noBreakHyphen/>
              <w:t>20</w:t>
            </w:r>
          </w:p>
        </w:tc>
        <w:tc>
          <w:tcPr>
            <w:tcW w:w="2694" w:type="dxa"/>
            <w:tcBorders>
              <w:top w:val="nil"/>
              <w:bottom w:val="nil"/>
            </w:tcBorders>
            <w:shd w:val="clear" w:color="auto" w:fill="auto"/>
          </w:tcPr>
          <w:p>
            <w:pPr>
              <w:pStyle w:val="nTable"/>
              <w:spacing w:after="40"/>
              <w:rPr>
                <w:bCs/>
                <w:snapToGrid w:val="0"/>
              </w:rPr>
            </w:pPr>
            <w:r>
              <w:rPr>
                <w:bCs/>
                <w:snapToGrid w:val="0"/>
              </w:rPr>
              <w:t xml:space="preserve">r. 1 and 2: </w:t>
            </w:r>
            <w:r>
              <w:t>11 Aug 2015</w:t>
            </w:r>
            <w:r>
              <w:rPr>
                <w:bCs/>
                <w:snapToGrid w:val="0"/>
              </w:rPr>
              <w:t xml:space="preserve"> (see r. 2(a));</w:t>
            </w:r>
            <w:r>
              <w:rPr>
                <w:bCs/>
                <w:snapToGrid w:val="0"/>
              </w:rPr>
              <w:br/>
              <w:t xml:space="preserve">Regulations other than r. 1 and 2: </w:t>
            </w:r>
            <w:r>
              <w:t>12 Aug 2015</w:t>
            </w:r>
            <w:r>
              <w:rPr>
                <w:bCs/>
                <w:snapToGrid w:val="0"/>
              </w:rPr>
              <w:t xml:space="preserve"> (see r. 2(b))</w:t>
            </w:r>
          </w:p>
        </w:tc>
      </w:tr>
      <w:tr>
        <w:trPr>
          <w:cantSplit/>
        </w:trPr>
        <w:tc>
          <w:tcPr>
            <w:tcW w:w="3118" w:type="dxa"/>
            <w:tcBorders>
              <w:top w:val="nil"/>
              <w:bottom w:val="nil"/>
            </w:tcBorders>
            <w:shd w:val="clear" w:color="auto" w:fill="auto"/>
          </w:tcPr>
          <w:p>
            <w:pPr>
              <w:pStyle w:val="nTable"/>
              <w:spacing w:after="40"/>
            </w:pPr>
            <w:r>
              <w:rPr>
                <w:i/>
              </w:rPr>
              <w:t>Health Regulations Amendment (Fees and Charges) Regulations 2016</w:t>
            </w:r>
            <w:r>
              <w:t xml:space="preserve"> Pt. 2</w:t>
            </w:r>
          </w:p>
        </w:tc>
        <w:tc>
          <w:tcPr>
            <w:tcW w:w="1276" w:type="dxa"/>
            <w:tcBorders>
              <w:top w:val="nil"/>
              <w:bottom w:val="nil"/>
            </w:tcBorders>
            <w:shd w:val="clear" w:color="auto" w:fill="auto"/>
          </w:tcPr>
          <w:p>
            <w:pPr>
              <w:pStyle w:val="nTable"/>
              <w:spacing w:after="40"/>
            </w:pPr>
            <w:r>
              <w:t>17 Jun 2016 p. 2101-5</w:t>
            </w:r>
          </w:p>
        </w:tc>
        <w:tc>
          <w:tcPr>
            <w:tcW w:w="2694" w:type="dxa"/>
            <w:tcBorders>
              <w:top w:val="nil"/>
              <w:bottom w:val="nil"/>
            </w:tcBorders>
            <w:shd w:val="clear" w:color="auto" w:fill="auto"/>
          </w:tcPr>
          <w:p>
            <w:pPr>
              <w:pStyle w:val="nTable"/>
              <w:spacing w:after="40"/>
              <w:rPr>
                <w:bCs/>
                <w:snapToGrid w:val="0"/>
              </w:rPr>
            </w:pPr>
            <w:r>
              <w:rPr>
                <w:bCs/>
                <w:snapToGrid w:val="0"/>
              </w:rPr>
              <w:t>1 Jul 2016 (see r. 2(b))</w:t>
            </w:r>
          </w:p>
        </w:tc>
      </w:tr>
      <w:tr>
        <w:trPr>
          <w:cantSplit/>
        </w:trPr>
        <w:tc>
          <w:tcPr>
            <w:tcW w:w="3118" w:type="dxa"/>
            <w:tcBorders>
              <w:top w:val="nil"/>
              <w:bottom w:val="nil"/>
            </w:tcBorders>
            <w:shd w:val="clear" w:color="auto" w:fill="auto"/>
          </w:tcPr>
          <w:p>
            <w:pPr>
              <w:pStyle w:val="nTable"/>
              <w:spacing w:after="40"/>
            </w:pPr>
            <w:r>
              <w:rPr>
                <w:i/>
              </w:rPr>
              <w:t>Health Services (Consequential Amendments) Regulations 2016</w:t>
            </w:r>
            <w:r>
              <w:t xml:space="preserve"> Pt. 2</w:t>
            </w:r>
          </w:p>
        </w:tc>
        <w:tc>
          <w:tcPr>
            <w:tcW w:w="1276" w:type="dxa"/>
            <w:tcBorders>
              <w:top w:val="nil"/>
              <w:bottom w:val="nil"/>
            </w:tcBorders>
            <w:shd w:val="clear" w:color="auto" w:fill="auto"/>
          </w:tcPr>
          <w:p>
            <w:pPr>
              <w:pStyle w:val="nTable"/>
              <w:spacing w:after="40"/>
            </w:pPr>
            <w:r>
              <w:t>24 Jun 2016 p. 2311</w:t>
            </w:r>
            <w:r>
              <w:noBreakHyphen/>
              <w:t>15</w:t>
            </w:r>
          </w:p>
        </w:tc>
        <w:tc>
          <w:tcPr>
            <w:tcW w:w="2694" w:type="dxa"/>
            <w:tcBorders>
              <w:top w:val="nil"/>
              <w:bottom w:val="nil"/>
            </w:tcBorders>
            <w:shd w:val="clear" w:color="auto" w:fill="auto"/>
          </w:tcPr>
          <w:p>
            <w:pPr>
              <w:pStyle w:val="nTable"/>
              <w:spacing w:after="40"/>
              <w:rPr>
                <w:bCs/>
                <w:snapToGrid w:val="0"/>
              </w:rPr>
            </w:pPr>
            <w:r>
              <w:rPr>
                <w:bCs/>
                <w:snapToGrid w:val="0"/>
              </w:rPr>
              <w:t xml:space="preserve">1 Jul 2016 (see r. 2(b) and </w:t>
            </w:r>
            <w:r>
              <w:rPr>
                <w:bCs/>
                <w:i/>
                <w:snapToGrid w:val="0"/>
              </w:rPr>
              <w:t>Gazette</w:t>
            </w:r>
            <w:r>
              <w:rPr>
                <w:bCs/>
                <w:snapToGrid w:val="0"/>
              </w:rPr>
              <w:t xml:space="preserve"> 24 Jun 2016 p. 2291)</w:t>
            </w:r>
          </w:p>
        </w:tc>
      </w:tr>
      <w:tr>
        <w:trPr>
          <w:cantSplit/>
        </w:trPr>
        <w:tc>
          <w:tcPr>
            <w:tcW w:w="3118" w:type="dxa"/>
            <w:tcBorders>
              <w:top w:val="nil"/>
              <w:bottom w:val="nil"/>
            </w:tcBorders>
            <w:shd w:val="clear" w:color="auto" w:fill="auto"/>
          </w:tcPr>
          <w:p>
            <w:pPr>
              <w:pStyle w:val="nTable"/>
              <w:spacing w:after="40"/>
            </w:pPr>
            <w:r>
              <w:rPr>
                <w:i/>
              </w:rPr>
              <w:t xml:space="preserve">Health Regulations Amendment (Public Health) Regulations 2016 </w:t>
            </w:r>
            <w:r>
              <w:t>Pt.</w:t>
            </w:r>
            <w:r>
              <w:rPr>
                <w:i/>
              </w:rPr>
              <w:t> </w:t>
            </w:r>
            <w:r>
              <w:t>6</w:t>
            </w:r>
          </w:p>
        </w:tc>
        <w:tc>
          <w:tcPr>
            <w:tcW w:w="1276" w:type="dxa"/>
            <w:tcBorders>
              <w:top w:val="nil"/>
              <w:bottom w:val="nil"/>
            </w:tcBorders>
            <w:shd w:val="clear" w:color="auto" w:fill="auto"/>
          </w:tcPr>
          <w:p>
            <w:pPr>
              <w:pStyle w:val="nTable"/>
              <w:spacing w:after="40"/>
            </w:pPr>
            <w:r>
              <w:t>10 Jan 2017 p. 237</w:t>
            </w:r>
            <w:r>
              <w:noBreakHyphen/>
              <w:t>308</w:t>
            </w:r>
          </w:p>
        </w:tc>
        <w:tc>
          <w:tcPr>
            <w:tcW w:w="2694" w:type="dxa"/>
            <w:tcBorders>
              <w:top w:val="nil"/>
              <w:bottom w:val="nil"/>
            </w:tcBorders>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trPr>
        <w:tc>
          <w:tcPr>
            <w:tcW w:w="3118" w:type="dxa"/>
            <w:tcBorders>
              <w:top w:val="nil"/>
              <w:bottom w:val="nil"/>
            </w:tcBorders>
            <w:shd w:val="clear" w:color="auto" w:fill="auto"/>
          </w:tcPr>
          <w:p>
            <w:pPr>
              <w:pStyle w:val="nTable"/>
              <w:spacing w:after="40"/>
              <w:rPr>
                <w:i/>
              </w:rPr>
            </w:pPr>
            <w:r>
              <w:rPr>
                <w:i/>
              </w:rPr>
              <w:t>Health Regulations Amendment (Fees and Charges) Regulations 2017</w:t>
            </w:r>
            <w:r>
              <w:t xml:space="preserve"> Pt. 2</w:t>
            </w:r>
          </w:p>
        </w:tc>
        <w:tc>
          <w:tcPr>
            <w:tcW w:w="1276" w:type="dxa"/>
            <w:tcBorders>
              <w:top w:val="nil"/>
              <w:bottom w:val="nil"/>
            </w:tcBorders>
            <w:shd w:val="clear" w:color="auto" w:fill="auto"/>
          </w:tcPr>
          <w:p>
            <w:pPr>
              <w:pStyle w:val="nTable"/>
              <w:spacing w:after="40"/>
            </w:pPr>
            <w:r>
              <w:t>30 Jun 2017 p. 3568</w:t>
            </w:r>
            <w:r>
              <w:noBreakHyphen/>
              <w:t>74</w:t>
            </w:r>
          </w:p>
        </w:tc>
        <w:tc>
          <w:tcPr>
            <w:tcW w:w="2694" w:type="dxa"/>
            <w:tcBorders>
              <w:top w:val="nil"/>
              <w:bottom w:val="nil"/>
            </w:tcBorders>
            <w:shd w:val="clear" w:color="auto" w:fill="auto"/>
          </w:tcPr>
          <w:p>
            <w:pPr>
              <w:pStyle w:val="nTable"/>
              <w:spacing w:after="40"/>
            </w:pPr>
            <w:r>
              <w:rPr>
                <w:bCs/>
                <w:snapToGrid w:val="0"/>
              </w:rPr>
              <w:t>1 Jul 2017 (see r. 2(b))</w:t>
            </w:r>
          </w:p>
        </w:tc>
      </w:tr>
      <w:tr>
        <w:trPr>
          <w:cantSplit/>
        </w:trPr>
        <w:tc>
          <w:tcPr>
            <w:tcW w:w="3118" w:type="dxa"/>
            <w:tcBorders>
              <w:top w:val="nil"/>
              <w:bottom w:val="nil"/>
            </w:tcBorders>
            <w:shd w:val="clear" w:color="auto" w:fill="auto"/>
          </w:tcPr>
          <w:p>
            <w:pPr>
              <w:pStyle w:val="nTable"/>
              <w:spacing w:after="40"/>
              <w:rPr>
                <w:i/>
              </w:rPr>
            </w:pPr>
            <w:r>
              <w:rPr>
                <w:i/>
              </w:rPr>
              <w:t>Health Regulations Amendment (Fees and Charges) Regulations 2018</w:t>
            </w:r>
            <w:r>
              <w:t xml:space="preserve"> Pt. 2</w:t>
            </w:r>
          </w:p>
        </w:tc>
        <w:tc>
          <w:tcPr>
            <w:tcW w:w="1276" w:type="dxa"/>
            <w:tcBorders>
              <w:top w:val="nil"/>
              <w:bottom w:val="nil"/>
            </w:tcBorders>
            <w:shd w:val="clear" w:color="auto" w:fill="auto"/>
          </w:tcPr>
          <w:p>
            <w:pPr>
              <w:pStyle w:val="nTable"/>
              <w:spacing w:after="40"/>
            </w:pPr>
            <w:r>
              <w:t>25 May 2018 p. 1632</w:t>
            </w:r>
            <w:r>
              <w:noBreakHyphen/>
              <w:t>9</w:t>
            </w:r>
          </w:p>
        </w:tc>
        <w:tc>
          <w:tcPr>
            <w:tcW w:w="2694" w:type="dxa"/>
            <w:tcBorders>
              <w:top w:val="nil"/>
              <w:bottom w:val="nil"/>
            </w:tcBorders>
            <w:shd w:val="clear" w:color="auto" w:fill="auto"/>
          </w:tcPr>
          <w:p>
            <w:pPr>
              <w:pStyle w:val="nTable"/>
              <w:spacing w:after="40"/>
              <w:rPr>
                <w:bCs/>
                <w:snapToGrid w:val="0"/>
              </w:rPr>
            </w:pPr>
            <w:r>
              <w:t>1 Jul 2018 (see r. 2(b))</w:t>
            </w:r>
          </w:p>
        </w:tc>
      </w:tr>
      <w:tr>
        <w:trPr>
          <w:cantSplit/>
        </w:trPr>
        <w:tc>
          <w:tcPr>
            <w:tcW w:w="7088" w:type="dxa"/>
            <w:gridSpan w:val="3"/>
            <w:tcBorders>
              <w:top w:val="nil"/>
              <w:bottom w:val="single" w:sz="8" w:space="0" w:color="auto"/>
            </w:tcBorders>
            <w:shd w:val="clear" w:color="auto" w:fill="auto"/>
          </w:tcPr>
          <w:p>
            <w:pPr>
              <w:pStyle w:val="nTable"/>
              <w:spacing w:after="40"/>
              <w:rPr>
                <w:bCs/>
                <w:snapToGrid w:val="0"/>
              </w:rPr>
            </w:pPr>
            <w:r>
              <w:rPr>
                <w:b/>
                <w:bCs/>
                <w:snapToGrid w:val="0"/>
              </w:rPr>
              <w:t xml:space="preserve">Reprint 2: The </w:t>
            </w:r>
            <w:r>
              <w:rPr>
                <w:b/>
                <w:bCs/>
                <w:i/>
                <w:noProof/>
                <w:snapToGrid w:val="0"/>
              </w:rPr>
              <w:t>Food Regulations 2009</w:t>
            </w:r>
            <w:r>
              <w:rPr>
                <w:b/>
                <w:bCs/>
                <w:snapToGrid w:val="0"/>
              </w:rPr>
              <w:t xml:space="preserve"> as at 3 Aug 2018</w:t>
            </w:r>
            <w:r>
              <w:rPr>
                <w:bCs/>
                <w:snapToGrid w:val="0"/>
              </w:rPr>
              <w:t xml:space="preserve"> (includes amendments listed above)</w:t>
            </w:r>
          </w:p>
        </w:tc>
      </w:tr>
    </w:tbl>
    <w:p>
      <w:pPr>
        <w:pStyle w:val="nSubsection"/>
      </w:pPr>
      <w:r>
        <w:rPr>
          <w:vertAlign w:val="superscript"/>
        </w:rPr>
        <w:t>2</w:t>
      </w:r>
      <w:r>
        <w:tab/>
        <w:t xml:space="preserve">The </w:t>
      </w:r>
      <w:r>
        <w:rPr>
          <w:i/>
        </w:rPr>
        <w:t>Food Act 2008</w:t>
      </w:r>
      <w:r>
        <w:t xml:space="preserve"> s. 147(14) commenced 24 Oct 2009.</w:t>
      </w:r>
    </w:p>
    <w:p>
      <w:pPr>
        <w:pStyle w:val="nSubsection"/>
      </w:pPr>
      <w:r>
        <w:rPr>
          <w:vertAlign w:val="superscript"/>
        </w:rPr>
        <w:t>3</w:t>
      </w:r>
      <w:r>
        <w:tab/>
        <w:t xml:space="preserve">Deleted by the </w:t>
      </w:r>
      <w:r>
        <w:rPr>
          <w:i/>
        </w:rPr>
        <w:t>Food Act 2008</w:t>
      </w:r>
      <w:r>
        <w:t xml:space="preserve"> s. 147(11).</w:t>
      </w:r>
    </w:p>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22" w:name="_Toc513121841"/>
      <w:r>
        <w:rPr>
          <w:sz w:val="28"/>
        </w:rPr>
        <w:t>Defined terms</w:t>
      </w:r>
      <w:bookmarkEnd w:id="122"/>
    </w:p>
    <w:p>
      <w:pPr>
        <w:ind w:left="850" w:right="850"/>
        <w:jc w:val="center"/>
        <w:rPr>
          <w:i/>
          <w:sz w:val="18"/>
        </w:rPr>
      </w:pPr>
    </w:p>
    <w:p>
      <w:pPr>
        <w:spacing w:before="120" w:after="120"/>
        <w:ind w:left="851" w:right="851"/>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3</w:t>
      </w:r>
    </w:p>
    <w:p>
      <w:pPr>
        <w:pStyle w:val="DefinedTerms"/>
      </w:pPr>
      <w:r>
        <w:t>adopted standard</w:t>
      </w:r>
      <w:r>
        <w:tab/>
        <w:t>17</w:t>
      </w:r>
    </w:p>
    <w:p>
      <w:pPr>
        <w:pStyle w:val="DefinedTerms"/>
      </w:pPr>
      <w:r>
        <w:t>animal</w:t>
      </w:r>
      <w:r>
        <w:tab/>
        <w:t>17</w:t>
      </w:r>
    </w:p>
    <w:p>
      <w:pPr>
        <w:pStyle w:val="DefinedTerms"/>
      </w:pPr>
      <w:r>
        <w:t>animal food processing premises</w:t>
      </w:r>
      <w:r>
        <w:tab/>
        <w:t>3, 17</w:t>
      </w:r>
    </w:p>
    <w:p>
      <w:pPr>
        <w:pStyle w:val="DefinedTerms"/>
      </w:pPr>
      <w:r>
        <w:t>authorised officer</w:t>
      </w:r>
      <w:r>
        <w:tab/>
        <w:t>17</w:t>
      </w:r>
    </w:p>
    <w:p>
      <w:pPr>
        <w:pStyle w:val="DefinedTerms"/>
      </w:pPr>
      <w:r>
        <w:t>bivalve mollusc</w:t>
      </w:r>
      <w:r>
        <w:tab/>
        <w:t>4(1)</w:t>
      </w:r>
    </w:p>
    <w:p>
      <w:pPr>
        <w:pStyle w:val="DefinedTerms"/>
      </w:pPr>
      <w:r>
        <w:t>carcase</w:t>
      </w:r>
      <w:r>
        <w:tab/>
        <w:t>17</w:t>
      </w:r>
    </w:p>
    <w:p>
      <w:pPr>
        <w:pStyle w:val="DefinedTerms"/>
      </w:pPr>
      <w:r>
        <w:t>dairy primary production business</w:t>
      </w:r>
      <w:r>
        <w:tab/>
        <w:t>4(1)</w:t>
      </w:r>
    </w:p>
    <w:p>
      <w:pPr>
        <w:pStyle w:val="DefinedTerms"/>
      </w:pPr>
      <w:r>
        <w:t>dairy processing business</w:t>
      </w:r>
      <w:r>
        <w:tab/>
        <w:t>4(1)</w:t>
      </w:r>
    </w:p>
    <w:p>
      <w:pPr>
        <w:pStyle w:val="DefinedTerms"/>
      </w:pPr>
      <w:r>
        <w:t>dairy transport business</w:t>
      </w:r>
      <w:r>
        <w:tab/>
        <w:t>4(1)</w:t>
      </w:r>
    </w:p>
    <w:p>
      <w:pPr>
        <w:pStyle w:val="DefinedTerms"/>
      </w:pPr>
      <w:r>
        <w:t>Department</w:t>
      </w:r>
      <w:r>
        <w:tab/>
        <w:t>18(4)</w:t>
      </w:r>
    </w:p>
    <w:p>
      <w:pPr>
        <w:pStyle w:val="DefinedTerms"/>
      </w:pPr>
      <w:r>
        <w:t>district</w:t>
      </w:r>
      <w:r>
        <w:tab/>
        <w:t>3</w:t>
      </w:r>
    </w:p>
    <w:p>
      <w:pPr>
        <w:pStyle w:val="DefinedTerms"/>
      </w:pPr>
      <w:r>
        <w:t>dressing</w:t>
      </w:r>
      <w:r>
        <w:tab/>
        <w:t>29</w:t>
      </w:r>
    </w:p>
    <w:p>
      <w:pPr>
        <w:pStyle w:val="DefinedTerms"/>
      </w:pPr>
      <w:r>
        <w:t>exempted food business</w:t>
      </w:r>
      <w:r>
        <w:tab/>
        <w:t>10(1), 11, 12, 13</w:t>
      </w:r>
    </w:p>
    <w:p>
      <w:pPr>
        <w:pStyle w:val="DefinedTerms"/>
      </w:pPr>
      <w:r>
        <w:t>field depot</w:t>
      </w:r>
      <w:r>
        <w:tab/>
        <w:t>17</w:t>
      </w:r>
    </w:p>
    <w:p>
      <w:pPr>
        <w:pStyle w:val="DefinedTerms"/>
      </w:pPr>
      <w:r>
        <w:t>FSC standard</w:t>
      </w:r>
      <w:r>
        <w:tab/>
        <w:t>3</w:t>
      </w:r>
    </w:p>
    <w:p>
      <w:pPr>
        <w:pStyle w:val="DefinedTerms"/>
      </w:pPr>
      <w:r>
        <w:t>game</w:t>
      </w:r>
      <w:r>
        <w:tab/>
        <w:t>17</w:t>
      </w:r>
    </w:p>
    <w:p>
      <w:pPr>
        <w:pStyle w:val="DefinedTerms"/>
      </w:pPr>
      <w:r>
        <w:t>game meat</w:t>
      </w:r>
      <w:r>
        <w:tab/>
        <w:t>17</w:t>
      </w:r>
    </w:p>
    <w:p>
      <w:pPr>
        <w:pStyle w:val="DefinedTerms"/>
      </w:pPr>
      <w:r>
        <w:t>King’s Park</w:t>
      </w:r>
      <w:r>
        <w:tab/>
        <w:t>4(1)</w:t>
      </w:r>
    </w:p>
    <w:p>
      <w:pPr>
        <w:pStyle w:val="DefinedTerms"/>
      </w:pPr>
      <w:r>
        <w:t>knackery</w:t>
      </w:r>
      <w:r>
        <w:tab/>
        <w:t>17</w:t>
      </w:r>
    </w:p>
    <w:p>
      <w:pPr>
        <w:pStyle w:val="DefinedTerms"/>
      </w:pPr>
      <w:r>
        <w:t>manufacturing of seafood</w:t>
      </w:r>
      <w:r>
        <w:tab/>
        <w:t>4(1)</w:t>
      </w:r>
    </w:p>
    <w:p>
      <w:pPr>
        <w:pStyle w:val="DefinedTerms"/>
      </w:pPr>
      <w:r>
        <w:t>meat</w:t>
      </w:r>
      <w:r>
        <w:tab/>
        <w:t>17</w:t>
      </w:r>
    </w:p>
    <w:p>
      <w:pPr>
        <w:pStyle w:val="DefinedTerms"/>
      </w:pPr>
      <w:r>
        <w:t>meat standard</w:t>
      </w:r>
      <w:r>
        <w:tab/>
        <w:t>17</w:t>
      </w:r>
    </w:p>
    <w:p>
      <w:pPr>
        <w:pStyle w:val="DefinedTerms"/>
      </w:pPr>
      <w:r>
        <w:t>pathogen</w:t>
      </w:r>
      <w:r>
        <w:tab/>
        <w:t>14</w:t>
      </w:r>
    </w:p>
    <w:p>
      <w:pPr>
        <w:pStyle w:val="DefinedTerms"/>
      </w:pPr>
      <w:r>
        <w:t>pet meat</w:t>
      </w:r>
      <w:r>
        <w:tab/>
        <w:t>17</w:t>
      </w:r>
    </w:p>
    <w:p>
      <w:pPr>
        <w:pStyle w:val="DefinedTerms"/>
      </w:pPr>
      <w:r>
        <w:t>pet meat processing establishment</w:t>
      </w:r>
      <w:r>
        <w:tab/>
        <w:t>17</w:t>
      </w:r>
    </w:p>
    <w:p>
      <w:pPr>
        <w:pStyle w:val="DefinedTerms"/>
      </w:pPr>
      <w:r>
        <w:t>potentially hazardous food</w:t>
      </w:r>
      <w:r>
        <w:tab/>
        <w:t>9</w:t>
      </w:r>
    </w:p>
    <w:p>
      <w:pPr>
        <w:pStyle w:val="DefinedTerms"/>
      </w:pPr>
      <w:r>
        <w:t>poultry</w:t>
      </w:r>
      <w:r>
        <w:tab/>
        <w:t>17</w:t>
      </w:r>
    </w:p>
    <w:p>
      <w:pPr>
        <w:pStyle w:val="DefinedTerms"/>
      </w:pPr>
      <w:r>
        <w:t>poultry processing premises</w:t>
      </w:r>
      <w:r>
        <w:tab/>
        <w:t>36(1A)</w:t>
      </w:r>
    </w:p>
    <w:p>
      <w:pPr>
        <w:pStyle w:val="DefinedTerms"/>
      </w:pPr>
      <w:r>
        <w:t>poultry standard</w:t>
      </w:r>
      <w:r>
        <w:tab/>
        <w:t>36(1A)</w:t>
      </w:r>
    </w:p>
    <w:p>
      <w:pPr>
        <w:pStyle w:val="DefinedTerms"/>
      </w:pPr>
      <w:r>
        <w:t>primary producer</w:t>
      </w:r>
      <w:r>
        <w:tab/>
        <w:t>20(1)</w:t>
      </w:r>
    </w:p>
    <w:p>
      <w:pPr>
        <w:pStyle w:val="DefinedTerms"/>
      </w:pPr>
      <w:r>
        <w:t>primary production of seafood</w:t>
      </w:r>
      <w:r>
        <w:tab/>
        <w:t>4(1)</w:t>
      </w:r>
    </w:p>
    <w:p>
      <w:pPr>
        <w:pStyle w:val="DefinedTerms"/>
      </w:pPr>
      <w:r>
        <w:t>processing premises</w:t>
      </w:r>
      <w:r>
        <w:tab/>
        <w:t>17</w:t>
      </w:r>
    </w:p>
    <w:p>
      <w:pPr>
        <w:pStyle w:val="DefinedTerms"/>
      </w:pPr>
      <w:r>
        <w:t>proprietor</w:t>
      </w:r>
      <w:r>
        <w:tab/>
        <w:t>17, 28, 39(1)</w:t>
      </w:r>
    </w:p>
    <w:p>
      <w:pPr>
        <w:pStyle w:val="DefinedTerms"/>
      </w:pPr>
      <w:r>
        <w:t>public hospital</w:t>
      </w:r>
      <w:r>
        <w:tab/>
        <w:t>4(1)</w:t>
      </w:r>
    </w:p>
    <w:p>
      <w:pPr>
        <w:pStyle w:val="DefinedTerms"/>
      </w:pPr>
      <w:r>
        <w:t>registered establishment</w:t>
      </w:r>
      <w:r>
        <w:tab/>
        <w:t>3</w:t>
      </w:r>
    </w:p>
    <w:p>
      <w:pPr>
        <w:pStyle w:val="DefinedTerms"/>
      </w:pPr>
      <w:r>
        <w:t>requirements of the wild game standard</w:t>
      </w:r>
      <w:r>
        <w:tab/>
        <w:t>49(1)</w:t>
      </w:r>
    </w:p>
    <w:p>
      <w:pPr>
        <w:pStyle w:val="DefinedTerms"/>
      </w:pPr>
      <w:r>
        <w:t>retail pet meat shop</w:t>
      </w:r>
      <w:r>
        <w:tab/>
        <w:t>3, 17</w:t>
      </w:r>
    </w:p>
    <w:p>
      <w:pPr>
        <w:pStyle w:val="DefinedTerms"/>
      </w:pPr>
      <w:r>
        <w:t>Rottnest Island</w:t>
      </w:r>
      <w:r>
        <w:tab/>
        <w:t>4(1)</w:t>
      </w:r>
    </w:p>
    <w:p>
      <w:pPr>
        <w:pStyle w:val="DefinedTerms"/>
      </w:pPr>
      <w:r>
        <w:t>wild game meat processing establishment</w:t>
      </w:r>
      <w:r>
        <w:tab/>
        <w:t>3</w:t>
      </w:r>
    </w:p>
    <w:p>
      <w:pPr>
        <w:pStyle w:val="DefinedTerms"/>
      </w:pPr>
      <w:r>
        <w:t>wild game standard</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Aug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Aug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7" w:name="Schedule"/>
    <w:bookmarkEnd w:id="1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3" w:name="DefinedTerms"/>
    <w:bookmarkEnd w:id="12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4" w:name="Coversheet"/>
    <w:bookmarkEnd w:id="12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DADA3C"/>
    <w:lvl w:ilvl="0">
      <w:start w:val="1"/>
      <w:numFmt w:val="decimal"/>
      <w:lvlText w:val="%1."/>
      <w:lvlJc w:val="left"/>
      <w:pPr>
        <w:tabs>
          <w:tab w:val="num" w:pos="1492"/>
        </w:tabs>
        <w:ind w:left="1492" w:hanging="360"/>
      </w:pPr>
    </w:lvl>
  </w:abstractNum>
  <w:abstractNum w:abstractNumId="1">
    <w:nsid w:val="FFFFFF7D"/>
    <w:multiLevelType w:val="singleLevel"/>
    <w:tmpl w:val="E26CD712"/>
    <w:lvl w:ilvl="0">
      <w:start w:val="1"/>
      <w:numFmt w:val="decimal"/>
      <w:lvlText w:val="%1."/>
      <w:lvlJc w:val="left"/>
      <w:pPr>
        <w:tabs>
          <w:tab w:val="num" w:pos="1209"/>
        </w:tabs>
        <w:ind w:left="1209" w:hanging="360"/>
      </w:pPr>
    </w:lvl>
  </w:abstractNum>
  <w:abstractNum w:abstractNumId="2">
    <w:nsid w:val="FFFFFF7E"/>
    <w:multiLevelType w:val="singleLevel"/>
    <w:tmpl w:val="1088880E"/>
    <w:lvl w:ilvl="0">
      <w:start w:val="1"/>
      <w:numFmt w:val="decimal"/>
      <w:lvlText w:val="%1."/>
      <w:lvlJc w:val="left"/>
      <w:pPr>
        <w:tabs>
          <w:tab w:val="num" w:pos="926"/>
        </w:tabs>
        <w:ind w:left="926" w:hanging="360"/>
      </w:pPr>
    </w:lvl>
  </w:abstractNum>
  <w:abstractNum w:abstractNumId="3">
    <w:nsid w:val="FFFFFF7F"/>
    <w:multiLevelType w:val="singleLevel"/>
    <w:tmpl w:val="C08C2E7E"/>
    <w:lvl w:ilvl="0">
      <w:start w:val="1"/>
      <w:numFmt w:val="decimal"/>
      <w:lvlText w:val="%1."/>
      <w:lvlJc w:val="left"/>
      <w:pPr>
        <w:tabs>
          <w:tab w:val="num" w:pos="643"/>
        </w:tabs>
        <w:ind w:left="643" w:hanging="360"/>
      </w:pPr>
    </w:lvl>
  </w:abstractNum>
  <w:abstractNum w:abstractNumId="4">
    <w:nsid w:val="FFFFFF80"/>
    <w:multiLevelType w:val="singleLevel"/>
    <w:tmpl w:val="37E256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98D4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08E4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3263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6474EA"/>
    <w:lvl w:ilvl="0">
      <w:start w:val="1"/>
      <w:numFmt w:val="decimal"/>
      <w:lvlText w:val="%1."/>
      <w:lvlJc w:val="left"/>
      <w:pPr>
        <w:tabs>
          <w:tab w:val="num" w:pos="360"/>
        </w:tabs>
        <w:ind w:left="360" w:hanging="360"/>
      </w:pPr>
    </w:lvl>
  </w:abstractNum>
  <w:abstractNum w:abstractNumId="9">
    <w:nsid w:val="FFFFFF89"/>
    <w:multiLevelType w:val="singleLevel"/>
    <w:tmpl w:val="5D1EDB0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61258B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411093047"/>
    <w:docVar w:name="WAFER_20150320153848" w:val="ResetPageSize,UpdateArrangement,UpdateNTable"/>
    <w:docVar w:name="WAFER_20150320153848_GUID" w:val="6da280d0-bd6d-4f94-8f05-15a7db29f94c"/>
    <w:docVar w:name="WAFER_20150501095146" w:val="RemoveTocBookmarks,RemoveUnusedBookmarks,RemoveLanguageTags,UsedStyles,RemoveTrackChanges"/>
    <w:docVar w:name="WAFER_20150501095146_GUID" w:val="759ddf52-7670-488c-af17-4e7a6e935c21"/>
    <w:docVar w:name="WAFER_20150501095202" w:val="RemoveTocBookmarks,RemoveLanguageTags,RemoveTrackChanges,RunningHeaders"/>
    <w:docVar w:name="WAFER_20150501095202_GUID" w:val="761ceb39-65e8-4d4a-a0b4-22415876f791"/>
    <w:docVar w:name="WAFER_20151105105017" w:val="UpdateStyles,UsedStyles"/>
    <w:docVar w:name="WAFER_20151105105017_GUID" w:val="05e9ac92-32b9-4411-9ec7-2308afd5228a"/>
    <w:docVar w:name="WAFER_20180411092959" w:val="RemoveTocBookmarks,RemoveUnusedBookmarks,RemoveLanguageTags,UsedStyles,RemoveTrackChanges"/>
    <w:docVar w:name="WAFER_20180411092959_GUID" w:val="d3cd5ca1-6e11-4479-8280-c80c4690095e"/>
    <w:docVar w:name="WAFER_20180411093047" w:val="RemoveTocBookmarks,RemoveLanguageTags,RemoveTrackChanges,RunningHeaders"/>
    <w:docVar w:name="WAFER_20180411093047_GUID" w:val="551630a0-0634-4571-87eb-dc764e7246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A5DB4-F87F-41CB-9187-0F8C5506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9287</Words>
  <Characters>44579</Characters>
  <Application>Microsoft Office Word</Application>
  <DocSecurity>0</DocSecurity>
  <Lines>1714</Lines>
  <Paragraphs>1224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2009 - 02-a0-02</dc:title>
  <dc:subject/>
  <dc:creator/>
  <cp:keywords/>
  <dc:description/>
  <cp:lastModifiedBy>svcMRProcess</cp:lastModifiedBy>
  <cp:revision>4</cp:revision>
  <cp:lastPrinted>2018-08-06T00:46:00Z</cp:lastPrinted>
  <dcterms:created xsi:type="dcterms:W3CDTF">2019-02-07T06:43:00Z</dcterms:created>
  <dcterms:modified xsi:type="dcterms:W3CDTF">2019-02-07T06:43:00Z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OwlsUID">
    <vt:i4>41122</vt:i4>
  </property>
  <property fmtid="{D5CDD505-2E9C-101B-9397-08002B2CF9AE}" pid="4" name="DocumentType">
    <vt:lpwstr>Reg</vt:lpwstr>
  </property>
  <property fmtid="{D5CDD505-2E9C-101B-9397-08002B2CF9AE}" pid="5" name="ReprintedAsAt">
    <vt:filetime>2018-08-02T16:00:00Z</vt:filetime>
  </property>
  <property fmtid="{D5CDD505-2E9C-101B-9397-08002B2CF9AE}" pid="6" name="ReprintNo">
    <vt:lpwstr>2</vt:lpwstr>
  </property>
  <property fmtid="{D5CDD505-2E9C-101B-9397-08002B2CF9AE}" pid="7" name="AsAtDate">
    <vt:lpwstr>03 Aug 2018</vt:lpwstr>
  </property>
  <property fmtid="{D5CDD505-2E9C-101B-9397-08002B2CF9AE}" pid="8" name="Suffix">
    <vt:lpwstr>02-a0-02</vt:lpwstr>
  </property>
  <property fmtid="{D5CDD505-2E9C-101B-9397-08002B2CF9AE}" pid="9" name="CommencementDate">
    <vt:lpwstr>20180803</vt:lpwstr>
  </property>
</Properties>
</file>