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2018-19)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2018-19)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_Toc7685837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_Toc7685838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_Toc7685839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_Toc7685840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2019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1017410</wp:posOffset>
            </wp:positionV>
            <wp:extent cx="648000" cy="40732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(Recurrent 2018</w:t>
      </w:r>
      <w:r>
        <w:noBreakHyphen/>
        <w:t>19)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13 of 2018</w:t>
      </w:r>
    </w:p>
    <w:p>
      <w:pPr>
        <w:pStyle w:val="LongTitle"/>
        <w:suppressLineNumbers/>
      </w:pPr>
      <w:r>
        <w:t>An Act to grant supply and to appropriate and apply out of the Consolidated Account certain sums for the recurrent services and purposes of the year ending 30 June 2019.</w:t>
      </w:r>
    </w:p>
    <w:p>
      <w:pPr>
        <w:pStyle w:val="AssentNote"/>
      </w:pPr>
      <w:r>
        <w:t>[Assented to 24 August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23115561"/>
      <w:bookmarkStart w:id="5" w:name="_Toc523122716"/>
      <w:bookmarkStart w:id="6" w:name="_Toc7685837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2018</w:t>
      </w:r>
      <w:r>
        <w:rPr>
          <w:i/>
        </w:rPr>
        <w:noBreakHyphen/>
        <w:t>19) Act 2018</w:t>
      </w:r>
      <w:r>
        <w:t>.</w:t>
      </w:r>
    </w:p>
    <w:p>
      <w:pPr>
        <w:pStyle w:val="Heading5"/>
      </w:pPr>
      <w:bookmarkStart w:id="7" w:name="_Toc523115562"/>
      <w:bookmarkStart w:id="8" w:name="_Toc523122717"/>
      <w:bookmarkStart w:id="9" w:name="_Toc7685838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10" w:name="_Toc523115563"/>
      <w:bookmarkStart w:id="11" w:name="_Toc523122718"/>
      <w:bookmarkStart w:id="12" w:name="_Toc7685839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$19 382 307 000 is to be issued and may be applied out of the Consolidated Account as supply granted for the year beginning on 1 July 2018 and ending on 30 June 2019.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(Capital 2018</w:t>
      </w:r>
      <w:r>
        <w:rPr>
          <w:i/>
        </w:rPr>
        <w:noBreakHyphen/>
        <w:t>19) Act 2018</w:t>
      </w:r>
      <w:r>
        <w:t>.</w:t>
      </w:r>
    </w:p>
    <w:p>
      <w:pPr>
        <w:pStyle w:val="Heading5"/>
      </w:pPr>
      <w:bookmarkStart w:id="13" w:name="_Toc523115564"/>
      <w:bookmarkStart w:id="14" w:name="_Toc523122719"/>
      <w:bookmarkStart w:id="15" w:name="_Toc7685840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The sum of $19 382 307 000 granted by section 3 as supply is appropriated from the Consolidated Account for the recurrent services and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511295221"/>
      <w:bookmarkStart w:id="17" w:name="_Toc511295318"/>
      <w:bookmarkStart w:id="18" w:name="_Toc511296919"/>
      <w:bookmarkStart w:id="19" w:name="_Toc511297816"/>
      <w:bookmarkStart w:id="20" w:name="_Toc513057972"/>
      <w:bookmarkStart w:id="21" w:name="_Toc513058538"/>
      <w:bookmarkStart w:id="22" w:name="_Toc513058556"/>
      <w:bookmarkStart w:id="23" w:name="_Toc513106071"/>
      <w:bookmarkStart w:id="24" w:name="_Toc513106176"/>
      <w:bookmarkStart w:id="25" w:name="_Toc513108279"/>
      <w:bookmarkStart w:id="26" w:name="_Toc513111450"/>
      <w:bookmarkStart w:id="27" w:name="_Toc513129221"/>
      <w:bookmarkStart w:id="28" w:name="_Toc513131870"/>
      <w:bookmarkStart w:id="29" w:name="_Toc513134008"/>
      <w:bookmarkStart w:id="30" w:name="_Toc513134111"/>
      <w:bookmarkStart w:id="31" w:name="_Toc513188403"/>
      <w:bookmarkStart w:id="32" w:name="_Toc513452317"/>
      <w:bookmarkStart w:id="33" w:name="_Toc522692840"/>
      <w:bookmarkStart w:id="34" w:name="_Toc523115565"/>
      <w:bookmarkStart w:id="35" w:name="_Toc523122407"/>
      <w:bookmarkStart w:id="36" w:name="_Toc523122720"/>
      <w:bookmarkStart w:id="37" w:name="_Toc7685841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2019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7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</w:tblGrid>
      <w:tr>
        <w:trPr>
          <w:cantSplit/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tabs>
                <w:tab w:val="clear" w:pos="567"/>
                <w:tab w:val="left" w:pos="884"/>
              </w:tabs>
              <w:rPr>
                <w:b/>
              </w:rPr>
            </w:pPr>
            <w:r>
              <w:rPr>
                <w:b/>
              </w:rPr>
              <w:tab/>
              <w:t>$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Legislative Council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5 494 000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6 040 000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17 453 000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6 751 000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Premier and Cabinet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126 732 000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Premier and Cabinet 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5 839 000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23 632 000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1 430 000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6 470 000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1 101 000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Commissioner for Equal Opportunity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3 502 000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Commissioner for Children and Young People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2 814 000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Information Commissioner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2 027 000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Registrar, Western Australian Industrial Relations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9 334 000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Lines/>
              <w:rPr>
                <w:b/>
              </w:rPr>
            </w:pPr>
            <w:r>
              <w:rPr>
                <w:b/>
              </w:rPr>
              <w:t>FINANCIAL ADMINISTRATION</w:t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</w:pPr>
            <w:r>
              <w:t>15</w:t>
            </w: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right" w:leader="dot" w:pos="4820"/>
              </w:tabs>
            </w:pPr>
            <w:r>
              <w:t xml:space="preserve">Treasury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  <w:r>
              <w:t>61 124 000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right" w:leader="dot" w:pos="4820"/>
              </w:tabs>
            </w:pPr>
            <w:r>
              <w:t xml:space="preserve">Treasury Administered </w:t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</w:pPr>
            <w:r>
              <w:t>16</w:t>
            </w: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clear" w:pos="567"/>
                <w:tab w:val="left" w:pos="317"/>
                <w:tab w:val="right" w:leader="dot" w:pos="4820"/>
              </w:tabs>
              <w:ind w:left="601" w:hanging="601"/>
            </w:pPr>
            <w:r>
              <w:tab/>
              <w:t xml:space="preserve">Bunbury Water Corporation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  <w:r>
              <w:t>692 000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601" w:hanging="601"/>
            </w:pPr>
            <w:r>
              <w:tab/>
              <w:t xml:space="preserve">Busselton Water Corporation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671 000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Electricity Generation and Retail Corporation (Synergy)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113 901 000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Forest Products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1 667 000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Mid West Ports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2 442 000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Public Transport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834 456 000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Regional Power Corporation (Horizon Power)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9 730 000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Southern Ports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295 000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Water Corporation of Western Australia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464 299 000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Western Australian Land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27 668 000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Goods and Services Tax (GST) Administration Costs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62 800 000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Health and Disability Services Complaints Office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2 651 000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Metropolitan Redevelopment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10 351 000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29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Minerals Research Institute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Provision for Unfunded Liabilities in the Government Insurance Fund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1 870 000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Provision for Voluntary Targeted Separation Scheme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55 820 000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Refund of Past Years Revenue Collections — Public Corporations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10 000 000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Resolution of Native Title in the South West of Western Australia (Settlement)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60 000 000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Royalties for Regions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574 807 000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State Property — Emergency Services Levy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19 187 000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</w:pPr>
            <w:r>
              <w:t>36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>Treasury — All Other Grants, Subsidies and Transfer Payments comprising: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Acts of Grace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Incidentals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240 000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5 060 000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Administration Costs — National Tax Equivalent Regime Scheme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100 000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Western Australian Treasury Corporation Management Fees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852 000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37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6 958 000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151 149 000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39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176 426 000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</w:pPr>
            <w:r>
              <w:t>40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151 419 000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Jobs, Tourism, Science and Innovation 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22 236 000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166 301 000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Primary Industries and Regional Development 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1 550 000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125 068 000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Mines, Industry Regulation and Safety 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43 630 000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11 851 000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</w:pPr>
            <w:r>
              <w:t>47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Rural Business Development Corporation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235 000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Economic Regulation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2 056 000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49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4 819 236 000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706 647 000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 — Mental Health Advocacy Service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2 668 000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 — Mental Health Tribunal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2 590 000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 — Office of the Chief Psychiatrist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3 029 000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keepLines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54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keepLines/>
              <w:tabs>
                <w:tab w:val="right" w:leader="dot" w:pos="4820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  <w:r>
              <w:t>4 041 976 000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55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keepLines/>
              <w:tabs>
                <w:tab w:val="right" w:leader="dot" w:pos="4820"/>
              </w:tabs>
            </w:pPr>
            <w:r>
              <w:t xml:space="preserve">Education 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  <w:r>
              <w:br/>
              <w:t>451 223 000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Training and Workforce Development 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354 238 000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Lines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</w:pPr>
            <w:r>
              <w:t>57</w:t>
            </w: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right" w:leader="dot" w:pos="4820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  <w:r>
              <w:t>1 367 361 000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</w:pPr>
            <w:r>
              <w:t>58</w:t>
            </w: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right" w:leader="dot" w:pos="4820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  <w:r>
              <w:t>1 177 286 000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59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22 771 000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Fire and Emergency Services — Western Australia Natural Disaster Relief and Recovery Arrangements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45 000 000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36 046 000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26 565 000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63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Chemistry Centre (WA)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6 476 000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3 307 000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518 000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rPr>
                <w:b/>
              </w:rPr>
              <w:t>COMMUNITY SERVICES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  <w:r>
              <w:t>1 720 787 000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67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Communities 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  <w:r>
              <w:br/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68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110 262 000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69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 — Art Gallery of Western Australia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8 239 000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>Local Government, Sport and Cultural Industries — Contribution to Community Sporting and Recreation Facilities Fund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19 000 000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 — Library Board of Western Australia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31 432 000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72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 — Perth Theatre Trust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8 154 000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73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 — Western Australian Museum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22 225 000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 — Administered Grants, Subsidies and Other Transfer Payments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</w:r>
            <w:r>
              <w:br/>
              <w:t>56 152 000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75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Western Australian Sports Centre Trust 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80 038 000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76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 xml:space="preserve">Transport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77 301 000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77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Transport — Western Australian Coastal Shipping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br/>
              <w:t>100 000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78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323 019 000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79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Next/>
              <w:keepLines/>
              <w:jc w:val="right"/>
            </w:pPr>
            <w:r>
              <w:t>82 407 000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80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239 344 000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701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81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92 293 000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82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5 848 000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83</w:t>
            </w:r>
          </w:p>
        </w:tc>
        <w:tc>
          <w:tcPr>
            <w:tcW w:w="4678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34 452 000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84</w:t>
            </w:r>
          </w:p>
        </w:tc>
        <w:tc>
          <w:tcPr>
            <w:tcW w:w="4678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Heritage Council of Western Australia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jc w:val="right"/>
            </w:pPr>
            <w:r>
              <w:t>1 390 000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</w:pPr>
            <w:r>
              <w:t>85</w:t>
            </w: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right" w:leader="dot" w:pos="4820"/>
              </w:tabs>
            </w:pPr>
            <w:r>
              <w:t xml:space="preserve">National Trust of Australia (WA)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</w:pPr>
            <w:r>
              <w:t>3 146 000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678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701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Lines/>
              <w:jc w:val="center"/>
              <w:rPr>
                <w:b/>
              </w:rPr>
            </w:pPr>
          </w:p>
        </w:tc>
        <w:tc>
          <w:tcPr>
            <w:tcW w:w="4678" w:type="dxa"/>
          </w:tcPr>
          <w:p>
            <w:pPr>
              <w:pStyle w:val="yTableNAm"/>
              <w:keepLines/>
              <w:tabs>
                <w:tab w:val="right" w:leader="dot" w:pos="4570"/>
              </w:tabs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701" w:type="dxa"/>
          </w:tcPr>
          <w:p>
            <w:pPr>
              <w:pStyle w:val="yTableNAm"/>
              <w:keepLines/>
              <w:jc w:val="right"/>
              <w:rPr>
                <w:b/>
              </w:rPr>
            </w:pPr>
            <w:r>
              <w:rPr>
                <w:b/>
              </w:rPr>
              <w:t>19 382 307 000</w:t>
            </w:r>
          </w:p>
        </w:tc>
      </w:tr>
    </w:tbl>
    <w:p>
      <w:pPr>
        <w:pStyle w:val="CentredBaseLine"/>
        <w:keepLines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Subsection"/>
        <w:keepLines/>
        <w:jc w:val="center"/>
        <w:sectPr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0628" cy="2759858"/>
                <wp:effectExtent l="0" t="0" r="1905" b="254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" cy="275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3pt;height:217.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eD8QIAAHoGAAAOAAAAZHJzL2Uyb0RvYy54bWysVd1v2jAQf5+0/8HyO01Cw0dQQ0VbMU1C&#10;bbV26rNxHLDq2J5tIKza/76zk1Bo97BO48E5+77vfndcXNaVQFtmLFcyx8lZjBGTVBVcrnL8/XHe&#10;G2NkHZEFEUqyHO+ZxZfTz58udnrC+mqtRMEMAiPSTnY6x2vn9CSKLF2zitgzpZkEZqlMRRxczSoq&#10;DNmB9UpE/TgeRjtlCm0UZdbC603DxNNgvywZdXdlaZlDIscQmwunCefSn9H0gkxWhug1p20Y5B+i&#10;qAiX4PRg6oY4gjaGvzNVcWqUVaU7o6qKVFlyykIOkE0Sv8nmYU00C7lAcaw+lMn+P7P0dntvEC9y&#10;fI6RJBW0aLZxa2W42/vi7LSdgMyDBilXX6kamty9W3j0OdelqfwXskHAhzLvD6VltUPUK53Hwz5g&#10;gQKrPxpk48HYm4letbWx7gtTFfJEjg20LlSUbBfWNaKdiHdmleDFnAsRLma1vBYGbQm0eR5+rfUT&#10;MSHRLsfD80EcLEvl9RvTQno7LCCm8Qe32gEZ3iGL0M2XLOmn8VU/682H41EvnaeDXjaKx704ya6y&#10;YZxm6c38l7eepJM1LwomF1yyDllJ+nedazHeYCJg6yTwk6R8UQ65LwWhz+9Tj07DCXWH7LpvyDLy&#10;rW5aGii3F8znLuQ3VgJCQmf9Q5hNdnBJKGXSBVBAN4O0lyqhtB9RbOW9atOFjygfNIJnJd1BueJS&#10;mdDtN2EXz13IZSMPxTjK25OuXtbtCCxVsYcJMAqQCfi2ms451H1BrLsnBjYGPMIWdHdwlEIBylRL&#10;YQTD9PNP714e4ABcjHawgXJsf2yIYRiJrxJGPEvS1K+scEkHoz5czDFnecyRm+paAfqTEF0gvbwT&#10;HVkaVT3Bspx5r8AikoLvHLuOvHbNXoRlS9lsFoRgSWniFvJBU2/al9fj7bF+Ika3k+oASbeq21Vk&#10;8mZgG1mvKRWsFlXyMM2+wE1V28LDggt4bJex36DH9yD1+pcx/Q0AAP//AwBQSwMEFAAGAAgAAAAh&#10;AGzkXy3cAAAABAEAAA8AAABkcnMvZG93bnJldi54bWxMj8FOwzAQRO9I/IO1SNyoTVuiKsSpKiRO&#10;VQ8EKBy38ZJEjdfBdtrw9xgucFlpNKOZt8V6sr04kQ+dYw23MwWCuHam40bDy/PjzQpEiMgGe8ek&#10;4YsCrMvLiwJz4878RKcqNiKVcMhRQxvjkEsZ6pYshpkbiJP34bzFmKRvpPF4TuW2l3OlMmmx47TQ&#10;4kAPLdXHarQa3nfd3W6/3bytKjVWr5/T9rjYe62vr6bNPYhIU/wLww9+QocyMR3cyCaIXkN6JP7e&#10;5M1VBuKgYblYZiDLQv6HL78BAAD//wMAUEsBAi0AFAAGAAgAAAAhALaDOJL+AAAA4QEAABMAAAAA&#10;AAAAAAAAAAAAAAAAAFtDb250ZW50X1R5cGVzXS54bWxQSwECLQAUAAYACAAAACEAOP0h/9YAAACU&#10;AQAACwAAAAAAAAAAAAAAAAAvAQAAX3JlbHMvLnJlbHNQSwECLQAUAAYACAAAACEAiyY3g/ECAAB6&#10;BgAADgAAAAAAAAAAAAAAAAAuAgAAZHJzL2Uyb0RvYy54bWxQSwECLQAUAAYACAAAACEAbORfLdwA&#10;AAAEAQAADwAAAAAAAAAAAAAAAABLBQAAZHJzL2Rvd25yZXYueG1sUEsFBgAAAAAEAAQA8wAAAFQG&#10;AAAAAA==&#10;" stroked="f" strokeweight=".5pt">
                <v:textbox>
                  <w:txbxContent>
                    <w:p w:rsidR="009A103D" w:rsidRDefault="000077C0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13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Schedule"/>
    <w:bookmarkEnd w:id="38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1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918-EEA4-4CCD-9039-40E2B88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1303</Words>
  <Characters>6764</Characters>
  <Application>Microsoft Office Word</Application>
  <DocSecurity>0</DocSecurity>
  <Lines>563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7664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2018-19) Act 2018 - 00-00-02</dc:title>
  <dc:subject/>
  <dc:creator/>
  <cp:keywords/>
  <dc:description/>
  <cp:lastModifiedBy>svcMRProcess</cp:lastModifiedBy>
  <cp:revision>4</cp:revision>
  <cp:lastPrinted>2018-08-26T22:42:00Z</cp:lastPrinted>
  <dcterms:created xsi:type="dcterms:W3CDTF">2019-08-30T08:41:00Z</dcterms:created>
  <dcterms:modified xsi:type="dcterms:W3CDTF">2019-08-30T08:41:00Z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69—1</vt:lpwstr>
  </property>
  <property fmtid="{D5CDD505-2E9C-101B-9397-08002B2CF9AE}" pid="3" name="BillID">
    <vt:lpwstr>2652</vt:lpwstr>
  </property>
  <property fmtid="{D5CDD505-2E9C-101B-9397-08002B2CF9AE}" pid="4" name="ShortTitle">
    <vt:lpwstr>Appropriation (Recurrent 2018_x001e_19) Act 2018</vt:lpwstr>
  </property>
  <property fmtid="{D5CDD505-2E9C-101B-9397-08002B2CF9AE}" pid="5" name="Citation">
    <vt:lpwstr>Appropriation (Recurrent 2018_x001e_19) Act 2018</vt:lpwstr>
  </property>
  <property fmtid="{D5CDD505-2E9C-101B-9397-08002B2CF9AE}" pid="6" name="PrincipalAct">
    <vt:lpwstr/>
  </property>
  <property fmtid="{D5CDD505-2E9C-101B-9397-08002B2CF9AE}" pid="7" name="ActNo">
    <vt:lpwstr>13 of 2018</vt:lpwstr>
  </property>
  <property fmtid="{D5CDD505-2E9C-101B-9397-08002B2CF9AE}" pid="8" name="Assent Date">
    <vt:lpwstr>24 August 2018</vt:lpwstr>
  </property>
  <property fmtid="{D5CDD505-2E9C-101B-9397-08002B2CF9AE}" pid="9" name="PerfectBound">
    <vt:lpwstr>NO</vt:lpwstr>
  </property>
  <property fmtid="{D5CDD505-2E9C-101B-9397-08002B2CF9AE}" pid="10" name="DocumentType">
    <vt:lpwstr>Act</vt:lpwstr>
  </property>
  <property fmtid="{D5CDD505-2E9C-101B-9397-08002B2CF9AE}" pid="11" name="AsAtDate">
    <vt:lpwstr>24 Aug 2018</vt:lpwstr>
  </property>
  <property fmtid="{D5CDD505-2E9C-101B-9397-08002B2CF9AE}" pid="12" name="Suffix">
    <vt:lpwstr>00-00-02</vt:lpwstr>
  </property>
  <property fmtid="{D5CDD505-2E9C-101B-9397-08002B2CF9AE}" pid="13" name="ActNoFooter">
    <vt:lpwstr>No. 13 of 2018</vt:lpwstr>
  </property>
  <property fmtid="{D5CDD505-2E9C-101B-9397-08002B2CF9AE}" pid="14" name="CommencementDate">
    <vt:lpwstr>20180824</vt:lpwstr>
  </property>
</Properties>
</file>