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715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_Toc524015099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_Toc524015100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prescribed etc. (Sch. 1)</w:t>
      </w:r>
      <w:r>
        <w:tab/>
      </w:r>
      <w:r>
        <w:fldChar w:fldCharType="begin"/>
      </w:r>
      <w:r>
        <w:instrText xml:space="preserve"> PAGEREF _Toc524015101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Terms used</w:t>
      </w:r>
      <w:r>
        <w:tab/>
      </w:r>
      <w:r>
        <w:fldChar w:fldCharType="begin"/>
      </w:r>
      <w:r>
        <w:instrText xml:space="preserve"> PAGEREF _Toc524015102 \h </w:instrText>
      </w:r>
      <w:r>
        <w:fldChar w:fldCharType="separate"/>
      </w:r>
      <w:r>
        <w:t>2</w:t>
      </w:r>
      <w:r>
        <w:fldChar w:fldCharType="end"/>
      </w:r>
    </w:p>
    <w:p>
      <w:pPr>
        <w:pStyle w:val="TOC8"/>
        <w:rPr>
          <w:rFonts w:asciiTheme="minorHAnsi" w:eastAsiaTheme="minorEastAsia" w:hAnsiTheme="minorHAnsi" w:cstheme="minorBidi"/>
          <w:szCs w:val="22"/>
        </w:rPr>
      </w:pPr>
      <w:r>
        <w:t>3AB.</w:t>
      </w:r>
      <w:r>
        <w:tab/>
        <w:t xml:space="preserve">Kind of liquor prescribed (mist containing ethanol) (Act s. 3(1) </w:t>
      </w:r>
      <w:r>
        <w:rPr>
          <w:i/>
        </w:rPr>
        <w:t>kind</w:t>
      </w:r>
      <w:r>
        <w:t>)</w:t>
      </w:r>
      <w:r>
        <w:tab/>
      </w:r>
      <w:r>
        <w:fldChar w:fldCharType="begin"/>
      </w:r>
      <w:r>
        <w:instrText xml:space="preserve"> PAGEREF _Toc524015103 \h </w:instrText>
      </w:r>
      <w:r>
        <w:fldChar w:fldCharType="separate"/>
      </w:r>
      <w:r>
        <w:t>3</w:t>
      </w:r>
      <w:r>
        <w:fldChar w:fldCharType="end"/>
      </w:r>
    </w:p>
    <w:p>
      <w:pPr>
        <w:pStyle w:val="TOC8"/>
        <w:rPr>
          <w:rFonts w:asciiTheme="minorHAnsi" w:eastAsiaTheme="minorEastAsia" w:hAnsiTheme="minorHAnsi" w:cstheme="minorBidi"/>
          <w:szCs w:val="22"/>
        </w:rPr>
      </w:pPr>
      <w:r>
        <w:t>3AC.</w:t>
      </w:r>
      <w:r>
        <w:tab/>
        <w:t xml:space="preserve">Kind of liquor prescribed (aerosol containing ethanol) (Act s. 3(1) </w:t>
      </w:r>
      <w:r>
        <w:rPr>
          <w:i/>
        </w:rPr>
        <w:t>kind</w:t>
      </w:r>
      <w:r>
        <w:t>)</w:t>
      </w:r>
      <w:r>
        <w:tab/>
      </w:r>
      <w:r>
        <w:fldChar w:fldCharType="begin"/>
      </w:r>
      <w:r>
        <w:instrText xml:space="preserve"> PAGEREF _Toc524015104 \h </w:instrText>
      </w:r>
      <w:r>
        <w:fldChar w:fldCharType="separate"/>
      </w:r>
      <w:r>
        <w:t>4</w:t>
      </w:r>
      <w:r>
        <w:fldChar w:fldCharType="end"/>
      </w:r>
    </w:p>
    <w:p>
      <w:pPr>
        <w:pStyle w:val="TOC8"/>
        <w:rPr>
          <w:rFonts w:asciiTheme="minorHAnsi" w:eastAsiaTheme="minorEastAsia" w:hAnsiTheme="minorHAnsi" w:cstheme="minorBidi"/>
          <w:szCs w:val="22"/>
        </w:rPr>
      </w:pPr>
      <w:r>
        <w:t>3AD.</w:t>
      </w:r>
      <w:r>
        <w:tab/>
        <w:t xml:space="preserve">Kind of liquor prescribed (powdered alcohol) (Act s. 3(1) </w:t>
      </w:r>
      <w:r>
        <w:rPr>
          <w:i/>
        </w:rPr>
        <w:t>kind</w:t>
      </w:r>
      <w:r>
        <w:t>)</w:t>
      </w:r>
      <w:r>
        <w:tab/>
      </w:r>
      <w:r>
        <w:fldChar w:fldCharType="begin"/>
      </w:r>
      <w:r>
        <w:instrText xml:space="preserve"> PAGEREF _Toc524015105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Level prescribed </w:t>
      </w:r>
      <w:r>
        <w:t xml:space="preserve">(Act s. 3(1) </w:t>
      </w:r>
      <w:r>
        <w:rPr>
          <w:i/>
        </w:rPr>
        <w:t>low alcohol liquor</w:t>
      </w:r>
      <w:r>
        <w:t>)</w:t>
      </w:r>
      <w:r>
        <w:tab/>
      </w:r>
      <w:r>
        <w:fldChar w:fldCharType="begin"/>
      </w:r>
      <w:r>
        <w:instrText xml:space="preserve"> PAGEREF _Toc524015106 \h </w:instrText>
      </w:r>
      <w:r>
        <w:fldChar w:fldCharType="separate"/>
      </w:r>
      <w:r>
        <w:t>4</w:t>
      </w:r>
      <w:r>
        <w:fldChar w:fldCharType="end"/>
      </w:r>
    </w:p>
    <w:p>
      <w:pPr>
        <w:pStyle w:val="TOC8"/>
        <w:rPr>
          <w:rFonts w:asciiTheme="minorHAnsi" w:eastAsiaTheme="minorEastAsia" w:hAnsiTheme="minorHAnsi" w:cstheme="minorBidi"/>
          <w:szCs w:val="22"/>
        </w:rPr>
      </w:pPr>
      <w:r>
        <w:t>4AA</w:t>
      </w:r>
      <w:r>
        <w:rPr>
          <w:snapToGrid w:val="0"/>
        </w:rPr>
        <w:t>.</w:t>
      </w:r>
      <w:r>
        <w:rPr>
          <w:snapToGrid w:val="0"/>
        </w:rPr>
        <w:tab/>
      </w:r>
      <w:r>
        <w:t>P</w:t>
      </w:r>
      <w:r>
        <w:rPr>
          <w:snapToGrid w:val="0"/>
        </w:rPr>
        <w:t xml:space="preserve">roportion of ethanol prescribed </w:t>
      </w:r>
      <w:r>
        <w:t xml:space="preserve">(Act s. 3(1) </w:t>
      </w:r>
      <w:r>
        <w:rPr>
          <w:i/>
        </w:rPr>
        <w:t>liquor</w:t>
      </w:r>
      <w:r>
        <w:t>)</w:t>
      </w:r>
      <w:r>
        <w:tab/>
      </w:r>
      <w:r>
        <w:fldChar w:fldCharType="begin"/>
      </w:r>
      <w:r>
        <w:instrText xml:space="preserve"> PAGEREF _Toc524015107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Substances prescribed (food items) </w:t>
      </w:r>
      <w:r>
        <w:t xml:space="preserve">(Act s. 3(1) </w:t>
      </w:r>
      <w:r>
        <w:rPr>
          <w:i/>
        </w:rPr>
        <w:t>liquor</w:t>
      </w:r>
      <w:r>
        <w:t>)</w:t>
      </w:r>
      <w:r>
        <w:tab/>
      </w:r>
      <w:r>
        <w:fldChar w:fldCharType="begin"/>
      </w:r>
      <w:r>
        <w:instrText xml:space="preserve"> PAGEREF _Toc524015108 \h </w:instrText>
      </w:r>
      <w:r>
        <w:fldChar w:fldCharType="separate"/>
      </w:r>
      <w:r>
        <w:t>4</w:t>
      </w:r>
      <w:r>
        <w:fldChar w:fldCharType="end"/>
      </w:r>
    </w:p>
    <w:p>
      <w:pPr>
        <w:pStyle w:val="TOC8"/>
        <w:rPr>
          <w:rFonts w:asciiTheme="minorHAnsi" w:eastAsiaTheme="minorEastAsia" w:hAnsiTheme="minorHAnsi" w:cstheme="minorBidi"/>
          <w:szCs w:val="22"/>
        </w:rPr>
      </w:pPr>
      <w:r>
        <w:t>4AB.</w:t>
      </w:r>
      <w:r>
        <w:tab/>
        <w:t>Substance prescribed (mist containing ethanol) (Act s. 3(1) </w:t>
      </w:r>
      <w:r>
        <w:rPr>
          <w:i/>
        </w:rPr>
        <w:t>liquor</w:t>
      </w:r>
      <w:r>
        <w:t>)</w:t>
      </w:r>
      <w:r>
        <w:tab/>
      </w:r>
      <w:r>
        <w:fldChar w:fldCharType="begin"/>
      </w:r>
      <w:r>
        <w:instrText xml:space="preserve"> PAGEREF _Toc524015109 \h </w:instrText>
      </w:r>
      <w:r>
        <w:fldChar w:fldCharType="separate"/>
      </w:r>
      <w:r>
        <w:t>5</w:t>
      </w:r>
      <w:r>
        <w:fldChar w:fldCharType="end"/>
      </w:r>
    </w:p>
    <w:p>
      <w:pPr>
        <w:pStyle w:val="TOC8"/>
        <w:rPr>
          <w:rFonts w:asciiTheme="minorHAnsi" w:eastAsiaTheme="minorEastAsia" w:hAnsiTheme="minorHAnsi" w:cstheme="minorBidi"/>
          <w:szCs w:val="22"/>
        </w:rPr>
      </w:pPr>
      <w:r>
        <w:t>4AC.</w:t>
      </w:r>
      <w:r>
        <w:tab/>
        <w:t xml:space="preserve">Substance prescribed (aerosol containing ethanol) (Act s. 3(1) </w:t>
      </w:r>
      <w:r>
        <w:rPr>
          <w:i/>
        </w:rPr>
        <w:t>liquor</w:t>
      </w:r>
      <w:r>
        <w:t>)</w:t>
      </w:r>
      <w:r>
        <w:tab/>
      </w:r>
      <w:r>
        <w:fldChar w:fldCharType="begin"/>
      </w:r>
      <w:r>
        <w:instrText xml:space="preserve"> PAGEREF _Toc524015110 \h </w:instrText>
      </w:r>
      <w:r>
        <w:fldChar w:fldCharType="separate"/>
      </w:r>
      <w:r>
        <w:t>6</w:t>
      </w:r>
      <w:r>
        <w:fldChar w:fldCharType="end"/>
      </w:r>
    </w:p>
    <w:p>
      <w:pPr>
        <w:pStyle w:val="TOC8"/>
        <w:rPr>
          <w:rFonts w:asciiTheme="minorHAnsi" w:eastAsiaTheme="minorEastAsia" w:hAnsiTheme="minorHAnsi" w:cstheme="minorBidi"/>
          <w:szCs w:val="22"/>
        </w:rPr>
      </w:pPr>
      <w:r>
        <w:t>4AD.</w:t>
      </w:r>
      <w:r>
        <w:tab/>
        <w:t xml:space="preserve">Substance prescribed (powdered alcohol) (Act s. 3(1) </w:t>
      </w:r>
      <w:r>
        <w:rPr>
          <w:i/>
        </w:rPr>
        <w:t>liquor</w:t>
      </w:r>
      <w:r>
        <w:t>)</w:t>
      </w:r>
      <w:r>
        <w:tab/>
      </w:r>
      <w:r>
        <w:fldChar w:fldCharType="begin"/>
      </w:r>
      <w:r>
        <w:instrText xml:space="preserve"> PAGEREF _Toc524015111 \h </w:instrText>
      </w:r>
      <w:r>
        <w:fldChar w:fldCharType="separate"/>
      </w:r>
      <w:r>
        <w:t>6</w:t>
      </w:r>
      <w:r>
        <w:fldChar w:fldCharType="end"/>
      </w:r>
    </w:p>
    <w:p>
      <w:pPr>
        <w:pStyle w:val="TOC8"/>
        <w:rPr>
          <w:rFonts w:asciiTheme="minorHAnsi" w:eastAsiaTheme="minorEastAsia" w:hAnsiTheme="minorHAnsi" w:cstheme="minorBidi"/>
          <w:szCs w:val="22"/>
        </w:rPr>
      </w:pPr>
      <w:r>
        <w:t>4AE.</w:t>
      </w:r>
      <w:r>
        <w:tab/>
        <w:t xml:space="preserve">Substance prescribed (liqueur chocolate) (Act s. 3(1) </w:t>
      </w:r>
      <w:r>
        <w:rPr>
          <w:i/>
        </w:rPr>
        <w:t>liquor</w:t>
      </w:r>
      <w:r>
        <w:t>)</w:t>
      </w:r>
      <w:r>
        <w:tab/>
      </w:r>
      <w:r>
        <w:fldChar w:fldCharType="begin"/>
      </w:r>
      <w:r>
        <w:instrText xml:space="preserve"> PAGEREF _Toc524015112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r>
        <w:tab/>
      </w:r>
      <w:r>
        <w:fldChar w:fldCharType="begin"/>
      </w:r>
      <w:r>
        <w:instrText xml:space="preserve"> PAGEREF _Toc524015113 \h </w:instrText>
      </w:r>
      <w:r>
        <w:fldChar w:fldCharType="separate"/>
      </w:r>
      <w:r>
        <w:t>7</w:t>
      </w:r>
      <w:r>
        <w:fldChar w:fldCharType="end"/>
      </w:r>
    </w:p>
    <w:p>
      <w:pPr>
        <w:pStyle w:val="TOC8"/>
        <w:rPr>
          <w:rFonts w:asciiTheme="minorHAnsi" w:eastAsiaTheme="minorEastAsia" w:hAnsiTheme="minorHAnsi" w:cstheme="minorBidi"/>
          <w:szCs w:val="22"/>
        </w:rPr>
      </w:pPr>
      <w:r>
        <w:t>5A.</w:t>
      </w:r>
      <w:r>
        <w:tab/>
        <w:t xml:space="preserve">Quantities prescribed </w:t>
      </w:r>
      <w:r>
        <w:rPr>
          <w:snapToGrid w:val="0"/>
        </w:rPr>
        <w:t>(Act s.</w:t>
      </w:r>
      <w:r>
        <w:t xml:space="preserve"> 3(1) </w:t>
      </w:r>
      <w:r>
        <w:rPr>
          <w:i/>
        </w:rPr>
        <w:t>sample</w:t>
      </w:r>
      <w:r>
        <w:t>)</w:t>
      </w:r>
      <w:r>
        <w:tab/>
      </w:r>
      <w:r>
        <w:fldChar w:fldCharType="begin"/>
      </w:r>
      <w:r>
        <w:instrText xml:space="preserve"> PAGEREF _Toc524015114 \h </w:instrText>
      </w:r>
      <w:r>
        <w:fldChar w:fldCharType="separate"/>
      </w:r>
      <w:r>
        <w:t>8</w:t>
      </w:r>
      <w:r>
        <w:fldChar w:fldCharType="end"/>
      </w:r>
    </w:p>
    <w:p>
      <w:pPr>
        <w:pStyle w:val="TOC8"/>
        <w:rPr>
          <w:rFonts w:asciiTheme="minorHAnsi" w:eastAsiaTheme="minorEastAsia" w:hAnsiTheme="minorHAnsi" w:cstheme="minorBidi"/>
          <w:szCs w:val="22"/>
        </w:rPr>
      </w:pPr>
      <w:r>
        <w:t>5B.</w:t>
      </w:r>
      <w:r>
        <w:tab/>
        <w:t xml:space="preserve">Positions of authority in body corporate prescribed </w:t>
      </w:r>
      <w:r>
        <w:rPr>
          <w:snapToGrid w:val="0"/>
        </w:rPr>
        <w:t>(Act s.</w:t>
      </w:r>
      <w:r>
        <w:t> 3(4)(d))</w:t>
      </w:r>
      <w:r>
        <w:tab/>
      </w:r>
      <w:r>
        <w:fldChar w:fldCharType="begin"/>
      </w:r>
      <w:r>
        <w:instrText xml:space="preserve"> PAGEREF _Toc524015115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Approved courses (Act s. 6(1)(c))</w:t>
      </w:r>
      <w:r>
        <w:tab/>
      </w:r>
      <w:r>
        <w:fldChar w:fldCharType="begin"/>
      </w:r>
      <w:r>
        <w:instrText xml:space="preserve"> PAGEREF _Toc524015116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 from Act, certain sales etc.</w:t>
      </w:r>
      <w:r>
        <w:tab/>
      </w:r>
      <w:r>
        <w:fldChar w:fldCharType="begin"/>
      </w:r>
      <w:r>
        <w:instrText xml:space="preserve"> PAGEREF _Toc524015117 \h </w:instrText>
      </w:r>
      <w:r>
        <w:fldChar w:fldCharType="separate"/>
      </w:r>
      <w:r>
        <w:t>10</w:t>
      </w:r>
      <w:r>
        <w:fldChar w:fldCharType="end"/>
      </w:r>
    </w:p>
    <w:p>
      <w:pPr>
        <w:pStyle w:val="TOC8"/>
        <w:rPr>
          <w:rFonts w:asciiTheme="minorHAnsi" w:eastAsiaTheme="minorEastAsia" w:hAnsiTheme="minorHAnsi" w:cstheme="minorBidi"/>
          <w:szCs w:val="22"/>
        </w:rPr>
      </w:pPr>
      <w:r>
        <w:t>8A.</w:t>
      </w:r>
      <w:r>
        <w:tab/>
        <w:t>Exemption from Act, consumption at live entertainment venues</w:t>
      </w:r>
      <w:r>
        <w:tab/>
      </w:r>
      <w:r>
        <w:fldChar w:fldCharType="begin"/>
      </w:r>
      <w:r>
        <w:instrText xml:space="preserve"> PAGEREF _Toc524015118 \h </w:instrText>
      </w:r>
      <w:r>
        <w:fldChar w:fldCharType="separate"/>
      </w:r>
      <w:r>
        <w:t>15</w:t>
      </w:r>
      <w:r>
        <w:fldChar w:fldCharType="end"/>
      </w:r>
    </w:p>
    <w:p>
      <w:pPr>
        <w:pStyle w:val="TOC8"/>
        <w:rPr>
          <w:rFonts w:asciiTheme="minorHAnsi" w:eastAsiaTheme="minorEastAsia" w:hAnsiTheme="minorHAnsi" w:cstheme="minorBidi"/>
          <w:szCs w:val="22"/>
        </w:rPr>
      </w:pPr>
      <w:r>
        <w:t>8B.</w:t>
      </w:r>
      <w:r>
        <w:tab/>
        <w:t>Exemption from Act, sales etc. at certain functions</w:t>
      </w:r>
      <w:r>
        <w:tab/>
      </w:r>
      <w:r>
        <w:fldChar w:fldCharType="begin"/>
      </w:r>
      <w:r>
        <w:instrText xml:space="preserve"> PAGEREF _Toc524015119 \h </w:instrText>
      </w:r>
      <w:r>
        <w:fldChar w:fldCharType="separate"/>
      </w:r>
      <w:r>
        <w:t>20</w:t>
      </w:r>
      <w:r>
        <w:fldChar w:fldCharType="end"/>
      </w:r>
    </w:p>
    <w:p>
      <w:pPr>
        <w:pStyle w:val="TOC8"/>
        <w:rPr>
          <w:rFonts w:asciiTheme="minorHAnsi" w:eastAsiaTheme="minorEastAsia" w:hAnsiTheme="minorHAnsi" w:cstheme="minorBidi"/>
          <w:szCs w:val="22"/>
        </w:rPr>
      </w:pPr>
      <w:r>
        <w:t>8C.</w:t>
      </w:r>
      <w:r>
        <w:tab/>
        <w:t>Exemption from Act, complimentary supply by business</w:t>
      </w:r>
      <w:r>
        <w:tab/>
      </w:r>
      <w:r>
        <w:fldChar w:fldCharType="begin"/>
      </w:r>
      <w:r>
        <w:instrText xml:space="preserve"> PAGEREF _Toc524015120 \h </w:instrText>
      </w:r>
      <w:r>
        <w:fldChar w:fldCharType="separate"/>
      </w:r>
      <w:r>
        <w:t>22</w:t>
      </w:r>
      <w:r>
        <w:fldChar w:fldCharType="end"/>
      </w:r>
    </w:p>
    <w:p>
      <w:pPr>
        <w:pStyle w:val="TOC8"/>
        <w:rPr>
          <w:rFonts w:asciiTheme="minorHAnsi" w:eastAsiaTheme="minorEastAsia" w:hAnsiTheme="minorHAnsi" w:cstheme="minorBidi"/>
          <w:szCs w:val="22"/>
        </w:rPr>
      </w:pPr>
      <w:r>
        <w:t>8CA.</w:t>
      </w:r>
      <w:r>
        <w:tab/>
        <w:t>Exemption for complimentary supply by tourism businesses</w:t>
      </w:r>
      <w:r>
        <w:tab/>
      </w:r>
      <w:r>
        <w:fldChar w:fldCharType="begin"/>
      </w:r>
      <w:r>
        <w:instrText xml:space="preserve"> PAGEREF _Toc524015121 \h </w:instrText>
      </w:r>
      <w:r>
        <w:fldChar w:fldCharType="separate"/>
      </w:r>
      <w:r>
        <w:t>22</w:t>
      </w:r>
      <w:r>
        <w:fldChar w:fldCharType="end"/>
      </w:r>
    </w:p>
    <w:p>
      <w:pPr>
        <w:pStyle w:val="TOC8"/>
        <w:rPr>
          <w:rFonts w:asciiTheme="minorHAnsi" w:eastAsiaTheme="minorEastAsia" w:hAnsiTheme="minorHAnsi" w:cstheme="minorBidi"/>
          <w:szCs w:val="22"/>
        </w:rPr>
      </w:pPr>
      <w:r>
        <w:t>8D.</w:t>
      </w:r>
      <w:r>
        <w:tab/>
        <w:t>Exemption from Act, sales etc. at farmers’ markets</w:t>
      </w:r>
      <w:r>
        <w:tab/>
      </w:r>
      <w:r>
        <w:fldChar w:fldCharType="begin"/>
      </w:r>
      <w:r>
        <w:instrText xml:space="preserve"> PAGEREF _Toc524015122 \h </w:instrText>
      </w:r>
      <w:r>
        <w:fldChar w:fldCharType="separate"/>
      </w:r>
      <w:r>
        <w:t>24</w:t>
      </w:r>
      <w:r>
        <w:fldChar w:fldCharType="end"/>
      </w:r>
    </w:p>
    <w:p>
      <w:pPr>
        <w:pStyle w:val="TOC8"/>
        <w:rPr>
          <w:rFonts w:asciiTheme="minorHAnsi" w:eastAsiaTheme="minorEastAsia" w:hAnsiTheme="minorHAnsi" w:cstheme="minorBidi"/>
          <w:szCs w:val="22"/>
        </w:rPr>
      </w:pPr>
      <w:r>
        <w:t>8E.</w:t>
      </w:r>
      <w:r>
        <w:tab/>
        <w:t>Exemption from Act, sales etc. at functions on licensed premises</w:t>
      </w:r>
      <w:r>
        <w:tab/>
      </w:r>
      <w:r>
        <w:fldChar w:fldCharType="begin"/>
      </w:r>
      <w:r>
        <w:instrText xml:space="preserve"> PAGEREF _Toc524015123 \h </w:instrText>
      </w:r>
      <w:r>
        <w:fldChar w:fldCharType="separate"/>
      </w:r>
      <w:r>
        <w:t>25</w:t>
      </w:r>
      <w:r>
        <w:fldChar w:fldCharType="end"/>
      </w:r>
    </w:p>
    <w:p>
      <w:pPr>
        <w:pStyle w:val="TOC8"/>
        <w:rPr>
          <w:rFonts w:asciiTheme="minorHAnsi" w:eastAsiaTheme="minorEastAsia" w:hAnsiTheme="minorHAnsi" w:cstheme="minorBidi"/>
          <w:szCs w:val="22"/>
        </w:rPr>
      </w:pPr>
      <w:r>
        <w:t>8F.</w:t>
      </w:r>
      <w:r>
        <w:tab/>
        <w:t>Exemption from Act for consumption in licensed omnibus (Act s. 6(1)(o))</w:t>
      </w:r>
      <w:r>
        <w:tab/>
      </w:r>
      <w:r>
        <w:fldChar w:fldCharType="begin"/>
      </w:r>
      <w:r>
        <w:instrText xml:space="preserve"> PAGEREF _Toc524015124 \h </w:instrText>
      </w:r>
      <w:r>
        <w:fldChar w:fldCharType="separate"/>
      </w:r>
      <w:r>
        <w:t>26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Persons who may take and administer oaths and affirmations (Act s. 18(3)(c))</w:t>
      </w:r>
      <w:r>
        <w:tab/>
      </w:r>
      <w:r>
        <w:fldChar w:fldCharType="begin"/>
      </w:r>
      <w:r>
        <w:instrText xml:space="preserve"> PAGEREF _Toc524015125 \h </w:instrText>
      </w:r>
      <w:r>
        <w:fldChar w:fldCharType="separate"/>
      </w:r>
      <w:r>
        <w:t>27</w:t>
      </w:r>
      <w:r>
        <w:fldChar w:fldCharType="end"/>
      </w:r>
    </w:p>
    <w:p>
      <w:pPr>
        <w:pStyle w:val="TOC8"/>
        <w:rPr>
          <w:rFonts w:asciiTheme="minorHAnsi" w:eastAsiaTheme="minorEastAsia" w:hAnsiTheme="minorHAnsi" w:cstheme="minorBidi"/>
          <w:szCs w:val="22"/>
        </w:rPr>
      </w:pPr>
      <w:r>
        <w:t>9AA.</w:t>
      </w:r>
      <w:r>
        <w:tab/>
        <w:t xml:space="preserve">Distance prescribed </w:t>
      </w:r>
      <w:r>
        <w:rPr>
          <w:snapToGrid w:val="0"/>
        </w:rPr>
        <w:t>(Act s.</w:t>
      </w:r>
      <w:r>
        <w:t> 36A(2)(b))</w:t>
      </w:r>
      <w:r>
        <w:tab/>
      </w:r>
      <w:r>
        <w:fldChar w:fldCharType="begin"/>
      </w:r>
      <w:r>
        <w:instrText xml:space="preserve"> PAGEREF _Toc524015126 \h </w:instrText>
      </w:r>
      <w:r>
        <w:fldChar w:fldCharType="separate"/>
      </w:r>
      <w:r>
        <w:t>27</w:t>
      </w:r>
      <w:r>
        <w:fldChar w:fldCharType="end"/>
      </w:r>
    </w:p>
    <w:p>
      <w:pPr>
        <w:pStyle w:val="TOC8"/>
        <w:rPr>
          <w:rFonts w:asciiTheme="minorHAnsi" w:eastAsiaTheme="minorEastAsia" w:hAnsiTheme="minorHAnsi" w:cstheme="minorBidi"/>
          <w:szCs w:val="22"/>
        </w:rPr>
      </w:pPr>
      <w:r>
        <w:t>9A.</w:t>
      </w:r>
      <w:r>
        <w:tab/>
      </w:r>
      <w:r>
        <w:rPr>
          <w:snapToGrid w:val="0"/>
        </w:rPr>
        <w:t>Special facility licence, purposes for which may be granted</w:t>
      </w:r>
      <w:r>
        <w:tab/>
      </w:r>
      <w:r>
        <w:fldChar w:fldCharType="begin"/>
      </w:r>
      <w:r>
        <w:instrText xml:space="preserve"> PAGEREF _Toc524015127 \h </w:instrText>
      </w:r>
      <w:r>
        <w:fldChar w:fldCharType="separate"/>
      </w:r>
      <w:r>
        <w:t>28</w:t>
      </w:r>
      <w:r>
        <w:fldChar w:fldCharType="end"/>
      </w:r>
    </w:p>
    <w:p>
      <w:pPr>
        <w:pStyle w:val="TOC8"/>
        <w:rPr>
          <w:rFonts w:asciiTheme="minorHAnsi" w:eastAsiaTheme="minorEastAsia" w:hAnsiTheme="minorHAnsi" w:cstheme="minorBidi"/>
          <w:szCs w:val="22"/>
        </w:rPr>
      </w:pPr>
      <w:r>
        <w:t>9AB.</w:t>
      </w:r>
      <w:r>
        <w:tab/>
        <w:t xml:space="preserve">Kind of extended trading permit prescribed </w:t>
      </w:r>
      <w:r>
        <w:rPr>
          <w:snapToGrid w:val="0"/>
        </w:rPr>
        <w:t>(Act s.</w:t>
      </w:r>
      <w:r>
        <w:t> 25(5a))</w:t>
      </w:r>
      <w:r>
        <w:tab/>
      </w:r>
      <w:r>
        <w:fldChar w:fldCharType="begin"/>
      </w:r>
      <w:r>
        <w:instrText xml:space="preserve"> PAGEREF _Toc524015128 \h </w:instrText>
      </w:r>
      <w:r>
        <w:fldChar w:fldCharType="separate"/>
      </w:r>
      <w:r>
        <w:t>36</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Special facility licence, effect of as to sale of packaged liquor</w:t>
      </w:r>
      <w:r>
        <w:tab/>
      </w:r>
      <w:r>
        <w:fldChar w:fldCharType="begin"/>
      </w:r>
      <w:r>
        <w:instrText xml:space="preserve"> PAGEREF _Toc524015129 \h </w:instrText>
      </w:r>
      <w:r>
        <w:fldChar w:fldCharType="separate"/>
      </w:r>
      <w:r>
        <w:t>36</w:t>
      </w:r>
      <w:r>
        <w:fldChar w:fldCharType="end"/>
      </w:r>
    </w:p>
    <w:p>
      <w:pPr>
        <w:pStyle w:val="TOC8"/>
        <w:rPr>
          <w:rFonts w:asciiTheme="minorHAnsi" w:eastAsiaTheme="minorEastAsia" w:hAnsiTheme="minorHAnsi" w:cstheme="minorBidi"/>
          <w:szCs w:val="22"/>
        </w:rPr>
      </w:pPr>
      <w:r>
        <w:t>9C.</w:t>
      </w:r>
      <w:r>
        <w:tab/>
        <w:t>Types of special facility licence prescribed (Act s. 46(6))</w:t>
      </w:r>
      <w:r>
        <w:tab/>
      </w:r>
      <w:r>
        <w:fldChar w:fldCharType="begin"/>
      </w:r>
      <w:r>
        <w:instrText xml:space="preserve"> PAGEREF _Toc524015130 \h </w:instrText>
      </w:r>
      <w:r>
        <w:fldChar w:fldCharType="separate"/>
      </w:r>
      <w:r>
        <w:t>37</w:t>
      </w:r>
      <w:r>
        <w:fldChar w:fldCharType="end"/>
      </w:r>
    </w:p>
    <w:p>
      <w:pPr>
        <w:pStyle w:val="TOC8"/>
        <w:rPr>
          <w:rFonts w:asciiTheme="minorHAnsi" w:eastAsiaTheme="minorEastAsia" w:hAnsiTheme="minorHAnsi" w:cstheme="minorBidi"/>
          <w:szCs w:val="22"/>
        </w:rPr>
      </w:pPr>
      <w:r>
        <w:t>9D.</w:t>
      </w:r>
      <w:r>
        <w:tab/>
      </w:r>
      <w:r>
        <w:rPr>
          <w:snapToGrid w:val="0"/>
        </w:rPr>
        <w:t>Act s.</w:t>
      </w:r>
      <w:r>
        <w:t> 33(6b) modified as to occasional licences</w:t>
      </w:r>
      <w:r>
        <w:tab/>
      </w:r>
      <w:r>
        <w:fldChar w:fldCharType="begin"/>
      </w:r>
      <w:r>
        <w:instrText xml:space="preserve"> PAGEREF _Toc524015131 \h </w:instrText>
      </w:r>
      <w:r>
        <w:fldChar w:fldCharType="separate"/>
      </w:r>
      <w:r>
        <w:t>37</w:t>
      </w:r>
      <w:r>
        <w:fldChar w:fldCharType="end"/>
      </w:r>
    </w:p>
    <w:p>
      <w:pPr>
        <w:pStyle w:val="TOC8"/>
        <w:rPr>
          <w:rFonts w:asciiTheme="minorHAnsi" w:eastAsiaTheme="minorEastAsia" w:hAnsiTheme="minorHAnsi" w:cstheme="minorBidi"/>
          <w:szCs w:val="22"/>
        </w:rPr>
      </w:pPr>
      <w:r>
        <w:t>9E.</w:t>
      </w:r>
      <w:r>
        <w:tab/>
        <w:t>Period prescribed (Act s. 33(6D)(b))</w:t>
      </w:r>
      <w:r>
        <w:tab/>
      </w:r>
      <w:r>
        <w:fldChar w:fldCharType="begin"/>
      </w:r>
      <w:r>
        <w:instrText xml:space="preserve"> PAGEREF _Toc524015132 \h </w:instrText>
      </w:r>
      <w:r>
        <w:fldChar w:fldCharType="separate"/>
      </w:r>
      <w:r>
        <w:t>38</w:t>
      </w:r>
      <w:r>
        <w:fldChar w:fldCharType="end"/>
      </w:r>
    </w:p>
    <w:p>
      <w:pPr>
        <w:pStyle w:val="TOC8"/>
        <w:rPr>
          <w:rFonts w:asciiTheme="minorHAnsi" w:eastAsiaTheme="minorEastAsia" w:hAnsiTheme="minorHAnsi" w:cstheme="minorBidi"/>
          <w:szCs w:val="22"/>
        </w:rPr>
      </w:pPr>
      <w:r>
        <w:t>9F.</w:t>
      </w:r>
      <w:r>
        <w:tab/>
        <w:t>Kinds of permit prescribed (Act s. 38(1)(b))</w:t>
      </w:r>
      <w:r>
        <w:tab/>
      </w:r>
      <w:r>
        <w:fldChar w:fldCharType="begin"/>
      </w:r>
      <w:r>
        <w:instrText xml:space="preserve"> PAGEREF _Toc524015133 \h </w:instrText>
      </w:r>
      <w:r>
        <w:fldChar w:fldCharType="separate"/>
      </w:r>
      <w:r>
        <w:t>38</w:t>
      </w:r>
      <w:r>
        <w:fldChar w:fldCharType="end"/>
      </w:r>
    </w:p>
    <w:p>
      <w:pPr>
        <w:pStyle w:val="TOC8"/>
        <w:rPr>
          <w:rFonts w:asciiTheme="minorHAnsi" w:eastAsiaTheme="minorEastAsia" w:hAnsiTheme="minorHAnsi" w:cstheme="minorBidi"/>
          <w:szCs w:val="22"/>
        </w:rPr>
      </w:pPr>
      <w:r>
        <w:t>9G.</w:t>
      </w:r>
      <w:r>
        <w:tab/>
        <w:t xml:space="preserve">Reciprocal arrangements for club membership, requirements for </w:t>
      </w:r>
      <w:r>
        <w:rPr>
          <w:snapToGrid w:val="0"/>
        </w:rPr>
        <w:t>(Act s.</w:t>
      </w:r>
      <w:r>
        <w:t> 49(3)(c)(iv))</w:t>
      </w:r>
      <w:r>
        <w:tab/>
      </w:r>
      <w:r>
        <w:fldChar w:fldCharType="begin"/>
      </w:r>
      <w:r>
        <w:instrText xml:space="preserve"> PAGEREF _Toc524015134 \h </w:instrText>
      </w:r>
      <w:r>
        <w:fldChar w:fldCharType="separate"/>
      </w:r>
      <w:r>
        <w:t>39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Requirements prescribed (Act s. </w:t>
      </w:r>
      <w:r>
        <w:t>57(2)(d)</w:t>
      </w:r>
      <w:r>
        <w:rPr>
          <w:snapToGrid w:val="0"/>
        </w:rPr>
        <w:t>)</w:t>
      </w:r>
      <w:r>
        <w:tab/>
      </w:r>
      <w:r>
        <w:fldChar w:fldCharType="begin"/>
      </w:r>
      <w:r>
        <w:instrText xml:space="preserve"> PAGEREF _Toc524015135 \h </w:instrText>
      </w:r>
      <w:r>
        <w:fldChar w:fldCharType="separate"/>
      </w:r>
      <w:r>
        <w:t>39</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Condition prescribed (Act s. 55(2))</w:t>
      </w:r>
      <w:r>
        <w:tab/>
      </w:r>
      <w:r>
        <w:fldChar w:fldCharType="begin"/>
      </w:r>
      <w:r>
        <w:instrText xml:space="preserve"> PAGEREF _Toc524015136 \h </w:instrText>
      </w:r>
      <w:r>
        <w:fldChar w:fldCharType="separate"/>
      </w:r>
      <w:r>
        <w:t>40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Plans and specifications, requirements for (Act s. 66(4) and (5))</w:t>
      </w:r>
      <w:r>
        <w:tab/>
      </w:r>
      <w:r>
        <w:fldChar w:fldCharType="begin"/>
      </w:r>
      <w:r>
        <w:instrText xml:space="preserve"> PAGEREF _Toc524015137 \h </w:instrText>
      </w:r>
      <w:r>
        <w:fldChar w:fldCharType="separate"/>
      </w:r>
      <w:r>
        <w:t>40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as to applicant, requirements for (Act s. 68(1)(b))</w:t>
      </w:r>
      <w:r>
        <w:tab/>
      </w:r>
      <w:r>
        <w:fldChar w:fldCharType="begin"/>
      </w:r>
      <w:r>
        <w:instrText xml:space="preserve"> PAGEREF _Toc524015138 \h </w:instrText>
      </w:r>
      <w:r>
        <w:fldChar w:fldCharType="separate"/>
      </w:r>
      <w:r>
        <w:t>42</w:t>
      </w:r>
      <w:r>
        <w:fldChar w:fldCharType="end"/>
      </w:r>
    </w:p>
    <w:p>
      <w:pPr>
        <w:pStyle w:val="TOC8"/>
        <w:rPr>
          <w:rFonts w:asciiTheme="minorHAnsi" w:eastAsiaTheme="minorEastAsia" w:hAnsiTheme="minorHAnsi" w:cstheme="minorBidi"/>
          <w:szCs w:val="22"/>
        </w:rPr>
      </w:pPr>
      <w:r>
        <w:t>14A.</w:t>
      </w:r>
      <w:r>
        <w:tab/>
        <w:t xml:space="preserve">Types etc. of premises prescribed </w:t>
      </w:r>
      <w:r>
        <w:rPr>
          <w:snapToGrid w:val="0"/>
        </w:rPr>
        <w:t>(Act s. 77(5a)(b))</w:t>
      </w:r>
      <w:r>
        <w:tab/>
      </w:r>
      <w:r>
        <w:fldChar w:fldCharType="begin"/>
      </w:r>
      <w:r>
        <w:instrText xml:space="preserve"> PAGEREF _Toc524015139 \h </w:instrText>
      </w:r>
      <w:r>
        <w:fldChar w:fldCharType="separate"/>
      </w:r>
      <w:r>
        <w:t>43</w:t>
      </w:r>
      <w:r>
        <w:fldChar w:fldCharType="end"/>
      </w:r>
    </w:p>
    <w:p>
      <w:pPr>
        <w:pStyle w:val="TOC8"/>
        <w:rPr>
          <w:rFonts w:asciiTheme="minorHAnsi" w:eastAsiaTheme="minorEastAsia" w:hAnsiTheme="minorHAnsi" w:cstheme="minorBidi"/>
          <w:szCs w:val="22"/>
        </w:rPr>
      </w:pPr>
      <w:r>
        <w:t>14AB.</w:t>
      </w:r>
      <w:r>
        <w:tab/>
        <w:t xml:space="preserve">Requirement for lodgment of application prescribed </w:t>
      </w:r>
      <w:r>
        <w:rPr>
          <w:snapToGrid w:val="0"/>
        </w:rPr>
        <w:t>(Act s. </w:t>
      </w:r>
      <w:r>
        <w:t>75(1)(b))</w:t>
      </w:r>
      <w:r>
        <w:tab/>
      </w:r>
      <w:r>
        <w:fldChar w:fldCharType="begin"/>
      </w:r>
      <w:r>
        <w:instrText xml:space="preserve"> PAGEREF _Toc524015140 \h </w:instrText>
      </w:r>
      <w:r>
        <w:fldChar w:fldCharType="separate"/>
      </w:r>
      <w:r>
        <w:t>43</w:t>
      </w:r>
      <w:r>
        <w:fldChar w:fldCharType="end"/>
      </w:r>
    </w:p>
    <w:p>
      <w:pPr>
        <w:pStyle w:val="TOC8"/>
        <w:rPr>
          <w:rFonts w:asciiTheme="minorHAnsi" w:eastAsiaTheme="minorEastAsia" w:hAnsiTheme="minorHAnsi" w:cstheme="minorBidi"/>
          <w:szCs w:val="22"/>
        </w:rPr>
      </w:pPr>
      <w:r>
        <w:t>14AC.</w:t>
      </w:r>
      <w:r>
        <w:tab/>
        <w:t xml:space="preserve">Requirement for lodgment of application prescribed </w:t>
      </w:r>
      <w:r>
        <w:rPr>
          <w:snapToGrid w:val="0"/>
        </w:rPr>
        <w:t>(Act s. </w:t>
      </w:r>
      <w:r>
        <w:t>76(1)(b))</w:t>
      </w:r>
      <w:r>
        <w:tab/>
      </w:r>
      <w:r>
        <w:fldChar w:fldCharType="begin"/>
      </w:r>
      <w:r>
        <w:instrText xml:space="preserve"> PAGEREF _Toc524015141 \h </w:instrText>
      </w:r>
      <w:r>
        <w:fldChar w:fldCharType="separate"/>
      </w:r>
      <w:r>
        <w:t>44</w:t>
      </w:r>
      <w:r>
        <w:fldChar w:fldCharType="end"/>
      </w:r>
    </w:p>
    <w:p>
      <w:pPr>
        <w:pStyle w:val="TOC8"/>
        <w:rPr>
          <w:rFonts w:asciiTheme="minorHAnsi" w:eastAsiaTheme="minorEastAsia" w:hAnsiTheme="minorHAnsi" w:cstheme="minorBidi"/>
          <w:szCs w:val="22"/>
        </w:rPr>
      </w:pPr>
      <w:r>
        <w:t>14ADA.</w:t>
      </w:r>
      <w:r>
        <w:tab/>
        <w:t>Manager’s approval, application for (Act s. 102B)</w:t>
      </w:r>
      <w:r>
        <w:tab/>
      </w:r>
      <w:r>
        <w:fldChar w:fldCharType="begin"/>
      </w:r>
      <w:r>
        <w:instrText xml:space="preserve"> PAGEREF _Toc524015142 \h </w:instrText>
      </w:r>
      <w:r>
        <w:fldChar w:fldCharType="separate"/>
      </w:r>
      <w:r>
        <w:t>44</w:t>
      </w:r>
      <w:r>
        <w:fldChar w:fldCharType="end"/>
      </w:r>
    </w:p>
    <w:p>
      <w:pPr>
        <w:pStyle w:val="TOC8"/>
        <w:rPr>
          <w:rFonts w:asciiTheme="minorHAnsi" w:eastAsiaTheme="minorEastAsia" w:hAnsiTheme="minorHAnsi" w:cstheme="minorBidi"/>
          <w:szCs w:val="22"/>
        </w:rPr>
      </w:pPr>
      <w:r>
        <w:t>14ADB.</w:t>
      </w:r>
      <w:r>
        <w:tab/>
        <w:t>Manager’s approval, conditions on (Act s. 102C)</w:t>
      </w:r>
      <w:r>
        <w:tab/>
      </w:r>
      <w:r>
        <w:fldChar w:fldCharType="begin"/>
      </w:r>
      <w:r>
        <w:instrText xml:space="preserve"> PAGEREF _Toc524015143 \h </w:instrText>
      </w:r>
      <w:r>
        <w:fldChar w:fldCharType="separate"/>
      </w:r>
      <w:r>
        <w:t>45</w:t>
      </w:r>
      <w:r>
        <w:fldChar w:fldCharType="end"/>
      </w:r>
    </w:p>
    <w:p>
      <w:pPr>
        <w:pStyle w:val="TOC8"/>
        <w:rPr>
          <w:rFonts w:asciiTheme="minorHAnsi" w:eastAsiaTheme="minorEastAsia" w:hAnsiTheme="minorHAnsi" w:cstheme="minorBidi"/>
          <w:szCs w:val="22"/>
        </w:rPr>
      </w:pPr>
      <w:r>
        <w:t>14ADC.</w:t>
      </w:r>
      <w:r>
        <w:tab/>
        <w:t>Manager’s approval, duration of (Act s. 102D)</w:t>
      </w:r>
      <w:r>
        <w:tab/>
      </w:r>
      <w:r>
        <w:fldChar w:fldCharType="begin"/>
      </w:r>
      <w:r>
        <w:instrText xml:space="preserve"> PAGEREF _Toc524015144 \h </w:instrText>
      </w:r>
      <w:r>
        <w:fldChar w:fldCharType="separate"/>
      </w:r>
      <w:r>
        <w:t>46</w:t>
      </w:r>
      <w:r>
        <w:fldChar w:fldCharType="end"/>
      </w:r>
    </w:p>
    <w:p>
      <w:pPr>
        <w:pStyle w:val="TOC8"/>
        <w:rPr>
          <w:rFonts w:asciiTheme="minorHAnsi" w:eastAsiaTheme="minorEastAsia" w:hAnsiTheme="minorHAnsi" w:cstheme="minorBidi"/>
          <w:szCs w:val="22"/>
        </w:rPr>
      </w:pPr>
      <w:r>
        <w:t>14ADD.</w:t>
      </w:r>
      <w:r>
        <w:tab/>
        <w:t>Manager’s approval, renewal of (Act s. 102E)</w:t>
      </w:r>
      <w:r>
        <w:tab/>
      </w:r>
      <w:r>
        <w:fldChar w:fldCharType="begin"/>
      </w:r>
      <w:r>
        <w:instrText xml:space="preserve"> PAGEREF _Toc524015145 \h </w:instrText>
      </w:r>
      <w:r>
        <w:fldChar w:fldCharType="separate"/>
      </w:r>
      <w:r>
        <w:t>46</w:t>
      </w:r>
      <w:r>
        <w:fldChar w:fldCharType="end"/>
      </w:r>
    </w:p>
    <w:p>
      <w:pPr>
        <w:pStyle w:val="TOC8"/>
        <w:rPr>
          <w:rFonts w:asciiTheme="minorHAnsi" w:eastAsiaTheme="minorEastAsia" w:hAnsiTheme="minorHAnsi" w:cstheme="minorBidi"/>
          <w:szCs w:val="22"/>
        </w:rPr>
      </w:pPr>
      <w:r>
        <w:t>14ADE.</w:t>
      </w:r>
      <w:r>
        <w:tab/>
        <w:t>Approved manager, identification card for</w:t>
      </w:r>
      <w:r>
        <w:tab/>
      </w:r>
      <w:r>
        <w:fldChar w:fldCharType="begin"/>
      </w:r>
      <w:r>
        <w:instrText xml:space="preserve"> PAGEREF _Toc524015146 \h </w:instrText>
      </w:r>
      <w:r>
        <w:fldChar w:fldCharType="separate"/>
      </w:r>
      <w:r>
        <w:t>47</w:t>
      </w:r>
      <w:r>
        <w:fldChar w:fldCharType="end"/>
      </w:r>
    </w:p>
    <w:p>
      <w:pPr>
        <w:pStyle w:val="TOC8"/>
        <w:rPr>
          <w:rFonts w:asciiTheme="minorHAnsi" w:eastAsiaTheme="minorEastAsia" w:hAnsiTheme="minorHAnsi" w:cstheme="minorBidi"/>
          <w:szCs w:val="22"/>
        </w:rPr>
      </w:pPr>
      <w:r>
        <w:t>14ADF.</w:t>
      </w:r>
      <w:r>
        <w:tab/>
        <w:t>Lost etc. identification card, replacement of</w:t>
      </w:r>
      <w:r>
        <w:tab/>
      </w:r>
      <w:r>
        <w:fldChar w:fldCharType="begin"/>
      </w:r>
      <w:r>
        <w:instrText xml:space="preserve"> PAGEREF _Toc524015147 \h </w:instrText>
      </w:r>
      <w:r>
        <w:fldChar w:fldCharType="separate"/>
      </w:r>
      <w:r>
        <w:t>47</w:t>
      </w:r>
      <w:r>
        <w:fldChar w:fldCharType="end"/>
      </w:r>
    </w:p>
    <w:p>
      <w:pPr>
        <w:pStyle w:val="TOC8"/>
        <w:rPr>
          <w:rFonts w:asciiTheme="minorHAnsi" w:eastAsiaTheme="minorEastAsia" w:hAnsiTheme="minorHAnsi" w:cstheme="minorBidi"/>
          <w:szCs w:val="22"/>
        </w:rPr>
      </w:pPr>
      <w:r>
        <w:t>14ADG.</w:t>
      </w:r>
      <w:r>
        <w:tab/>
        <w:t>Transitioned approvals (Act Sch. 1B)</w:t>
      </w:r>
      <w:r>
        <w:tab/>
      </w:r>
      <w:r>
        <w:fldChar w:fldCharType="begin"/>
      </w:r>
      <w:r>
        <w:instrText xml:space="preserve"> PAGEREF _Toc524015148 \h </w:instrText>
      </w:r>
      <w:r>
        <w:fldChar w:fldCharType="separate"/>
      </w:r>
      <w:r>
        <w:t>48</w:t>
      </w:r>
      <w:r>
        <w:fldChar w:fldCharType="end"/>
      </w:r>
    </w:p>
    <w:p>
      <w:pPr>
        <w:pStyle w:val="TOC8"/>
        <w:rPr>
          <w:rFonts w:asciiTheme="minorHAnsi" w:eastAsiaTheme="minorEastAsia" w:hAnsiTheme="minorHAnsi" w:cstheme="minorBidi"/>
          <w:szCs w:val="22"/>
        </w:rPr>
      </w:pPr>
      <w:r>
        <w:t>14AD.</w:t>
      </w:r>
      <w:r>
        <w:tab/>
        <w:t xml:space="preserve">Responsible practices in selling etc. liquor, courses on required </w:t>
      </w:r>
      <w:r>
        <w:rPr>
          <w:snapToGrid w:val="0"/>
        </w:rPr>
        <w:t>(Act s. </w:t>
      </w:r>
      <w:r>
        <w:t>103A(1)(a))</w:t>
      </w:r>
      <w:r>
        <w:tab/>
      </w:r>
      <w:r>
        <w:fldChar w:fldCharType="begin"/>
      </w:r>
      <w:r>
        <w:instrText xml:space="preserve"> PAGEREF _Toc524015149 \h </w:instrText>
      </w:r>
      <w:r>
        <w:fldChar w:fldCharType="separate"/>
      </w:r>
      <w:r>
        <w:t>49</w:t>
      </w:r>
      <w:r>
        <w:fldChar w:fldCharType="end"/>
      </w:r>
    </w:p>
    <w:p>
      <w:pPr>
        <w:pStyle w:val="TOC8"/>
        <w:rPr>
          <w:rFonts w:asciiTheme="minorHAnsi" w:eastAsiaTheme="minorEastAsia" w:hAnsiTheme="minorHAnsi" w:cstheme="minorBidi"/>
          <w:szCs w:val="22"/>
        </w:rPr>
      </w:pPr>
      <w:r>
        <w:t>14AE.</w:t>
      </w:r>
      <w:r>
        <w:tab/>
        <w:t>Offences for r. 14AD</w:t>
      </w:r>
      <w:r>
        <w:tab/>
      </w:r>
      <w:r>
        <w:fldChar w:fldCharType="begin"/>
      </w:r>
      <w:r>
        <w:instrText xml:space="preserve"> PAGEREF _Toc524015150 \h </w:instrText>
      </w:r>
      <w:r>
        <w:fldChar w:fldCharType="separate"/>
      </w:r>
      <w:r>
        <w:t>50</w:t>
      </w:r>
      <w:r>
        <w:fldChar w:fldCharType="end"/>
      </w:r>
    </w:p>
    <w:p>
      <w:pPr>
        <w:pStyle w:val="TOC8"/>
        <w:rPr>
          <w:rFonts w:asciiTheme="minorHAnsi" w:eastAsiaTheme="minorEastAsia" w:hAnsiTheme="minorHAnsi" w:cstheme="minorBidi"/>
          <w:szCs w:val="22"/>
        </w:rPr>
      </w:pPr>
      <w:r>
        <w:t>14AG.</w:t>
      </w:r>
      <w:r>
        <w:tab/>
        <w:t>Licensee to maintain register </w:t>
      </w:r>
      <w:r>
        <w:rPr>
          <w:snapToGrid w:val="0"/>
        </w:rPr>
        <w:t>(Act s. </w:t>
      </w:r>
      <w:r>
        <w:t>103A(1)(b))</w:t>
      </w:r>
      <w:r>
        <w:tab/>
      </w:r>
      <w:r>
        <w:fldChar w:fldCharType="begin"/>
      </w:r>
      <w:r>
        <w:instrText xml:space="preserve"> PAGEREF _Toc524015151 \h </w:instrText>
      </w:r>
      <w:r>
        <w:fldChar w:fldCharType="separate"/>
      </w:r>
      <w:r>
        <w:t>51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Amount of liability prescribed (Act s. 107)</w:t>
      </w:r>
      <w:r>
        <w:tab/>
      </w:r>
      <w:r>
        <w:fldChar w:fldCharType="begin"/>
      </w:r>
      <w:r>
        <w:instrText xml:space="preserve"> PAGEREF _Toc524015152 \h </w:instrText>
      </w:r>
      <w:r>
        <w:fldChar w:fldCharType="separate"/>
      </w:r>
      <w:r>
        <w:t>52</w:t>
      </w:r>
      <w:r>
        <w:fldChar w:fldCharType="end"/>
      </w:r>
    </w:p>
    <w:p>
      <w:pPr>
        <w:pStyle w:val="TOC8"/>
        <w:rPr>
          <w:rFonts w:asciiTheme="minorHAnsi" w:eastAsiaTheme="minorEastAsia" w:hAnsiTheme="minorHAnsi" w:cstheme="minorBidi"/>
          <w:szCs w:val="22"/>
        </w:rPr>
      </w:pPr>
      <w:r>
        <w:t>16A.</w:t>
      </w:r>
      <w:r>
        <w:tab/>
        <w:t xml:space="preserve">Sports arenas prescribed (Act s. 110(4B) </w:t>
      </w:r>
      <w:r>
        <w:rPr>
          <w:i/>
        </w:rPr>
        <w:t>sports arena</w:t>
      </w:r>
      <w:r>
        <w:t>)</w:t>
      </w:r>
      <w:r>
        <w:tab/>
      </w:r>
      <w:r>
        <w:fldChar w:fldCharType="begin"/>
      </w:r>
      <w:r>
        <w:instrText xml:space="preserve"> PAGEREF _Toc524015153 \h </w:instrText>
      </w:r>
      <w:r>
        <w:fldChar w:fldCharType="separate"/>
      </w:r>
      <w:r>
        <w:t>52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Out of bounds area, notice for (Act s. 121(6))</w:t>
      </w:r>
      <w:r>
        <w:tab/>
      </w:r>
      <w:r>
        <w:fldChar w:fldCharType="begin"/>
      </w:r>
      <w:r>
        <w:instrText xml:space="preserve"> PAGEREF _Toc524015154 \h </w:instrText>
      </w:r>
      <w:r>
        <w:fldChar w:fldCharType="separate"/>
      </w:r>
      <w:r>
        <w:t>53</w:t>
      </w:r>
      <w:r>
        <w:fldChar w:fldCharType="end"/>
      </w:r>
    </w:p>
    <w:p>
      <w:pPr>
        <w:pStyle w:val="TOC8"/>
        <w:rPr>
          <w:rFonts w:asciiTheme="minorHAnsi" w:eastAsiaTheme="minorEastAsia" w:hAnsiTheme="minorHAnsi" w:cstheme="minorBidi"/>
          <w:szCs w:val="22"/>
        </w:rPr>
      </w:pPr>
      <w:r>
        <w:t>18.</w:t>
      </w:r>
      <w:r>
        <w:tab/>
        <w:t>Premises prescribed to be regulated premises (Act s. 122(1)(f))</w:t>
      </w:r>
      <w:r>
        <w:tab/>
      </w:r>
      <w:r>
        <w:fldChar w:fldCharType="begin"/>
      </w:r>
      <w:r>
        <w:instrText xml:space="preserve"> PAGEREF _Toc524015155 \h </w:instrText>
      </w:r>
      <w:r>
        <w:fldChar w:fldCharType="separate"/>
      </w:r>
      <w:r>
        <w:t>53</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Documents prescribed as evidence of age etc. (Act s. 126(1)(b)(i)(III) and s. 160(1))</w:t>
      </w:r>
      <w:r>
        <w:tab/>
      </w:r>
      <w:r>
        <w:fldChar w:fldCharType="begin"/>
      </w:r>
      <w:r>
        <w:instrText xml:space="preserve"> PAGEREF _Toc524015156 \h </w:instrText>
      </w:r>
      <w:r>
        <w:fldChar w:fldCharType="separate"/>
      </w:r>
      <w:r>
        <w:t>54</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Proof of age card, issue of etc.</w:t>
      </w:r>
      <w:r>
        <w:tab/>
      </w:r>
      <w:r>
        <w:fldChar w:fldCharType="begin"/>
      </w:r>
      <w:r>
        <w:instrText xml:space="preserve"> PAGEREF _Toc524015157 \h </w:instrText>
      </w:r>
      <w:r>
        <w:fldChar w:fldCharType="separate"/>
      </w:r>
      <w:r>
        <w:t>55</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Proof of age card, form etc. of (r. 18B)</w:t>
      </w:r>
      <w:r>
        <w:tab/>
      </w:r>
      <w:r>
        <w:fldChar w:fldCharType="begin"/>
      </w:r>
      <w:r>
        <w:instrText xml:space="preserve"> PAGEREF _Toc524015158 \h </w:instrText>
      </w:r>
      <w:r>
        <w:fldChar w:fldCharType="separate"/>
      </w:r>
      <w:r>
        <w:t>56</w:t>
      </w:r>
      <w:r>
        <w:fldChar w:fldCharType="end"/>
      </w:r>
    </w:p>
    <w:p>
      <w:pPr>
        <w:pStyle w:val="TOC8"/>
        <w:rPr>
          <w:rFonts w:asciiTheme="minorHAnsi" w:eastAsiaTheme="minorEastAsia" w:hAnsiTheme="minorHAnsi" w:cstheme="minorBidi"/>
          <w:szCs w:val="22"/>
        </w:rPr>
      </w:pPr>
      <w:r>
        <w:t>18D</w:t>
      </w:r>
      <w:r>
        <w:rPr>
          <w:snapToGrid w:val="0"/>
        </w:rPr>
        <w:t>.</w:t>
      </w:r>
      <w:r>
        <w:rPr>
          <w:snapToGrid w:val="0"/>
        </w:rPr>
        <w:tab/>
        <w:t>Lost etc. proof of age card, replacement of</w:t>
      </w:r>
      <w:r>
        <w:tab/>
      </w:r>
      <w:r>
        <w:fldChar w:fldCharType="begin"/>
      </w:r>
      <w:r>
        <w:instrText xml:space="preserve"> PAGEREF _Toc524015159 \h </w:instrText>
      </w:r>
      <w:r>
        <w:fldChar w:fldCharType="separate"/>
      </w:r>
      <w:r>
        <w:t>57</w:t>
      </w:r>
      <w:r>
        <w:fldChar w:fldCharType="end"/>
      </w:r>
    </w:p>
    <w:p>
      <w:pPr>
        <w:pStyle w:val="TOC8"/>
        <w:rPr>
          <w:rFonts w:asciiTheme="minorHAnsi" w:eastAsiaTheme="minorEastAsia" w:hAnsiTheme="minorHAnsi" w:cstheme="minorBidi"/>
          <w:szCs w:val="22"/>
        </w:rPr>
      </w:pPr>
      <w:r>
        <w:t>18E</w:t>
      </w:r>
      <w:r>
        <w:rPr>
          <w:snapToGrid w:val="0"/>
        </w:rPr>
        <w:t>.</w:t>
      </w:r>
      <w:r>
        <w:rPr>
          <w:snapToGrid w:val="0"/>
        </w:rPr>
        <w:tab/>
        <w:t>Agreement or arrangement prescribed (Act s. 104(2))</w:t>
      </w:r>
      <w:r>
        <w:tab/>
      </w:r>
      <w:r>
        <w:fldChar w:fldCharType="begin"/>
      </w:r>
      <w:r>
        <w:instrText xml:space="preserve"> PAGEREF _Toc524015160 \h </w:instrText>
      </w:r>
      <w:r>
        <w:fldChar w:fldCharType="separate"/>
      </w:r>
      <w:r>
        <w:t>57</w:t>
      </w:r>
      <w:r>
        <w:fldChar w:fldCharType="end"/>
      </w:r>
    </w:p>
    <w:p>
      <w:pPr>
        <w:pStyle w:val="TOC8"/>
        <w:rPr>
          <w:rFonts w:asciiTheme="minorHAnsi" w:eastAsiaTheme="minorEastAsia" w:hAnsiTheme="minorHAnsi" w:cstheme="minorBidi"/>
          <w:szCs w:val="22"/>
        </w:rPr>
      </w:pPr>
      <w:r>
        <w:t>18EA.</w:t>
      </w:r>
      <w:r>
        <w:tab/>
        <w:t>Information prescribed for websites (Act s. 113A)</w:t>
      </w:r>
      <w:r>
        <w:tab/>
      </w:r>
      <w:r>
        <w:fldChar w:fldCharType="begin"/>
      </w:r>
      <w:r>
        <w:instrText xml:space="preserve"> PAGEREF _Toc524015161 \h </w:instrText>
      </w:r>
      <w:r>
        <w:fldChar w:fldCharType="separate"/>
      </w:r>
      <w:r>
        <w:t>57</w:t>
      </w:r>
      <w:r>
        <w:fldChar w:fldCharType="end"/>
      </w:r>
    </w:p>
    <w:p>
      <w:pPr>
        <w:pStyle w:val="TOC8"/>
        <w:rPr>
          <w:rFonts w:asciiTheme="minorHAnsi" w:eastAsiaTheme="minorEastAsia" w:hAnsiTheme="minorHAnsi" w:cstheme="minorBidi"/>
          <w:szCs w:val="22"/>
        </w:rPr>
      </w:pPr>
      <w:r>
        <w:t>18EBA.</w:t>
      </w:r>
      <w:r>
        <w:tab/>
        <w:t xml:space="preserve">Persons prescribed (Act s. 115AC(1A) </w:t>
      </w:r>
      <w:r>
        <w:rPr>
          <w:i/>
        </w:rPr>
        <w:t>secure webpage</w:t>
      </w:r>
      <w:r>
        <w:t>)</w:t>
      </w:r>
      <w:r>
        <w:tab/>
      </w:r>
      <w:r>
        <w:fldChar w:fldCharType="begin"/>
      </w:r>
      <w:r>
        <w:instrText xml:space="preserve"> PAGEREF _Toc524015162 \h </w:instrText>
      </w:r>
      <w:r>
        <w:fldChar w:fldCharType="separate"/>
      </w:r>
      <w:r>
        <w:t>59</w:t>
      </w:r>
      <w:r>
        <w:fldChar w:fldCharType="end"/>
      </w:r>
    </w:p>
    <w:p>
      <w:pPr>
        <w:pStyle w:val="TOC8"/>
        <w:rPr>
          <w:rFonts w:asciiTheme="minorHAnsi" w:eastAsiaTheme="minorEastAsia" w:hAnsiTheme="minorHAnsi" w:cstheme="minorBidi"/>
          <w:szCs w:val="22"/>
        </w:rPr>
      </w:pPr>
      <w:r>
        <w:t>18EB.</w:t>
      </w:r>
      <w:r>
        <w:tab/>
        <w:t>Incidents and information prescribed for register (Act s. 116A)</w:t>
      </w:r>
      <w:r>
        <w:tab/>
      </w:r>
      <w:r>
        <w:fldChar w:fldCharType="begin"/>
      </w:r>
      <w:r>
        <w:instrText xml:space="preserve"> PAGEREF _Toc524015163 \h </w:instrText>
      </w:r>
      <w:r>
        <w:fldChar w:fldCharType="separate"/>
      </w:r>
      <w:r>
        <w:t>59</w:t>
      </w:r>
      <w:r>
        <w:fldChar w:fldCharType="end"/>
      </w:r>
    </w:p>
    <w:p>
      <w:pPr>
        <w:pStyle w:val="TOC8"/>
        <w:rPr>
          <w:rFonts w:asciiTheme="minorHAnsi" w:eastAsiaTheme="minorEastAsia" w:hAnsiTheme="minorHAnsi" w:cstheme="minorBidi"/>
          <w:szCs w:val="22"/>
        </w:rPr>
      </w:pPr>
      <w:r>
        <w:t>18EC.</w:t>
      </w:r>
      <w:r>
        <w:tab/>
        <w:t>Prescribed incidents involving physical force</w:t>
      </w:r>
      <w:r>
        <w:tab/>
      </w:r>
      <w:r>
        <w:fldChar w:fldCharType="begin"/>
      </w:r>
      <w:r>
        <w:instrText xml:space="preserve"> PAGEREF _Toc524015164 \h </w:instrText>
      </w:r>
      <w:r>
        <w:fldChar w:fldCharType="separate"/>
      </w:r>
      <w:r>
        <w:t>61</w:t>
      </w:r>
      <w:r>
        <w:fldChar w:fldCharType="end"/>
      </w:r>
    </w:p>
    <w:p>
      <w:pPr>
        <w:pStyle w:val="TOC8"/>
        <w:rPr>
          <w:rFonts w:asciiTheme="minorHAnsi" w:eastAsiaTheme="minorEastAsia" w:hAnsiTheme="minorHAnsi" w:cstheme="minorBidi"/>
          <w:szCs w:val="22"/>
        </w:rPr>
      </w:pPr>
      <w:r>
        <w:t>18F.</w:t>
      </w:r>
      <w:r>
        <w:tab/>
        <w:t>Training courses prescribed (Act s. 121(11)(d))</w:t>
      </w:r>
      <w:r>
        <w:tab/>
      </w:r>
      <w:r>
        <w:fldChar w:fldCharType="begin"/>
      </w:r>
      <w:r>
        <w:instrText xml:space="preserve"> PAGEREF _Toc524015165 \h </w:instrText>
      </w:r>
      <w:r>
        <w:fldChar w:fldCharType="separate"/>
      </w:r>
      <w:r>
        <w:t>62</w:t>
      </w:r>
      <w:r>
        <w:fldChar w:fldCharType="end"/>
      </w:r>
    </w:p>
    <w:p>
      <w:pPr>
        <w:pStyle w:val="TOC8"/>
        <w:rPr>
          <w:rFonts w:asciiTheme="minorHAnsi" w:eastAsiaTheme="minorEastAsia" w:hAnsiTheme="minorHAnsi" w:cstheme="minorBidi"/>
          <w:szCs w:val="22"/>
        </w:rPr>
      </w:pPr>
      <w:r>
        <w:t>18G.</w:t>
      </w:r>
      <w:r>
        <w:tab/>
        <w:t>Confiscated document, how to be dealt with (Act s. 126(2b))</w:t>
      </w:r>
      <w:r>
        <w:tab/>
      </w:r>
      <w:r>
        <w:fldChar w:fldCharType="begin"/>
      </w:r>
      <w:r>
        <w:instrText xml:space="preserve"> PAGEREF _Toc524015166 \h </w:instrText>
      </w:r>
      <w:r>
        <w:fldChar w:fldCharType="separate"/>
      </w:r>
      <w:r>
        <w:t>63</w:t>
      </w:r>
      <w:r>
        <w:fldChar w:fldCharType="end"/>
      </w:r>
    </w:p>
    <w:p>
      <w:pPr>
        <w:pStyle w:val="TOC8"/>
        <w:rPr>
          <w:rFonts w:asciiTheme="minorHAnsi" w:eastAsiaTheme="minorEastAsia" w:hAnsiTheme="minorHAnsi" w:cstheme="minorBidi"/>
          <w:szCs w:val="22"/>
        </w:rPr>
      </w:pPr>
      <w:r>
        <w:t>18H.</w:t>
      </w:r>
      <w:r>
        <w:tab/>
        <w:t>Provisions prescribed (Act s. 126E(4))</w:t>
      </w:r>
      <w:r>
        <w:tab/>
      </w:r>
      <w:r>
        <w:fldChar w:fldCharType="begin"/>
      </w:r>
      <w:r>
        <w:instrText xml:space="preserve"> PAGEREF _Toc524015167 \h </w:instrText>
      </w:r>
      <w:r>
        <w:fldChar w:fldCharType="separate"/>
      </w:r>
      <w:r>
        <w:t>63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Subsidy, application for</w:t>
      </w:r>
      <w:r>
        <w:tab/>
      </w:r>
      <w:r>
        <w:fldChar w:fldCharType="begin"/>
      </w:r>
      <w:r>
        <w:instrText xml:space="preserve"> PAGEREF _Toc524015168 \h </w:instrText>
      </w:r>
      <w:r>
        <w:fldChar w:fldCharType="separate"/>
      </w:r>
      <w:r>
        <w:t>63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Persons prescribed (Act s. 129 </w:t>
      </w:r>
      <w:r>
        <w:rPr>
          <w:i/>
          <w:snapToGrid w:val="0"/>
        </w:rPr>
        <w:t>wholesaler</w:t>
      </w:r>
      <w:r>
        <w:rPr>
          <w:snapToGrid w:val="0"/>
        </w:rPr>
        <w:t>)</w:t>
      </w:r>
      <w:r>
        <w:tab/>
      </w:r>
      <w:r>
        <w:fldChar w:fldCharType="begin"/>
      </w:r>
      <w:r>
        <w:instrText xml:space="preserve"> PAGEREF _Toc524015169 \h </w:instrText>
      </w:r>
      <w:r>
        <w:fldChar w:fldCharType="separate"/>
      </w:r>
      <w:r>
        <w:t>64</w:t>
      </w:r>
      <w:r>
        <w:fldChar w:fldCharType="end"/>
      </w:r>
    </w:p>
    <w:p>
      <w:pPr>
        <w:pStyle w:val="TOC8"/>
        <w:rPr>
          <w:rFonts w:asciiTheme="minorHAnsi" w:eastAsiaTheme="minorEastAsia" w:hAnsiTheme="minorHAnsi" w:cstheme="minorBidi"/>
          <w:szCs w:val="22"/>
        </w:rPr>
      </w:pPr>
      <w:r>
        <w:t>21.</w:t>
      </w:r>
      <w:r>
        <w:tab/>
        <w:t>Wholesaler, subsidy for (Act s. 130)</w:t>
      </w:r>
      <w:r>
        <w:tab/>
      </w:r>
      <w:r>
        <w:fldChar w:fldCharType="begin"/>
      </w:r>
      <w:r>
        <w:instrText xml:space="preserve"> PAGEREF _Toc524015170 \h </w:instrText>
      </w:r>
      <w:r>
        <w:fldChar w:fldCharType="separate"/>
      </w:r>
      <w:r>
        <w:t>64</w:t>
      </w:r>
      <w:r>
        <w:fldChar w:fldCharType="end"/>
      </w:r>
    </w:p>
    <w:p>
      <w:pPr>
        <w:pStyle w:val="TOC8"/>
        <w:rPr>
          <w:rFonts w:asciiTheme="minorHAnsi" w:eastAsiaTheme="minorEastAsia" w:hAnsiTheme="minorHAnsi" w:cstheme="minorBidi"/>
          <w:szCs w:val="22"/>
        </w:rPr>
      </w:pPr>
      <w:r>
        <w:t>21A.</w:t>
      </w:r>
      <w:r>
        <w:tab/>
        <w:t>Wine producer, subsidy for (Act s. 130)</w:t>
      </w:r>
      <w:r>
        <w:tab/>
      </w:r>
      <w:r>
        <w:fldChar w:fldCharType="begin"/>
      </w:r>
      <w:r>
        <w:instrText xml:space="preserve"> PAGEREF _Toc524015171 \h </w:instrText>
      </w:r>
      <w:r>
        <w:fldChar w:fldCharType="separate"/>
      </w:r>
      <w:r>
        <w:t>65</w:t>
      </w:r>
      <w:r>
        <w:fldChar w:fldCharType="end"/>
      </w:r>
    </w:p>
    <w:p>
      <w:pPr>
        <w:pStyle w:val="TOC8"/>
        <w:rPr>
          <w:rFonts w:asciiTheme="minorHAnsi" w:eastAsiaTheme="minorEastAsia" w:hAnsiTheme="minorHAnsi" w:cstheme="minorBidi"/>
          <w:szCs w:val="22"/>
        </w:rPr>
      </w:pPr>
      <w:r>
        <w:t>21AC</w:t>
      </w:r>
      <w:r>
        <w:rPr>
          <w:snapToGrid w:val="0"/>
        </w:rPr>
        <w:t>.</w:t>
      </w:r>
      <w:r>
        <w:rPr>
          <w:snapToGrid w:val="0"/>
        </w:rPr>
        <w:tab/>
        <w:t>Subsidy payable once in respect of sale of liquor</w:t>
      </w:r>
      <w:r>
        <w:tab/>
      </w:r>
      <w:r>
        <w:fldChar w:fldCharType="begin"/>
      </w:r>
      <w:r>
        <w:instrText xml:space="preserve"> PAGEREF _Toc524015172 \h </w:instrText>
      </w:r>
      <w:r>
        <w:fldChar w:fldCharType="separate"/>
      </w:r>
      <w:r>
        <w:t>66</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 xml:space="preserve">Subsidy, conditions imposed by Director as to </w:t>
      </w:r>
      <w:r>
        <w:t>(Act s. 130(2))</w:t>
      </w:r>
      <w:r>
        <w:tab/>
      </w:r>
      <w:r>
        <w:fldChar w:fldCharType="begin"/>
      </w:r>
      <w:r>
        <w:instrText xml:space="preserve"> PAGEREF _Toc524015173 \h </w:instrText>
      </w:r>
      <w:r>
        <w:fldChar w:fldCharType="separate"/>
      </w:r>
      <w:r>
        <w:t>66</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Licensees prescribed </w:t>
      </w:r>
      <w:r>
        <w:t>(Act s. </w:t>
      </w:r>
      <w:r>
        <w:rPr>
          <w:snapToGrid w:val="0"/>
        </w:rPr>
        <w:t>145(1))</w:t>
      </w:r>
      <w:r>
        <w:tab/>
      </w:r>
      <w:r>
        <w:fldChar w:fldCharType="begin"/>
      </w:r>
      <w:r>
        <w:instrText xml:space="preserve"> PAGEREF _Toc524015174 \h </w:instrText>
      </w:r>
      <w:r>
        <w:fldChar w:fldCharType="separate"/>
      </w:r>
      <w:r>
        <w:t>66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Records prescribed etc. </w:t>
      </w:r>
      <w:r>
        <w:t>(Act s. </w:t>
      </w:r>
      <w:r>
        <w:rPr>
          <w:snapToGrid w:val="0"/>
        </w:rPr>
        <w:t>145)</w:t>
      </w:r>
      <w:r>
        <w:tab/>
      </w:r>
      <w:r>
        <w:fldChar w:fldCharType="begin"/>
      </w:r>
      <w:r>
        <w:instrText xml:space="preserve"> PAGEREF _Toc524015175 \h </w:instrText>
      </w:r>
      <w:r>
        <w:fldChar w:fldCharType="separate"/>
      </w:r>
      <w:r>
        <w:t>67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Returns, verification and lodgment of </w:t>
      </w:r>
      <w:r>
        <w:t>(Act s. 146)</w:t>
      </w:r>
      <w:r>
        <w:tab/>
      </w:r>
      <w:r>
        <w:fldChar w:fldCharType="begin"/>
      </w:r>
      <w:r>
        <w:instrText xml:space="preserve"> PAGEREF _Toc524015176 \h </w:instrText>
      </w:r>
      <w:r>
        <w:fldChar w:fldCharType="separate"/>
      </w:r>
      <w:r>
        <w:t>69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Return of information required etc. </w:t>
      </w:r>
      <w:r>
        <w:t>(Act s. 145)</w:t>
      </w:r>
      <w:r>
        <w:tab/>
      </w:r>
      <w:r>
        <w:fldChar w:fldCharType="begin"/>
      </w:r>
      <w:r>
        <w:instrText xml:space="preserve"> PAGEREF _Toc524015177 \h </w:instrText>
      </w:r>
      <w:r>
        <w:fldChar w:fldCharType="separate"/>
      </w:r>
      <w:r>
        <w:t>70</w:t>
      </w:r>
      <w:r>
        <w:fldChar w:fldCharType="end"/>
      </w:r>
    </w:p>
    <w:p>
      <w:pPr>
        <w:pStyle w:val="TOC8"/>
        <w:rPr>
          <w:rFonts w:asciiTheme="minorHAnsi" w:eastAsiaTheme="minorEastAsia" w:hAnsiTheme="minorHAnsi" w:cstheme="minorBidi"/>
          <w:szCs w:val="22"/>
        </w:rPr>
      </w:pPr>
      <w:r>
        <w:t>25A.</w:t>
      </w:r>
      <w:r>
        <w:tab/>
        <w:t>Class of persons prescribed (Act s. 152P(4)(b))</w:t>
      </w:r>
      <w:r>
        <w:tab/>
      </w:r>
      <w:r>
        <w:fldChar w:fldCharType="begin"/>
      </w:r>
      <w:r>
        <w:instrText xml:space="preserve"> PAGEREF _Toc524015178 \h </w:instrText>
      </w:r>
      <w:r>
        <w:fldChar w:fldCharType="separate"/>
      </w:r>
      <w:r>
        <w:t>72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Money payable under Act, how payable</w:t>
      </w:r>
      <w:r>
        <w:tab/>
      </w:r>
      <w:r>
        <w:fldChar w:fldCharType="begin"/>
      </w:r>
      <w:r>
        <w:instrText xml:space="preserve"> PAGEREF _Toc524015179 \h </w:instrText>
      </w:r>
      <w:r>
        <w:fldChar w:fldCharType="separate"/>
      </w:r>
      <w:r>
        <w:t>72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generally (Sch. 3)</w:t>
      </w:r>
      <w:r>
        <w:tab/>
      </w:r>
      <w:r>
        <w:fldChar w:fldCharType="begin"/>
      </w:r>
      <w:r>
        <w:instrText xml:space="preserve"> PAGEREF _Toc524015180 \h </w:instrText>
      </w:r>
      <w:r>
        <w:fldChar w:fldCharType="separate"/>
      </w:r>
      <w:r>
        <w:t>72</w:t>
      </w:r>
      <w:r>
        <w:fldChar w:fldCharType="end"/>
      </w:r>
    </w:p>
    <w:p>
      <w:pPr>
        <w:pStyle w:val="TOC8"/>
        <w:rPr>
          <w:rFonts w:asciiTheme="minorHAnsi" w:eastAsiaTheme="minorEastAsia" w:hAnsiTheme="minorHAnsi" w:cstheme="minorBidi"/>
          <w:szCs w:val="22"/>
        </w:rPr>
      </w:pPr>
      <w:r>
        <w:t>27A.</w:t>
      </w:r>
      <w:r>
        <w:tab/>
        <w:t>Reduction in licence fee for new licences</w:t>
      </w:r>
      <w:r>
        <w:tab/>
      </w:r>
      <w:r>
        <w:fldChar w:fldCharType="begin"/>
      </w:r>
      <w:r>
        <w:instrText xml:space="preserve"> PAGEREF _Toc524015181 \h </w:instrText>
      </w:r>
      <w:r>
        <w:fldChar w:fldCharType="separate"/>
      </w:r>
      <w:r>
        <w:t>74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forms etc. prescribed for (Act s. 167)</w:t>
      </w:r>
      <w:r>
        <w:tab/>
      </w:r>
      <w:r>
        <w:fldChar w:fldCharType="begin"/>
      </w:r>
      <w:r>
        <w:instrText xml:space="preserve"> PAGEREF _Toc524015182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Details of applicant</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_Toc524015189 \h </w:instrText>
      </w:r>
      <w:r>
        <w:fldChar w:fldCharType="separate"/>
      </w:r>
      <w:r>
        <w:t>96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_Toc524015190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3" w:name="_Toc524015099"/>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4" w:name="_Toc524015100"/>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5" w:name="_Toc524015101"/>
      <w:r>
        <w:rPr>
          <w:rStyle w:val="CharSectno"/>
        </w:rPr>
        <w:t>3</w:t>
      </w:r>
      <w:r>
        <w:rPr>
          <w:snapToGrid w:val="0"/>
        </w:rPr>
        <w:t>.</w:t>
      </w:r>
      <w:r>
        <w:rPr>
          <w:snapToGrid w:val="0"/>
        </w:rPr>
        <w:tab/>
        <w:t>Forms prescribed etc. (Sch. 1)</w:t>
      </w:r>
      <w:bookmarkEnd w:id="5"/>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6" w:name="_Toc524015102"/>
      <w:r>
        <w:rPr>
          <w:rStyle w:val="CharSectno"/>
        </w:rPr>
        <w:t>3A</w:t>
      </w:r>
      <w:r>
        <w:rPr>
          <w:snapToGrid w:val="0"/>
        </w:rPr>
        <w:t>.</w:t>
      </w:r>
      <w:r>
        <w:rPr>
          <w:snapToGrid w:val="0"/>
        </w:rPr>
        <w:tab/>
        <w:t>Terms used</w:t>
      </w:r>
      <w:bookmarkEnd w:id="6"/>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 6 Sep 2016 p. 3828; 10 Jan 2017 p. 140.]</w:t>
      </w:r>
    </w:p>
    <w:p>
      <w:pPr>
        <w:pStyle w:val="Heading5"/>
        <w:keepLines w:val="0"/>
      </w:pPr>
      <w:bookmarkStart w:id="7" w:name="_Toc524015103"/>
      <w:r>
        <w:rPr>
          <w:rStyle w:val="CharSectno"/>
        </w:rPr>
        <w:t>3AB</w:t>
      </w:r>
      <w:r>
        <w:t>.</w:t>
      </w:r>
      <w:r>
        <w:tab/>
        <w:t xml:space="preserve">Kind of liquor prescribed (mist containing ethanol) (Act s. 3(1) </w:t>
      </w:r>
      <w:r>
        <w:rPr>
          <w:i/>
        </w:rPr>
        <w:t>kind</w:t>
      </w:r>
      <w:r>
        <w:t>)</w:t>
      </w:r>
      <w:bookmarkEnd w:id="7"/>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Next w:val="0"/>
        <w:keepLines w:val="0"/>
        <w:pageBreakBefore/>
        <w:spacing w:before="0"/>
      </w:pPr>
      <w:bookmarkStart w:id="8" w:name="_Toc524015104"/>
      <w:r>
        <w:rPr>
          <w:rStyle w:val="CharSectno"/>
        </w:rPr>
        <w:t>3AC</w:t>
      </w:r>
      <w:r>
        <w:t>.</w:t>
      </w:r>
      <w:r>
        <w:tab/>
        <w:t xml:space="preserve">Kind of liquor prescribed (aerosol containing ethanol) (Act s. 3(1) </w:t>
      </w:r>
      <w:r>
        <w:rPr>
          <w:i/>
        </w:rPr>
        <w:t>kind</w:t>
      </w:r>
      <w:r>
        <w:t>)</w:t>
      </w:r>
      <w:bookmarkEnd w:id="8"/>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pPr>
      <w:bookmarkStart w:id="9" w:name="_Toc524015105"/>
      <w:r>
        <w:rPr>
          <w:rStyle w:val="CharSectno"/>
        </w:rPr>
        <w:t>3AD</w:t>
      </w:r>
      <w:r>
        <w:t>.</w:t>
      </w:r>
      <w:r>
        <w:tab/>
        <w:t xml:space="preserve">Kind of liquor prescribed (powdered alcohol) (Act s. 3(1) </w:t>
      </w:r>
      <w:r>
        <w:rPr>
          <w:i/>
        </w:rPr>
        <w:t>kind</w:t>
      </w:r>
      <w:r>
        <w:t>)</w:t>
      </w:r>
      <w:bookmarkEnd w:id="9"/>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rPr>
          <w:rStyle w:val="CharSectno"/>
        </w:rPr>
      </w:pPr>
      <w:r>
        <w:tab/>
        <w:t>[Regulation 3AD inserted in Gazette 7 Aug 2015 p. 3206.]</w:t>
      </w:r>
    </w:p>
    <w:p>
      <w:pPr>
        <w:pStyle w:val="Heading5"/>
        <w:keepLines w:val="0"/>
        <w:spacing w:before="180"/>
        <w:rPr>
          <w:snapToGrid w:val="0"/>
        </w:rPr>
      </w:pPr>
      <w:bookmarkStart w:id="10" w:name="_Toc524015106"/>
      <w:r>
        <w:rPr>
          <w:rStyle w:val="CharSectno"/>
        </w:rPr>
        <w:t>4</w:t>
      </w:r>
      <w:r>
        <w:rPr>
          <w:snapToGrid w:val="0"/>
        </w:rPr>
        <w:t>.</w:t>
      </w:r>
      <w:r>
        <w:rPr>
          <w:snapToGrid w:val="0"/>
        </w:rPr>
        <w:tab/>
        <w:t xml:space="preserve">Level prescribed </w:t>
      </w:r>
      <w:r>
        <w:t xml:space="preserve">(Act s. 3(1) </w:t>
      </w:r>
      <w:r>
        <w:rPr>
          <w:i/>
        </w:rPr>
        <w:t>low alcohol liquor</w:t>
      </w:r>
      <w:r>
        <w:t>)</w:t>
      </w:r>
      <w:bookmarkEnd w:id="10"/>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180"/>
        <w:rPr>
          <w:snapToGrid w:val="0"/>
        </w:rPr>
      </w:pPr>
      <w:bookmarkStart w:id="11" w:name="_Toc524015107"/>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1"/>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keepNext w:val="0"/>
        <w:keepLines w:val="0"/>
        <w:spacing w:before="180"/>
        <w:rPr>
          <w:bCs/>
          <w:snapToGrid w:val="0"/>
        </w:rPr>
      </w:pPr>
      <w:bookmarkStart w:id="12" w:name="_Toc524015108"/>
      <w:r>
        <w:rPr>
          <w:rStyle w:val="CharSectno"/>
        </w:rPr>
        <w:t>4A</w:t>
      </w:r>
      <w:r>
        <w:rPr>
          <w:snapToGrid w:val="0"/>
        </w:rPr>
        <w:t>.</w:t>
      </w:r>
      <w:r>
        <w:rPr>
          <w:snapToGrid w:val="0"/>
        </w:rPr>
        <w:tab/>
        <w:t xml:space="preserve">Substances prescribed (food items) </w:t>
      </w:r>
      <w:r>
        <w:t xml:space="preserve">(Act s. 3(1) </w:t>
      </w:r>
      <w:r>
        <w:rPr>
          <w:i/>
        </w:rPr>
        <w:t>liquor</w:t>
      </w:r>
      <w:r>
        <w:t>)</w:t>
      </w:r>
      <w:bookmarkEnd w:id="12"/>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3" w:name="_Toc524015109"/>
      <w:r>
        <w:rPr>
          <w:rStyle w:val="CharSectno"/>
        </w:rPr>
        <w:t>4AB</w:t>
      </w:r>
      <w:r>
        <w:t>.</w:t>
      </w:r>
      <w:r>
        <w:tab/>
        <w:t>Substance prescribed (mist containing ethanol) (Act s. 3(1) </w:t>
      </w:r>
      <w:r>
        <w:rPr>
          <w:i/>
        </w:rPr>
        <w:t>liquor</w:t>
      </w:r>
      <w:r>
        <w:t>)</w:t>
      </w:r>
      <w:bookmarkEnd w:id="1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keepNext w:val="0"/>
        <w:keepLines w:val="0"/>
        <w:pageBreakBefore/>
        <w:spacing w:before="0"/>
        <w:rPr>
          <w:bCs/>
        </w:rPr>
      </w:pPr>
      <w:bookmarkStart w:id="14" w:name="_Toc524015110"/>
      <w:r>
        <w:rPr>
          <w:rStyle w:val="CharSectno"/>
        </w:rPr>
        <w:t>4AC</w:t>
      </w:r>
      <w:r>
        <w:t>.</w:t>
      </w:r>
      <w:r>
        <w:tab/>
        <w:t xml:space="preserve">Substance prescribed (aerosol containing ethanol) (Act s. 3(1) </w:t>
      </w:r>
      <w:r>
        <w:rPr>
          <w:i/>
        </w:rPr>
        <w:t>liquor</w:t>
      </w:r>
      <w:r>
        <w:t>)</w:t>
      </w:r>
      <w:bookmarkEnd w:id="14"/>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pPr>
      <w:bookmarkStart w:id="15" w:name="_Toc524015111"/>
      <w:r>
        <w:rPr>
          <w:rStyle w:val="CharSectno"/>
        </w:rPr>
        <w:t>4AD</w:t>
      </w:r>
      <w:r>
        <w:t>.</w:t>
      </w:r>
      <w:r>
        <w:tab/>
        <w:t xml:space="preserve">Substance prescribed (powdered alcohol) (Act s. 3(1) </w:t>
      </w:r>
      <w:r>
        <w:rPr>
          <w:i/>
        </w:rPr>
        <w:t>liquor</w:t>
      </w:r>
      <w:r>
        <w:t>)</w:t>
      </w:r>
      <w:bookmarkEnd w:id="15"/>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rPr>
          <w:rStyle w:val="CharSectno"/>
        </w:rPr>
      </w:pPr>
      <w:r>
        <w:tab/>
        <w:t>[Regulation 4AD inserted in Gazette 7 Aug 2015 p. 3206</w:t>
      </w:r>
      <w:r>
        <w:noBreakHyphen/>
        <w:t>7.]</w:t>
      </w:r>
    </w:p>
    <w:p>
      <w:pPr>
        <w:pStyle w:val="Heading5"/>
      </w:pPr>
      <w:bookmarkStart w:id="16" w:name="_Toc524015112"/>
      <w:r>
        <w:rPr>
          <w:rStyle w:val="CharSectno"/>
        </w:rPr>
        <w:t>4AE</w:t>
      </w:r>
      <w:r>
        <w:t>.</w:t>
      </w:r>
      <w:r>
        <w:tab/>
        <w:t xml:space="preserve">Substance prescribed (liqueur chocolate) (Act s. 3(1) </w:t>
      </w:r>
      <w:r>
        <w:rPr>
          <w:i/>
        </w:rPr>
        <w:t>liquor</w:t>
      </w:r>
      <w:r>
        <w:t>)</w:t>
      </w:r>
      <w:bookmarkEnd w:id="16"/>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in Gazette 1 Dec 2015 p. 4821</w:t>
      </w:r>
      <w:r>
        <w:noBreakHyphen/>
        <w:t>2.]</w:t>
      </w:r>
    </w:p>
    <w:p>
      <w:pPr>
        <w:pStyle w:val="Heading5"/>
        <w:rPr>
          <w:snapToGrid w:val="0"/>
        </w:rPr>
      </w:pPr>
      <w:bookmarkStart w:id="17" w:name="_Toc524015113"/>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17"/>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keepNext w:val="0"/>
        <w:keepLines w:val="0"/>
        <w:spacing w:before="180"/>
      </w:pPr>
      <w:bookmarkStart w:id="18" w:name="_Toc524015114"/>
      <w:r>
        <w:rPr>
          <w:rStyle w:val="CharSectno"/>
        </w:rPr>
        <w:t>5A</w:t>
      </w:r>
      <w:r>
        <w:t>.</w:t>
      </w:r>
      <w:r>
        <w:tab/>
        <w:t xml:space="preserve">Quantities prescribed </w:t>
      </w:r>
      <w:r>
        <w:rPr>
          <w:snapToGrid w:val="0"/>
        </w:rPr>
        <w:t>(Act s.</w:t>
      </w:r>
      <w:r>
        <w:t xml:space="preserve"> 3(1) </w:t>
      </w:r>
      <w:r>
        <w:rPr>
          <w:i/>
        </w:rPr>
        <w:t>sample</w:t>
      </w:r>
      <w:r>
        <w:t>)</w:t>
      </w:r>
      <w:bookmarkEnd w:id="18"/>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19" w:name="_Toc524015115"/>
      <w:r>
        <w:rPr>
          <w:rStyle w:val="CharSectno"/>
        </w:rPr>
        <w:t>5B</w:t>
      </w:r>
      <w:r>
        <w:t>.</w:t>
      </w:r>
      <w:r>
        <w:tab/>
        <w:t xml:space="preserve">Positions of authority in body corporate prescribed </w:t>
      </w:r>
      <w:r>
        <w:rPr>
          <w:snapToGrid w:val="0"/>
        </w:rPr>
        <w:t>(Act s.</w:t>
      </w:r>
      <w:r>
        <w:t> 3(4)(d))</w:t>
      </w:r>
      <w:bookmarkEnd w:id="19"/>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rPr>
          <w:szCs w:val="24"/>
        </w:rPr>
      </w:pPr>
      <w:r>
        <w:rPr>
          <w:szCs w:val="24"/>
        </w:rPr>
        <w:t>[</w:t>
      </w:r>
      <w:r>
        <w:rPr>
          <w:b/>
          <w:bCs/>
          <w:szCs w:val="24"/>
        </w:rPr>
        <w:t>6.</w:t>
      </w:r>
      <w:r>
        <w:rPr>
          <w:szCs w:val="24"/>
        </w:rPr>
        <w:tab/>
        <w:t>Deleted in Gazette 1 May 2007 p. 1867.]</w:t>
      </w:r>
    </w:p>
    <w:p>
      <w:pPr>
        <w:pStyle w:val="Heading5"/>
        <w:rPr>
          <w:snapToGrid w:val="0"/>
        </w:rPr>
      </w:pPr>
      <w:bookmarkStart w:id="20" w:name="_Toc524015116"/>
      <w:r>
        <w:rPr>
          <w:rStyle w:val="CharSectno"/>
        </w:rPr>
        <w:t>7</w:t>
      </w:r>
      <w:r>
        <w:rPr>
          <w:snapToGrid w:val="0"/>
        </w:rPr>
        <w:t>.</w:t>
      </w:r>
      <w:r>
        <w:rPr>
          <w:snapToGrid w:val="0"/>
        </w:rPr>
        <w:tab/>
        <w:t>Approved courses (Act s. 6(1)(c))</w:t>
      </w:r>
      <w:bookmarkEnd w:id="20"/>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21" w:name="_Toc524015117"/>
      <w:r>
        <w:rPr>
          <w:rStyle w:val="CharSectno"/>
        </w:rPr>
        <w:t>8</w:t>
      </w:r>
      <w:r>
        <w:rPr>
          <w:snapToGrid w:val="0"/>
        </w:rPr>
        <w:t>.</w:t>
      </w:r>
      <w:r>
        <w:rPr>
          <w:snapToGrid w:val="0"/>
        </w:rPr>
        <w:tab/>
        <w:t>Exemption from Act, certain sales etc.</w:t>
      </w:r>
      <w:bookmarkEnd w:id="21"/>
    </w:p>
    <w:p>
      <w:pPr>
        <w:pStyle w:val="Subsection"/>
        <w:rPr>
          <w:snapToGrid w:val="0"/>
        </w:rPr>
      </w:pPr>
      <w:r>
        <w:rPr>
          <w:snapToGrid w:val="0"/>
        </w:rPr>
        <w:tab/>
        <w:t>(1)</w:t>
      </w:r>
      <w:r>
        <w:rPr>
          <w:snapToGrid w:val="0"/>
        </w:rPr>
        <w:tab/>
        <w:t xml:space="preserve">The following sales </w:t>
      </w:r>
      <w:r>
        <w:t>and supplies</w:t>
      </w:r>
      <w:r>
        <w:rPr>
          <w:snapToGrid w:val="0"/>
        </w:rPr>
        <w:t xml:space="preserve">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food or other products,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w:t>
      </w:r>
      <w:r>
        <w:t>home or to a guest of the patient and resident;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 xml:space="preserve">by a person who is an approved provider providing residential care, to a person (the </w:t>
      </w:r>
      <w:r>
        <w:rPr>
          <w:rStyle w:val="CharDefText"/>
        </w:rPr>
        <w:t>resident</w:t>
      </w:r>
      <w:r>
        <w:t>) who is accommodated in the residential facility where that residential care is provided or to a guest of the resident; or</w:t>
      </w:r>
    </w:p>
    <w:p>
      <w:pPr>
        <w:pStyle w:val="Indenti"/>
      </w:pPr>
      <w:r>
        <w:tab/>
        <w:t>(iv)</w:t>
      </w:r>
      <w:r>
        <w:tab/>
        <w:t>by a person who owns or operates a retirement village, to a resident of the retirement village or a guest of the resident; or</w:t>
      </w:r>
    </w:p>
    <w:p>
      <w:pPr>
        <w:pStyle w:val="Indenti"/>
      </w:pPr>
      <w:r>
        <w:tab/>
        <w:t>(v)</w:t>
      </w:r>
      <w:r>
        <w:tab/>
        <w:t xml:space="preserve">by a resident of a retirement village who is a member of a residents’ committee, subcommittee, incorporated association or other body of residents, to a resident of the retirement village or a guest of the resident; </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Defstart"/>
      </w:pPr>
      <w:r>
        <w:t>(2A)</w:t>
      </w:r>
      <w:r>
        <w:tab/>
        <w:t xml:space="preserve">In subregulation (1)(h)(iv) and (v) — </w:t>
      </w:r>
    </w:p>
    <w:p>
      <w:pPr>
        <w:pStyle w:val="Defstart"/>
      </w:pPr>
      <w:r>
        <w:tab/>
      </w:r>
      <w:r>
        <w:rPr>
          <w:rStyle w:val="CharDefText"/>
        </w:rPr>
        <w:t>resident</w:t>
      </w:r>
      <w:r>
        <w:t xml:space="preserve"> has the meaning given in the </w:t>
      </w:r>
      <w:r>
        <w:rPr>
          <w:i/>
        </w:rPr>
        <w:t>Retirement Villages Act 1992</w:t>
      </w:r>
      <w:r>
        <w:t xml:space="preserve"> section 3(1);</w:t>
      </w:r>
    </w:p>
    <w:p>
      <w:pPr>
        <w:pStyle w:val="Defstart"/>
      </w:pPr>
      <w:r>
        <w:tab/>
      </w:r>
      <w:r>
        <w:rPr>
          <w:rStyle w:val="CharDefText"/>
        </w:rPr>
        <w:t>retirement village</w:t>
      </w:r>
      <w:r>
        <w:t xml:space="preserve"> has the meaning given in the </w:t>
      </w:r>
      <w:r>
        <w:rPr>
          <w:i/>
        </w:rPr>
        <w:t>Retirement Villages Act 1992</w:t>
      </w:r>
      <w:r>
        <w:t xml:space="preserve"> section 3(1).</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 3 Oct 2017 p. 5050; 20 Jul 2018 p. 2632.]</w:t>
      </w:r>
    </w:p>
    <w:p>
      <w:pPr>
        <w:pStyle w:val="Heading5"/>
        <w:keepNext w:val="0"/>
        <w:keepLines w:val="0"/>
      </w:pPr>
      <w:bookmarkStart w:id="22" w:name="_Toc524015118"/>
      <w:r>
        <w:rPr>
          <w:rStyle w:val="CharSectno"/>
        </w:rPr>
        <w:t>8A</w:t>
      </w:r>
      <w:r>
        <w:t>.</w:t>
      </w:r>
      <w:r>
        <w:tab/>
        <w:t>Exemption from Act, consumption at live entertainment venues</w:t>
      </w:r>
      <w:bookmarkEnd w:id="22"/>
    </w:p>
    <w:p>
      <w:pPr>
        <w:pStyle w:val="Subsection"/>
        <w:keepNext/>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23" w:name="_Toc524015119"/>
      <w:r>
        <w:rPr>
          <w:rStyle w:val="CharSectno"/>
        </w:rPr>
        <w:t>8B</w:t>
      </w:r>
      <w:r>
        <w:t>.</w:t>
      </w:r>
      <w:r>
        <w:tab/>
        <w:t>Exemption from Act, sales etc. at certain functions</w:t>
      </w:r>
      <w:bookmarkEnd w:id="23"/>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24" w:name="_Toc524015120"/>
      <w:r>
        <w:rPr>
          <w:rStyle w:val="CharSectno"/>
        </w:rPr>
        <w:t>8C</w:t>
      </w:r>
      <w:r>
        <w:t>.</w:t>
      </w:r>
      <w:r>
        <w:tab/>
        <w:t>Exemption from Act, complimentary supply by business</w:t>
      </w:r>
      <w:bookmarkEnd w:id="24"/>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 amended in Gazette 6 Sep 2016 p. 3828.]</w:t>
      </w:r>
    </w:p>
    <w:p>
      <w:pPr>
        <w:pStyle w:val="Heading5"/>
      </w:pPr>
      <w:bookmarkStart w:id="25" w:name="_Toc524015121"/>
      <w:r>
        <w:rPr>
          <w:rStyle w:val="CharSectno"/>
        </w:rPr>
        <w:t>8CA</w:t>
      </w:r>
      <w:r>
        <w:t>.</w:t>
      </w:r>
      <w:r>
        <w:tab/>
        <w:t>Exemption for complimentary supply by tourism businesses</w:t>
      </w:r>
      <w:bookmarkEnd w:id="25"/>
    </w:p>
    <w:p>
      <w:pPr>
        <w:pStyle w:val="Subsection"/>
      </w:pPr>
      <w:r>
        <w:tab/>
        <w:t>(1)</w:t>
      </w:r>
      <w:r>
        <w:tab/>
        <w:t xml:space="preserve">In this regulation — </w:t>
      </w:r>
    </w:p>
    <w:p>
      <w:pPr>
        <w:pStyle w:val="Defstart"/>
      </w:pPr>
      <w:r>
        <w:tab/>
      </w:r>
      <w:r>
        <w:rPr>
          <w:rStyle w:val="CharDefText"/>
        </w:rPr>
        <w:t>tourism business</w:t>
      </w:r>
      <w:r>
        <w:t xml:space="preserve"> means a business that is accredited under the Australian Tourism Accreditation Program.</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(ba)</w:t>
      </w:r>
      <w:r>
        <w:tab/>
        <w:t>the person who supplies the liquor to the customer has completed successfully a course of training or an assessment, approved by the Director for the purposes of this paragraph, in responsible practices in the sale, supply and service of liquor;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Ednotepara"/>
      </w:pPr>
      <w:r>
        <w:tab/>
        <w:t>[(f)</w:t>
      </w:r>
      <w:r>
        <w:tab/>
        <w:t>deleted]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in Gazette 6 Sep 2016 p. 3828-9; amended in Gazette 12 Sep 2017 p. 4735</w:t>
      </w:r>
      <w:r>
        <w:noBreakHyphen/>
        <w:t>6.]</w:t>
      </w:r>
    </w:p>
    <w:p>
      <w:pPr>
        <w:pStyle w:val="Heading5"/>
        <w:spacing w:before="180"/>
      </w:pPr>
      <w:bookmarkStart w:id="26" w:name="_Toc524015122"/>
      <w:r>
        <w:rPr>
          <w:rStyle w:val="CharSectno"/>
        </w:rPr>
        <w:t>8D</w:t>
      </w:r>
      <w:r>
        <w:t>.</w:t>
      </w:r>
      <w:r>
        <w:tab/>
        <w:t>Exemption from Act, sales etc. at farmers’ markets</w:t>
      </w:r>
      <w:bookmarkEnd w:id="26"/>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 amended in Gazette 10 Jan 2017 p. 142.]</w:t>
      </w:r>
    </w:p>
    <w:p>
      <w:pPr>
        <w:pStyle w:val="Heading5"/>
      </w:pPr>
      <w:bookmarkStart w:id="27" w:name="_Toc524015123"/>
      <w:r>
        <w:rPr>
          <w:rStyle w:val="CharSectno"/>
        </w:rPr>
        <w:t>8E</w:t>
      </w:r>
      <w:r>
        <w:t>.</w:t>
      </w:r>
      <w:r>
        <w:tab/>
        <w:t>Exemption from Act, sales etc. at functions on licensed premises</w:t>
      </w:r>
      <w:bookmarkEnd w:id="27"/>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28" w:name="_Toc524015124"/>
      <w:r>
        <w:rPr>
          <w:rStyle w:val="CharSectno"/>
        </w:rPr>
        <w:t>8F</w:t>
      </w:r>
      <w:r>
        <w:t>.</w:t>
      </w:r>
      <w:r>
        <w:tab/>
        <w:t>Exemption from Act for consumption in licensed omnibus (Act s. 6(1)(o))</w:t>
      </w:r>
      <w:bookmarkEnd w:id="28"/>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pPr>
      <w:r>
        <w:tab/>
        <w:t>(2)</w:t>
      </w:r>
      <w:r>
        <w:tab/>
        <w:t xml:space="preserve">The consumption of liquor by a person who is at least 18 years of age is exempted from the application of the Act if — </w:t>
      </w:r>
    </w:p>
    <w:p>
      <w:pPr>
        <w:pStyle w:val="Indenta"/>
      </w:pPr>
      <w:r>
        <w:tab/>
        <w:t>(a)</w:t>
      </w:r>
      <w:r>
        <w:tab/>
        <w:t xml:space="preserve">at the time of the consumption the person is a passenger in a vehicle that, under the </w:t>
      </w:r>
      <w:r>
        <w:rPr>
          <w:i/>
        </w:rPr>
        <w:t>Transport Co</w:t>
      </w:r>
      <w:r>
        <w:rPr>
          <w:i/>
        </w:rPr>
        <w:noBreakHyphen/>
        <w:t>ordination Act 1966</w:t>
      </w:r>
      <w:r>
        <w:t xml:space="preserve"> Part III Division 2, is licensed as an omnibus;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in Gazette 15 Jul 2011 p. 2964</w:t>
      </w:r>
      <w:r>
        <w:noBreakHyphen/>
        <w:t>5; amended in Gazette 6 Sep 2016 p. 3830-1.]</w:t>
      </w:r>
    </w:p>
    <w:p>
      <w:pPr>
        <w:pStyle w:val="Heading5"/>
        <w:spacing w:before="240"/>
        <w:rPr>
          <w:snapToGrid w:val="0"/>
        </w:rPr>
      </w:pPr>
      <w:bookmarkStart w:id="29" w:name="_Toc524015125"/>
      <w:r>
        <w:rPr>
          <w:rStyle w:val="CharSectno"/>
        </w:rPr>
        <w:t>9</w:t>
      </w:r>
      <w:r>
        <w:rPr>
          <w:snapToGrid w:val="0"/>
        </w:rPr>
        <w:t>.</w:t>
      </w:r>
      <w:r>
        <w:rPr>
          <w:snapToGrid w:val="0"/>
        </w:rPr>
        <w:tab/>
        <w:t>Persons who may take and administer oaths and affirmations (Act s. 18(3)(c))</w:t>
      </w:r>
      <w:bookmarkEnd w:id="29"/>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30" w:name="_Toc524015126"/>
      <w:r>
        <w:rPr>
          <w:rStyle w:val="CharSectno"/>
        </w:rPr>
        <w:t>9AA</w:t>
      </w:r>
      <w:r>
        <w:t>.</w:t>
      </w:r>
      <w:r>
        <w:tab/>
        <w:t xml:space="preserve">Distance prescribed </w:t>
      </w:r>
      <w:r>
        <w:rPr>
          <w:snapToGrid w:val="0"/>
        </w:rPr>
        <w:t>(Act s.</w:t>
      </w:r>
      <w:r>
        <w:t> 36A(2)(b))</w:t>
      </w:r>
      <w:bookmarkEnd w:id="30"/>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31" w:name="_Toc524015127"/>
      <w:r>
        <w:rPr>
          <w:rStyle w:val="CharSectno"/>
        </w:rPr>
        <w:t>9A</w:t>
      </w:r>
      <w:r>
        <w:t>.</w:t>
      </w:r>
      <w:r>
        <w:tab/>
      </w:r>
      <w:r>
        <w:rPr>
          <w:snapToGrid w:val="0"/>
        </w:rPr>
        <w:t>Special facility licence, purposes for which may be granted</w:t>
      </w:r>
      <w:bookmarkEnd w:id="31"/>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pageBreakBefore/>
        <w:spacing w:before="0"/>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 10 Jan 2017 p. 142</w:t>
      </w:r>
      <w:r>
        <w:noBreakHyphen/>
        <w:t>3; 3 Feb 2017 p. 1115.]</w:t>
      </w:r>
    </w:p>
    <w:p>
      <w:pPr>
        <w:pStyle w:val="Heading5"/>
      </w:pPr>
      <w:bookmarkStart w:id="32" w:name="_Toc524015128"/>
      <w:r>
        <w:rPr>
          <w:rStyle w:val="CharSectno"/>
        </w:rPr>
        <w:t>9AB</w:t>
      </w:r>
      <w:r>
        <w:t>.</w:t>
      </w:r>
      <w:r>
        <w:tab/>
        <w:t xml:space="preserve">Kind of extended trading permit prescribed </w:t>
      </w:r>
      <w:r>
        <w:rPr>
          <w:snapToGrid w:val="0"/>
        </w:rPr>
        <w:t>(Act s.</w:t>
      </w:r>
      <w:r>
        <w:t> 25(5a))</w:t>
      </w:r>
      <w:bookmarkEnd w:id="32"/>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33" w:name="_Toc524015129"/>
      <w:r>
        <w:rPr>
          <w:rStyle w:val="CharSectno"/>
        </w:rPr>
        <w:t>9B</w:t>
      </w:r>
      <w:r>
        <w:rPr>
          <w:snapToGrid w:val="0"/>
        </w:rPr>
        <w:t>.</w:t>
      </w:r>
      <w:r>
        <w:rPr>
          <w:snapToGrid w:val="0"/>
        </w:rPr>
        <w:tab/>
        <w:t>Special facility licence, effect of as to sale of packaged liquor</w:t>
      </w:r>
      <w:bookmarkEnd w:id="33"/>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pPr>
      <w:bookmarkStart w:id="34" w:name="_Toc524015130"/>
      <w:r>
        <w:rPr>
          <w:rStyle w:val="CharSectno"/>
        </w:rPr>
        <w:t>9C</w:t>
      </w:r>
      <w:r>
        <w:t>.</w:t>
      </w:r>
      <w:r>
        <w:tab/>
        <w:t>Types of special facility licence prescribed (Act s. 46(6))</w:t>
      </w:r>
      <w:bookmarkEnd w:id="34"/>
    </w:p>
    <w:p>
      <w:pPr>
        <w:pStyle w:val="Subsection"/>
      </w:pPr>
      <w:r>
        <w:tab/>
      </w:r>
      <w:r>
        <w:tab/>
        <w:t xml:space="preserve">For the purposes of section 46(6), a special facility licence is a licence of a type prescribed if it is granted for a purpose described in one of the following regulations — </w:t>
      </w:r>
    </w:p>
    <w:p>
      <w:pPr>
        <w:pStyle w:val="Indenta"/>
      </w:pPr>
      <w:r>
        <w:tab/>
        <w:t>(a)</w:t>
      </w:r>
      <w:r>
        <w:tab/>
        <w:t>regulation 9A(1) — works canteen;</w:t>
      </w:r>
    </w:p>
    <w:p>
      <w:pPr>
        <w:pStyle w:val="Indenta"/>
      </w:pPr>
      <w:r>
        <w:tab/>
        <w:t>(b)</w:t>
      </w:r>
      <w:r>
        <w:tab/>
        <w:t>regulation 9A(6) — transport;</w:t>
      </w:r>
    </w:p>
    <w:p>
      <w:pPr>
        <w:pStyle w:val="Indenta"/>
      </w:pPr>
      <w:r>
        <w:tab/>
        <w:t>(c)</w:t>
      </w:r>
      <w:r>
        <w:tab/>
        <w:t>regulation 9A(7) — tourism;</w:t>
      </w:r>
    </w:p>
    <w:p>
      <w:pPr>
        <w:pStyle w:val="Indenta"/>
      </w:pPr>
      <w:r>
        <w:tab/>
        <w:t>(d)</w:t>
      </w:r>
      <w:r>
        <w:tab/>
        <w:t>regulation 9A(10) — education and training institution;</w:t>
      </w:r>
    </w:p>
    <w:p>
      <w:pPr>
        <w:pStyle w:val="Indenta"/>
      </w:pPr>
      <w:r>
        <w:tab/>
        <w:t>(e)</w:t>
      </w:r>
      <w:r>
        <w:tab/>
        <w:t>regulation 9A(10a) — education and training course;</w:t>
      </w:r>
    </w:p>
    <w:p>
      <w:pPr>
        <w:pStyle w:val="Indenta"/>
      </w:pPr>
      <w:r>
        <w:tab/>
        <w:t>(f)</w:t>
      </w:r>
      <w:r>
        <w:tab/>
        <w:t>regulation 9A(10c) — approved viticulture course;</w:t>
      </w:r>
    </w:p>
    <w:p>
      <w:pPr>
        <w:pStyle w:val="Indenta"/>
      </w:pPr>
      <w:r>
        <w:tab/>
        <w:t>(g)</w:t>
      </w:r>
      <w:r>
        <w:tab/>
        <w:t>regulation 9A(11) — sports arena;</w:t>
      </w:r>
    </w:p>
    <w:p>
      <w:pPr>
        <w:pStyle w:val="Indenta"/>
      </w:pPr>
      <w:r>
        <w:tab/>
        <w:t>(h)</w:t>
      </w:r>
      <w:r>
        <w:tab/>
        <w:t>regulation 9A(12) — foodhall;</w:t>
      </w:r>
    </w:p>
    <w:p>
      <w:pPr>
        <w:pStyle w:val="Indenta"/>
      </w:pPr>
      <w:r>
        <w:tab/>
        <w:t>(i)</w:t>
      </w:r>
      <w:r>
        <w:tab/>
        <w:t>regulation 9A(13) — catering;</w:t>
      </w:r>
    </w:p>
    <w:p>
      <w:pPr>
        <w:pStyle w:val="Indenta"/>
      </w:pPr>
      <w:r>
        <w:tab/>
        <w:t>(j)</w:t>
      </w:r>
      <w:r>
        <w:tab/>
        <w:t>regulation 9A(14) — bed and breakfast facility;</w:t>
      </w:r>
    </w:p>
    <w:p>
      <w:pPr>
        <w:pStyle w:val="Indenta"/>
      </w:pPr>
      <w:r>
        <w:tab/>
        <w:t>(k)</w:t>
      </w:r>
      <w:r>
        <w:tab/>
        <w:t>regulation 9A(15) and (16) — room service restaurant;</w:t>
      </w:r>
    </w:p>
    <w:p>
      <w:pPr>
        <w:pStyle w:val="Indenta"/>
      </w:pPr>
      <w:r>
        <w:tab/>
        <w:t>(l)</w:t>
      </w:r>
      <w:r>
        <w:tab/>
        <w:t>regulation 9A(22) — auction.</w:t>
      </w:r>
    </w:p>
    <w:p>
      <w:pPr>
        <w:pStyle w:val="Footnotesection"/>
      </w:pPr>
      <w:r>
        <w:tab/>
        <w:t>[Regulation 9C inserted in Gazette 8 Dec 2017 p. 5850.]</w:t>
      </w:r>
    </w:p>
    <w:p>
      <w:pPr>
        <w:pStyle w:val="Heading5"/>
      </w:pPr>
      <w:bookmarkStart w:id="35" w:name="_Toc524015131"/>
      <w:r>
        <w:rPr>
          <w:rStyle w:val="CharSectno"/>
        </w:rPr>
        <w:t>9D</w:t>
      </w:r>
      <w:r>
        <w:t>.</w:t>
      </w:r>
      <w:r>
        <w:tab/>
      </w:r>
      <w:r>
        <w:rPr>
          <w:snapToGrid w:val="0"/>
        </w:rPr>
        <w:t>Act s.</w:t>
      </w:r>
      <w:r>
        <w:t> 33(6b) modified as to occasional licences</w:t>
      </w:r>
      <w:bookmarkEnd w:id="35"/>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36" w:name="_Toc524015132"/>
      <w:r>
        <w:rPr>
          <w:rStyle w:val="CharSectno"/>
        </w:rPr>
        <w:t>9E</w:t>
      </w:r>
      <w:r>
        <w:t>.</w:t>
      </w:r>
      <w:r>
        <w:tab/>
        <w:t>Period prescribed (Act s. 33(6D)(b))</w:t>
      </w:r>
      <w:bookmarkEnd w:id="36"/>
    </w:p>
    <w:p>
      <w:pPr>
        <w:pStyle w:val="Subsection"/>
        <w:keepNext/>
      </w:pPr>
      <w:r>
        <w:tab/>
      </w:r>
      <w:r>
        <w:tab/>
        <w:t>For the purposes of section 33(6D)(b) the period of 3 months is prescribed.</w:t>
      </w:r>
    </w:p>
    <w:p>
      <w:pPr>
        <w:pStyle w:val="Footnotesection"/>
        <w:keepNext/>
        <w:ind w:left="890" w:hanging="890"/>
      </w:pPr>
      <w:r>
        <w:tab/>
        <w:t>[Regulation 9E inserted in Gazette 16 Nov 2012 p. 5658.]</w:t>
      </w:r>
    </w:p>
    <w:p>
      <w:pPr>
        <w:pStyle w:val="Heading5"/>
      </w:pPr>
      <w:bookmarkStart w:id="37" w:name="_Toc524015133"/>
      <w:r>
        <w:rPr>
          <w:rStyle w:val="CharSectno"/>
        </w:rPr>
        <w:t>9F</w:t>
      </w:r>
      <w:r>
        <w:t>.</w:t>
      </w:r>
      <w:r>
        <w:tab/>
        <w:t>Kinds of permit prescribed (Act s. 38(1)(b))</w:t>
      </w:r>
      <w:bookmarkEnd w:id="37"/>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38" w:name="_Toc524015134"/>
      <w:r>
        <w:rPr>
          <w:rStyle w:val="CharSectno"/>
        </w:rPr>
        <w:t>9G</w:t>
      </w:r>
      <w:r>
        <w:t>.</w:t>
      </w:r>
      <w:r>
        <w:tab/>
        <w:t xml:space="preserve">Reciprocal arrangements for club membership, requirements for </w:t>
      </w:r>
      <w:r>
        <w:rPr>
          <w:snapToGrid w:val="0"/>
        </w:rPr>
        <w:t>(Act s.</w:t>
      </w:r>
      <w:r>
        <w:t> 49(3)(c)(iv))</w:t>
      </w:r>
      <w:bookmarkEnd w:id="38"/>
    </w:p>
    <w:p>
      <w:pPr>
        <w:pStyle w:val="Subsection"/>
        <w:keepNext/>
        <w:keepLines/>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240"/>
        <w:rPr>
          <w:snapToGrid w:val="0"/>
        </w:rPr>
      </w:pPr>
      <w:bookmarkStart w:id="39" w:name="_Toc524015135"/>
      <w:r>
        <w:rPr>
          <w:rStyle w:val="CharSectno"/>
        </w:rPr>
        <w:t>10</w:t>
      </w:r>
      <w:r>
        <w:rPr>
          <w:snapToGrid w:val="0"/>
        </w:rPr>
        <w:t>.</w:t>
      </w:r>
      <w:r>
        <w:rPr>
          <w:snapToGrid w:val="0"/>
        </w:rPr>
        <w:tab/>
        <w:t>Requirements prescribed (Act s. </w:t>
      </w:r>
      <w:r>
        <w:t>57(2)(d)</w:t>
      </w:r>
      <w:r>
        <w:rPr>
          <w:snapToGrid w:val="0"/>
        </w:rPr>
        <w:t>)</w:t>
      </w:r>
      <w:bookmarkEnd w:id="39"/>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40" w:name="_Toc524015136"/>
      <w:r>
        <w:rPr>
          <w:rStyle w:val="CharSectno"/>
        </w:rPr>
        <w:t>10A</w:t>
      </w:r>
      <w:r>
        <w:rPr>
          <w:snapToGrid w:val="0"/>
        </w:rPr>
        <w:t>.</w:t>
      </w:r>
      <w:r>
        <w:rPr>
          <w:snapToGrid w:val="0"/>
        </w:rPr>
        <w:tab/>
        <w:t>Condition prescribed (Act s. 55(2))</w:t>
      </w:r>
      <w:bookmarkEnd w:id="40"/>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41" w:name="_Toc524015137"/>
      <w:r>
        <w:rPr>
          <w:rStyle w:val="CharSectno"/>
        </w:rPr>
        <w:t>11</w:t>
      </w:r>
      <w:r>
        <w:rPr>
          <w:snapToGrid w:val="0"/>
        </w:rPr>
        <w:t>.</w:t>
      </w:r>
      <w:r>
        <w:rPr>
          <w:snapToGrid w:val="0"/>
        </w:rPr>
        <w:tab/>
        <w:t>Plans and specifications, requirements for (Act s. 66(4) and (5))</w:t>
      </w:r>
      <w:bookmarkEnd w:id="41"/>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in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42" w:name="_Toc524015138"/>
      <w:r>
        <w:rPr>
          <w:rStyle w:val="CharSectno"/>
        </w:rPr>
        <w:t>13</w:t>
      </w:r>
      <w:r>
        <w:rPr>
          <w:snapToGrid w:val="0"/>
        </w:rPr>
        <w:t>.</w:t>
      </w:r>
      <w:r>
        <w:rPr>
          <w:snapToGrid w:val="0"/>
        </w:rPr>
        <w:tab/>
        <w:t>Records as to applicant, requirements for (Act s. 68(1)(b))</w:t>
      </w:r>
      <w:bookmarkEnd w:id="42"/>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43" w:name="_Toc524015139"/>
      <w:r>
        <w:rPr>
          <w:rStyle w:val="CharSectno"/>
        </w:rPr>
        <w:t>14A</w:t>
      </w:r>
      <w:r>
        <w:t>.</w:t>
      </w:r>
      <w:r>
        <w:tab/>
        <w:t xml:space="preserve">Types etc. of premises prescribed </w:t>
      </w:r>
      <w:r>
        <w:rPr>
          <w:snapToGrid w:val="0"/>
        </w:rPr>
        <w:t>(Act s. 77(5a)(b))</w:t>
      </w:r>
      <w:bookmarkEnd w:id="43"/>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in Gazette 2 May 2008 p. 1704; amended in Gazette 18 Dec 2012 p. 6596-7.]</w:t>
      </w:r>
    </w:p>
    <w:p>
      <w:pPr>
        <w:pStyle w:val="Heading5"/>
      </w:pPr>
      <w:bookmarkStart w:id="44" w:name="_Toc524015140"/>
      <w:r>
        <w:rPr>
          <w:rStyle w:val="CharSectno"/>
        </w:rPr>
        <w:t>14AB</w:t>
      </w:r>
      <w:r>
        <w:t>.</w:t>
      </w:r>
      <w:r>
        <w:tab/>
        <w:t xml:space="preserve">Requirement for lodgment of application prescribed </w:t>
      </w:r>
      <w:r>
        <w:rPr>
          <w:snapToGrid w:val="0"/>
        </w:rPr>
        <w:t>(Act s. </w:t>
      </w:r>
      <w:r>
        <w:t>75(1)(b))</w:t>
      </w:r>
      <w:bookmarkEnd w:id="44"/>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45" w:name="_Toc524015141"/>
      <w:r>
        <w:rPr>
          <w:rStyle w:val="CharSectno"/>
        </w:rPr>
        <w:t>14AC</w:t>
      </w:r>
      <w:r>
        <w:t>.</w:t>
      </w:r>
      <w:r>
        <w:tab/>
        <w:t xml:space="preserve">Requirement for lodgment of application prescribed </w:t>
      </w:r>
      <w:r>
        <w:rPr>
          <w:snapToGrid w:val="0"/>
        </w:rPr>
        <w:t>(Act s. </w:t>
      </w:r>
      <w:r>
        <w:t>76(1)(b))</w:t>
      </w:r>
      <w:bookmarkEnd w:id="45"/>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46" w:name="_Toc524015142"/>
      <w:r>
        <w:rPr>
          <w:rStyle w:val="CharSectno"/>
        </w:rPr>
        <w:t>14ADA</w:t>
      </w:r>
      <w:r>
        <w:t>.</w:t>
      </w:r>
      <w:r>
        <w:tab/>
        <w:t>Manager’s approval, application for (Act s. 102B)</w:t>
      </w:r>
      <w:bookmarkEnd w:id="46"/>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47" w:name="_Toc524015143"/>
      <w:r>
        <w:rPr>
          <w:rStyle w:val="CharSectno"/>
        </w:rPr>
        <w:t>14ADB</w:t>
      </w:r>
      <w:r>
        <w:t>.</w:t>
      </w:r>
      <w:r>
        <w:tab/>
        <w:t>Manager’s approval, conditions on (Act s. 102C)</w:t>
      </w:r>
      <w:bookmarkEnd w:id="47"/>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48" w:name="_Toc524015144"/>
      <w:r>
        <w:rPr>
          <w:rStyle w:val="CharSectno"/>
        </w:rPr>
        <w:t>14ADC</w:t>
      </w:r>
      <w:r>
        <w:t>.</w:t>
      </w:r>
      <w:r>
        <w:tab/>
        <w:t>Manager’s approval, duration of (Act s. 102D)</w:t>
      </w:r>
      <w:bookmarkEnd w:id="48"/>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49" w:name="_Toc524015145"/>
      <w:r>
        <w:rPr>
          <w:rStyle w:val="CharSectno"/>
        </w:rPr>
        <w:t>14ADD</w:t>
      </w:r>
      <w:r>
        <w:t>.</w:t>
      </w:r>
      <w:r>
        <w:tab/>
        <w:t>Manager’s approval, renewal of (Act s. 102E)</w:t>
      </w:r>
      <w:bookmarkEnd w:id="49"/>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50" w:name="_Toc524015146"/>
      <w:r>
        <w:rPr>
          <w:rStyle w:val="CharSectno"/>
        </w:rPr>
        <w:t>14ADE</w:t>
      </w:r>
      <w:r>
        <w:t>.</w:t>
      </w:r>
      <w:r>
        <w:tab/>
        <w:t>Approved manager, identification card for</w:t>
      </w:r>
      <w:bookmarkEnd w:id="50"/>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51" w:name="_Toc524015147"/>
      <w:r>
        <w:rPr>
          <w:rStyle w:val="CharSectno"/>
        </w:rPr>
        <w:t>14ADF</w:t>
      </w:r>
      <w:r>
        <w:t>.</w:t>
      </w:r>
      <w:r>
        <w:tab/>
        <w:t>Lost etc. identification card, replacement of</w:t>
      </w:r>
      <w:bookmarkEnd w:id="51"/>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52" w:name="_Toc524015148"/>
      <w:r>
        <w:rPr>
          <w:rStyle w:val="CharSectno"/>
        </w:rPr>
        <w:t>14ADG</w:t>
      </w:r>
      <w:r>
        <w:t>.</w:t>
      </w:r>
      <w:r>
        <w:tab/>
        <w:t>Transitioned approvals (Act Sch. 1B)</w:t>
      </w:r>
      <w:bookmarkEnd w:id="52"/>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in Gazette 3 Jun 2011 p. 1997</w:t>
      </w:r>
      <w:r>
        <w:noBreakHyphen/>
        <w:t>8; amended in Gazette 6 Nov 2015 p. 4584.]</w:t>
      </w:r>
    </w:p>
    <w:p>
      <w:pPr>
        <w:pStyle w:val="Heading5"/>
      </w:pPr>
      <w:bookmarkStart w:id="53" w:name="_Toc524015149"/>
      <w:r>
        <w:rPr>
          <w:rStyle w:val="CharSectno"/>
        </w:rPr>
        <w:t>14AD</w:t>
      </w:r>
      <w:r>
        <w:t>.</w:t>
      </w:r>
      <w:r>
        <w:tab/>
        <w:t xml:space="preserve">Responsible practices in selling etc. liquor, courses on required </w:t>
      </w:r>
      <w:r>
        <w:rPr>
          <w:snapToGrid w:val="0"/>
        </w:rPr>
        <w:t>(Act s. </w:t>
      </w:r>
      <w:r>
        <w:t>103A(1)(a))</w:t>
      </w:r>
      <w:bookmarkEnd w:id="53"/>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anticipated number of patrons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in Gazette 1 May 2007 p. 1878; amended in Gazette 22 Oct 2010 p. 5227; 3 Jun 2011 p. 1998; 10 Jan 2017 p. 144.]</w:t>
      </w:r>
    </w:p>
    <w:p>
      <w:pPr>
        <w:pStyle w:val="Heading5"/>
      </w:pPr>
      <w:bookmarkStart w:id="54" w:name="_Toc524015150"/>
      <w:r>
        <w:rPr>
          <w:rStyle w:val="CharSectno"/>
        </w:rPr>
        <w:t>14AE</w:t>
      </w:r>
      <w:r>
        <w:t>.</w:t>
      </w:r>
      <w:r>
        <w:tab/>
        <w:t>Offences for r. 14AD</w:t>
      </w:r>
      <w:bookmarkEnd w:id="54"/>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 10 Jan 2017 p. 144</w:t>
      </w:r>
      <w:r>
        <w:noBreakHyphen/>
        <w:t>5.]</w:t>
      </w:r>
    </w:p>
    <w:p>
      <w:pPr>
        <w:pStyle w:val="Ednotesection"/>
      </w:pPr>
      <w:r>
        <w:t>[</w:t>
      </w:r>
      <w:r>
        <w:rPr>
          <w:b/>
        </w:rPr>
        <w:t>14AF.</w:t>
      </w:r>
      <w:r>
        <w:tab/>
        <w:t>Deleted in Gazette 10 Jan 2017 p. 145.]</w:t>
      </w:r>
    </w:p>
    <w:p>
      <w:pPr>
        <w:pStyle w:val="Heading5"/>
        <w:spacing w:before="210"/>
      </w:pPr>
      <w:bookmarkStart w:id="55" w:name="_Toc524015151"/>
      <w:r>
        <w:rPr>
          <w:rStyle w:val="CharSectno"/>
        </w:rPr>
        <w:t>14AG</w:t>
      </w:r>
      <w:r>
        <w:t>.</w:t>
      </w:r>
      <w:r>
        <w:tab/>
        <w:t>Licensee to maintain register </w:t>
      </w:r>
      <w:r>
        <w:rPr>
          <w:snapToGrid w:val="0"/>
        </w:rPr>
        <w:t>(Act s. </w:t>
      </w:r>
      <w:r>
        <w:t>103A(1)(b))</w:t>
      </w:r>
      <w:bookmarkEnd w:id="55"/>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210"/>
      </w:pPr>
      <w:r>
        <w:t>[</w:t>
      </w:r>
      <w:r>
        <w:rPr>
          <w:b/>
          <w:bCs/>
        </w:rPr>
        <w:t>15.</w:t>
      </w:r>
      <w:r>
        <w:tab/>
        <w:t>Deleted in Gazette 28 Sep 2007 p. 4929.]</w:t>
      </w:r>
    </w:p>
    <w:p>
      <w:pPr>
        <w:pStyle w:val="Heading5"/>
        <w:keepLines w:val="0"/>
        <w:widowControl w:val="0"/>
        <w:spacing w:before="210"/>
        <w:rPr>
          <w:snapToGrid w:val="0"/>
        </w:rPr>
      </w:pPr>
      <w:bookmarkStart w:id="56" w:name="_Toc524015152"/>
      <w:r>
        <w:rPr>
          <w:rStyle w:val="CharSectno"/>
        </w:rPr>
        <w:t>16</w:t>
      </w:r>
      <w:r>
        <w:rPr>
          <w:snapToGrid w:val="0"/>
        </w:rPr>
        <w:t>.</w:t>
      </w:r>
      <w:r>
        <w:rPr>
          <w:snapToGrid w:val="0"/>
        </w:rPr>
        <w:tab/>
        <w:t>Amount of liability prescribed (Act s. 107)</w:t>
      </w:r>
      <w:bookmarkEnd w:id="56"/>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57" w:name="_Toc524015153"/>
      <w:r>
        <w:rPr>
          <w:rStyle w:val="CharSectno"/>
        </w:rPr>
        <w:t>16A</w:t>
      </w:r>
      <w:r>
        <w:t>.</w:t>
      </w:r>
      <w:r>
        <w:tab/>
        <w:t xml:space="preserve">Sports arenas prescribed (Act s. 110(4B) </w:t>
      </w:r>
      <w:r>
        <w:rPr>
          <w:i/>
        </w:rPr>
        <w:t>sports arena</w:t>
      </w:r>
      <w:r>
        <w:t>)</w:t>
      </w:r>
      <w:bookmarkEnd w:id="57"/>
    </w:p>
    <w:p>
      <w:pPr>
        <w:pStyle w:val="Subsection"/>
      </w:pPr>
      <w:r>
        <w:tab/>
        <w:t>(1)</w:t>
      </w:r>
      <w:r>
        <w:tab/>
        <w:t xml:space="preserve">For the purposes of the definition of </w:t>
      </w:r>
      <w:r>
        <w:rPr>
          <w:b/>
          <w:i/>
        </w:rPr>
        <w:t>sports arena</w:t>
      </w:r>
      <w:r>
        <w:t xml:space="preserve"> in section 110(4B), the sports arenas, grounds or stadiums known by the following names and located at the following addresses are prescribed —</w:t>
      </w:r>
    </w:p>
    <w:p>
      <w:pPr>
        <w:pStyle w:val="Indenta"/>
      </w:pPr>
      <w:r>
        <w:tab/>
        <w:t>(a)</w:t>
      </w:r>
      <w:r>
        <w:tab/>
        <w:t>Arena Joondalup, Kennedya Drive, Joondalup;</w:t>
      </w:r>
    </w:p>
    <w:p>
      <w:pPr>
        <w:pStyle w:val="Indenta"/>
      </w:pPr>
      <w:r>
        <w:tab/>
        <w:t>(b)</w:t>
      </w:r>
      <w:r>
        <w:tab/>
        <w:t>Ascot Racecourse, Grandstand Road, Ascot;</w:t>
      </w:r>
    </w:p>
    <w:p>
      <w:pPr>
        <w:pStyle w:val="Indenta"/>
      </w:pPr>
      <w:r>
        <w:tab/>
        <w:t>(c)</w:t>
      </w:r>
      <w:r>
        <w:tab/>
        <w:t>Belmont Park Racecourse, Victoria Park Drive, Burswood;</w:t>
      </w:r>
    </w:p>
    <w:p>
      <w:pPr>
        <w:pStyle w:val="Indenta"/>
      </w:pPr>
      <w:r>
        <w:tab/>
        <w:t>(d)</w:t>
      </w:r>
      <w:r>
        <w:tab/>
        <w:t>Gloucester Park, Nelson Crescent, East Perth;</w:t>
      </w:r>
    </w:p>
    <w:p>
      <w:pPr>
        <w:pStyle w:val="Indenta"/>
      </w:pPr>
      <w:r>
        <w:tab/>
        <w:t>(e)</w:t>
      </w:r>
      <w:r>
        <w:tab/>
        <w:t>Greyhounds WA Cannington, Station Street, Cannington;</w:t>
      </w:r>
    </w:p>
    <w:p>
      <w:pPr>
        <w:pStyle w:val="Indenta"/>
      </w:pPr>
      <w:r>
        <w:tab/>
        <w:t>(f)</w:t>
      </w:r>
      <w:r>
        <w:tab/>
        <w:t>HBF Stadium, Stephenson Avenue, Mt Claremont;</w:t>
      </w:r>
    </w:p>
    <w:p>
      <w:pPr>
        <w:pStyle w:val="Indenta"/>
      </w:pPr>
      <w:r>
        <w:tab/>
        <w:t>(g)</w:t>
      </w:r>
      <w:r>
        <w:tab/>
        <w:t>Perth Motorplex, corner of Anketell Road and Rockingham Road, Kwinana Beach;</w:t>
      </w:r>
    </w:p>
    <w:p>
      <w:pPr>
        <w:pStyle w:val="Indenta"/>
      </w:pPr>
      <w:r>
        <w:tab/>
        <w:t>(h)</w:t>
      </w:r>
      <w:r>
        <w:tab/>
        <w:t>Perth Oval, Pier Street, Perth;</w:t>
      </w:r>
    </w:p>
    <w:p>
      <w:pPr>
        <w:pStyle w:val="Indenta"/>
      </w:pPr>
      <w:r>
        <w:tab/>
        <w:t>(i)</w:t>
      </w:r>
      <w:r>
        <w:tab/>
        <w:t>Perth Stadium, Victoria Park Drive, Burswood;</w:t>
      </w:r>
    </w:p>
    <w:p>
      <w:pPr>
        <w:pStyle w:val="Indenta"/>
      </w:pPr>
      <w:r>
        <w:tab/>
        <w:t>(j)</w:t>
      </w:r>
      <w:r>
        <w:tab/>
        <w:t>Western Australian Cricket Association Ground (also known by the name W.A.C.A. Ground), Hale Street, East Perth.</w:t>
      </w:r>
    </w:p>
    <w:p>
      <w:pPr>
        <w:pStyle w:val="Subsection"/>
      </w:pPr>
      <w:r>
        <w:tab/>
        <w:t>(2)</w:t>
      </w:r>
      <w:r>
        <w:tab/>
        <w:t>A change to the name of a sports arena, ground or stadium prescribed in subregulation (1) does not affect the operation of that subregulation.</w:t>
      </w:r>
    </w:p>
    <w:p>
      <w:pPr>
        <w:pStyle w:val="Footnotesection"/>
      </w:pPr>
      <w:r>
        <w:tab/>
        <w:t>[Regulation 16A inserted in Gazette 19 Jan 2018 p. 231</w:t>
      </w:r>
      <w:r>
        <w:noBreakHyphen/>
        <w:t>2.]</w:t>
      </w:r>
    </w:p>
    <w:p>
      <w:pPr>
        <w:pStyle w:val="Ednotesection"/>
      </w:pPr>
      <w:r>
        <w:t>[</w:t>
      </w:r>
      <w:r>
        <w:rPr>
          <w:b/>
        </w:rPr>
        <w:t>17A</w:t>
      </w:r>
      <w:r>
        <w:tab/>
        <w:t>Deleted in Gazette 19 Jan 2018 p. 231.]</w:t>
      </w:r>
    </w:p>
    <w:p>
      <w:pPr>
        <w:pStyle w:val="Heading5"/>
        <w:rPr>
          <w:snapToGrid w:val="0"/>
        </w:rPr>
      </w:pPr>
      <w:bookmarkStart w:id="58" w:name="_Toc524015154"/>
      <w:r>
        <w:rPr>
          <w:rStyle w:val="CharSectno"/>
        </w:rPr>
        <w:t>17</w:t>
      </w:r>
      <w:r>
        <w:rPr>
          <w:snapToGrid w:val="0"/>
        </w:rPr>
        <w:t>.</w:t>
      </w:r>
      <w:r>
        <w:rPr>
          <w:snapToGrid w:val="0"/>
        </w:rPr>
        <w:tab/>
        <w:t>Out of bounds area, notice for (Act s. 121(6))</w:t>
      </w:r>
      <w:bookmarkEnd w:id="58"/>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Lines w:val="0"/>
        <w:spacing w:before="160"/>
      </w:pPr>
      <w:bookmarkStart w:id="59" w:name="_Toc524015155"/>
      <w:r>
        <w:rPr>
          <w:rStyle w:val="CharSectno"/>
        </w:rPr>
        <w:t>18</w:t>
      </w:r>
      <w:r>
        <w:t>.</w:t>
      </w:r>
      <w:r>
        <w:tab/>
        <w:t>Premises prescribed to be regulated premises (Act s. 122(1)(f))</w:t>
      </w:r>
      <w:bookmarkEnd w:id="59"/>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rPr>
          <w:snapToGrid w:val="0"/>
        </w:rPr>
      </w:pPr>
      <w:bookmarkStart w:id="60" w:name="_Toc524015156"/>
      <w:r>
        <w:rPr>
          <w:rStyle w:val="CharSectno"/>
        </w:rPr>
        <w:t>18A</w:t>
      </w:r>
      <w:r>
        <w:rPr>
          <w:snapToGrid w:val="0"/>
        </w:rPr>
        <w:t>.</w:t>
      </w:r>
      <w:r>
        <w:rPr>
          <w:snapToGrid w:val="0"/>
        </w:rPr>
        <w:tab/>
        <w:t>Documents prescribed as evidence of age etc. (Act s. 126(1)(b)(i)(III) and s. 160(1))</w:t>
      </w:r>
      <w:bookmarkEnd w:id="60"/>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(1A)</w:t>
      </w:r>
      <w:r>
        <w:tab/>
        <w:t>For the purposes of section 126(1)(b)(i)(III), the following are prescribed documents —</w:t>
      </w:r>
    </w:p>
    <w:p>
      <w:pPr>
        <w:pStyle w:val="Indenta"/>
      </w:pPr>
      <w:r>
        <w:tab/>
        <w:t>(a)</w:t>
      </w:r>
      <w:r>
        <w:tab/>
        <w:t>a proof of age card issued under regulation 18B;</w:t>
      </w:r>
    </w:p>
    <w:p>
      <w:pPr>
        <w:pStyle w:val="Indenta"/>
      </w:pPr>
      <w:r>
        <w:tab/>
        <w:t>(b)</w:t>
      </w:r>
      <w:r>
        <w:tab/>
        <w:t>a current WA photo card;</w:t>
      </w:r>
    </w:p>
    <w:p>
      <w:pPr>
        <w:pStyle w:val="Indenta"/>
      </w:pPr>
      <w:r>
        <w:tab/>
        <w:t>(c)</w:t>
      </w:r>
      <w:r>
        <w:tab/>
        <w:t>a current Australian learner driver permit with a photograph;</w:t>
      </w:r>
    </w:p>
    <w:p>
      <w:pPr>
        <w:pStyle w:val="Indenta"/>
      </w:pPr>
      <w:r>
        <w:tab/>
        <w:t>(d)</w:t>
      </w:r>
      <w:r>
        <w:tab/>
        <w:t xml:space="preserve">a current hard copy proof of age card (known as a “Keypass identity card”) issued by Australia Post, as defined in the </w:t>
      </w:r>
      <w:r>
        <w:rPr>
          <w:i/>
        </w:rPr>
        <w:t>Australian Postal Corporation Act 1989</w:t>
      </w:r>
      <w:r>
        <w:t xml:space="preserve"> (Commonwealth) section 3;</w:t>
      </w:r>
    </w:p>
    <w:p>
      <w:pPr>
        <w:pStyle w:val="Indenta"/>
      </w:pPr>
      <w:r>
        <w:tab/>
        <w:t>(e)</w:t>
      </w:r>
      <w:r>
        <w:tab/>
        <w:t xml:space="preserve">a current photo card issued under the </w:t>
      </w:r>
      <w:r>
        <w:rPr>
          <w:i/>
        </w:rPr>
        <w:t>Photo Card Act 2005</w:t>
      </w:r>
      <w:r>
        <w:t xml:space="preserve"> (New South Wales);</w:t>
      </w:r>
    </w:p>
    <w:p>
      <w:pPr>
        <w:pStyle w:val="Indenta"/>
      </w:pPr>
      <w:r>
        <w:tab/>
        <w:t>(f)</w:t>
      </w:r>
      <w:r>
        <w:tab/>
        <w:t>a current card issued under the law of another State or a Territory that is equivalent to a proof of age card or a photo card referred to in this regulation.</w:t>
      </w:r>
    </w:p>
    <w:p>
      <w:pPr>
        <w:pStyle w:val="Ednotesubsection"/>
      </w:pPr>
      <w:r>
        <w:tab/>
        <w:t>[(2A)</w:t>
      </w:r>
      <w:r>
        <w:tab/>
        <w:t>deleted]</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 8 Jan 2015 p. 147; 19 Jan 2018 p. 232.]</w:t>
      </w:r>
    </w:p>
    <w:p>
      <w:pPr>
        <w:pStyle w:val="Heading5"/>
        <w:rPr>
          <w:snapToGrid w:val="0"/>
        </w:rPr>
      </w:pPr>
      <w:bookmarkStart w:id="61" w:name="_Toc524015157"/>
      <w:r>
        <w:rPr>
          <w:rStyle w:val="CharSectno"/>
        </w:rPr>
        <w:t>18B</w:t>
      </w:r>
      <w:r>
        <w:rPr>
          <w:snapToGrid w:val="0"/>
        </w:rPr>
        <w:t>.</w:t>
      </w:r>
      <w:r>
        <w:rPr>
          <w:snapToGrid w:val="0"/>
        </w:rPr>
        <w:tab/>
        <w:t>Proof of age card, issue of etc.</w:t>
      </w:r>
      <w:bookmarkEnd w:id="61"/>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4</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62" w:name="_Toc524015158"/>
      <w:r>
        <w:rPr>
          <w:rStyle w:val="CharSectno"/>
        </w:rPr>
        <w:t>18C</w:t>
      </w:r>
      <w:r>
        <w:rPr>
          <w:snapToGrid w:val="0"/>
        </w:rPr>
        <w:t>.</w:t>
      </w:r>
      <w:r>
        <w:rPr>
          <w:snapToGrid w:val="0"/>
        </w:rPr>
        <w:tab/>
        <w:t>Proof of age card, form etc. of (r. 18B)</w:t>
      </w:r>
      <w:bookmarkEnd w:id="62"/>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spacing w:before="280"/>
        <w:rPr>
          <w:snapToGrid w:val="0"/>
        </w:rPr>
      </w:pPr>
      <w:bookmarkStart w:id="63" w:name="_Toc524015159"/>
      <w:r>
        <w:rPr>
          <w:rStyle w:val="CharSectno"/>
        </w:rPr>
        <w:t>18D</w:t>
      </w:r>
      <w:r>
        <w:rPr>
          <w:snapToGrid w:val="0"/>
        </w:rPr>
        <w:t>.</w:t>
      </w:r>
      <w:r>
        <w:rPr>
          <w:snapToGrid w:val="0"/>
        </w:rPr>
        <w:tab/>
        <w:t>Lost etc. proof of age card, replacement of</w:t>
      </w:r>
      <w:bookmarkEnd w:id="63"/>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spacing w:before="280"/>
        <w:rPr>
          <w:snapToGrid w:val="0"/>
        </w:rPr>
      </w:pPr>
      <w:bookmarkStart w:id="64" w:name="_Toc524015160"/>
      <w:r>
        <w:rPr>
          <w:rStyle w:val="CharSectno"/>
        </w:rPr>
        <w:t>18E</w:t>
      </w:r>
      <w:r>
        <w:rPr>
          <w:snapToGrid w:val="0"/>
        </w:rPr>
        <w:t>.</w:t>
      </w:r>
      <w:r>
        <w:rPr>
          <w:snapToGrid w:val="0"/>
        </w:rPr>
        <w:tab/>
        <w:t>Agreement or arrangement prescribed (Act s. 104(2))</w:t>
      </w:r>
      <w:bookmarkEnd w:id="64"/>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in Gazette 22 May 1998 p. 2943; amended in Gazette 1 May 2007 p. 1888</w:t>
      </w:r>
      <w:r>
        <w:noBreakHyphen/>
        <w:t>9.]</w:t>
      </w:r>
    </w:p>
    <w:p>
      <w:pPr>
        <w:pStyle w:val="Heading5"/>
      </w:pPr>
      <w:bookmarkStart w:id="65" w:name="_Toc524015161"/>
      <w:r>
        <w:rPr>
          <w:rStyle w:val="CharSectno"/>
        </w:rPr>
        <w:t>18EA</w:t>
      </w:r>
      <w:r>
        <w:t>.</w:t>
      </w:r>
      <w:r>
        <w:tab/>
        <w:t>Information prescribed for websites (Act s. 113A)</w:t>
      </w:r>
      <w:bookmarkEnd w:id="65"/>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5"/>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5"/>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66" w:name="_Toc524015162"/>
      <w:r>
        <w:rPr>
          <w:rStyle w:val="CharSectno"/>
        </w:rPr>
        <w:t>18EBA</w:t>
      </w:r>
      <w:r>
        <w:t>.</w:t>
      </w:r>
      <w:r>
        <w:tab/>
        <w:t xml:space="preserve">Persons prescribed (Act s. 115AC(1A) </w:t>
      </w:r>
      <w:r>
        <w:rPr>
          <w:i/>
        </w:rPr>
        <w:t>secure webpage</w:t>
      </w:r>
      <w:r>
        <w:t>)</w:t>
      </w:r>
      <w:bookmarkEnd w:id="66"/>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67" w:name="_Toc524015163"/>
      <w:r>
        <w:rPr>
          <w:rStyle w:val="CharSectno"/>
        </w:rPr>
        <w:t>18EB</w:t>
      </w:r>
      <w:r>
        <w:t>.</w:t>
      </w:r>
      <w:r>
        <w:tab/>
        <w:t>Incidents and information prescribed for register (Act s. 116A)</w:t>
      </w:r>
      <w:bookmarkEnd w:id="67"/>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[Regulation 18EB inserted in Gazette 1 May 2007 p. 1882</w:t>
      </w:r>
      <w:r>
        <w:noBreakHyphen/>
        <w:t>4; amended in Gazette 28 Sep 2007 p. 4930; 22 Oct 2010 p. 5228</w:t>
      </w:r>
      <w:r>
        <w:noBreakHyphen/>
        <w:t>9; 3 Jun 2011 p. 1998; 10 Jan 2017 p. 145.]</w:t>
      </w:r>
    </w:p>
    <w:p>
      <w:pPr>
        <w:pStyle w:val="Heading5"/>
      </w:pPr>
      <w:bookmarkStart w:id="68" w:name="_Toc524015164"/>
      <w:r>
        <w:rPr>
          <w:rStyle w:val="CharSectno"/>
        </w:rPr>
        <w:t>18EC</w:t>
      </w:r>
      <w:r>
        <w:t>.</w:t>
      </w:r>
      <w:r>
        <w:tab/>
        <w:t>Prescribed incidents involving physical force</w:t>
      </w:r>
      <w:bookmarkEnd w:id="68"/>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in Gazette 10 Jan 2017 p. 145</w:t>
      </w:r>
      <w:r>
        <w:noBreakHyphen/>
        <w:t>6.]</w:t>
      </w:r>
    </w:p>
    <w:p>
      <w:pPr>
        <w:pStyle w:val="Heading5"/>
      </w:pPr>
      <w:bookmarkStart w:id="69" w:name="_Toc524015165"/>
      <w:r>
        <w:rPr>
          <w:rStyle w:val="CharSectno"/>
        </w:rPr>
        <w:t>18F</w:t>
      </w:r>
      <w:r>
        <w:t>.</w:t>
      </w:r>
      <w:r>
        <w:tab/>
        <w:t>Training courses prescribed (Act s. 121(11)(d))</w:t>
      </w:r>
      <w:bookmarkEnd w:id="69"/>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keepNext w:val="0"/>
        <w:keepLines w:val="0"/>
        <w:pageBreakBefore/>
        <w:spacing w:before="0"/>
      </w:pPr>
      <w:bookmarkStart w:id="70" w:name="_Toc524015166"/>
      <w:r>
        <w:rPr>
          <w:rStyle w:val="CharSectno"/>
        </w:rPr>
        <w:t>18G</w:t>
      </w:r>
      <w:r>
        <w:t>.</w:t>
      </w:r>
      <w:r>
        <w:tab/>
        <w:t>Confiscated document, how to be dealt with (Act s. 126(2b))</w:t>
      </w:r>
      <w:bookmarkEnd w:id="70"/>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71" w:name="_Toc524015167"/>
      <w:r>
        <w:rPr>
          <w:rStyle w:val="CharSectno"/>
        </w:rPr>
        <w:t>18H</w:t>
      </w:r>
      <w:r>
        <w:t>.</w:t>
      </w:r>
      <w:r>
        <w:tab/>
        <w:t>Provisions prescribed (Act s. 126E(4))</w:t>
      </w:r>
      <w:bookmarkEnd w:id="71"/>
    </w:p>
    <w:p>
      <w:pPr>
        <w:pStyle w:val="Subsection"/>
        <w:keepNext/>
        <w:keepLines/>
      </w:pPr>
      <w:r>
        <w:tab/>
      </w:r>
      <w:r>
        <w:tab/>
        <w:t>For the purposes of section 126E(4), sections 155(7) and 50(1a) are prescribed.</w:t>
      </w:r>
    </w:p>
    <w:p>
      <w:pPr>
        <w:pStyle w:val="Footnotesection"/>
        <w:ind w:left="890" w:hanging="890"/>
      </w:pPr>
      <w:r>
        <w:tab/>
        <w:t>[Regulation 18H inserted in Gazette 1 May 2007 p. 1884; amended in Gazette 3 Jun 2011 p. 2000; 27 Sep 2011 p. 3848.]</w:t>
      </w:r>
    </w:p>
    <w:p>
      <w:pPr>
        <w:pStyle w:val="Heading5"/>
        <w:rPr>
          <w:snapToGrid w:val="0"/>
        </w:rPr>
      </w:pPr>
      <w:bookmarkStart w:id="72" w:name="_Toc524015168"/>
      <w:r>
        <w:rPr>
          <w:rStyle w:val="CharSectno"/>
        </w:rPr>
        <w:t>19</w:t>
      </w:r>
      <w:r>
        <w:rPr>
          <w:snapToGrid w:val="0"/>
        </w:rPr>
        <w:t>.</w:t>
      </w:r>
      <w:r>
        <w:rPr>
          <w:snapToGrid w:val="0"/>
        </w:rPr>
        <w:tab/>
        <w:t>Subsidy, application for</w:t>
      </w:r>
      <w:bookmarkEnd w:id="72"/>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in Gazette 30 Jan 1998 p. 562; amended in Gazette 22 Oct 2002 p. 5255.]</w:t>
      </w:r>
    </w:p>
    <w:p>
      <w:pPr>
        <w:pStyle w:val="Heading5"/>
        <w:keepNext w:val="0"/>
        <w:keepLines w:val="0"/>
        <w:pageBreakBefore/>
        <w:spacing w:before="0"/>
        <w:rPr>
          <w:snapToGrid w:val="0"/>
        </w:rPr>
      </w:pPr>
      <w:bookmarkStart w:id="73" w:name="_Toc524015169"/>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73"/>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in Gazette 30 Jan 1998 p. 562; amended in Gazette 1 May 2007 p. 1888.]</w:t>
      </w:r>
    </w:p>
    <w:p>
      <w:pPr>
        <w:pStyle w:val="Heading5"/>
      </w:pPr>
      <w:bookmarkStart w:id="74" w:name="_Toc524015170"/>
      <w:r>
        <w:rPr>
          <w:rStyle w:val="CharSectno"/>
        </w:rPr>
        <w:t>21</w:t>
      </w:r>
      <w:r>
        <w:t>.</w:t>
      </w:r>
      <w:r>
        <w:tab/>
        <w:t>Wholesaler, subsidy for (Act s. 130)</w:t>
      </w:r>
      <w:bookmarkEnd w:id="74"/>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pPr>
      <w:bookmarkStart w:id="75" w:name="_Toc524015171"/>
      <w:r>
        <w:rPr>
          <w:rStyle w:val="CharSectno"/>
        </w:rPr>
        <w:t>21A</w:t>
      </w:r>
      <w:r>
        <w:t>.</w:t>
      </w:r>
      <w:r>
        <w:tab/>
        <w:t>Wine producer, subsidy for (Act s. 130)</w:t>
      </w:r>
      <w:bookmarkEnd w:id="75"/>
    </w:p>
    <w:p>
      <w:pPr>
        <w:pStyle w:val="Subsection"/>
        <w:keepLines/>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5pt" o:ole="">
            <v:imagedata r:id="rId22" o:title=""/>
          </v:shape>
          <o:OLEObject Type="Embed" ProgID="Equation.3" ShapeID="_x0000_i1025" DrawAspect="Content" ObjectID="_1644270545" r:id="rId23"/>
        </w:object>
      </w:r>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76" w:name="_Toc524015172"/>
      <w:r>
        <w:rPr>
          <w:rStyle w:val="CharSectno"/>
        </w:rPr>
        <w:t>21AC</w:t>
      </w:r>
      <w:r>
        <w:rPr>
          <w:snapToGrid w:val="0"/>
        </w:rPr>
        <w:t>.</w:t>
      </w:r>
      <w:r>
        <w:rPr>
          <w:snapToGrid w:val="0"/>
        </w:rPr>
        <w:tab/>
        <w:t>Subsidy payable once in respect of sale of liquor</w:t>
      </w:r>
      <w:bookmarkEnd w:id="76"/>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in Gazette 6 Oct 1998 p. 5565.]</w:t>
      </w:r>
    </w:p>
    <w:p>
      <w:pPr>
        <w:pStyle w:val="Heading5"/>
        <w:rPr>
          <w:snapToGrid w:val="0"/>
        </w:rPr>
      </w:pPr>
      <w:bookmarkStart w:id="77" w:name="_Toc524015173"/>
      <w:r>
        <w:rPr>
          <w:rStyle w:val="CharSectno"/>
        </w:rPr>
        <w:t>21B</w:t>
      </w:r>
      <w:r>
        <w:rPr>
          <w:snapToGrid w:val="0"/>
        </w:rPr>
        <w:t>.</w:t>
      </w:r>
      <w:r>
        <w:rPr>
          <w:snapToGrid w:val="0"/>
        </w:rPr>
        <w:tab/>
        <w:t xml:space="preserve">Subsidy, conditions imposed by Director as to </w:t>
      </w:r>
      <w:r>
        <w:t>(Act s. 130(2))</w:t>
      </w:r>
      <w:bookmarkEnd w:id="77"/>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78" w:name="_Toc524015174"/>
      <w:r>
        <w:rPr>
          <w:rStyle w:val="CharSectno"/>
        </w:rPr>
        <w:t>21C</w:t>
      </w:r>
      <w:r>
        <w:rPr>
          <w:snapToGrid w:val="0"/>
        </w:rPr>
        <w:t>.</w:t>
      </w:r>
      <w:r>
        <w:rPr>
          <w:snapToGrid w:val="0"/>
        </w:rPr>
        <w:tab/>
        <w:t>Licensees prescribed </w:t>
      </w:r>
      <w:r>
        <w:t>(Act s. </w:t>
      </w:r>
      <w:r>
        <w:rPr>
          <w:snapToGrid w:val="0"/>
        </w:rPr>
        <w:t>145(1))</w:t>
      </w:r>
      <w:bookmarkEnd w:id="78"/>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79" w:name="_Toc524015175"/>
      <w:r>
        <w:rPr>
          <w:rStyle w:val="CharSectno"/>
        </w:rPr>
        <w:t>22</w:t>
      </w:r>
      <w:r>
        <w:rPr>
          <w:snapToGrid w:val="0"/>
        </w:rPr>
        <w:t>.</w:t>
      </w:r>
      <w:r>
        <w:rPr>
          <w:snapToGrid w:val="0"/>
        </w:rPr>
        <w:tab/>
        <w:t xml:space="preserve">Records prescribed etc. </w:t>
      </w:r>
      <w:r>
        <w:t>(Act s. </w:t>
      </w:r>
      <w:r>
        <w:rPr>
          <w:snapToGrid w:val="0"/>
        </w:rPr>
        <w:t>145)</w:t>
      </w:r>
      <w:bookmarkEnd w:id="79"/>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80" w:name="_Toc524015176"/>
      <w:r>
        <w:rPr>
          <w:rStyle w:val="CharSectno"/>
        </w:rPr>
        <w:t>23</w:t>
      </w:r>
      <w:r>
        <w:rPr>
          <w:snapToGrid w:val="0"/>
        </w:rPr>
        <w:t>.</w:t>
      </w:r>
      <w:r>
        <w:rPr>
          <w:snapToGrid w:val="0"/>
        </w:rPr>
        <w:tab/>
        <w:t xml:space="preserve">Returns, verification and lodgment of </w:t>
      </w:r>
      <w:r>
        <w:t>(Act s. 146)</w:t>
      </w:r>
      <w:bookmarkEnd w:id="80"/>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81" w:name="_Toc524015177"/>
      <w:r>
        <w:rPr>
          <w:rStyle w:val="CharSectno"/>
        </w:rPr>
        <w:t>24</w:t>
      </w:r>
      <w:r>
        <w:rPr>
          <w:snapToGrid w:val="0"/>
        </w:rPr>
        <w:t>.</w:t>
      </w:r>
      <w:r>
        <w:rPr>
          <w:snapToGrid w:val="0"/>
        </w:rPr>
        <w:tab/>
        <w:t xml:space="preserve">Return of information required etc. </w:t>
      </w:r>
      <w:r>
        <w:t>(Act s. 145)</w:t>
      </w:r>
      <w:bookmarkEnd w:id="81"/>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 4 Mar 2016 p. 630.]</w:t>
      </w:r>
    </w:p>
    <w:p>
      <w:pPr>
        <w:pStyle w:val="Heading5"/>
      </w:pPr>
      <w:bookmarkStart w:id="82" w:name="_Toc524015178"/>
      <w:r>
        <w:rPr>
          <w:rStyle w:val="CharSectno"/>
        </w:rPr>
        <w:t>25A</w:t>
      </w:r>
      <w:r>
        <w:t>.</w:t>
      </w:r>
      <w:r>
        <w:tab/>
        <w:t>Class of persons prescribed (Act s. 152P(4)(b))</w:t>
      </w:r>
      <w:bookmarkEnd w:id="82"/>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83" w:name="_Toc524015179"/>
      <w:r>
        <w:rPr>
          <w:rStyle w:val="CharSectno"/>
        </w:rPr>
        <w:t>25</w:t>
      </w:r>
      <w:r>
        <w:rPr>
          <w:snapToGrid w:val="0"/>
        </w:rPr>
        <w:t>.</w:t>
      </w:r>
      <w:r>
        <w:rPr>
          <w:snapToGrid w:val="0"/>
        </w:rPr>
        <w:tab/>
        <w:t>Money payable under Act, how payable</w:t>
      </w:r>
      <w:bookmarkEnd w:id="83"/>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84" w:name="_Toc524015180"/>
      <w:r>
        <w:rPr>
          <w:rStyle w:val="CharSectno"/>
        </w:rPr>
        <w:t>26</w:t>
      </w:r>
      <w:r>
        <w:rPr>
          <w:snapToGrid w:val="0"/>
        </w:rPr>
        <w:t>.</w:t>
      </w:r>
      <w:r>
        <w:rPr>
          <w:snapToGrid w:val="0"/>
        </w:rPr>
        <w:tab/>
        <w:t>Fees generally (Sch. 3)</w:t>
      </w:r>
      <w:bookmarkEnd w:id="84"/>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$281; or</w:t>
      </w:r>
    </w:p>
    <w:p>
      <w:pPr>
        <w:pStyle w:val="Indenta"/>
      </w:pPr>
      <w:r>
        <w:tab/>
        <w:t>(b)</w:t>
      </w:r>
      <w:r>
        <w:tab/>
        <w:t>if 3 or more such permits have been issued — an additional amount of $565.</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 10 Nov 2017 p. 5587.]</w:t>
      </w:r>
    </w:p>
    <w:p>
      <w:pPr>
        <w:pStyle w:val="Heading5"/>
      </w:pPr>
      <w:bookmarkStart w:id="85" w:name="_Toc524015181"/>
      <w:r>
        <w:rPr>
          <w:rStyle w:val="CharSectno"/>
        </w:rPr>
        <w:t>27A</w:t>
      </w:r>
      <w:r>
        <w:t>.</w:t>
      </w:r>
      <w:r>
        <w:tab/>
        <w:t>Reduction in licence fee for new licences</w:t>
      </w:r>
      <w:bookmarkEnd w:id="85"/>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86" w:name="_Toc524015182"/>
      <w:r>
        <w:rPr>
          <w:rStyle w:val="CharSectno"/>
        </w:rPr>
        <w:t>27</w:t>
      </w:r>
      <w:r>
        <w:rPr>
          <w:snapToGrid w:val="0"/>
        </w:rPr>
        <w:t>.</w:t>
      </w:r>
      <w:r>
        <w:rPr>
          <w:snapToGrid w:val="0"/>
        </w:rPr>
        <w:tab/>
        <w:t>Infringement notices, forms etc. prescribed for (Act s. 167)</w:t>
      </w:r>
      <w:bookmarkEnd w:id="86"/>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Liquor Control (Bungardi Restricted Area) Regulations 2017</w:t>
            </w:r>
            <w:r>
              <w:t xml:space="preserve"> 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keepNext/>
              <w:rPr>
                <w:i/>
              </w:rPr>
            </w:pPr>
            <w:r>
              <w:rPr>
                <w:i/>
              </w:rPr>
              <w:t xml:space="preserve">Liquor Control (Irrungadji Restricted Area) Regulations 2010 </w:t>
            </w:r>
            <w:r>
              <w:t>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rPr>
          <w:cantSplit/>
        </w:trPr>
        <w:tc>
          <w:tcPr>
            <w:tcW w:w="5245" w:type="dxa"/>
          </w:tcPr>
          <w:p>
            <w:pPr>
              <w:pStyle w:val="TableNAm"/>
              <w:rPr>
                <w:i/>
              </w:rPr>
            </w:pPr>
            <w:r>
              <w:rPr>
                <w:i/>
              </w:rPr>
              <w:t>Liquor Control (Kalumburu Restricted Area) Regulations 2018</w:t>
            </w:r>
            <w:r>
              <w:t xml:space="preserve"> regulation 8(1)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szCs w:val="24"/>
              </w:rPr>
              <w:t xml:space="preserve">Liquor Control (Parnngurr Restricted Area) Regulations 2018 </w:t>
            </w:r>
            <w:r>
              <w:rPr>
                <w:szCs w:val="24"/>
              </w:rPr>
              <w:t>regulation 8(1)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Liquor Control (Woolah Restricted Area) Regulations 2017</w:t>
            </w:r>
            <w:r>
              <w:t xml:space="preserve"> 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 2 Mar 2018 p. 672; 6 Jul 2018 p. 2548.]</w:t>
      </w:r>
    </w:p>
    <w:p>
      <w:pPr>
        <w:pStyle w:val="Ednotesection"/>
        <w:spacing w:before="180"/>
        <w:ind w:left="890" w:hanging="890"/>
      </w:pPr>
      <w:r>
        <w:t>[</w:t>
      </w:r>
      <w:r>
        <w:rPr>
          <w:b/>
        </w:rPr>
        <w:t>28.</w:t>
      </w:r>
      <w:r>
        <w:rPr>
          <w:b/>
        </w:rPr>
        <w:tab/>
      </w:r>
      <w:r>
        <w:t>Deleted in Gazette 30 Jan 1998 p. 568.]</w:t>
      </w:r>
    </w:p>
    <w:p>
      <w:pPr>
        <w:sectPr>
          <w:headerReference w:type="even" r:id="rId24"/>
          <w:head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87" w:name="_Toc519770029"/>
      <w:bookmarkStart w:id="88" w:name="_Toc524014931"/>
      <w:bookmarkStart w:id="89" w:name="_Toc524015025"/>
      <w:bookmarkStart w:id="90" w:name="_Toc524015183"/>
      <w:r>
        <w:rPr>
          <w:rStyle w:val="CharSchNo"/>
        </w:rPr>
        <w:t>Schedule 1</w:t>
      </w:r>
      <w:bookmarkEnd w:id="87"/>
      <w:bookmarkEnd w:id="88"/>
      <w:bookmarkEnd w:id="89"/>
      <w:bookmarkEnd w:id="90"/>
    </w:p>
    <w:p>
      <w:pPr>
        <w:pStyle w:val="yShoulderClause"/>
        <w:spacing w:before="60"/>
        <w:rPr>
          <w:snapToGrid w:val="0"/>
        </w:rPr>
      </w:pPr>
      <w:r>
        <w:rPr>
          <w:snapToGrid w:val="0"/>
        </w:rPr>
        <w:t>[Regulation 3]</w:t>
      </w:r>
    </w:p>
    <w:p>
      <w:pPr>
        <w:pStyle w:val="yHeading2"/>
        <w:outlineLvl w:val="9"/>
      </w:pPr>
      <w:bookmarkStart w:id="91" w:name="_Toc519770030"/>
      <w:bookmarkStart w:id="92" w:name="_Toc524014932"/>
      <w:bookmarkStart w:id="93" w:name="_Toc524015026"/>
      <w:bookmarkStart w:id="94" w:name="_Toc524015184"/>
      <w:r>
        <w:rPr>
          <w:rStyle w:val="CharSchText"/>
        </w:rPr>
        <w:t>Forms</w:t>
      </w:r>
      <w:bookmarkEnd w:id="91"/>
      <w:bookmarkEnd w:id="92"/>
      <w:bookmarkEnd w:id="93"/>
      <w:bookmarkEnd w:id="94"/>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1276"/>
        <w:gridCol w:w="2830"/>
      </w:tblGrid>
      <w:tr>
        <w:trPr>
          <w:cantSplit/>
          <w:trHeight w:val="286"/>
        </w:trPr>
        <w:tc>
          <w:tcPr>
            <w:tcW w:w="4253" w:type="dxa"/>
            <w:gridSpan w:val="3"/>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30"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3"/>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3" w:type="dxa"/>
            <w:gridSpan w:val="3"/>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3492"/>
              </w:tabs>
              <w:spacing w:before="0"/>
              <w:ind w:right="238"/>
              <w:rPr>
                <w:sz w:val="20"/>
              </w:rPr>
            </w:pPr>
            <w:r>
              <w:rPr>
                <w:sz w:val="20"/>
              </w:rPr>
              <w:t>Date of birth</w:t>
            </w:r>
          </w:p>
        </w:tc>
      </w:tr>
      <w:tr>
        <w:trPr>
          <w:cantSplit/>
          <w:trHeight w:val="150"/>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3" w:type="dxa"/>
            <w:gridSpan w:val="3"/>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i/>
                <w:iCs/>
                <w:sz w:val="20"/>
              </w:rPr>
              <w:t xml:space="preserve">Liquor Control Act 1988 </w:t>
            </w:r>
            <w:r>
              <w:rPr>
                <w:sz w:val="20"/>
              </w:rPr>
              <w:t>s. ________</w:t>
            </w:r>
          </w:p>
          <w:p>
            <w:pPr>
              <w:pStyle w:val="yTableNAm"/>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3" w:type="dxa"/>
            <w:gridSpan w:val="3"/>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3" w:type="dxa"/>
            <w:gridSpan w:val="3"/>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Registered No.</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Station/Unit</w:t>
            </w:r>
          </w:p>
        </w:tc>
      </w:tr>
      <w:tr>
        <w:trPr>
          <w:trHeight w:val="1097"/>
        </w:trPr>
        <w:tc>
          <w:tcPr>
            <w:tcW w:w="1560" w:type="dxa"/>
          </w:tcPr>
          <w:p>
            <w:pPr>
              <w:pStyle w:val="yTableNAm"/>
            </w:pPr>
            <w:r>
              <w:rPr>
                <w:b/>
                <w:sz w:val="20"/>
              </w:rPr>
              <w:t xml:space="preserve">Notice to alleged offender </w:t>
            </w:r>
          </w:p>
        </w:tc>
        <w:tc>
          <w:tcPr>
            <w:tcW w:w="5523" w:type="dxa"/>
            <w:gridSpan w:val="3"/>
          </w:tcPr>
          <w:p>
            <w:pPr>
              <w:pStyle w:val="yTableNAm"/>
            </w:pPr>
            <w:r>
              <w:rPr>
                <w:sz w:val="20"/>
              </w:rPr>
              <w:t>It is alleged that you have committed the above offence.</w:t>
            </w:r>
          </w:p>
          <w:p>
            <w:pPr>
              <w:pStyle w:val="yTableNAm"/>
            </w:pPr>
            <w:r>
              <w:rPr>
                <w:b/>
              </w:rPr>
              <w:t>If you do not want to be prosecuted in court for the alleged offence</w:t>
            </w:r>
            <w:r>
              <w:t>, pay the modified penalty above within 28 days after the date of issue of this notice. See below for how and where to pay the modified penalty.</w:t>
            </w:r>
          </w:p>
          <w:p>
            <w:pPr>
              <w:pStyle w:val="yTableNAm"/>
            </w:pPr>
            <w:r>
              <w:rPr>
                <w:b/>
              </w:rPr>
              <w:t>If you do not pay the modified penalty within 28 days</w:t>
            </w:r>
            <w:r>
              <w:t xml:space="preserve">, you may be prosecuted in court for the alleged offence or enforcement action may be taken under the </w:t>
            </w:r>
            <w:r>
              <w:rPr>
                <w:i/>
              </w:rPr>
              <w:t xml:space="preserve">Fines, Penalties and Infringement Notices Enforcement Act 1994 </w:t>
            </w:r>
            <w:r>
              <w:t>to recover the modified penalty.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p>
          <w:p>
            <w:pPr>
              <w:pStyle w:val="yTableNAm"/>
              <w:keepNext/>
              <w:keepLines/>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address below within 28 days after the date of issue of this notice.</w:t>
            </w:r>
          </w:p>
          <w:p>
            <w:pPr>
              <w:pStyle w:val="yTableNAm"/>
            </w:pPr>
            <w:r>
              <w:t>If you are prosecuted in a court for the alleged offence, and convicted, you will be liable to a penalty and costs.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yTableNAm"/>
            </w:pPr>
            <w:r>
              <w:rPr>
                <w:b/>
                <w:sz w:val="20"/>
              </w:rPr>
              <w:t>How to pay the modified penalty</w:t>
            </w: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In person</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paying in person]</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post</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sz w:val="20"/>
                <w:szCs w:val="22"/>
              </w:rPr>
              <w:t>Post this notice, with a cheque or money order made payable to [</w:t>
            </w:r>
            <w:r>
              <w:rPr>
                <w:i/>
                <w:sz w:val="20"/>
                <w:szCs w:val="22"/>
              </w:rPr>
              <w:t>payee</w:t>
            </w:r>
            <w:r>
              <w:rPr>
                <w:sz w:val="20"/>
                <w:szCs w:val="22"/>
              </w:rPr>
              <w:t>], to:</w:t>
            </w:r>
          </w:p>
          <w:p>
            <w:pPr>
              <w:pStyle w:val="yTableNAm"/>
              <w:rPr>
                <w:i/>
              </w:rPr>
            </w:pPr>
            <w:r>
              <w:rPr>
                <w:i/>
              </w:rPr>
              <w:t>[Address]</w:t>
            </w:r>
          </w:p>
          <w:p>
            <w:pPr>
              <w:pStyle w:val="yTableNAm"/>
              <w:rPr>
                <w:u w:val="single"/>
              </w:rPr>
            </w:pPr>
            <w:r>
              <w:t>Do not send cash in the mail.</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Online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online payments]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telephone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 xml:space="preserve">[Details for telephone payments] </w:t>
            </w:r>
          </w:p>
        </w:tc>
      </w:tr>
    </w:tbl>
    <w:p>
      <w:pPr>
        <w:pStyle w:val="yFootnotesection"/>
      </w:pPr>
      <w:r>
        <w:tab/>
        <w:t>[Form 21 inserted in Gazette 28 Sep 2007 p. 4931; amended in Gazette 20 Aug 2013 p. 3855; 1 Dec 2015 p. 4822</w:t>
      </w:r>
      <w:r>
        <w:noBreakHyphen/>
        <w:t>3.]</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30"/>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30" w:type="dxa"/>
            <w:tcBorders>
              <w:bottom w:val="single" w:sz="4" w:space="0" w:color="auto"/>
            </w:tcBorders>
          </w:tcPr>
          <w:p>
            <w:pPr>
              <w:pStyle w:val="yTableNAm"/>
              <w:keepNext/>
              <w:keepLines/>
              <w:spacing w:before="0"/>
              <w:rPr>
                <w:sz w:val="20"/>
              </w:rPr>
            </w:pPr>
          </w:p>
        </w:tc>
      </w:tr>
      <w:tr>
        <w:trPr>
          <w:cantSplit/>
          <w:trHeight w:val="278"/>
        </w:trPr>
        <w:tc>
          <w:tcPr>
            <w:tcW w:w="4253" w:type="dxa"/>
            <w:gridSpan w:val="2"/>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3" w:type="dxa"/>
            <w:gridSpan w:val="2"/>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3"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3"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pPr>
            <w:r>
              <w:rPr>
                <w:b/>
                <w:sz w:val="20"/>
              </w:rPr>
              <w:t xml:space="preserve">Officer withdrawing notice </w:t>
            </w:r>
          </w:p>
        </w:tc>
        <w:tc>
          <w:tcPr>
            <w:tcW w:w="5523" w:type="dxa"/>
            <w:gridSpan w:val="2"/>
          </w:tcPr>
          <w:p>
            <w:pPr>
              <w:pStyle w:val="yTableNAm"/>
            </w:pPr>
            <w:r>
              <w:rPr>
                <w:sz w:val="20"/>
              </w:rPr>
              <w:t>Director of Liquor Licensing</w:t>
            </w:r>
          </w:p>
        </w:tc>
      </w:tr>
      <w:tr>
        <w:trPr>
          <w:cantSplit/>
        </w:trPr>
        <w:tc>
          <w:tcPr>
            <w:tcW w:w="1560" w:type="dxa"/>
            <w:vMerge/>
          </w:tcPr>
          <w:p>
            <w:pPr>
              <w:pStyle w:val="zyTableNAm"/>
              <w:rPr>
                <w:sz w:val="20"/>
              </w:rPr>
            </w:pPr>
          </w:p>
        </w:tc>
        <w:tc>
          <w:tcPr>
            <w:tcW w:w="5523" w:type="dxa"/>
            <w:gridSpan w:val="2"/>
          </w:tcPr>
          <w:p>
            <w:pPr>
              <w:pStyle w:val="yTableNAm"/>
            </w:pPr>
            <w:r>
              <w:rPr>
                <w:sz w:val="20"/>
              </w:rPr>
              <w:t>Registered No.</w:t>
            </w:r>
          </w:p>
        </w:tc>
      </w:tr>
      <w:tr>
        <w:trPr>
          <w:cantSplit/>
        </w:trPr>
        <w:tc>
          <w:tcPr>
            <w:tcW w:w="1560" w:type="dxa"/>
            <w:vMerge/>
          </w:tcPr>
          <w:p>
            <w:pPr>
              <w:pStyle w:val="zyTableNAm"/>
              <w:rPr>
                <w:sz w:val="20"/>
              </w:rPr>
            </w:pPr>
          </w:p>
        </w:tc>
        <w:tc>
          <w:tcPr>
            <w:tcW w:w="5523" w:type="dxa"/>
            <w:gridSpan w:val="2"/>
          </w:tcPr>
          <w:p>
            <w:pPr>
              <w:pStyle w:val="yTableNAm"/>
            </w:pPr>
            <w:r>
              <w:rPr>
                <w:sz w:val="20"/>
              </w:rPr>
              <w:t>Station/Unit</w:t>
            </w:r>
          </w:p>
        </w:tc>
      </w:tr>
      <w:tr>
        <w:tc>
          <w:tcPr>
            <w:tcW w:w="1560" w:type="dxa"/>
          </w:tcPr>
          <w:p>
            <w:pPr>
              <w:pStyle w:val="yTableNAm"/>
            </w:pPr>
            <w:r>
              <w:rPr>
                <w:b/>
                <w:sz w:val="20"/>
              </w:rPr>
              <w:t>Withdrawal of infringement notice</w:t>
            </w:r>
          </w:p>
          <w:p>
            <w:pPr>
              <w:pStyle w:val="zyTableNAm"/>
              <w:rPr>
                <w:sz w:val="20"/>
              </w:rPr>
            </w:pPr>
          </w:p>
        </w:tc>
        <w:tc>
          <w:tcPr>
            <w:tcW w:w="5523" w:type="dxa"/>
            <w:gridSpan w:val="2"/>
          </w:tcPr>
          <w:p>
            <w:pPr>
              <w:pStyle w:val="yTableNAm"/>
            </w:pPr>
            <w:r>
              <w:rPr>
                <w:sz w:val="20"/>
              </w:rP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22 inserted in Gazette 28 Sep 2007 p. 4932; amended in Gazette 1 Dec 2015 p. 4823.]</w:t>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yScheduleHeading"/>
      </w:pPr>
      <w:bookmarkStart w:id="96" w:name="_Toc519770031"/>
      <w:bookmarkStart w:id="97" w:name="_Toc524014933"/>
      <w:bookmarkStart w:id="98" w:name="_Toc524015027"/>
      <w:bookmarkStart w:id="99" w:name="_Toc524015185"/>
      <w:r>
        <w:rPr>
          <w:rStyle w:val="CharSchNo"/>
        </w:rPr>
        <w:t>Schedule 2</w:t>
      </w:r>
      <w:bookmarkEnd w:id="96"/>
      <w:bookmarkEnd w:id="97"/>
      <w:bookmarkEnd w:id="98"/>
      <w:bookmarkEnd w:id="99"/>
    </w:p>
    <w:p>
      <w:pPr>
        <w:pStyle w:val="yShoulderClause"/>
        <w:spacing w:before="60"/>
        <w:rPr>
          <w:snapToGrid w:val="0"/>
        </w:rPr>
      </w:pPr>
      <w:r>
        <w:rPr>
          <w:snapToGrid w:val="0"/>
        </w:rPr>
        <w:t>[Regulation 13]</w:t>
      </w:r>
    </w:p>
    <w:p>
      <w:pPr>
        <w:pStyle w:val="yHeading2"/>
        <w:spacing w:before="120" w:after="80"/>
      </w:pPr>
      <w:bookmarkStart w:id="100" w:name="_Toc519770032"/>
      <w:bookmarkStart w:id="101" w:name="_Toc524014934"/>
      <w:bookmarkStart w:id="102" w:name="_Toc524015028"/>
      <w:bookmarkStart w:id="103" w:name="_Toc524015186"/>
      <w:r>
        <w:rPr>
          <w:rStyle w:val="CharSchText"/>
        </w:rPr>
        <w:t>Details of applicant</w:t>
      </w:r>
      <w:bookmarkEnd w:id="100"/>
      <w:bookmarkEnd w:id="101"/>
      <w:bookmarkEnd w:id="102"/>
      <w:bookmarkEnd w:id="103"/>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04" w:name="_Toc519770033"/>
      <w:bookmarkStart w:id="105" w:name="_Toc524014935"/>
      <w:bookmarkStart w:id="106" w:name="_Toc524015029"/>
      <w:bookmarkStart w:id="107" w:name="_Toc524015187"/>
      <w:r>
        <w:rPr>
          <w:rStyle w:val="CharSchNo"/>
        </w:rPr>
        <w:t>Schedule 3</w:t>
      </w:r>
      <w:r>
        <w:rPr>
          <w:rStyle w:val="CharSDivNo"/>
        </w:rPr>
        <w:t> </w:t>
      </w:r>
      <w:r>
        <w:t>—</w:t>
      </w:r>
      <w:r>
        <w:rPr>
          <w:rStyle w:val="CharSDivText"/>
        </w:rPr>
        <w:t> </w:t>
      </w:r>
      <w:r>
        <w:rPr>
          <w:rStyle w:val="CharSchText"/>
        </w:rPr>
        <w:t>Fees</w:t>
      </w:r>
      <w:bookmarkEnd w:id="104"/>
      <w:bookmarkEnd w:id="105"/>
      <w:bookmarkEnd w:id="106"/>
      <w:bookmarkEnd w:id="107"/>
    </w:p>
    <w:p>
      <w:pPr>
        <w:pStyle w:val="yShoulderClause"/>
      </w:pPr>
      <w:r>
        <w:t>[r. </w:t>
      </w:r>
      <w:r>
        <w:rPr>
          <w:szCs w:val="22"/>
        </w:rPr>
        <w:t>11, 14ADF, 18B, 26 and 27A</w:t>
      </w:r>
      <w:r>
        <w:t>]</w:t>
      </w:r>
    </w:p>
    <w:p>
      <w:pPr>
        <w:pStyle w:val="yFootnoteheading"/>
        <w:spacing w:after="60"/>
      </w:pPr>
      <w:r>
        <w:tab/>
        <w:t>[Heading inserted in Gazette 10 Nov 2017 p. 5587.]</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3 514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901</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863</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br/>
              <w:t>594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293</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pPr>
            <w:r>
              <w:t xml:space="preserve">Application for an occasional licence if the anticipated number of patrons is — </w:t>
            </w:r>
          </w:p>
          <w:p>
            <w:pPr>
              <w:pStyle w:val="yTableNAm"/>
              <w:tabs>
                <w:tab w:val="clear" w:pos="567"/>
                <w:tab w:val="left" w:pos="518"/>
                <w:tab w:val="right" w:leader="dot" w:pos="6237"/>
              </w:tabs>
            </w:pPr>
            <w:r>
              <w:t>(a)</w:t>
            </w:r>
            <w:r>
              <w:tab/>
              <w:t xml:space="preserve">up to 250 </w:t>
            </w:r>
            <w:r>
              <w:tab/>
            </w:r>
          </w:p>
          <w:p>
            <w:pPr>
              <w:pStyle w:val="yTableNAm"/>
              <w:tabs>
                <w:tab w:val="clear" w:pos="567"/>
                <w:tab w:val="left" w:pos="518"/>
                <w:tab w:val="right" w:leader="dot" w:pos="6237"/>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p>
            <w:pPr>
              <w:pStyle w:val="yTableNAm"/>
              <w:tabs>
                <w:tab w:val="clear" w:pos="567"/>
                <w:tab w:val="right" w:pos="659"/>
              </w:tabs>
              <w:ind w:right="48"/>
              <w:jc w:val="right"/>
              <w:rPr>
                <w:szCs w:val="22"/>
              </w:rPr>
            </w:pPr>
            <w:r>
              <w:rPr>
                <w:szCs w:val="22"/>
              </w:rPr>
              <w:t>53</w:t>
            </w:r>
          </w:p>
          <w:p>
            <w:pPr>
              <w:pStyle w:val="yTableNAm"/>
              <w:tabs>
                <w:tab w:val="clear" w:pos="567"/>
                <w:tab w:val="right" w:pos="659"/>
              </w:tabs>
              <w:ind w:right="48"/>
              <w:jc w:val="right"/>
            </w:pPr>
            <w:r>
              <w:rPr>
                <w:szCs w:val="22"/>
              </w:rPr>
              <w:t>111</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between 501 and 1 000 </w:t>
            </w:r>
            <w:r>
              <w:tab/>
            </w:r>
          </w:p>
          <w:p>
            <w:pPr>
              <w:pStyle w:val="yTableNAm"/>
              <w:tabs>
                <w:tab w:val="clear" w:pos="567"/>
                <w:tab w:val="left" w:pos="518"/>
                <w:tab w:val="right" w:leader="dot" w:pos="6237"/>
              </w:tabs>
            </w:pPr>
            <w:r>
              <w:t>(d)</w:t>
            </w:r>
            <w:r>
              <w:tab/>
              <w:t xml:space="preserve">between 1 001 and 5 000 </w:t>
            </w:r>
            <w:r>
              <w:tab/>
            </w:r>
          </w:p>
          <w:p>
            <w:pPr>
              <w:pStyle w:val="yTableNAm"/>
              <w:tabs>
                <w:tab w:val="clear" w:pos="567"/>
                <w:tab w:val="left" w:pos="518"/>
                <w:tab w:val="right" w:leader="dot" w:pos="6237"/>
              </w:tabs>
            </w:pPr>
            <w:r>
              <w:t>(e)</w:t>
            </w:r>
            <w:r>
              <w:tab/>
              <w:t xml:space="preserve">between 5 001 and 10 000 </w:t>
            </w:r>
            <w:r>
              <w:tab/>
            </w:r>
          </w:p>
          <w:p>
            <w:pPr>
              <w:pStyle w:val="yTableNAm"/>
              <w:tabs>
                <w:tab w:val="clear" w:pos="567"/>
                <w:tab w:val="left" w:pos="518"/>
                <w:tab w:val="right" w:leader="dot" w:pos="6237"/>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229</w:t>
            </w:r>
          </w:p>
          <w:p>
            <w:pPr>
              <w:pStyle w:val="yTableNAm"/>
              <w:tabs>
                <w:tab w:val="clear" w:pos="567"/>
                <w:tab w:val="right" w:pos="659"/>
              </w:tabs>
              <w:ind w:right="48"/>
              <w:jc w:val="right"/>
            </w:pPr>
            <w:r>
              <w:rPr>
                <w:szCs w:val="22"/>
              </w:rPr>
              <w:t>1 156</w:t>
            </w:r>
          </w:p>
          <w:p>
            <w:pPr>
              <w:pStyle w:val="yTableNAm"/>
              <w:tabs>
                <w:tab w:val="clear" w:pos="567"/>
                <w:tab w:val="right" w:pos="659"/>
              </w:tabs>
              <w:ind w:right="48"/>
              <w:jc w:val="right"/>
            </w:pPr>
            <w:r>
              <w:rPr>
                <w:szCs w:val="22"/>
              </w:rPr>
              <w:t>2 314</w:t>
            </w:r>
          </w:p>
          <w:p>
            <w:pPr>
              <w:pStyle w:val="yTableNAm"/>
              <w:tabs>
                <w:tab w:val="clear" w:pos="567"/>
                <w:tab w:val="right" w:pos="659"/>
              </w:tabs>
              <w:ind w:right="48"/>
              <w:jc w:val="right"/>
            </w:pPr>
            <w:r>
              <w:rPr>
                <w:szCs w:val="22"/>
              </w:rPr>
              <w:t>4 639</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30" w:hanging="530"/>
            </w:pPr>
            <w:r>
              <w:t>(a)</w:t>
            </w:r>
            <w:r>
              <w:tab/>
              <w:t xml:space="preserve">issued for the purpose referred to in section 60(4)(ca) — </w:t>
            </w:r>
          </w:p>
          <w:p>
            <w:pPr>
              <w:pStyle w:val="yTableNAm"/>
              <w:tabs>
                <w:tab w:val="left" w:pos="1019"/>
                <w:tab w:val="right" w:leader="dot" w:pos="6237"/>
              </w:tabs>
            </w:pPr>
            <w:r>
              <w:tab/>
              <w:t>(i)</w:t>
            </w:r>
            <w:r>
              <w:tab/>
              <w:t xml:space="preserve">if regulation 9F(2) applies </w:t>
            </w:r>
            <w:r>
              <w:tab/>
            </w:r>
          </w:p>
          <w:p>
            <w:pPr>
              <w:pStyle w:val="yTableNAm"/>
              <w:tabs>
                <w:tab w:val="left" w:pos="1006"/>
                <w:tab w:val="right" w:leader="dot" w:pos="6237"/>
              </w:tabs>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 w:val="right" w:leader="dot" w:pos="6237"/>
              </w:tabs>
              <w:ind w:right="48"/>
              <w:jc w:val="right"/>
            </w:pPr>
            <w:r>
              <w:br/>
            </w:r>
          </w:p>
          <w:p>
            <w:pPr>
              <w:pStyle w:val="yTableNAm"/>
              <w:tabs>
                <w:tab w:val="clear" w:pos="567"/>
                <w:tab w:val="right" w:pos="659"/>
                <w:tab w:val="right" w:leader="dot" w:pos="6237"/>
              </w:tabs>
              <w:ind w:right="48"/>
              <w:jc w:val="right"/>
              <w:rPr>
                <w:szCs w:val="22"/>
              </w:rPr>
            </w:pPr>
            <w:r>
              <w:rPr>
                <w:szCs w:val="22"/>
              </w:rPr>
              <w:t>53</w:t>
            </w:r>
          </w:p>
          <w:p>
            <w:pPr>
              <w:pStyle w:val="yTableNAm"/>
              <w:tabs>
                <w:tab w:val="clear" w:pos="567"/>
                <w:tab w:val="right" w:pos="659"/>
                <w:tab w:val="right" w:leader="dot" w:pos="6237"/>
              </w:tabs>
              <w:ind w:right="48"/>
              <w:jc w:val="right"/>
            </w:pPr>
            <w:r>
              <w:rPr>
                <w:szCs w:val="22"/>
              </w:rPr>
              <w:t>474</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16" w:hanging="516"/>
            </w:pPr>
            <w:r>
              <w:t>(b)</w:t>
            </w:r>
            <w:r>
              <w:tab/>
              <w:t xml:space="preserve">issued for the purpose referred to in </w:t>
            </w:r>
            <w:r>
              <w:br/>
              <w:t xml:space="preserve">section 60(4)(e) </w:t>
            </w:r>
            <w:r>
              <w:tab/>
            </w:r>
          </w:p>
          <w:p>
            <w:pPr>
              <w:pStyle w:val="yTableNAm"/>
              <w:tabs>
                <w:tab w:val="clear" w:pos="567"/>
                <w:tab w:val="right" w:leader="dot" w:pos="6237"/>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r>
              <w:rPr>
                <w:szCs w:val="22"/>
              </w:rPr>
              <w:t>354</w:t>
            </w:r>
          </w:p>
          <w:p>
            <w:pPr>
              <w:pStyle w:val="yTableNAm"/>
              <w:tabs>
                <w:tab w:val="clear" w:pos="567"/>
                <w:tab w:val="right" w:pos="659"/>
              </w:tabs>
              <w:ind w:right="48"/>
              <w:jc w:val="right"/>
            </w:pPr>
            <w:r>
              <w:br/>
            </w:r>
            <w:r>
              <w:rPr>
                <w:szCs w:val="22"/>
              </w:rPr>
              <w:t>354</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943"/>
              </w:tabs>
              <w:ind w:left="518" w:hanging="518"/>
            </w:pPr>
            <w:r>
              <w:t>(d)</w:t>
            </w:r>
            <w:r>
              <w:tab/>
              <w:t xml:space="preserve">issued for the purpose referred to in section 60(4)(ia) — </w:t>
            </w:r>
          </w:p>
          <w:p>
            <w:pPr>
              <w:pStyle w:val="yTableNAm"/>
              <w:tabs>
                <w:tab w:val="clear" w:pos="567"/>
                <w:tab w:val="left" w:pos="518"/>
                <w:tab w:val="right" w:leader="dot" w:pos="6237"/>
              </w:tabs>
              <w:ind w:left="941" w:hanging="941"/>
            </w:pPr>
            <w:r>
              <w:tab/>
              <w:t>(i)</w:t>
            </w:r>
            <w:r>
              <w:tab/>
              <w:t xml:space="preserve">if no previous application for that purpose has been made by any licensee in respect of the relevant premises </w:t>
            </w:r>
            <w:r>
              <w:tab/>
            </w:r>
          </w:p>
          <w:p>
            <w:pPr>
              <w:pStyle w:val="yTableNAm"/>
              <w:tabs>
                <w:tab w:val="clear" w:pos="567"/>
                <w:tab w:val="left" w:pos="518"/>
                <w:tab w:val="right" w:leader="dot" w:pos="6237"/>
              </w:tabs>
              <w:ind w:left="941" w:hanging="941"/>
            </w:pPr>
            <w:r>
              <w:tab/>
              <w:t>(ii)</w:t>
            </w:r>
            <w:r>
              <w:tab/>
              <w:t xml:space="preserve">if subparagraph (i) does not apply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Cs w:val="22"/>
              </w:rPr>
            </w:pPr>
            <w:r>
              <w:rPr>
                <w:szCs w:val="22"/>
              </w:rPr>
              <w:br/>
            </w:r>
          </w:p>
          <w:p>
            <w:pPr>
              <w:pStyle w:val="yTableNAm"/>
              <w:tabs>
                <w:tab w:val="clear" w:pos="567"/>
                <w:tab w:val="right" w:pos="659"/>
              </w:tabs>
              <w:ind w:right="48"/>
              <w:jc w:val="right"/>
              <w:rPr>
                <w:szCs w:val="22"/>
              </w:rPr>
            </w:pPr>
            <w:r>
              <w:rPr>
                <w:szCs w:val="22"/>
              </w:rPr>
              <w:br/>
            </w:r>
            <w:r>
              <w:rPr>
                <w:szCs w:val="22"/>
              </w:rPr>
              <w:br/>
              <w:t>354</w:t>
            </w:r>
          </w:p>
          <w:p>
            <w:pPr>
              <w:pStyle w:val="yTableNAm"/>
              <w:tabs>
                <w:tab w:val="clear" w:pos="567"/>
                <w:tab w:val="right" w:pos="659"/>
              </w:tabs>
              <w:ind w:right="48"/>
              <w:jc w:val="right"/>
              <w:rPr>
                <w:szCs w:val="22"/>
              </w:rPr>
            </w:pPr>
            <w:r>
              <w:rPr>
                <w:szCs w:val="22"/>
              </w:rPr>
              <w:t>298</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(e)</w:t>
            </w:r>
            <w:r>
              <w:tab/>
              <w:t xml:space="preserve">issued for any other purpose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Cs w:val="22"/>
              </w:rPr>
            </w:pPr>
            <w:r>
              <w:rPr>
                <w:szCs w:val="22"/>
              </w:rPr>
              <w:t>1 188</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extended trading permit (in respect of a licence other than a club restricted licence) for a period of 21 days or less if the anticipated number of patrons is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111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229</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1 156</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2 314</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4 639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43</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10.</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181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60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16</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11.</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2"/>
                <w:tab w:val="right" w:leader="dot" w:pos="623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164</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128</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12.</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8"/>
                <w:tab w:val="right" w:leader="dot" w:pos="623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52</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13.</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8" w:hanging="558"/>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r>
              <w:rPr>
                <w:szCs w:val="22"/>
              </w:rPr>
              <w:t>161</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110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405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t>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74</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18.</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241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(b)</w:t>
            </w:r>
            <w:r>
              <w:tab/>
              <w:t xml:space="preserve">for a period of 21 days or less if the anticipated number of patrons is — </w:t>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111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229</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1 156</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2 314</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4 639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20.</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281</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246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224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268</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keepNext/>
            </w:pPr>
            <w:r>
              <w:t>25.</w:t>
            </w:r>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pos="659"/>
              </w:tabs>
              <w:ind w:right="48"/>
              <w:jc w:val="right"/>
            </w:pPr>
            <w:r>
              <w:br/>
            </w:r>
            <w:r>
              <w:rPr>
                <w:szCs w:val="22"/>
              </w:rPr>
              <w:t>65</w:t>
            </w:r>
          </w:p>
        </w:tc>
      </w:tr>
      <w:tr>
        <w:trPr>
          <w:cantSplit/>
        </w:trPr>
        <w:tc>
          <w:tcPr>
            <w:tcW w:w="684" w:type="dxa"/>
          </w:tcPr>
          <w:p>
            <w:pPr>
              <w:pStyle w:val="yTableNAm"/>
            </w:pPr>
            <w:r>
              <w:t>26.</w:t>
            </w:r>
          </w:p>
        </w:tc>
        <w:tc>
          <w:tcPr>
            <w:tcW w:w="5529" w:type="dxa"/>
          </w:tcPr>
          <w:p>
            <w:pPr>
              <w:pStyle w:val="yTableNAm"/>
              <w:tabs>
                <w:tab w:val="clear" w:pos="567"/>
                <w:tab w:val="right" w:leader="dot" w:pos="6237"/>
              </w:tabs>
            </w:pPr>
            <w:r>
              <w:t xml:space="preserve">Supply of a list of licensed premises or a list of owners of licensed premises </w:t>
            </w:r>
            <w:r>
              <w:tab/>
            </w:r>
          </w:p>
        </w:tc>
        <w:tc>
          <w:tcPr>
            <w:tcW w:w="855" w:type="dxa"/>
          </w:tcPr>
          <w:p>
            <w:pPr>
              <w:pStyle w:val="yTableNAm"/>
              <w:tabs>
                <w:tab w:val="clear" w:pos="567"/>
                <w:tab w:val="right" w:pos="659"/>
              </w:tabs>
              <w:ind w:right="48"/>
              <w:jc w:val="right"/>
            </w:pPr>
            <w:r>
              <w:br/>
            </w:r>
            <w:r>
              <w:rPr>
                <w:szCs w:val="22"/>
              </w:rPr>
              <w:t>90</w:t>
            </w:r>
          </w:p>
        </w:tc>
      </w:tr>
      <w:tr>
        <w:trPr>
          <w:cantSplit/>
        </w:trPr>
        <w:tc>
          <w:tcPr>
            <w:tcW w:w="684" w:type="dxa"/>
          </w:tcPr>
          <w:p>
            <w:pPr>
              <w:pStyle w:val="yTableNAm"/>
            </w:pPr>
            <w:r>
              <w:t>27.</w:t>
            </w:r>
          </w:p>
        </w:tc>
        <w:tc>
          <w:tcPr>
            <w:tcW w:w="5529" w:type="dxa"/>
          </w:tcPr>
          <w:p>
            <w:pPr>
              <w:pStyle w:val="yTableNAm"/>
              <w:tabs>
                <w:tab w:val="clear" w:pos="567"/>
                <w:tab w:val="right" w:leader="dot" w:pos="6237"/>
              </w:tabs>
            </w:pPr>
            <w:r>
              <w:t xml:space="preserve">Supply of a list of licensed premises on computer disk </w:t>
            </w:r>
            <w:r>
              <w:tab/>
            </w:r>
          </w:p>
        </w:tc>
        <w:tc>
          <w:tcPr>
            <w:tcW w:w="855" w:type="dxa"/>
          </w:tcPr>
          <w:p>
            <w:pPr>
              <w:pStyle w:val="yTableNAm"/>
              <w:tabs>
                <w:tab w:val="clear" w:pos="567"/>
                <w:tab w:val="right" w:pos="659"/>
              </w:tabs>
              <w:ind w:right="48"/>
              <w:jc w:val="right"/>
              <w:rPr>
                <w:rFonts w:ascii="Arial" w:hAnsi="Arial"/>
              </w:rPr>
            </w:pPr>
            <w:r>
              <w:rPr>
                <w:szCs w:val="22"/>
              </w:rPr>
              <w:t>59</w:t>
            </w:r>
          </w:p>
        </w:tc>
      </w:tr>
      <w:tr>
        <w:trPr>
          <w:cantSplit/>
        </w:trPr>
        <w:tc>
          <w:tcPr>
            <w:tcW w:w="684" w:type="dxa"/>
          </w:tcPr>
          <w:p>
            <w:pPr>
              <w:pStyle w:val="yTableNAm"/>
            </w:pPr>
            <w:r>
              <w:t>28.</w:t>
            </w:r>
          </w:p>
        </w:tc>
        <w:tc>
          <w:tcPr>
            <w:tcW w:w="5529" w:type="dxa"/>
          </w:tcPr>
          <w:p>
            <w:pPr>
              <w:pStyle w:val="yTableNAm"/>
              <w:tabs>
                <w:tab w:val="clear" w:pos="567"/>
                <w:tab w:val="right" w:leader="dot" w:pos="6237"/>
              </w:tabs>
            </w:pPr>
            <w:r>
              <w:t xml:space="preserve">Supply of address labels for licensed premises </w:t>
            </w:r>
            <w:r>
              <w:tab/>
            </w:r>
          </w:p>
        </w:tc>
        <w:tc>
          <w:tcPr>
            <w:tcW w:w="855" w:type="dxa"/>
          </w:tcPr>
          <w:p>
            <w:pPr>
              <w:pStyle w:val="yTableNAm"/>
              <w:tabs>
                <w:tab w:val="clear" w:pos="567"/>
                <w:tab w:val="right" w:pos="659"/>
              </w:tabs>
              <w:ind w:right="48"/>
              <w:jc w:val="right"/>
            </w:pPr>
            <w:r>
              <w:rPr>
                <w:szCs w:val="22"/>
              </w:rPr>
              <w:t>144</w:t>
            </w:r>
          </w:p>
        </w:tc>
      </w:tr>
      <w:tr>
        <w:trPr>
          <w:cantSplit/>
        </w:trPr>
        <w:tc>
          <w:tcPr>
            <w:tcW w:w="684" w:type="dxa"/>
          </w:tcPr>
          <w:p>
            <w:pPr>
              <w:pStyle w:val="yTableNAm"/>
            </w:pPr>
            <w:r>
              <w:t>29.</w:t>
            </w:r>
          </w:p>
        </w:tc>
        <w:tc>
          <w:tcPr>
            <w:tcW w:w="5529" w:type="dxa"/>
          </w:tcPr>
          <w:p>
            <w:pPr>
              <w:pStyle w:val="yTableNAm"/>
              <w:tabs>
                <w:tab w:val="clear" w:pos="567"/>
                <w:tab w:val="right" w:leader="dot" w:pos="6237"/>
              </w:tabs>
            </w:pPr>
            <w:r>
              <w:t xml:space="preserve">Supply of approved heading for advertising an application </w:t>
            </w:r>
            <w:r>
              <w:tab/>
            </w:r>
          </w:p>
        </w:tc>
        <w:tc>
          <w:tcPr>
            <w:tcW w:w="855" w:type="dxa"/>
          </w:tcPr>
          <w:p>
            <w:pPr>
              <w:pStyle w:val="yTableNAm"/>
              <w:tabs>
                <w:tab w:val="clear" w:pos="567"/>
                <w:tab w:val="right" w:pos="659"/>
              </w:tabs>
              <w:ind w:right="48"/>
              <w:jc w:val="right"/>
            </w:pPr>
            <w:r>
              <w:t>28</w:t>
            </w:r>
          </w:p>
        </w:tc>
      </w:tr>
      <w:tr>
        <w:trPr>
          <w:cantSplit/>
        </w:trPr>
        <w:tc>
          <w:tcPr>
            <w:tcW w:w="684" w:type="dxa"/>
          </w:tcPr>
          <w:p>
            <w:pPr>
              <w:pStyle w:val="yTableNAm"/>
            </w:pPr>
            <w:r>
              <w:t>30.</w:t>
            </w:r>
          </w:p>
        </w:tc>
        <w:tc>
          <w:tcPr>
            <w:tcW w:w="5529" w:type="dxa"/>
          </w:tcPr>
          <w:p>
            <w:pPr>
              <w:pStyle w:val="yTableNAm"/>
              <w:tabs>
                <w:tab w:val="clear" w:pos="567"/>
                <w:tab w:val="right" w:leader="dot" w:pos="6237"/>
              </w:tabs>
            </w:pPr>
            <w:r>
              <w:t xml:space="preserve">Supply of copy of plan — for each sheet </w:t>
            </w:r>
            <w:r>
              <w:tab/>
            </w:r>
          </w:p>
        </w:tc>
        <w:tc>
          <w:tcPr>
            <w:tcW w:w="855" w:type="dxa"/>
          </w:tcPr>
          <w:p>
            <w:pPr>
              <w:pStyle w:val="yTableNAm"/>
              <w:tabs>
                <w:tab w:val="clear" w:pos="567"/>
                <w:tab w:val="right" w:pos="659"/>
              </w:tabs>
              <w:ind w:right="48"/>
              <w:jc w:val="right"/>
            </w:pPr>
            <w:r>
              <w:t>28</w:t>
            </w:r>
            <w:r>
              <w:br/>
              <w:t>(up to a max. of 200)</w:t>
            </w:r>
          </w:p>
        </w:tc>
      </w:tr>
      <w:tr>
        <w:trPr>
          <w:cantSplit/>
        </w:trPr>
        <w:tc>
          <w:tcPr>
            <w:tcW w:w="684" w:type="dxa"/>
          </w:tcPr>
          <w:p>
            <w:pPr>
              <w:pStyle w:val="yTableNAm"/>
            </w:pPr>
            <w:r>
              <w:t>31.</w:t>
            </w:r>
          </w:p>
        </w:tc>
        <w:tc>
          <w:tcPr>
            <w:tcW w:w="5529" w:type="dxa"/>
          </w:tcPr>
          <w:p>
            <w:pPr>
              <w:pStyle w:val="yTableNAm"/>
              <w:tabs>
                <w:tab w:val="clear" w:pos="567"/>
                <w:tab w:val="right" w:leader="dot" w:pos="6237"/>
              </w:tabs>
            </w:pPr>
            <w:r>
              <w:t xml:space="preserve">Supply of certified copy of plan defining licensed premises </w:t>
            </w:r>
          </w:p>
        </w:tc>
        <w:tc>
          <w:tcPr>
            <w:tcW w:w="855" w:type="dxa"/>
          </w:tcPr>
          <w:p>
            <w:pPr>
              <w:pStyle w:val="yTableNAm"/>
              <w:tabs>
                <w:tab w:val="clear" w:pos="567"/>
                <w:tab w:val="right" w:pos="659"/>
              </w:tabs>
              <w:ind w:right="48"/>
              <w:jc w:val="right"/>
            </w:pPr>
            <w:r>
              <w:t>40</w:t>
            </w:r>
          </w:p>
        </w:tc>
      </w:tr>
      <w:tr>
        <w:trPr>
          <w:cantSplit/>
        </w:trPr>
        <w:tc>
          <w:tcPr>
            <w:tcW w:w="684" w:type="dxa"/>
          </w:tcPr>
          <w:p>
            <w:pPr>
              <w:pStyle w:val="yTableNAm"/>
            </w:pPr>
            <w:r>
              <w:t>32.</w:t>
            </w:r>
          </w:p>
        </w:tc>
        <w:tc>
          <w:tcPr>
            <w:tcW w:w="5529" w:type="dxa"/>
          </w:tcPr>
          <w:p>
            <w:pPr>
              <w:pStyle w:val="yTableNAm"/>
              <w:tabs>
                <w:tab w:val="clear" w:pos="567"/>
                <w:tab w:val="right" w:leader="dot" w:pos="6237"/>
              </w:tabs>
            </w:pPr>
            <w:r>
              <w:t xml:space="preserve">Supply of copy of a licence, a permit or a decision of the Commission (or the former Liquor Licensing Court) or the Director </w:t>
            </w:r>
            <w:r>
              <w:tab/>
            </w:r>
          </w:p>
        </w:tc>
        <w:tc>
          <w:tcPr>
            <w:tcW w:w="855" w:type="dxa"/>
          </w:tcPr>
          <w:p>
            <w:pPr>
              <w:pStyle w:val="yTableNAm"/>
              <w:tabs>
                <w:tab w:val="clear" w:pos="567"/>
                <w:tab w:val="right" w:pos="659"/>
              </w:tabs>
              <w:ind w:right="48"/>
              <w:jc w:val="right"/>
            </w:pPr>
            <w:r>
              <w:br/>
            </w:r>
            <w:r>
              <w:br/>
              <w:t>28</w:t>
            </w:r>
          </w:p>
        </w:tc>
      </w:tr>
      <w:tr>
        <w:trPr>
          <w:cantSplit/>
        </w:trPr>
        <w:tc>
          <w:tcPr>
            <w:tcW w:w="684" w:type="dxa"/>
          </w:tcPr>
          <w:p>
            <w:pPr>
              <w:pStyle w:val="yTableNAm"/>
            </w:pPr>
            <w:r>
              <w:t>33.</w:t>
            </w:r>
          </w:p>
        </w:tc>
        <w:tc>
          <w:tcPr>
            <w:tcW w:w="5529" w:type="dxa"/>
          </w:tcPr>
          <w:p>
            <w:pPr>
              <w:pStyle w:val="yTableNAm"/>
              <w:tabs>
                <w:tab w:val="clear" w:pos="567"/>
                <w:tab w:val="right" w:leader="dot" w:pos="6237"/>
              </w:tabs>
            </w:pPr>
            <w:r>
              <w:t xml:space="preserve">For the certification of a copy of a licence, a permit or a decision of the Commission (or the former Liquor Licensing Court) or the Director </w:t>
            </w:r>
            <w:r>
              <w:tab/>
            </w:r>
          </w:p>
          <w:p>
            <w:pPr>
              <w:pStyle w:val="yTableNAm"/>
              <w:tabs>
                <w:tab w:val="clear" w:pos="567"/>
                <w:tab w:val="right" w:leader="dot" w:pos="6237"/>
              </w:tabs>
            </w:pPr>
            <w:r>
              <w:rPr>
                <w:sz w:val="20"/>
              </w:rPr>
              <w:t>[In addition to the fee under item 32]</w:t>
            </w:r>
          </w:p>
        </w:tc>
        <w:tc>
          <w:tcPr>
            <w:tcW w:w="855" w:type="dxa"/>
          </w:tcPr>
          <w:p>
            <w:pPr>
              <w:pStyle w:val="yTableNAm"/>
              <w:tabs>
                <w:tab w:val="clear" w:pos="567"/>
                <w:tab w:val="right" w:pos="659"/>
              </w:tabs>
              <w:ind w:right="48"/>
              <w:jc w:val="right"/>
            </w:pPr>
            <w:r>
              <w:br/>
            </w:r>
            <w:r>
              <w:br/>
              <w:t>28</w:t>
            </w:r>
          </w:p>
        </w:tc>
      </w:tr>
      <w:tr>
        <w:trPr>
          <w:cantSplit/>
        </w:trPr>
        <w:tc>
          <w:tcPr>
            <w:tcW w:w="684" w:type="dxa"/>
          </w:tcPr>
          <w:p>
            <w:pPr>
              <w:pStyle w:val="yTableNAm"/>
            </w:pPr>
            <w:r>
              <w:t>34.</w:t>
            </w:r>
          </w:p>
        </w:tc>
        <w:tc>
          <w:tcPr>
            <w:tcW w:w="5529" w:type="dxa"/>
          </w:tcPr>
          <w:p>
            <w:pPr>
              <w:pStyle w:val="yTableNAm"/>
              <w:tabs>
                <w:tab w:val="clear" w:pos="567"/>
                <w:tab w:val="right" w:leader="dot" w:pos="6237"/>
              </w:tabs>
            </w:pPr>
            <w:r>
              <w:t xml:space="preserve">Supply of copy of documentation, other than that already prescribed, per page </w:t>
            </w:r>
            <w:r>
              <w:tab/>
            </w:r>
          </w:p>
        </w:tc>
        <w:tc>
          <w:tcPr>
            <w:tcW w:w="855" w:type="dxa"/>
          </w:tcPr>
          <w:p>
            <w:pPr>
              <w:pStyle w:val="yTableNAm"/>
              <w:tabs>
                <w:tab w:val="clear" w:pos="567"/>
                <w:tab w:val="right" w:pos="659"/>
              </w:tabs>
              <w:ind w:right="48"/>
              <w:jc w:val="right"/>
            </w:pPr>
            <w:r>
              <w:br/>
              <w:t>4</w:t>
            </w:r>
          </w:p>
        </w:tc>
      </w:tr>
      <w:tr>
        <w:trPr>
          <w:cantSplit/>
        </w:trPr>
        <w:tc>
          <w:tcPr>
            <w:tcW w:w="684" w:type="dxa"/>
          </w:tcPr>
          <w:p>
            <w:pPr>
              <w:pStyle w:val="yTableNAm"/>
            </w:pPr>
            <w:r>
              <w:t>35.</w:t>
            </w:r>
          </w:p>
        </w:tc>
        <w:tc>
          <w:tcPr>
            <w:tcW w:w="5529" w:type="dxa"/>
          </w:tcPr>
          <w:p>
            <w:pPr>
              <w:pStyle w:val="yTableNAm"/>
              <w:tabs>
                <w:tab w:val="clear" w:pos="567"/>
                <w:tab w:val="right" w:leader="dot" w:pos="6237"/>
              </w:tabs>
            </w:pPr>
            <w:r>
              <w:t xml:space="preserve">Issue of a summons to a witness </w:t>
            </w:r>
            <w:r>
              <w:tab/>
            </w:r>
          </w:p>
        </w:tc>
        <w:tc>
          <w:tcPr>
            <w:tcW w:w="855" w:type="dxa"/>
          </w:tcPr>
          <w:p>
            <w:pPr>
              <w:pStyle w:val="yTableNAm"/>
              <w:tabs>
                <w:tab w:val="clear" w:pos="567"/>
                <w:tab w:val="right" w:pos="659"/>
              </w:tabs>
              <w:ind w:right="48"/>
              <w:jc w:val="right"/>
            </w:pPr>
            <w:r>
              <w:t>23</w:t>
            </w:r>
          </w:p>
        </w:tc>
      </w:tr>
      <w:tr>
        <w:trPr>
          <w:cantSplit/>
        </w:trPr>
        <w:tc>
          <w:tcPr>
            <w:tcW w:w="684" w:type="dxa"/>
          </w:tcPr>
          <w:p>
            <w:pPr>
              <w:pStyle w:val="yTableNAm"/>
            </w:pPr>
            <w:r>
              <w:t>36.</w:t>
            </w:r>
          </w:p>
        </w:tc>
        <w:tc>
          <w:tcPr>
            <w:tcW w:w="5529" w:type="dxa"/>
          </w:tcPr>
          <w:p>
            <w:pPr>
              <w:pStyle w:val="yTableNAm"/>
              <w:tabs>
                <w:tab w:val="clear" w:pos="567"/>
                <w:tab w:val="right" w:leader="dot" w:pos="6237"/>
              </w:tabs>
            </w:pPr>
            <w:r>
              <w:t xml:space="preserve">For a search of the database of records of licences — per licence </w:t>
            </w:r>
            <w:r>
              <w:tab/>
            </w:r>
          </w:p>
        </w:tc>
        <w:tc>
          <w:tcPr>
            <w:tcW w:w="855" w:type="dxa"/>
          </w:tcPr>
          <w:p>
            <w:pPr>
              <w:pStyle w:val="yTableNAm"/>
              <w:tabs>
                <w:tab w:val="clear" w:pos="567"/>
                <w:tab w:val="right" w:pos="659"/>
              </w:tabs>
              <w:ind w:right="48"/>
              <w:jc w:val="right"/>
            </w:pPr>
            <w:r>
              <w:br/>
              <w:t>40</w:t>
            </w:r>
          </w:p>
        </w:tc>
      </w:tr>
      <w:tr>
        <w:trPr>
          <w:cantSplit/>
        </w:trPr>
        <w:tc>
          <w:tcPr>
            <w:tcW w:w="684" w:type="dxa"/>
          </w:tcPr>
          <w:p>
            <w:pPr>
              <w:pStyle w:val="yTableNAm"/>
            </w:pPr>
            <w:r>
              <w:t>37.</w:t>
            </w:r>
          </w:p>
        </w:tc>
        <w:tc>
          <w:tcPr>
            <w:tcW w:w="5529" w:type="dxa"/>
          </w:tcPr>
          <w:p>
            <w:pPr>
              <w:pStyle w:val="yTableNAm"/>
              <w:tabs>
                <w:tab w:val="clear" w:pos="567"/>
                <w:tab w:val="right" w:leader="dot" w:pos="6237"/>
              </w:tabs>
            </w:pPr>
            <w:r>
              <w:t xml:space="preserve">For a full search of a licence record </w:t>
            </w:r>
            <w:r>
              <w:tab/>
            </w:r>
          </w:p>
        </w:tc>
        <w:tc>
          <w:tcPr>
            <w:tcW w:w="855" w:type="dxa"/>
          </w:tcPr>
          <w:p>
            <w:pPr>
              <w:pStyle w:val="yTableNAm"/>
              <w:tabs>
                <w:tab w:val="clear" w:pos="567"/>
                <w:tab w:val="right" w:pos="659"/>
              </w:tabs>
              <w:ind w:right="48"/>
              <w:jc w:val="right"/>
            </w:pPr>
            <w:r>
              <w:rPr>
                <w:szCs w:val="22"/>
              </w:rPr>
              <w:t>52</w:t>
            </w:r>
          </w:p>
        </w:tc>
      </w:tr>
      <w:tr>
        <w:trPr>
          <w:cantSplit/>
        </w:trPr>
        <w:tc>
          <w:tcPr>
            <w:tcW w:w="684" w:type="dxa"/>
            <w:tcBorders>
              <w:bottom w:val="nil"/>
            </w:tcBorders>
          </w:tcPr>
          <w:p>
            <w:pPr>
              <w:pStyle w:val="yTableNAm"/>
            </w:pPr>
            <w:r>
              <w:t>38.</w:t>
            </w:r>
          </w:p>
        </w:tc>
        <w:tc>
          <w:tcPr>
            <w:tcW w:w="5529" w:type="dxa"/>
            <w:tcBorders>
              <w:bottom w:val="nil"/>
            </w:tcBorders>
          </w:tcPr>
          <w:p>
            <w:pPr>
              <w:pStyle w:val="yTableNAm"/>
              <w:tabs>
                <w:tab w:val="clear" w:pos="567"/>
                <w:tab w:val="right" w:leader="dot" w:pos="6237"/>
              </w:tabs>
            </w:pPr>
            <w:r>
              <w:t xml:space="preserve">For a search of postcodes — </w:t>
            </w:r>
          </w:p>
        </w:tc>
        <w:tc>
          <w:tcPr>
            <w:tcW w:w="855" w:type="dxa"/>
            <w:tcBorders>
              <w:bottom w:val="nil"/>
            </w:tcBorders>
          </w:tcPr>
          <w:p>
            <w:pPr>
              <w:pStyle w:val="yTableNAm"/>
              <w:tabs>
                <w:tab w:val="clear" w:pos="567"/>
                <w:tab w:val="right" w:pos="659"/>
              </w:tabs>
              <w:ind w:right="48"/>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right" w:leader="dot" w:pos="6237"/>
              </w:tabs>
            </w:pPr>
            <w:r>
              <w:t>(a)</w:t>
            </w:r>
            <w:r>
              <w:tab/>
              <w:t xml:space="preserve">1 to 10 postcodes </w:t>
            </w:r>
            <w:r>
              <w:tab/>
            </w:r>
          </w:p>
        </w:tc>
        <w:tc>
          <w:tcPr>
            <w:tcW w:w="855" w:type="dxa"/>
            <w:tcBorders>
              <w:top w:val="nil"/>
              <w:bottom w:val="nil"/>
            </w:tcBorders>
          </w:tcPr>
          <w:p>
            <w:pPr>
              <w:pStyle w:val="yTableNAm"/>
              <w:tabs>
                <w:tab w:val="clear" w:pos="567"/>
                <w:tab w:val="right" w:pos="659"/>
              </w:tabs>
              <w:ind w:right="48"/>
              <w:jc w:val="right"/>
            </w:pPr>
            <w:r>
              <w:t>40</w:t>
            </w:r>
          </w:p>
        </w:tc>
      </w:tr>
      <w:tr>
        <w:trPr>
          <w:cantSplit/>
        </w:trPr>
        <w:tc>
          <w:tcPr>
            <w:tcW w:w="684" w:type="dxa"/>
            <w:tcBorders>
              <w:top w:val="nil"/>
            </w:tcBorders>
          </w:tcPr>
          <w:p>
            <w:pPr>
              <w:pStyle w:val="yTableNAm"/>
            </w:pPr>
          </w:p>
        </w:tc>
        <w:tc>
          <w:tcPr>
            <w:tcW w:w="5529" w:type="dxa"/>
            <w:tcBorders>
              <w:top w:val="nil"/>
            </w:tcBorders>
          </w:tcPr>
          <w:p>
            <w:pPr>
              <w:pStyle w:val="yTableNAm"/>
              <w:tabs>
                <w:tab w:val="right" w:leader="dot" w:pos="6237"/>
              </w:tabs>
            </w:pPr>
            <w:r>
              <w:t>(b)</w:t>
            </w:r>
            <w:r>
              <w:tab/>
              <w:t xml:space="preserve">more than 10 postcodes </w:t>
            </w:r>
            <w:r>
              <w:tab/>
            </w:r>
          </w:p>
        </w:tc>
        <w:tc>
          <w:tcPr>
            <w:tcW w:w="855" w:type="dxa"/>
            <w:tcBorders>
              <w:top w:val="nil"/>
            </w:tcBorders>
          </w:tcPr>
          <w:p>
            <w:pPr>
              <w:pStyle w:val="yTableNAm"/>
              <w:tabs>
                <w:tab w:val="clear" w:pos="567"/>
                <w:tab w:val="right" w:pos="659"/>
              </w:tabs>
              <w:ind w:right="48"/>
              <w:jc w:val="right"/>
            </w:pPr>
            <w:r>
              <w:rPr>
                <w:szCs w:val="22"/>
              </w:rPr>
              <w:t>89</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39.</w:t>
            </w:r>
          </w:p>
        </w:tc>
        <w:tc>
          <w:tcPr>
            <w:tcW w:w="5529" w:type="dxa"/>
            <w:tcBorders>
              <w:top w:val="nil"/>
              <w:left w:val="single" w:sz="4" w:space="0" w:color="auto"/>
              <w:bottom w:val="single" w:sz="4" w:space="0" w:color="auto"/>
              <w:right w:val="single" w:sz="4" w:space="0" w:color="auto"/>
            </w:tcBorders>
          </w:tcPr>
          <w:p>
            <w:pPr>
              <w:pStyle w:val="yTableNAm"/>
              <w:tabs>
                <w:tab w:val="clear" w:pos="567"/>
                <w:tab w:val="right" w:leader="dot" w:pos="6237"/>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t>150</w:t>
            </w:r>
          </w:p>
        </w:tc>
      </w:tr>
    </w:tbl>
    <w:p>
      <w:pPr>
        <w:pStyle w:val="yFootnotesection"/>
      </w:pPr>
      <w:r>
        <w:tab/>
        <w:t>[Schedule 3 inserted in Gazette 10 Nov 2017 p. 5587</w:t>
      </w:r>
      <w:r>
        <w:noBreakHyphen/>
        <w:t>92.]</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pPr>
      <w:bookmarkStart w:id="108" w:name="_Toc519770034"/>
      <w:bookmarkStart w:id="109" w:name="_Toc524014936"/>
      <w:bookmarkStart w:id="110" w:name="_Toc524015030"/>
      <w:bookmarkStart w:id="111" w:name="_Toc524015188"/>
      <w:r>
        <w:t>Notes</w:t>
      </w:r>
      <w:bookmarkEnd w:id="108"/>
      <w:bookmarkEnd w:id="109"/>
      <w:bookmarkEnd w:id="110"/>
      <w:bookmarkEnd w:id="111"/>
    </w:p>
    <w:p>
      <w:pPr>
        <w:pStyle w:val="nSubsection"/>
      </w:pPr>
      <w:r>
        <w:rPr>
          <w:vertAlign w:val="superscript"/>
        </w:rPr>
        <w:t>1</w:t>
      </w:r>
      <w:r>
        <w:tab/>
        <w:t xml:space="preserve">This is a compilation of the </w:t>
      </w:r>
      <w:r>
        <w:rPr>
          <w:i/>
        </w:rPr>
        <w:t>Liquor Control Regulations 1989</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112" w:name="_Toc524015189"/>
      <w:r>
        <w:rPr>
          <w:snapToGrid w:val="0"/>
        </w:rPr>
        <w:t>Compilation table</w:t>
      </w:r>
      <w:bookmarkEnd w:id="11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5</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6</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7</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8</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vertAlign w:val="superscript"/>
              </w:rPr>
              <w:t>9</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3"/>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3"/>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10</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shd w:val="clear" w:color="auto" w:fill="auto"/>
          </w:tcPr>
          <w:p>
            <w:pPr>
              <w:pStyle w:val="nTable"/>
              <w:spacing w:after="40"/>
              <w:rPr>
                <w:rFonts w:ascii="Times" w:hAnsi="Times"/>
              </w:rPr>
            </w:pPr>
            <w:r>
              <w:t>16 Nov 2012 p. 5652-6</w:t>
            </w:r>
          </w:p>
        </w:tc>
        <w:tc>
          <w:tcPr>
            <w:tcW w:w="2693" w:type="dxa"/>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rPr>
                <w:rFonts w:ascii="Times" w:hAnsi="Times"/>
              </w:rPr>
            </w:pPr>
            <w:r>
              <w:t>8 Nov 2013 p. 4977</w:t>
            </w:r>
            <w:r>
              <w:noBreakHyphen/>
              <w:t>80</w:t>
            </w:r>
          </w:p>
        </w:tc>
        <w:tc>
          <w:tcPr>
            <w:tcW w:w="2693" w:type="dxa"/>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3"/>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rPr>
                <w:rFonts w:ascii="Times" w:hAnsi="Times"/>
              </w:rPr>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rFonts w:ascii="Times" w:hAnsi="Times"/>
                <w:bCs/>
                <w:snapToGrid w:val="0"/>
                <w:spacing w:val="-2"/>
              </w:rPr>
              <w:t>r. 1 and 2: 8 Apr 2016 (see r. 2(a));</w:t>
            </w:r>
            <w:r>
              <w:rPr>
                <w:rFonts w:ascii="Times" w:hAnsi="Times"/>
                <w:bCs/>
                <w:snapToGrid w:val="0"/>
                <w:spacing w:val="-2"/>
              </w:rPr>
              <w:br/>
              <w:t xml:space="preserve">Regulations other than r. 1 and 2: 9 Apr 2016 (see r. 2(b) and </w:t>
            </w:r>
            <w:r>
              <w:rPr>
                <w:rFonts w:ascii="Times" w:hAnsi="Times"/>
                <w:bCs/>
                <w:i/>
                <w:snapToGrid w:val="0"/>
                <w:spacing w:val="-2"/>
              </w:rPr>
              <w:t>Gazette</w:t>
            </w:r>
            <w:r>
              <w:rPr>
                <w:rFonts w:ascii="Times" w:hAnsi="Times"/>
                <w:bCs/>
                <w:snapToGrid w:val="0"/>
                <w:spacing w:val="-2"/>
              </w:rPr>
              <w:t xml:space="preserve"> 8 Apr 2016 p. 1099)</w:t>
            </w:r>
          </w:p>
        </w:tc>
      </w:tr>
      <w:tr>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rFonts w:ascii="Times" w:hAnsi="Times"/>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rFonts w:ascii="Times" w:hAnsi="Times"/>
                <w:bCs/>
                <w:snapToGrid w:val="0"/>
                <w:spacing w:val="-2"/>
              </w:rPr>
              <w:t>r. 1 and 2: 26 Jul 2016 (see r. 2(a));</w:t>
            </w:r>
            <w:r>
              <w:rPr>
                <w:rFonts w:ascii="Times" w:hAnsi="Times"/>
                <w:bCs/>
                <w:snapToGrid w:val="0"/>
                <w:spacing w:val="-2"/>
              </w:rPr>
              <w:br/>
              <w:t>Regulations other than r. 1, 2 and 4(2): 27 Jul 2016 (see r. 2(b));</w:t>
            </w:r>
            <w:r>
              <w:rPr>
                <w:rFonts w:ascii="Times" w:hAnsi="Times"/>
                <w:bCs/>
                <w:snapToGrid w:val="0"/>
                <w:spacing w:val="-2"/>
              </w:rPr>
              <w:br/>
              <w:t xml:space="preserve">r. 4(2): 1 Aug 2016 (see r. 2(c) and </w:t>
            </w:r>
            <w:r>
              <w:rPr>
                <w:rFonts w:ascii="Times" w:hAnsi="Times"/>
                <w:bCs/>
                <w:i/>
                <w:snapToGrid w:val="0"/>
                <w:spacing w:val="-2"/>
              </w:rPr>
              <w:t xml:space="preserve">Gazette </w:t>
            </w:r>
            <w:r>
              <w:rPr>
                <w:rFonts w:ascii="Times" w:hAnsi="Times"/>
                <w:bCs/>
                <w:snapToGrid w:val="0"/>
                <w:spacing w:val="-2"/>
              </w:rPr>
              <w:t>26 Jul 2016 p. 3167)</w:t>
            </w:r>
          </w:p>
        </w:tc>
      </w:tr>
      <w:tr>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rFonts w:ascii="Times" w:hAnsi="Times"/>
                <w:bCs/>
                <w:snapToGrid w:val="0"/>
                <w:spacing w:val="-2"/>
              </w:rPr>
            </w:pPr>
            <w:r>
              <w:t>1 Jan 2017 (see r. 2(b))</w:t>
            </w:r>
          </w:p>
        </w:tc>
      </w:tr>
      <w:tr>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10 Jan 2017 (see r. 2(a));</w:t>
            </w:r>
            <w:r>
              <w:rPr>
                <w:rFonts w:ascii="Times" w:hAnsi="Times"/>
                <w:bCs/>
                <w:snapToGrid w:val="0"/>
                <w:spacing w:val="-2"/>
              </w:rPr>
              <w:br/>
              <w:t>Regulations other than r. 1 and 2: 11 Jan 2017 (see r. 2(b))</w:t>
            </w:r>
          </w:p>
        </w:tc>
      </w:tr>
      <w:tr>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 Feb 2017</w:t>
            </w:r>
            <w:r>
              <w:rPr>
                <w:rFonts w:ascii="Times" w:hAnsi="Times"/>
                <w:bCs/>
                <w:snapToGrid w:val="0"/>
                <w:spacing w:val="-2"/>
              </w:rPr>
              <w:t xml:space="preserve"> (see r. 2(a));</w:t>
            </w:r>
            <w:r>
              <w:rPr>
                <w:rFonts w:ascii="Times" w:hAnsi="Times"/>
                <w:bCs/>
                <w:snapToGrid w:val="0"/>
                <w:spacing w:val="-2"/>
              </w:rPr>
              <w:br/>
              <w:t>Regulations other than r. 1 and 2: 4</w:t>
            </w:r>
            <w:r>
              <w:t> Feb 2017</w:t>
            </w:r>
            <w:r>
              <w:rPr>
                <w:rFonts w:ascii="Times" w:hAnsi="Times"/>
                <w:bCs/>
                <w:snapToGrid w:val="0"/>
                <w:spacing w:val="-2"/>
              </w:rPr>
              <w:t xml:space="preserve"> (see r. 2(b))</w:t>
            </w:r>
          </w:p>
        </w:tc>
      </w:tr>
      <w:tr>
        <w:trPr>
          <w:cantSplit/>
        </w:trP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14: The </w:t>
            </w:r>
            <w:r>
              <w:rPr>
                <w:rFonts w:ascii="Times" w:hAnsi="Times"/>
                <w:b/>
                <w:bCs/>
                <w:i/>
                <w:noProof/>
                <w:snapToGrid w:val="0"/>
                <w:spacing w:val="-2"/>
              </w:rPr>
              <w:t>Liquor Control Regulations 1989</w:t>
            </w:r>
            <w:r>
              <w:rPr>
                <w:rFonts w:ascii="Times" w:hAnsi="Times"/>
                <w:b/>
                <w:bCs/>
                <w:snapToGrid w:val="0"/>
                <w:spacing w:val="-2"/>
              </w:rPr>
              <w:t xml:space="preserve"> as at 5 May 2017</w:t>
            </w:r>
            <w:r>
              <w:rPr>
                <w:rFonts w:ascii="Times" w:hAnsi="Times"/>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4) 2017</w:t>
            </w:r>
          </w:p>
        </w:tc>
        <w:tc>
          <w:tcPr>
            <w:tcW w:w="1276" w:type="dxa"/>
            <w:shd w:val="clear" w:color="auto" w:fill="auto"/>
          </w:tcPr>
          <w:p>
            <w:pPr>
              <w:pStyle w:val="nTable"/>
              <w:spacing w:after="40"/>
            </w:pPr>
            <w:r>
              <w:t>18 Aug 2017 p. 4457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18</w:t>
            </w:r>
            <w:r>
              <w:t> Aug 2017</w:t>
            </w:r>
            <w:r>
              <w:rPr>
                <w:rFonts w:ascii="Times" w:hAnsi="Times"/>
                <w:bCs/>
                <w:snapToGrid w:val="0"/>
                <w:spacing w:val="-2"/>
              </w:rPr>
              <w:t xml:space="preserve"> (see r. 2(a));</w:t>
            </w:r>
            <w:r>
              <w:rPr>
                <w:rFonts w:ascii="Times" w:hAnsi="Times"/>
                <w:bCs/>
                <w:snapToGrid w:val="0"/>
                <w:spacing w:val="-2"/>
              </w:rPr>
              <w:br/>
              <w:t>Regulations other than r. 1 and 2: 19</w:t>
            </w:r>
            <w:r>
              <w:t> Aug 2017</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3) 2017</w:t>
            </w:r>
          </w:p>
        </w:tc>
        <w:tc>
          <w:tcPr>
            <w:tcW w:w="1276" w:type="dxa"/>
            <w:shd w:val="clear" w:color="auto" w:fill="auto"/>
          </w:tcPr>
          <w:p>
            <w:pPr>
              <w:pStyle w:val="nTable"/>
              <w:spacing w:after="40"/>
            </w:pPr>
            <w:r>
              <w:t>12 Sep 2017 p. 4735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12 Sep 2017 (see r. 2(a));</w:t>
            </w:r>
            <w:r>
              <w:rPr>
                <w:rFonts w:ascii="Times" w:hAnsi="Times"/>
                <w:bCs/>
                <w:snapToGrid w:val="0"/>
                <w:spacing w:val="-2"/>
              </w:rPr>
              <w:br/>
              <w:t>Regulations other than r. 1 and 2: 10 Oct 2017 (see r. 2(b))</w:t>
            </w:r>
          </w:p>
        </w:tc>
      </w:tr>
      <w:tr>
        <w:trPr>
          <w:cantSplit/>
        </w:trPr>
        <w:tc>
          <w:tcPr>
            <w:tcW w:w="3119" w:type="dxa"/>
            <w:shd w:val="clear" w:color="auto" w:fill="auto"/>
          </w:tcPr>
          <w:p>
            <w:pPr>
              <w:pStyle w:val="nTable"/>
              <w:spacing w:after="40"/>
              <w:ind w:right="113"/>
              <w:rPr>
                <w:i/>
              </w:rPr>
            </w:pPr>
            <w:r>
              <w:rPr>
                <w:i/>
              </w:rPr>
              <w:t>Liquor Control Amendment Regulations (No. 5) 2017</w:t>
            </w:r>
          </w:p>
        </w:tc>
        <w:tc>
          <w:tcPr>
            <w:tcW w:w="1276" w:type="dxa"/>
            <w:shd w:val="clear" w:color="auto" w:fill="auto"/>
          </w:tcPr>
          <w:p>
            <w:pPr>
              <w:pStyle w:val="nTable"/>
              <w:spacing w:after="40"/>
            </w:pPr>
            <w:r>
              <w:t>3 Oct 2017 p. 5049</w:t>
            </w:r>
            <w:r>
              <w:noBreakHyphen/>
              <w:t>50</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3</w:t>
            </w:r>
            <w:r>
              <w:t> Oct 2017</w:t>
            </w:r>
            <w:r>
              <w:rPr>
                <w:rFonts w:ascii="Times" w:hAnsi="Times"/>
                <w:bCs/>
                <w:snapToGrid w:val="0"/>
                <w:spacing w:val="-2"/>
              </w:rPr>
              <w:t xml:space="preserve"> (see r. 2(a));</w:t>
            </w:r>
            <w:r>
              <w:rPr>
                <w:rFonts w:ascii="Times" w:hAnsi="Times"/>
                <w:bCs/>
                <w:snapToGrid w:val="0"/>
                <w:spacing w:val="-2"/>
              </w:rPr>
              <w:br/>
              <w:t>Regulations other than r. 1 and 2: 4</w:t>
            </w:r>
            <w:r>
              <w:t> Oct 2017</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6) 2017</w:t>
            </w:r>
          </w:p>
        </w:tc>
        <w:tc>
          <w:tcPr>
            <w:tcW w:w="1276" w:type="dxa"/>
            <w:shd w:val="clear" w:color="auto" w:fill="auto"/>
          </w:tcPr>
          <w:p>
            <w:pPr>
              <w:pStyle w:val="nTable"/>
              <w:spacing w:after="40"/>
            </w:pPr>
            <w:r>
              <w:t>8 Dec 2017 p. 5849</w:t>
            </w:r>
            <w:r>
              <w:noBreakHyphen/>
              <w:t>50</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8 Dec 2017 (see r. 2(a));</w:t>
            </w:r>
            <w:r>
              <w:rPr>
                <w:rFonts w:ascii="Times" w:hAnsi="Times"/>
                <w:bCs/>
                <w:snapToGrid w:val="0"/>
                <w:spacing w:val="-2"/>
              </w:rPr>
              <w:br/>
              <w:t>Regulations other than r. 1 and 2: 9 Dec 2017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2017</w:t>
            </w:r>
            <w:r>
              <w:t xml:space="preserve"> Pt. 6</w:t>
            </w:r>
          </w:p>
        </w:tc>
        <w:tc>
          <w:tcPr>
            <w:tcW w:w="1276" w:type="dxa"/>
            <w:shd w:val="clear" w:color="auto" w:fill="auto"/>
          </w:tcPr>
          <w:p>
            <w:pPr>
              <w:pStyle w:val="nTable"/>
              <w:spacing w:after="40"/>
            </w:pPr>
            <w:r>
              <w:t>10 Nov 2017 p. 5579</w:t>
            </w:r>
            <w:r>
              <w:noBreakHyphen/>
              <w:t>94</w:t>
            </w:r>
          </w:p>
        </w:tc>
        <w:tc>
          <w:tcPr>
            <w:tcW w:w="2693" w:type="dxa"/>
            <w:shd w:val="clear" w:color="auto" w:fill="auto"/>
          </w:tcPr>
          <w:p>
            <w:pPr>
              <w:pStyle w:val="nTable"/>
              <w:spacing w:after="40"/>
              <w:rPr>
                <w:rFonts w:ascii="Times" w:hAnsi="Times"/>
                <w:bCs/>
                <w:snapToGrid w:val="0"/>
                <w:spacing w:val="-2"/>
              </w:rPr>
            </w:pPr>
            <w:r>
              <w:t>1 Jan 2018 (see r. 2(b))</w:t>
            </w:r>
          </w:p>
        </w:tc>
      </w:tr>
      <w:tr>
        <w:trPr>
          <w:cantSplit/>
        </w:trPr>
        <w:tc>
          <w:tcPr>
            <w:tcW w:w="3119" w:type="dxa"/>
            <w:shd w:val="clear" w:color="auto" w:fill="auto"/>
          </w:tcPr>
          <w:p>
            <w:pPr>
              <w:pStyle w:val="nTable"/>
              <w:spacing w:after="40"/>
              <w:ind w:right="113"/>
              <w:rPr>
                <w:i/>
              </w:rPr>
            </w:pPr>
            <w:r>
              <w:rPr>
                <w:i/>
              </w:rPr>
              <w:t>Liquor Control Amendment Regulations 2018</w:t>
            </w:r>
          </w:p>
        </w:tc>
        <w:tc>
          <w:tcPr>
            <w:tcW w:w="1276" w:type="dxa"/>
            <w:shd w:val="clear" w:color="auto" w:fill="auto"/>
          </w:tcPr>
          <w:p>
            <w:pPr>
              <w:pStyle w:val="nTable"/>
              <w:spacing w:after="40"/>
            </w:pPr>
            <w:r>
              <w:t>19 Jan 2018 p. 231</w:t>
            </w:r>
            <w:r>
              <w:noBreakHyphen/>
              <w:t>2</w:t>
            </w:r>
          </w:p>
        </w:tc>
        <w:tc>
          <w:tcPr>
            <w:tcW w:w="2693" w:type="dxa"/>
            <w:shd w:val="clear" w:color="auto" w:fill="auto"/>
          </w:tcPr>
          <w:p>
            <w:pPr>
              <w:pStyle w:val="nTable"/>
              <w:spacing w:after="40"/>
            </w:pPr>
            <w:r>
              <w:rPr>
                <w:rFonts w:ascii="Times" w:hAnsi="Times"/>
                <w:bCs/>
                <w:snapToGrid w:val="0"/>
                <w:spacing w:val="-2"/>
              </w:rPr>
              <w:t>r. 1 and 2: 19 Jan 2018 (see r. 2(a));</w:t>
            </w:r>
            <w:r>
              <w:rPr>
                <w:rFonts w:ascii="Times" w:hAnsi="Times"/>
                <w:bCs/>
                <w:snapToGrid w:val="0"/>
                <w:spacing w:val="-2"/>
              </w:rPr>
              <w:br/>
              <w:t>Regulations other than r. 1 and 2: 20 Jan 2018 (see r. 2(b))</w:t>
            </w:r>
          </w:p>
        </w:tc>
      </w:tr>
      <w:tr>
        <w:trPr>
          <w:cantSplit/>
        </w:trPr>
        <w:tc>
          <w:tcPr>
            <w:tcW w:w="3119" w:type="dxa"/>
            <w:shd w:val="clear" w:color="auto" w:fill="auto"/>
          </w:tcPr>
          <w:p>
            <w:pPr>
              <w:pStyle w:val="nTable"/>
              <w:spacing w:after="40"/>
              <w:ind w:right="113"/>
            </w:pPr>
            <w:r>
              <w:rPr>
                <w:i/>
              </w:rPr>
              <w:t>Liquor Control (Kalumburu Restricted Area) Regulations 2018</w:t>
            </w:r>
            <w:r>
              <w:t xml:space="preserve"> Pt. 5</w:t>
            </w:r>
          </w:p>
        </w:tc>
        <w:tc>
          <w:tcPr>
            <w:tcW w:w="1276" w:type="dxa"/>
            <w:shd w:val="clear" w:color="auto" w:fill="auto"/>
          </w:tcPr>
          <w:p>
            <w:pPr>
              <w:pStyle w:val="nTable"/>
              <w:spacing w:after="40"/>
            </w:pPr>
            <w:r>
              <w:t>2 Mar 2018 p. 669</w:t>
            </w:r>
            <w:r>
              <w:noBreakHyphen/>
              <w:t>72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 Mar 2018 (see r. 2(b))</w:t>
            </w:r>
          </w:p>
        </w:tc>
      </w:tr>
      <w:tr>
        <w:trPr>
          <w:cantSplit/>
        </w:trPr>
        <w:tc>
          <w:tcPr>
            <w:tcW w:w="3119" w:type="dxa"/>
            <w:shd w:val="clear" w:color="auto" w:fill="auto"/>
          </w:tcPr>
          <w:p>
            <w:pPr>
              <w:pStyle w:val="nTable"/>
              <w:spacing w:after="40"/>
              <w:ind w:right="113"/>
            </w:pPr>
            <w:r>
              <w:rPr>
                <w:i/>
              </w:rPr>
              <w:t>Liquor Control (Parnngurr Restricted Area) Regulations 2018</w:t>
            </w:r>
            <w:r>
              <w:t xml:space="preserve"> Pt. 5</w:t>
            </w:r>
          </w:p>
        </w:tc>
        <w:tc>
          <w:tcPr>
            <w:tcW w:w="1276" w:type="dxa"/>
            <w:shd w:val="clear" w:color="auto" w:fill="auto"/>
          </w:tcPr>
          <w:p>
            <w:pPr>
              <w:pStyle w:val="nTable"/>
              <w:spacing w:after="40"/>
            </w:pPr>
            <w:r>
              <w:t>6 Jul 2018 p. 2546</w:t>
            </w:r>
            <w:r>
              <w:noBreakHyphen/>
              <w:t>8</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7 Jul 2018 (see r. 2(b))</w:t>
            </w:r>
          </w:p>
        </w:tc>
      </w:tr>
      <w:tr>
        <w:tc>
          <w:tcPr>
            <w:tcW w:w="3119" w:type="dxa"/>
            <w:tcBorders>
              <w:bottom w:val="single" w:sz="4" w:space="0" w:color="auto"/>
            </w:tcBorders>
            <w:shd w:val="clear" w:color="auto" w:fill="auto"/>
          </w:tcPr>
          <w:p>
            <w:pPr>
              <w:pStyle w:val="nTable"/>
              <w:keepNext/>
              <w:spacing w:after="40"/>
            </w:pPr>
            <w:r>
              <w:rPr>
                <w:i/>
              </w:rPr>
              <w:t>Liquor Control Amendment Regulations (No. 2) 2018</w:t>
            </w:r>
          </w:p>
        </w:tc>
        <w:tc>
          <w:tcPr>
            <w:tcW w:w="1276" w:type="dxa"/>
            <w:tcBorders>
              <w:bottom w:val="single" w:sz="4" w:space="0" w:color="auto"/>
            </w:tcBorders>
            <w:shd w:val="clear" w:color="auto" w:fill="auto"/>
          </w:tcPr>
          <w:p>
            <w:pPr>
              <w:pStyle w:val="nTable"/>
              <w:keepNext/>
              <w:spacing w:after="40"/>
            </w:pPr>
            <w:r>
              <w:t>20 Jul 2018 p. 2631</w:t>
            </w:r>
            <w:r>
              <w:noBreakHyphen/>
              <w:t>2</w:t>
            </w:r>
          </w:p>
        </w:tc>
        <w:tc>
          <w:tcPr>
            <w:tcW w:w="2693" w:type="dxa"/>
            <w:tcBorders>
              <w:bottom w:val="single" w:sz="4" w:space="0" w:color="auto"/>
            </w:tcBorders>
            <w:shd w:val="clear" w:color="auto" w:fill="auto"/>
          </w:tcPr>
          <w:p>
            <w:pPr>
              <w:pStyle w:val="nTable"/>
              <w:keepNext/>
              <w:spacing w:after="40"/>
              <w:rPr>
                <w:bCs/>
                <w:snapToGrid w:val="0"/>
              </w:rPr>
            </w:pPr>
            <w:r>
              <w:rPr>
                <w:rFonts w:ascii="Times" w:hAnsi="Times"/>
                <w:bCs/>
                <w:snapToGrid w:val="0"/>
              </w:rPr>
              <w:t>r. 1 and 2: 20 Jul 2018 (see r. 2(a));</w:t>
            </w:r>
            <w:r>
              <w:rPr>
                <w:rFonts w:ascii="Times" w:hAnsi="Times"/>
                <w:bCs/>
                <w:snapToGrid w:val="0"/>
              </w:rPr>
              <w:br/>
              <w:t>Regulations other than r. 1 and 2: 21 Jul 2018 (see r. 2(b))</w:t>
            </w:r>
          </w:p>
        </w:tc>
      </w:tr>
    </w:tbl>
    <w:p>
      <w:pPr>
        <w:pStyle w:val="nSubsection"/>
        <w:spacing w:before="36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3" w:name="_Toc524010121"/>
      <w:bookmarkStart w:id="114" w:name="_Toc524015190"/>
      <w:r>
        <w:t>Provisions that have not come into operation</w:t>
      </w:r>
      <w:bookmarkEnd w:id="113"/>
      <w:bookmarkEnd w:id="1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pPr>
            <w:r>
              <w:t>Citation</w:t>
            </w:r>
          </w:p>
        </w:tc>
        <w:tc>
          <w:tcPr>
            <w:tcW w:w="1276" w:type="dxa"/>
          </w:tcPr>
          <w:p>
            <w:pPr>
              <w:pStyle w:val="nTable"/>
              <w:spacing w:after="40"/>
            </w:pPr>
            <w:r>
              <w:t>Gazettal</w:t>
            </w:r>
          </w:p>
        </w:tc>
        <w:tc>
          <w:tcPr>
            <w:tcW w:w="2693" w:type="dxa"/>
          </w:tcPr>
          <w:p>
            <w:pPr>
              <w:pStyle w:val="nTable"/>
              <w:spacing w:after="40"/>
            </w:pPr>
            <w:r>
              <w:t>Commencement</w:t>
            </w:r>
          </w:p>
        </w:tc>
      </w:tr>
      <w:tr>
        <w:tc>
          <w:tcPr>
            <w:tcW w:w="3118" w:type="dxa"/>
          </w:tcPr>
          <w:p>
            <w:pPr>
              <w:pStyle w:val="nTable"/>
              <w:spacing w:after="40"/>
            </w:pPr>
            <w:r>
              <w:rPr>
                <w:i/>
              </w:rPr>
              <w:t>Racing, Gaming and Liquor Regulations Amendment (Fees and Charges) Regulations 2018</w:t>
            </w:r>
            <w:r>
              <w:t xml:space="preserve"> Pt. 6 </w:t>
            </w:r>
            <w:r>
              <w:rPr>
                <w:vertAlign w:val="superscript"/>
              </w:rPr>
              <w:t>11</w:t>
            </w:r>
          </w:p>
        </w:tc>
        <w:tc>
          <w:tcPr>
            <w:tcW w:w="1276" w:type="dxa"/>
          </w:tcPr>
          <w:p>
            <w:pPr>
              <w:pStyle w:val="nTable"/>
              <w:spacing w:after="40"/>
            </w:pPr>
            <w:r>
              <w:t>7 Sep 2018 p. 3192</w:t>
            </w:r>
            <w:r>
              <w:noBreakHyphen/>
              <w:t>200</w:t>
            </w:r>
          </w:p>
        </w:tc>
        <w:tc>
          <w:tcPr>
            <w:tcW w:w="2693" w:type="dxa"/>
          </w:tcPr>
          <w:p>
            <w:pPr>
              <w:pStyle w:val="nTable"/>
              <w:spacing w:after="40"/>
            </w:pPr>
            <w:r>
              <w:t>1 Jan 2019 (see r. 2(b))</w:t>
            </w:r>
          </w:p>
        </w:tc>
      </w:tr>
    </w:tbl>
    <w:p>
      <w:pPr>
        <w:pStyle w:val="nSubsection"/>
        <w:spacing w:before="20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40"/>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spacing w:before="40"/>
      </w:pPr>
      <w:r>
        <w:rPr>
          <w:vertAlign w:val="superscript"/>
        </w:rPr>
        <w:t>4</w:t>
      </w:r>
      <w:r>
        <w:tab/>
        <w:t>Commenced 1 July 2014.</w:t>
      </w:r>
    </w:p>
    <w:p>
      <w:pPr>
        <w:pStyle w:val="nSubsection"/>
        <w:spacing w:before="40"/>
      </w:pPr>
      <w:r>
        <w:rPr>
          <w:vertAlign w:val="superscript"/>
        </w:rPr>
        <w:t>5</w:t>
      </w:r>
      <w:r>
        <w:tab/>
        <w:t xml:space="preserve">Now known as the </w:t>
      </w:r>
      <w:r>
        <w:rPr>
          <w:i/>
          <w:iCs/>
        </w:rPr>
        <w:t>Liquor Control Regulations 1989</w:t>
      </w:r>
      <w:r>
        <w:t>; citation changed (see note under r. 1).</w:t>
      </w:r>
    </w:p>
    <w:p>
      <w:pPr>
        <w:pStyle w:val="nSubsection"/>
        <w:spacing w:before="40"/>
      </w:pPr>
      <w:r>
        <w:rPr>
          <w:vertAlign w:val="superscript"/>
        </w:rPr>
        <w:t>6</w:t>
      </w:r>
      <w:r>
        <w:tab/>
        <w:t xml:space="preserve">Disallowed on 26 Apr 1992, see </w:t>
      </w:r>
      <w:r>
        <w:rPr>
          <w:i/>
        </w:rPr>
        <w:t>Gazette</w:t>
      </w:r>
      <w:r>
        <w:t xml:space="preserve"> 1 May 1992 p. 1844.</w:t>
      </w:r>
    </w:p>
    <w:p>
      <w:pPr>
        <w:pStyle w:val="nSubsection"/>
        <w:spacing w:before="40"/>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spacing w:before="40"/>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spacing w:before="40"/>
      </w:pPr>
      <w:r>
        <w:rPr>
          <w:vertAlign w:val="superscript"/>
        </w:rPr>
        <w:t>9</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spacing w:before="40"/>
      </w:pPr>
      <w:r>
        <w:rPr>
          <w:vertAlign w:val="superscript"/>
        </w:rPr>
        <w:t>10</w:t>
      </w:r>
      <w:r>
        <w:tab/>
        <w:t xml:space="preserve">Disallowed on 13 Sep 2012, see </w:t>
      </w:r>
      <w:r>
        <w:rPr>
          <w:i/>
        </w:rPr>
        <w:t>Gazette</w:t>
      </w:r>
      <w:r>
        <w:t xml:space="preserve"> 18 Sep 2012 p. 4411.</w:t>
      </w:r>
    </w:p>
    <w:p>
      <w:pPr>
        <w:pStyle w:val="nSubsection"/>
      </w:pPr>
      <w:r>
        <w:rPr>
          <w:vertAlign w:val="superscript"/>
        </w:rPr>
        <w:t>11</w:t>
      </w:r>
      <w:r>
        <w:tab/>
        <w:t xml:space="preserve">On the date as at which this compilation was prepared, the </w:t>
      </w:r>
      <w:r>
        <w:rPr>
          <w:i/>
        </w:rPr>
        <w:t>Racing, Gaming and Liquor Regulations Amendment (Fees and Charges) Regulations 2018</w:t>
      </w:r>
      <w:r>
        <w:t xml:space="preserve"> Pt. 6 had not come into operation.  It reads as follows:</w:t>
      </w:r>
    </w:p>
    <w:p>
      <w:pPr>
        <w:pStyle w:val="BlankOpen"/>
      </w:pPr>
    </w:p>
    <w:p>
      <w:pPr>
        <w:pStyle w:val="nzHeading2"/>
      </w:pPr>
      <w:bookmarkStart w:id="115" w:name="_Toc519504908"/>
      <w:bookmarkStart w:id="116" w:name="_Toc519504936"/>
      <w:bookmarkStart w:id="117" w:name="_Toc519506854"/>
      <w:bookmarkStart w:id="118" w:name="_Toc519507249"/>
      <w:bookmarkStart w:id="119" w:name="_Toc519507592"/>
      <w:bookmarkStart w:id="120" w:name="_Toc519508225"/>
      <w:bookmarkStart w:id="121" w:name="_Toc519508377"/>
      <w:bookmarkStart w:id="122" w:name="_Toc519509817"/>
      <w:bookmarkStart w:id="123" w:name="_Toc519588399"/>
      <w:bookmarkStart w:id="124" w:name="_Toc519592073"/>
      <w:bookmarkStart w:id="125" w:name="_Toc519592142"/>
      <w:r>
        <w:rPr>
          <w:rStyle w:val="CharPartNo"/>
        </w:rPr>
        <w:t>Part 6</w:t>
      </w:r>
      <w:r>
        <w:rPr>
          <w:rStyle w:val="CharDivNo"/>
        </w:rPr>
        <w:t> </w:t>
      </w:r>
      <w:r>
        <w:t>—</w:t>
      </w:r>
      <w:r>
        <w:rPr>
          <w:rStyle w:val="CharDivText"/>
        </w:rPr>
        <w:t> </w:t>
      </w:r>
      <w:r>
        <w:rPr>
          <w:rStyle w:val="CharPartText"/>
          <w:i/>
        </w:rPr>
        <w:t>Liquor Control Regulations 1989</w:t>
      </w:r>
      <w:r>
        <w:rPr>
          <w:rStyle w:val="CharPartText"/>
        </w:rPr>
        <w:t xml:space="preserve"> amended</w:t>
      </w:r>
      <w:bookmarkEnd w:id="115"/>
      <w:bookmarkEnd w:id="116"/>
      <w:bookmarkEnd w:id="117"/>
      <w:bookmarkEnd w:id="118"/>
      <w:bookmarkEnd w:id="119"/>
      <w:bookmarkEnd w:id="120"/>
      <w:bookmarkEnd w:id="121"/>
      <w:bookmarkEnd w:id="122"/>
      <w:bookmarkEnd w:id="123"/>
      <w:bookmarkEnd w:id="124"/>
      <w:bookmarkEnd w:id="125"/>
    </w:p>
    <w:p>
      <w:pPr>
        <w:pStyle w:val="nzHeading5"/>
        <w:rPr>
          <w:snapToGrid w:val="0"/>
        </w:rPr>
      </w:pPr>
      <w:bookmarkStart w:id="126" w:name="_Toc519508226"/>
      <w:bookmarkStart w:id="127" w:name="_Toc519592143"/>
      <w:r>
        <w:rPr>
          <w:rStyle w:val="CharSectno"/>
        </w:rPr>
        <w:t>11</w:t>
      </w:r>
      <w:r>
        <w:rPr>
          <w:snapToGrid w:val="0"/>
        </w:rPr>
        <w:t>.</w:t>
      </w:r>
      <w:r>
        <w:rPr>
          <w:snapToGrid w:val="0"/>
        </w:rPr>
        <w:tab/>
        <w:t>Regulations amended</w:t>
      </w:r>
      <w:bookmarkEnd w:id="126"/>
      <w:bookmarkEnd w:id="127"/>
    </w:p>
    <w:p>
      <w:pPr>
        <w:pStyle w:val="nzSubsection"/>
      </w:pPr>
      <w:r>
        <w:tab/>
      </w:r>
      <w:r>
        <w:tab/>
        <w:t xml:space="preserve">This Part amends the </w:t>
      </w:r>
      <w:r>
        <w:rPr>
          <w:i/>
        </w:rPr>
        <w:t>Liquor Control Regulations 1989</w:t>
      </w:r>
      <w:r>
        <w:t>.</w:t>
      </w:r>
    </w:p>
    <w:p>
      <w:pPr>
        <w:pStyle w:val="nzHeading5"/>
      </w:pPr>
      <w:bookmarkStart w:id="128" w:name="_Toc519508227"/>
      <w:bookmarkStart w:id="129" w:name="_Toc519592144"/>
      <w:r>
        <w:rPr>
          <w:rStyle w:val="CharSectno"/>
        </w:rPr>
        <w:t>12</w:t>
      </w:r>
      <w:r>
        <w:t>.</w:t>
      </w:r>
      <w:r>
        <w:tab/>
        <w:t>Regulation 26 amended</w:t>
      </w:r>
      <w:bookmarkEnd w:id="128"/>
      <w:bookmarkEnd w:id="129"/>
    </w:p>
    <w:p>
      <w:pPr>
        <w:pStyle w:val="nzSubsection"/>
      </w:pPr>
      <w:r>
        <w:tab/>
        <w:t>(1)</w:t>
      </w:r>
      <w:r>
        <w:tab/>
        <w:t>In regulation 26(1aa)(a) delete “$281; or” and insert:</w:t>
      </w:r>
    </w:p>
    <w:p>
      <w:pPr>
        <w:pStyle w:val="BlankOpen"/>
      </w:pPr>
    </w:p>
    <w:p>
      <w:pPr>
        <w:pStyle w:val="nzSubsection"/>
      </w:pPr>
      <w:r>
        <w:tab/>
      </w:r>
      <w:r>
        <w:tab/>
        <w:t>$285; or</w:t>
      </w:r>
    </w:p>
    <w:p>
      <w:pPr>
        <w:pStyle w:val="BlankClose"/>
      </w:pPr>
    </w:p>
    <w:p>
      <w:pPr>
        <w:pStyle w:val="nzSubsection"/>
      </w:pPr>
      <w:r>
        <w:tab/>
        <w:t>(2)</w:t>
      </w:r>
      <w:r>
        <w:tab/>
        <w:t>In regulation 26(1aa)(b) delete “$565.” and insert:</w:t>
      </w:r>
    </w:p>
    <w:p>
      <w:pPr>
        <w:pStyle w:val="BlankOpen"/>
      </w:pPr>
    </w:p>
    <w:p>
      <w:pPr>
        <w:pStyle w:val="nzSubsection"/>
      </w:pPr>
      <w:r>
        <w:tab/>
      </w:r>
      <w:r>
        <w:tab/>
        <w:t>$573.</w:t>
      </w:r>
    </w:p>
    <w:p>
      <w:pPr>
        <w:pStyle w:val="BlankClose"/>
      </w:pPr>
    </w:p>
    <w:p>
      <w:pPr>
        <w:pStyle w:val="nzHeading5"/>
      </w:pPr>
      <w:bookmarkStart w:id="130" w:name="_Toc519508228"/>
      <w:bookmarkStart w:id="131" w:name="_Toc519592145"/>
      <w:r>
        <w:rPr>
          <w:rStyle w:val="CharSectno"/>
        </w:rPr>
        <w:t>13</w:t>
      </w:r>
      <w:r>
        <w:t>.</w:t>
      </w:r>
      <w:r>
        <w:tab/>
        <w:t>Schedule 3 replaced</w:t>
      </w:r>
      <w:bookmarkEnd w:id="130"/>
      <w:bookmarkEnd w:id="131"/>
    </w:p>
    <w:p>
      <w:pPr>
        <w:pStyle w:val="nzSubsection"/>
      </w:pPr>
      <w:r>
        <w:tab/>
      </w:r>
      <w:r>
        <w:tab/>
        <w:t>Delete Schedule 3 and insert:</w:t>
      </w:r>
    </w:p>
    <w:p>
      <w:pPr>
        <w:pStyle w:val="BlankOpen"/>
      </w:pPr>
    </w:p>
    <w:p>
      <w:pPr>
        <w:pStyle w:val="nzHeading2"/>
        <w:rPr>
          <w:rStyle w:val="CharSchNo"/>
        </w:rPr>
      </w:pPr>
      <w:bookmarkStart w:id="132" w:name="_Toc519504912"/>
      <w:bookmarkStart w:id="133" w:name="_Toc519504940"/>
      <w:bookmarkStart w:id="134" w:name="_Toc519506858"/>
      <w:bookmarkStart w:id="135" w:name="_Toc519507253"/>
      <w:bookmarkStart w:id="136" w:name="_Toc519507596"/>
      <w:bookmarkStart w:id="137" w:name="_Toc519508229"/>
      <w:bookmarkStart w:id="138" w:name="_Toc519508381"/>
      <w:bookmarkStart w:id="139" w:name="_Toc519509821"/>
      <w:bookmarkStart w:id="140" w:name="_Toc519588403"/>
      <w:bookmarkStart w:id="141" w:name="_Toc519592077"/>
      <w:bookmarkStart w:id="142" w:name="_Toc519592146"/>
      <w:bookmarkStart w:id="143" w:name="_Toc524014939"/>
      <w:r>
        <w:rPr>
          <w:rStyle w:val="CharSchNo"/>
        </w:rPr>
        <w:t>Schedule 3 — Fees</w:t>
      </w:r>
      <w:bookmarkEnd w:id="132"/>
      <w:bookmarkEnd w:id="133"/>
      <w:bookmarkEnd w:id="134"/>
      <w:bookmarkEnd w:id="135"/>
      <w:bookmarkEnd w:id="136"/>
      <w:bookmarkEnd w:id="137"/>
      <w:bookmarkEnd w:id="138"/>
      <w:bookmarkEnd w:id="139"/>
      <w:bookmarkEnd w:id="140"/>
      <w:bookmarkEnd w:id="141"/>
      <w:bookmarkEnd w:id="142"/>
      <w:bookmarkEnd w:id="143"/>
    </w:p>
    <w:p>
      <w:pPr>
        <w:pStyle w:val="nzShoulderClause"/>
      </w:pPr>
      <w:r>
        <w:t>[r. 11, 14ADF, 18B, 26 and 27A]</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b/>
                <w:sz w:val="20"/>
              </w:rPr>
            </w:pPr>
            <w:r>
              <w:rPr>
                <w:b/>
                <w:sz w:val="20"/>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sz w:val="20"/>
              </w:rPr>
            </w:pPr>
            <w:r>
              <w:rPr>
                <w:b/>
                <w:sz w:val="20"/>
              </w:rPr>
              <w:t>Fee</w:t>
            </w:r>
            <w:r>
              <w:rPr>
                <w:b/>
                <w:sz w:val="20"/>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the grant or removal of a hotel licence, nightclub licence, casino liquor licence, special facility licence or liquor store licence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r>
            <w:r>
              <w:rPr>
                <w:sz w:val="20"/>
              </w:rPr>
              <w:br/>
              <w:t>3 567</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915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the transfer of a licence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876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Licence fee for any licence other than a club restricted licence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603</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Licence fee for a club restricted licence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297</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6.</w:t>
            </w:r>
          </w:p>
        </w:tc>
        <w:tc>
          <w:tcPr>
            <w:tcW w:w="5529"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rPr>
                <w:sz w:val="20"/>
              </w:rPr>
            </w:pPr>
            <w:r>
              <w:rPr>
                <w:sz w:val="20"/>
              </w:rPr>
              <w:t xml:space="preserve">Application for an occasional licence if the anticipated number of patrons is — </w:t>
            </w:r>
          </w:p>
          <w:p>
            <w:pPr>
              <w:pStyle w:val="yTableNAm"/>
              <w:tabs>
                <w:tab w:val="clear" w:pos="567"/>
                <w:tab w:val="left" w:pos="518"/>
                <w:tab w:val="right" w:leader="dot" w:pos="6237"/>
              </w:tabs>
              <w:rPr>
                <w:sz w:val="20"/>
              </w:rPr>
            </w:pPr>
            <w:r>
              <w:rPr>
                <w:sz w:val="20"/>
              </w:rPr>
              <w:t>(a)</w:t>
            </w:r>
            <w:r>
              <w:rPr>
                <w:sz w:val="20"/>
              </w:rPr>
              <w:tab/>
              <w:t xml:space="preserve">up to 250 </w:t>
            </w:r>
            <w:r>
              <w:rPr>
                <w:sz w:val="20"/>
              </w:rPr>
              <w:tab/>
            </w:r>
          </w:p>
          <w:p>
            <w:pPr>
              <w:pStyle w:val="yTableNAm"/>
              <w:tabs>
                <w:tab w:val="clear" w:pos="567"/>
                <w:tab w:val="left" w:pos="518"/>
                <w:tab w:val="right" w:leader="dot" w:pos="6237"/>
              </w:tabs>
              <w:rPr>
                <w:sz w:val="20"/>
              </w:rPr>
            </w:pPr>
            <w:r>
              <w:rPr>
                <w:sz w:val="20"/>
              </w:rPr>
              <w:t>(b)</w:t>
            </w:r>
            <w:r>
              <w:rPr>
                <w:sz w:val="20"/>
              </w:rPr>
              <w:tab/>
              <w:t xml:space="preserve">between 251 and 500 </w:t>
            </w:r>
            <w:r>
              <w:rPr>
                <w:sz w:val="20"/>
              </w:rPr>
              <w:tab/>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br/>
            </w:r>
          </w:p>
          <w:p>
            <w:pPr>
              <w:pStyle w:val="yTableNAm"/>
              <w:tabs>
                <w:tab w:val="clear" w:pos="567"/>
                <w:tab w:val="right" w:pos="659"/>
              </w:tabs>
              <w:ind w:right="48"/>
              <w:jc w:val="right"/>
              <w:rPr>
                <w:sz w:val="20"/>
              </w:rPr>
            </w:pPr>
            <w:r>
              <w:rPr>
                <w:sz w:val="20"/>
              </w:rPr>
              <w:t>54</w:t>
            </w:r>
          </w:p>
          <w:p>
            <w:pPr>
              <w:pStyle w:val="yTableNAm"/>
              <w:tabs>
                <w:tab w:val="clear" w:pos="567"/>
                <w:tab w:val="right" w:pos="659"/>
              </w:tabs>
              <w:ind w:right="48"/>
              <w:jc w:val="right"/>
              <w:rPr>
                <w:sz w:val="20"/>
              </w:rPr>
            </w:pPr>
            <w:r>
              <w:rPr>
                <w:sz w:val="20"/>
              </w:rPr>
              <w:t>113</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rPr>
                <w:sz w:val="20"/>
              </w:rPr>
            </w:pPr>
            <w:r>
              <w:rPr>
                <w:sz w:val="20"/>
              </w:rPr>
              <w:t>(c)</w:t>
            </w:r>
            <w:r>
              <w:rPr>
                <w:sz w:val="20"/>
              </w:rPr>
              <w:tab/>
              <w:t xml:space="preserve">between 501 and 1 000 </w:t>
            </w:r>
            <w:r>
              <w:rPr>
                <w:sz w:val="20"/>
              </w:rPr>
              <w:tab/>
            </w:r>
          </w:p>
          <w:p>
            <w:pPr>
              <w:pStyle w:val="yTableNAm"/>
              <w:tabs>
                <w:tab w:val="clear" w:pos="567"/>
                <w:tab w:val="left" w:pos="518"/>
                <w:tab w:val="right" w:leader="dot" w:pos="6237"/>
              </w:tabs>
              <w:rPr>
                <w:sz w:val="20"/>
              </w:rPr>
            </w:pPr>
            <w:r>
              <w:rPr>
                <w:sz w:val="20"/>
              </w:rPr>
              <w:t>(d)</w:t>
            </w:r>
            <w:r>
              <w:rPr>
                <w:sz w:val="20"/>
              </w:rPr>
              <w:tab/>
              <w:t xml:space="preserve">between 1 001 and 5 000 </w:t>
            </w:r>
            <w:r>
              <w:rPr>
                <w:sz w:val="20"/>
              </w:rPr>
              <w:tab/>
            </w:r>
          </w:p>
          <w:p>
            <w:pPr>
              <w:pStyle w:val="yTableNAm"/>
              <w:tabs>
                <w:tab w:val="clear" w:pos="567"/>
                <w:tab w:val="left" w:pos="518"/>
                <w:tab w:val="right" w:leader="dot" w:pos="6237"/>
              </w:tabs>
              <w:rPr>
                <w:sz w:val="20"/>
              </w:rPr>
            </w:pPr>
            <w:r>
              <w:rPr>
                <w:sz w:val="20"/>
              </w:rPr>
              <w:t>(e)</w:t>
            </w:r>
            <w:r>
              <w:rPr>
                <w:sz w:val="20"/>
              </w:rPr>
              <w:tab/>
              <w:t xml:space="preserve">between 5 001 and 10 000 </w:t>
            </w:r>
            <w:r>
              <w:rPr>
                <w:sz w:val="20"/>
              </w:rPr>
              <w:tab/>
            </w:r>
          </w:p>
          <w:p>
            <w:pPr>
              <w:pStyle w:val="yTableNAm"/>
              <w:tabs>
                <w:tab w:val="clear" w:pos="567"/>
                <w:tab w:val="left" w:pos="518"/>
                <w:tab w:val="right" w:leader="dot" w:pos="6237"/>
              </w:tabs>
              <w:rPr>
                <w:sz w:val="20"/>
              </w:rPr>
            </w:pPr>
            <w:r>
              <w:rPr>
                <w:sz w:val="20"/>
              </w:rPr>
              <w:t>(f)</w:t>
            </w:r>
            <w:r>
              <w:rPr>
                <w:sz w:val="20"/>
              </w:rPr>
              <w:tab/>
              <w:t xml:space="preserve">over 10 000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232</w:t>
            </w:r>
          </w:p>
          <w:p>
            <w:pPr>
              <w:pStyle w:val="yTableNAm"/>
              <w:tabs>
                <w:tab w:val="clear" w:pos="567"/>
                <w:tab w:val="right" w:pos="659"/>
              </w:tabs>
              <w:ind w:right="48"/>
              <w:jc w:val="right"/>
              <w:rPr>
                <w:sz w:val="20"/>
              </w:rPr>
            </w:pPr>
            <w:r>
              <w:rPr>
                <w:sz w:val="20"/>
              </w:rPr>
              <w:t>1 173</w:t>
            </w:r>
          </w:p>
          <w:p>
            <w:pPr>
              <w:pStyle w:val="yTableNAm"/>
              <w:tabs>
                <w:tab w:val="clear" w:pos="567"/>
                <w:tab w:val="right" w:pos="659"/>
              </w:tabs>
              <w:ind w:right="48"/>
              <w:jc w:val="right"/>
              <w:rPr>
                <w:sz w:val="20"/>
              </w:rPr>
            </w:pPr>
            <w:r>
              <w:rPr>
                <w:sz w:val="20"/>
              </w:rPr>
              <w:t>2 349</w:t>
            </w:r>
          </w:p>
          <w:p>
            <w:pPr>
              <w:pStyle w:val="yTableNAm"/>
              <w:tabs>
                <w:tab w:val="clear" w:pos="567"/>
                <w:tab w:val="right" w:pos="659"/>
              </w:tabs>
              <w:ind w:right="48"/>
              <w:jc w:val="right"/>
              <w:rPr>
                <w:sz w:val="20"/>
              </w:rPr>
            </w:pPr>
            <w:r>
              <w:rPr>
                <w:sz w:val="20"/>
              </w:rPr>
              <w:t>4 709</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7.</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30" w:hanging="530"/>
              <w:rPr>
                <w:sz w:val="20"/>
              </w:rPr>
            </w:pPr>
            <w:r>
              <w:rPr>
                <w:sz w:val="20"/>
              </w:rPr>
              <w:t>(a)</w:t>
            </w:r>
            <w:r>
              <w:rPr>
                <w:sz w:val="20"/>
              </w:rPr>
              <w:tab/>
              <w:t xml:space="preserve">issued for the purpose referred to in section 60(4)(ca) — </w:t>
            </w:r>
          </w:p>
          <w:p>
            <w:pPr>
              <w:pStyle w:val="yTableNAm"/>
              <w:tabs>
                <w:tab w:val="left" w:pos="1019"/>
                <w:tab w:val="right" w:leader="dot" w:pos="6237"/>
              </w:tabs>
              <w:rPr>
                <w:sz w:val="20"/>
              </w:rPr>
            </w:pPr>
            <w:r>
              <w:rPr>
                <w:sz w:val="20"/>
              </w:rPr>
              <w:tab/>
              <w:t>(i)</w:t>
            </w:r>
            <w:r>
              <w:rPr>
                <w:sz w:val="20"/>
              </w:rPr>
              <w:tab/>
              <w:t xml:space="preserve">if regulation 9F(2) applies </w:t>
            </w:r>
            <w:r>
              <w:rPr>
                <w:sz w:val="20"/>
              </w:rPr>
              <w:tab/>
            </w:r>
          </w:p>
          <w:p>
            <w:pPr>
              <w:pStyle w:val="yTableNAm"/>
              <w:tabs>
                <w:tab w:val="left" w:pos="1006"/>
                <w:tab w:val="right" w:leader="dot" w:pos="6237"/>
              </w:tabs>
              <w:rPr>
                <w:sz w:val="20"/>
              </w:rPr>
            </w:pPr>
            <w:r>
              <w:rPr>
                <w:sz w:val="20"/>
              </w:rPr>
              <w:tab/>
              <w:t>(ii)</w:t>
            </w:r>
            <w:r>
              <w:rPr>
                <w:sz w:val="20"/>
              </w:rPr>
              <w:tab/>
              <w:t xml:space="preserve">if regulation 9F(2) does not apply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 w:val="right" w:leader="dot" w:pos="6237"/>
              </w:tabs>
              <w:ind w:right="48"/>
              <w:jc w:val="right"/>
              <w:rPr>
                <w:sz w:val="20"/>
              </w:rPr>
            </w:pPr>
            <w:r>
              <w:rPr>
                <w:sz w:val="20"/>
              </w:rPr>
              <w:br/>
            </w:r>
          </w:p>
          <w:p>
            <w:pPr>
              <w:pStyle w:val="yTableNAm"/>
              <w:tabs>
                <w:tab w:val="clear" w:pos="567"/>
                <w:tab w:val="right" w:pos="659"/>
                <w:tab w:val="right" w:leader="dot" w:pos="6237"/>
              </w:tabs>
              <w:ind w:right="48"/>
              <w:jc w:val="right"/>
              <w:rPr>
                <w:sz w:val="20"/>
              </w:rPr>
            </w:pPr>
            <w:r>
              <w:rPr>
                <w:sz w:val="20"/>
              </w:rPr>
              <w:t>54</w:t>
            </w:r>
          </w:p>
          <w:p>
            <w:pPr>
              <w:pStyle w:val="yTableNAm"/>
              <w:tabs>
                <w:tab w:val="clear" w:pos="567"/>
                <w:tab w:val="right" w:pos="659"/>
                <w:tab w:val="right" w:leader="dot" w:pos="6237"/>
              </w:tabs>
              <w:ind w:right="48"/>
              <w:jc w:val="right"/>
              <w:rPr>
                <w:sz w:val="20"/>
              </w:rPr>
            </w:pPr>
            <w:r>
              <w:rPr>
                <w:sz w:val="20"/>
              </w:rPr>
              <w:t>481</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16" w:hanging="516"/>
              <w:rPr>
                <w:sz w:val="20"/>
              </w:rPr>
            </w:pPr>
            <w:r>
              <w:rPr>
                <w:sz w:val="20"/>
              </w:rPr>
              <w:t>(b)</w:t>
            </w:r>
            <w:r>
              <w:rPr>
                <w:sz w:val="20"/>
              </w:rPr>
              <w:tab/>
              <w:t xml:space="preserve">issued for the purpose referred to in </w:t>
            </w:r>
            <w:r>
              <w:rPr>
                <w:sz w:val="20"/>
              </w:rPr>
              <w:br/>
              <w:t xml:space="preserve">section 60(4)(e) </w:t>
            </w:r>
            <w:r>
              <w:rPr>
                <w:sz w:val="20"/>
              </w:rPr>
              <w:tab/>
            </w:r>
          </w:p>
          <w:p>
            <w:pPr>
              <w:pStyle w:val="yTableNAm"/>
              <w:tabs>
                <w:tab w:val="clear" w:pos="567"/>
                <w:tab w:val="right" w:leader="dot" w:pos="6237"/>
              </w:tabs>
              <w:ind w:left="516" w:hanging="516"/>
              <w:rPr>
                <w:sz w:val="20"/>
              </w:rPr>
            </w:pPr>
            <w:r>
              <w:rPr>
                <w:sz w:val="20"/>
              </w:rPr>
              <w:t>(c)</w:t>
            </w:r>
            <w:r>
              <w:rPr>
                <w:sz w:val="20"/>
              </w:rPr>
              <w:tab/>
              <w:t xml:space="preserve">issued for the purpose referred to in </w:t>
            </w:r>
            <w:r>
              <w:rPr>
                <w:sz w:val="20"/>
              </w:rPr>
              <w:br/>
              <w:t xml:space="preserve">section 60(4)(h)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br/>
              <w:t>359</w:t>
            </w:r>
          </w:p>
          <w:p>
            <w:pPr>
              <w:pStyle w:val="yTableNAm"/>
              <w:tabs>
                <w:tab w:val="clear" w:pos="567"/>
                <w:tab w:val="right" w:pos="659"/>
              </w:tabs>
              <w:ind w:right="48"/>
              <w:jc w:val="right"/>
              <w:rPr>
                <w:sz w:val="20"/>
              </w:rPr>
            </w:pPr>
            <w:r>
              <w:rPr>
                <w:sz w:val="20"/>
              </w:rPr>
              <w:br/>
              <w:t>359</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943"/>
              </w:tabs>
              <w:ind w:left="518" w:hanging="518"/>
              <w:rPr>
                <w:sz w:val="20"/>
              </w:rPr>
            </w:pPr>
            <w:r>
              <w:rPr>
                <w:sz w:val="20"/>
              </w:rPr>
              <w:t>(d)</w:t>
            </w:r>
            <w:r>
              <w:rPr>
                <w:sz w:val="20"/>
              </w:rPr>
              <w:tab/>
              <w:t xml:space="preserve">issued for the purpose referred to in section 60(4)(ia) — </w:t>
            </w:r>
          </w:p>
          <w:p>
            <w:pPr>
              <w:pStyle w:val="yTableNAm"/>
              <w:tabs>
                <w:tab w:val="clear" w:pos="567"/>
                <w:tab w:val="left" w:pos="518"/>
                <w:tab w:val="right" w:leader="dot" w:pos="6237"/>
              </w:tabs>
              <w:ind w:left="941" w:hanging="941"/>
              <w:rPr>
                <w:sz w:val="20"/>
              </w:rPr>
            </w:pPr>
            <w:r>
              <w:rPr>
                <w:sz w:val="20"/>
              </w:rPr>
              <w:tab/>
              <w:t>(i)</w:t>
            </w:r>
            <w:r>
              <w:rPr>
                <w:sz w:val="20"/>
              </w:rPr>
              <w:tab/>
              <w:t xml:space="preserve">if no previous application for that purpose has been made by any licensee in respect of the relevant premises </w:t>
            </w:r>
            <w:r>
              <w:rPr>
                <w:sz w:val="20"/>
              </w:rPr>
              <w:tab/>
            </w:r>
          </w:p>
          <w:p>
            <w:pPr>
              <w:pStyle w:val="yTableNAm"/>
              <w:tabs>
                <w:tab w:val="clear" w:pos="567"/>
                <w:tab w:val="left" w:pos="518"/>
                <w:tab w:val="right" w:leader="dot" w:pos="6237"/>
              </w:tabs>
              <w:ind w:left="941" w:hanging="941"/>
              <w:rPr>
                <w:sz w:val="20"/>
              </w:rPr>
            </w:pPr>
            <w:r>
              <w:rPr>
                <w:sz w:val="20"/>
              </w:rPr>
              <w:tab/>
              <w:t>(ii)</w:t>
            </w:r>
            <w:r>
              <w:rPr>
                <w:sz w:val="20"/>
              </w:rPr>
              <w:tab/>
              <w:t xml:space="preserve">if subparagraph (i) does not apply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br/>
            </w:r>
          </w:p>
          <w:p>
            <w:pPr>
              <w:pStyle w:val="yTableNAm"/>
              <w:tabs>
                <w:tab w:val="clear" w:pos="567"/>
                <w:tab w:val="right" w:pos="659"/>
              </w:tabs>
              <w:ind w:right="48"/>
              <w:jc w:val="right"/>
              <w:rPr>
                <w:sz w:val="20"/>
              </w:rPr>
            </w:pPr>
            <w:r>
              <w:rPr>
                <w:sz w:val="20"/>
              </w:rPr>
              <w:br/>
            </w:r>
            <w:r>
              <w:rPr>
                <w:sz w:val="20"/>
              </w:rPr>
              <w:br/>
              <w:t>359</w:t>
            </w:r>
          </w:p>
          <w:p>
            <w:pPr>
              <w:pStyle w:val="yTableNAm"/>
              <w:tabs>
                <w:tab w:val="clear" w:pos="567"/>
                <w:tab w:val="right" w:pos="659"/>
              </w:tabs>
              <w:ind w:right="48"/>
              <w:jc w:val="right"/>
              <w:rPr>
                <w:sz w:val="20"/>
              </w:rPr>
            </w:pPr>
            <w:r>
              <w:rPr>
                <w:sz w:val="20"/>
              </w:rPr>
              <w:t>302</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rPr>
                <w:sz w:val="20"/>
              </w:rPr>
            </w:pPr>
            <w:r>
              <w:rPr>
                <w:sz w:val="20"/>
              </w:rPr>
              <w:t>(e)</w:t>
            </w:r>
            <w:r>
              <w:rPr>
                <w:sz w:val="20"/>
              </w:rPr>
              <w:tab/>
              <w:t xml:space="preserve">issued for any other purpose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1 206</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8.</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 xml:space="preserve">Application for extended trading permit (in respect of a licence other than a club restricted licence) for a period of 21 days or less if the anticipated number of patrons is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rPr>
                <w:sz w:val="20"/>
              </w:rPr>
            </w:pPr>
            <w:r>
              <w:rPr>
                <w:sz w:val="20"/>
              </w:rPr>
              <w:t>(a)</w:t>
            </w:r>
            <w:r>
              <w:rPr>
                <w:sz w:val="20"/>
              </w:rPr>
              <w:tab/>
              <w:t xml:space="preserve">up to 500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113</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rPr>
                <w:sz w:val="20"/>
              </w:rPr>
            </w:pPr>
            <w:r>
              <w:rPr>
                <w:sz w:val="20"/>
              </w:rPr>
              <w:t>(b)</w:t>
            </w:r>
            <w:r>
              <w:rPr>
                <w:sz w:val="20"/>
              </w:rPr>
              <w:tab/>
              <w:t xml:space="preserve">between 501 and 1 000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232</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rPr>
                <w:sz w:val="20"/>
              </w:rPr>
            </w:pPr>
            <w:r>
              <w:rPr>
                <w:sz w:val="20"/>
              </w:rPr>
              <w:t>(c)</w:t>
            </w:r>
            <w:r>
              <w:rPr>
                <w:sz w:val="20"/>
              </w:rPr>
              <w:tab/>
              <w:t xml:space="preserve">between 1 001 and 5 000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1 173</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rPr>
                <w:sz w:val="20"/>
              </w:rPr>
            </w:pPr>
            <w:r>
              <w:rPr>
                <w:sz w:val="20"/>
              </w:rPr>
              <w:t>(d)</w:t>
            </w:r>
            <w:r>
              <w:rPr>
                <w:sz w:val="20"/>
              </w:rPr>
              <w:tab/>
              <w:t xml:space="preserve">between 5 001 and 10 000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2 349</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rPr>
                <w:sz w:val="20"/>
              </w:rPr>
            </w:pPr>
            <w:r>
              <w:rPr>
                <w:sz w:val="20"/>
              </w:rPr>
              <w:t>(e)</w:t>
            </w:r>
            <w:r>
              <w:rPr>
                <w:sz w:val="20"/>
              </w:rPr>
              <w:tab/>
              <w:t xml:space="preserve">over 10 000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4 709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extended trading permit (in respect of a club restricted licence) for a period of 21 days or less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44</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10.</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rPr>
                <w:sz w:val="20"/>
              </w:rPr>
            </w:pPr>
            <w:r>
              <w:rPr>
                <w:sz w:val="20"/>
              </w:rPr>
              <w:t>(a)</w:t>
            </w:r>
            <w:r>
              <w:rPr>
                <w:sz w:val="20"/>
              </w:rPr>
              <w:tab/>
              <w:t xml:space="preserve">lodged under r. 14ADA(3)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184</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rPr>
                <w:sz w:val="20"/>
              </w:rPr>
            </w:pPr>
            <w:r>
              <w:rPr>
                <w:sz w:val="20"/>
              </w:rPr>
              <w:t>(b)</w:t>
            </w:r>
            <w:r>
              <w:rPr>
                <w:sz w:val="20"/>
              </w:rPr>
              <w:tab/>
              <w:t xml:space="preserve">lodged under r. 14ADA(4)(a)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61</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rPr>
                <w:sz w:val="20"/>
              </w:rPr>
            </w:pPr>
            <w:r>
              <w:rPr>
                <w:sz w:val="20"/>
              </w:rPr>
              <w:t>(c)</w:t>
            </w:r>
            <w:r>
              <w:rPr>
                <w:sz w:val="20"/>
              </w:rPr>
              <w:tab/>
              <w:t xml:space="preserve">lodged under r. 14ADA(4)(b)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16</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11.</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 xml:space="preserve">Application for renewal of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52"/>
                <w:tab w:val="right" w:leader="dot" w:pos="6237"/>
              </w:tabs>
              <w:rPr>
                <w:sz w:val="20"/>
              </w:rPr>
            </w:pPr>
            <w:r>
              <w:rPr>
                <w:sz w:val="20"/>
              </w:rPr>
              <w:t>(a)</w:t>
            </w:r>
            <w:r>
              <w:rPr>
                <w:sz w:val="20"/>
              </w:rPr>
              <w:tab/>
              <w:t xml:space="preserve">lodged under r. 14ADD(3)(a)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166</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rPr>
                <w:sz w:val="20"/>
              </w:rPr>
            </w:pPr>
            <w:r>
              <w:rPr>
                <w:sz w:val="20"/>
              </w:rPr>
              <w:t>(b)</w:t>
            </w:r>
            <w:r>
              <w:rPr>
                <w:sz w:val="20"/>
              </w:rPr>
              <w:tab/>
              <w:t xml:space="preserve">lodged under r. 14ADD(3)(b)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130</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12.</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58"/>
                <w:tab w:val="right" w:leader="dot" w:pos="6237"/>
              </w:tabs>
              <w:rPr>
                <w:sz w:val="20"/>
              </w:rPr>
            </w:pPr>
            <w:r>
              <w:rPr>
                <w:sz w:val="20"/>
              </w:rPr>
              <w:t>(a)</w:t>
            </w:r>
            <w:r>
              <w:rPr>
                <w:sz w:val="20"/>
              </w:rPr>
              <w:tab/>
              <w:t xml:space="preserve">lodged under r. 14ADF(2)(b)(i)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53</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rPr>
                <w:sz w:val="20"/>
              </w:rPr>
            </w:pPr>
            <w:r>
              <w:rPr>
                <w:sz w:val="20"/>
              </w:rPr>
              <w:t>(b)</w:t>
            </w:r>
            <w:r>
              <w:rPr>
                <w:sz w:val="20"/>
              </w:rPr>
              <w:tab/>
              <w:t xml:space="preserve">lodged under r. 14ADF(2)(b)(ii)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10</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13.</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br/>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8" w:hanging="558"/>
              <w:rPr>
                <w:sz w:val="20"/>
              </w:rPr>
            </w:pPr>
            <w:r>
              <w:rPr>
                <w:sz w:val="20"/>
              </w:rPr>
              <w:t>(a)</w:t>
            </w:r>
            <w:r>
              <w:rPr>
                <w:sz w:val="20"/>
              </w:rPr>
              <w:tab/>
              <w:t xml:space="preserve">under licence other than club licence or club restricted licence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br/>
              <w:t>163</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rPr>
                <w:sz w:val="20"/>
              </w:rPr>
            </w:pPr>
            <w:r>
              <w:rPr>
                <w:sz w:val="20"/>
              </w:rPr>
              <w:t>(b)</w:t>
            </w:r>
            <w:r>
              <w:rPr>
                <w:sz w:val="20"/>
              </w:rPr>
              <w:tab/>
              <w:t xml:space="preserve">under club licence or club restricted licence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112</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approval for alteration or redefinition of licensed premises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411</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15.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a protection order under section 87(1)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239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duplicate licence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36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approval of change of name of licensed premises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75</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18.</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rPr>
                <w:sz w:val="20"/>
              </w:rPr>
            </w:pPr>
            <w:r>
              <w:rPr>
                <w:sz w:val="20"/>
              </w:rPr>
              <w:t>(a)</w:t>
            </w:r>
            <w:r>
              <w:rPr>
                <w:sz w:val="20"/>
              </w:rPr>
              <w:tab/>
              <w:t xml:space="preserve">for a period of over 21 days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245</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rPr>
                <w:sz w:val="20"/>
              </w:rPr>
            </w:pPr>
            <w:r>
              <w:rPr>
                <w:sz w:val="20"/>
              </w:rPr>
              <w:t>(b)</w:t>
            </w:r>
            <w:r>
              <w:rPr>
                <w:sz w:val="20"/>
              </w:rPr>
              <w:tab/>
              <w:t xml:space="preserve">for a period of 21 days or less if the anticipated number of patrons is — </w:t>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rPr>
                <w:sz w:val="20"/>
              </w:rPr>
            </w:pPr>
            <w:r>
              <w:rPr>
                <w:sz w:val="20"/>
              </w:rPr>
              <w:tab/>
              <w:t>(i)</w:t>
            </w:r>
            <w:r>
              <w:rPr>
                <w:sz w:val="20"/>
              </w:rPr>
              <w:tab/>
              <w:t xml:space="preserve">up to 500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113</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rPr>
                <w:sz w:val="20"/>
              </w:rPr>
            </w:pPr>
            <w:r>
              <w:rPr>
                <w:sz w:val="20"/>
              </w:rPr>
              <w:tab/>
              <w:t>(ii)</w:t>
            </w:r>
            <w:r>
              <w:rPr>
                <w:sz w:val="20"/>
              </w:rPr>
              <w:tab/>
              <w:t xml:space="preserve">between 501 and 1 000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232</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rPr>
                <w:sz w:val="20"/>
              </w:rPr>
            </w:pPr>
            <w:r>
              <w:rPr>
                <w:sz w:val="20"/>
              </w:rPr>
              <w:tab/>
              <w:t>(iii)</w:t>
            </w:r>
            <w:r>
              <w:rPr>
                <w:sz w:val="20"/>
              </w:rPr>
              <w:tab/>
              <w:t xml:space="preserve">between 1 001 and 5 000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1 173</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rPr>
                <w:sz w:val="20"/>
              </w:rPr>
            </w:pPr>
            <w:r>
              <w:rPr>
                <w:sz w:val="20"/>
              </w:rPr>
              <w:tab/>
              <w:t>(iv)</w:t>
            </w:r>
            <w:r>
              <w:rPr>
                <w:sz w:val="20"/>
              </w:rPr>
              <w:tab/>
              <w:t xml:space="preserve">between 5 001 and 10 000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2 349</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rPr>
                <w:sz w:val="20"/>
              </w:rPr>
            </w:pPr>
            <w:r>
              <w:rPr>
                <w:sz w:val="20"/>
              </w:rPr>
              <w:tab/>
              <w:t>(v)</w:t>
            </w:r>
            <w:r>
              <w:rPr>
                <w:sz w:val="20"/>
              </w:rPr>
              <w:tab/>
              <w:t xml:space="preserve">over 10 000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4 709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to add, vary or cancel condition of club restricted licence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45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20.</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under section 62(6) to vary any plans or specifications the subject of a condition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285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21.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approval of agreement or arrangement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239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22.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under section 115AD for review of decision to give notice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250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23.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Application under section 119A for approval to conduct non</w:t>
            </w:r>
            <w:r>
              <w:rPr>
                <w:sz w:val="20"/>
              </w:rPr>
              <w:noBreakHyphen/>
              <w:t xml:space="preserve">liquor business on licensed premises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227</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24.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under section 152W(3), other than by an occupier of premises, for a liquor restriction declaration in relation to the premises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r>
            <w:r>
              <w:rPr>
                <w:sz w:val="20"/>
              </w:rPr>
              <w:br/>
              <w:t>272</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keepNext/>
              <w:rPr>
                <w:sz w:val="20"/>
              </w:rPr>
            </w:pPr>
            <w:r>
              <w:rPr>
                <w:sz w:val="20"/>
              </w:rPr>
              <w:t>25.</w:t>
            </w:r>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rPr>
                <w:sz w:val="20"/>
              </w:rPr>
            </w:pPr>
            <w:r>
              <w:rPr>
                <w:sz w:val="20"/>
              </w:rPr>
              <w:t xml:space="preserve">Application under section 126A for approval of entertainment for juveniles on licensed premises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pos="659"/>
              </w:tabs>
              <w:ind w:right="48"/>
              <w:jc w:val="right"/>
              <w:rPr>
                <w:sz w:val="20"/>
              </w:rPr>
            </w:pPr>
            <w:r>
              <w:rPr>
                <w:sz w:val="20"/>
              </w:rPr>
              <w:br/>
              <w:t>66</w:t>
            </w:r>
          </w:p>
        </w:tc>
      </w:tr>
      <w:tr>
        <w:trPr>
          <w:cantSplit/>
        </w:trPr>
        <w:tc>
          <w:tcPr>
            <w:tcW w:w="684" w:type="dxa"/>
          </w:tcPr>
          <w:p>
            <w:pPr>
              <w:pStyle w:val="yTableNAm"/>
              <w:rPr>
                <w:sz w:val="20"/>
              </w:rPr>
            </w:pPr>
            <w:r>
              <w:rPr>
                <w:sz w:val="20"/>
              </w:rPr>
              <w:t>26.</w:t>
            </w:r>
          </w:p>
        </w:tc>
        <w:tc>
          <w:tcPr>
            <w:tcW w:w="5529" w:type="dxa"/>
          </w:tcPr>
          <w:p>
            <w:pPr>
              <w:pStyle w:val="yTableNAm"/>
              <w:tabs>
                <w:tab w:val="clear" w:pos="567"/>
                <w:tab w:val="right" w:leader="dot" w:pos="6237"/>
              </w:tabs>
              <w:rPr>
                <w:sz w:val="20"/>
              </w:rPr>
            </w:pPr>
            <w:r>
              <w:rPr>
                <w:sz w:val="20"/>
              </w:rPr>
              <w:t xml:space="preserve">Supply of a list of licensed premises or a list of owners of licensed premises </w:t>
            </w:r>
            <w:r>
              <w:rPr>
                <w:sz w:val="20"/>
              </w:rPr>
              <w:tab/>
            </w:r>
          </w:p>
        </w:tc>
        <w:tc>
          <w:tcPr>
            <w:tcW w:w="855" w:type="dxa"/>
          </w:tcPr>
          <w:p>
            <w:pPr>
              <w:pStyle w:val="yTableNAm"/>
              <w:tabs>
                <w:tab w:val="clear" w:pos="567"/>
                <w:tab w:val="right" w:pos="659"/>
              </w:tabs>
              <w:ind w:right="48"/>
              <w:jc w:val="right"/>
              <w:rPr>
                <w:sz w:val="20"/>
              </w:rPr>
            </w:pPr>
            <w:r>
              <w:rPr>
                <w:sz w:val="20"/>
              </w:rPr>
              <w:br/>
              <w:t>91</w:t>
            </w:r>
          </w:p>
        </w:tc>
      </w:tr>
      <w:tr>
        <w:trPr>
          <w:cantSplit/>
        </w:trPr>
        <w:tc>
          <w:tcPr>
            <w:tcW w:w="684" w:type="dxa"/>
          </w:tcPr>
          <w:p>
            <w:pPr>
              <w:pStyle w:val="yTableNAm"/>
              <w:rPr>
                <w:sz w:val="20"/>
              </w:rPr>
            </w:pPr>
            <w:r>
              <w:rPr>
                <w:sz w:val="20"/>
              </w:rPr>
              <w:t>27.</w:t>
            </w:r>
          </w:p>
        </w:tc>
        <w:tc>
          <w:tcPr>
            <w:tcW w:w="5529" w:type="dxa"/>
          </w:tcPr>
          <w:p>
            <w:pPr>
              <w:pStyle w:val="yTableNAm"/>
              <w:tabs>
                <w:tab w:val="clear" w:pos="567"/>
                <w:tab w:val="right" w:leader="dot" w:pos="6237"/>
              </w:tabs>
              <w:rPr>
                <w:sz w:val="20"/>
              </w:rPr>
            </w:pPr>
            <w:r>
              <w:rPr>
                <w:sz w:val="20"/>
              </w:rPr>
              <w:t xml:space="preserve">Supply of a list of licensed premises on computer disk </w:t>
            </w:r>
            <w:r>
              <w:rPr>
                <w:sz w:val="20"/>
              </w:rPr>
              <w:tab/>
            </w:r>
          </w:p>
        </w:tc>
        <w:tc>
          <w:tcPr>
            <w:tcW w:w="855" w:type="dxa"/>
          </w:tcPr>
          <w:p>
            <w:pPr>
              <w:pStyle w:val="yTableNAm"/>
              <w:tabs>
                <w:tab w:val="clear" w:pos="567"/>
                <w:tab w:val="right" w:pos="659"/>
              </w:tabs>
              <w:ind w:right="48"/>
              <w:jc w:val="right"/>
              <w:rPr>
                <w:rFonts w:ascii="Arial" w:hAnsi="Arial"/>
                <w:sz w:val="20"/>
              </w:rPr>
            </w:pPr>
            <w:r>
              <w:rPr>
                <w:sz w:val="20"/>
              </w:rPr>
              <w:t>60</w:t>
            </w:r>
          </w:p>
        </w:tc>
      </w:tr>
      <w:tr>
        <w:trPr>
          <w:cantSplit/>
        </w:trPr>
        <w:tc>
          <w:tcPr>
            <w:tcW w:w="684" w:type="dxa"/>
          </w:tcPr>
          <w:p>
            <w:pPr>
              <w:pStyle w:val="yTableNAm"/>
              <w:rPr>
                <w:sz w:val="20"/>
              </w:rPr>
            </w:pPr>
            <w:r>
              <w:rPr>
                <w:sz w:val="20"/>
              </w:rPr>
              <w:t>28.</w:t>
            </w:r>
          </w:p>
        </w:tc>
        <w:tc>
          <w:tcPr>
            <w:tcW w:w="5529" w:type="dxa"/>
          </w:tcPr>
          <w:p>
            <w:pPr>
              <w:pStyle w:val="yTableNAm"/>
              <w:tabs>
                <w:tab w:val="clear" w:pos="567"/>
                <w:tab w:val="right" w:leader="dot" w:pos="6237"/>
              </w:tabs>
              <w:rPr>
                <w:sz w:val="20"/>
              </w:rPr>
            </w:pPr>
            <w:r>
              <w:rPr>
                <w:sz w:val="20"/>
              </w:rPr>
              <w:t xml:space="preserve">Supply of address labels for licensed premises </w:t>
            </w:r>
            <w:r>
              <w:rPr>
                <w:sz w:val="20"/>
              </w:rPr>
              <w:tab/>
            </w:r>
          </w:p>
        </w:tc>
        <w:tc>
          <w:tcPr>
            <w:tcW w:w="855" w:type="dxa"/>
          </w:tcPr>
          <w:p>
            <w:pPr>
              <w:pStyle w:val="yTableNAm"/>
              <w:tabs>
                <w:tab w:val="clear" w:pos="567"/>
                <w:tab w:val="right" w:pos="659"/>
              </w:tabs>
              <w:ind w:right="48"/>
              <w:jc w:val="right"/>
              <w:rPr>
                <w:sz w:val="20"/>
              </w:rPr>
            </w:pPr>
            <w:r>
              <w:rPr>
                <w:sz w:val="20"/>
              </w:rPr>
              <w:t>146</w:t>
            </w:r>
          </w:p>
        </w:tc>
      </w:tr>
      <w:tr>
        <w:trPr>
          <w:cantSplit/>
        </w:trPr>
        <w:tc>
          <w:tcPr>
            <w:tcW w:w="684" w:type="dxa"/>
          </w:tcPr>
          <w:p>
            <w:pPr>
              <w:pStyle w:val="yTableNAm"/>
              <w:rPr>
                <w:sz w:val="20"/>
              </w:rPr>
            </w:pPr>
            <w:r>
              <w:rPr>
                <w:sz w:val="20"/>
              </w:rPr>
              <w:t>29.</w:t>
            </w:r>
          </w:p>
        </w:tc>
        <w:tc>
          <w:tcPr>
            <w:tcW w:w="5529" w:type="dxa"/>
          </w:tcPr>
          <w:p>
            <w:pPr>
              <w:pStyle w:val="yTableNAm"/>
              <w:tabs>
                <w:tab w:val="clear" w:pos="567"/>
                <w:tab w:val="right" w:leader="dot" w:pos="6237"/>
              </w:tabs>
              <w:rPr>
                <w:sz w:val="20"/>
              </w:rPr>
            </w:pPr>
            <w:r>
              <w:rPr>
                <w:sz w:val="20"/>
              </w:rPr>
              <w:t xml:space="preserve">Supply of approved heading for advertising an application </w:t>
            </w:r>
            <w:r>
              <w:rPr>
                <w:sz w:val="20"/>
              </w:rPr>
              <w:tab/>
            </w:r>
          </w:p>
        </w:tc>
        <w:tc>
          <w:tcPr>
            <w:tcW w:w="855" w:type="dxa"/>
          </w:tcPr>
          <w:p>
            <w:pPr>
              <w:pStyle w:val="yTableNAm"/>
              <w:tabs>
                <w:tab w:val="clear" w:pos="567"/>
                <w:tab w:val="right" w:pos="659"/>
              </w:tabs>
              <w:ind w:right="48"/>
              <w:jc w:val="right"/>
              <w:rPr>
                <w:sz w:val="20"/>
              </w:rPr>
            </w:pPr>
            <w:r>
              <w:rPr>
                <w:sz w:val="20"/>
              </w:rPr>
              <w:t>28</w:t>
            </w:r>
          </w:p>
        </w:tc>
      </w:tr>
      <w:tr>
        <w:trPr>
          <w:cantSplit/>
        </w:trPr>
        <w:tc>
          <w:tcPr>
            <w:tcW w:w="684" w:type="dxa"/>
          </w:tcPr>
          <w:p>
            <w:pPr>
              <w:pStyle w:val="yTableNAm"/>
              <w:rPr>
                <w:sz w:val="20"/>
              </w:rPr>
            </w:pPr>
            <w:r>
              <w:rPr>
                <w:sz w:val="20"/>
              </w:rPr>
              <w:t>30.</w:t>
            </w:r>
          </w:p>
        </w:tc>
        <w:tc>
          <w:tcPr>
            <w:tcW w:w="5529" w:type="dxa"/>
          </w:tcPr>
          <w:p>
            <w:pPr>
              <w:pStyle w:val="yTableNAm"/>
              <w:tabs>
                <w:tab w:val="clear" w:pos="567"/>
                <w:tab w:val="right" w:leader="dot" w:pos="6237"/>
              </w:tabs>
              <w:rPr>
                <w:sz w:val="20"/>
              </w:rPr>
            </w:pPr>
            <w:r>
              <w:rPr>
                <w:sz w:val="20"/>
              </w:rPr>
              <w:t xml:space="preserve">Supply of copy of plan — for each sheet </w:t>
            </w:r>
            <w:r>
              <w:rPr>
                <w:sz w:val="20"/>
              </w:rPr>
              <w:tab/>
            </w:r>
          </w:p>
        </w:tc>
        <w:tc>
          <w:tcPr>
            <w:tcW w:w="855" w:type="dxa"/>
          </w:tcPr>
          <w:p>
            <w:pPr>
              <w:pStyle w:val="yTableNAm"/>
              <w:tabs>
                <w:tab w:val="clear" w:pos="567"/>
                <w:tab w:val="right" w:pos="659"/>
              </w:tabs>
              <w:ind w:right="48"/>
              <w:jc w:val="right"/>
              <w:rPr>
                <w:sz w:val="20"/>
              </w:rPr>
            </w:pPr>
            <w:r>
              <w:rPr>
                <w:sz w:val="20"/>
              </w:rPr>
              <w:t>28</w:t>
            </w:r>
            <w:r>
              <w:rPr>
                <w:sz w:val="20"/>
              </w:rPr>
              <w:br/>
              <w:t>(up to a max. of 224)</w:t>
            </w:r>
          </w:p>
        </w:tc>
      </w:tr>
      <w:tr>
        <w:trPr>
          <w:cantSplit/>
        </w:trPr>
        <w:tc>
          <w:tcPr>
            <w:tcW w:w="684" w:type="dxa"/>
          </w:tcPr>
          <w:p>
            <w:pPr>
              <w:pStyle w:val="yTableNAm"/>
              <w:rPr>
                <w:sz w:val="20"/>
              </w:rPr>
            </w:pPr>
            <w:r>
              <w:rPr>
                <w:sz w:val="20"/>
              </w:rPr>
              <w:t>31.</w:t>
            </w:r>
          </w:p>
        </w:tc>
        <w:tc>
          <w:tcPr>
            <w:tcW w:w="5529" w:type="dxa"/>
          </w:tcPr>
          <w:p>
            <w:pPr>
              <w:pStyle w:val="yTableNAm"/>
              <w:tabs>
                <w:tab w:val="clear" w:pos="567"/>
                <w:tab w:val="right" w:leader="dot" w:pos="6237"/>
              </w:tabs>
              <w:rPr>
                <w:sz w:val="20"/>
              </w:rPr>
            </w:pPr>
            <w:r>
              <w:rPr>
                <w:sz w:val="20"/>
              </w:rPr>
              <w:t xml:space="preserve">Supply of certified copy of plan defining licensed premises </w:t>
            </w:r>
          </w:p>
        </w:tc>
        <w:tc>
          <w:tcPr>
            <w:tcW w:w="855" w:type="dxa"/>
          </w:tcPr>
          <w:p>
            <w:pPr>
              <w:pStyle w:val="yTableNAm"/>
              <w:tabs>
                <w:tab w:val="clear" w:pos="567"/>
                <w:tab w:val="right" w:pos="659"/>
              </w:tabs>
              <w:ind w:right="48"/>
              <w:jc w:val="right"/>
              <w:rPr>
                <w:sz w:val="20"/>
              </w:rPr>
            </w:pPr>
            <w:r>
              <w:rPr>
                <w:sz w:val="20"/>
              </w:rPr>
              <w:t>41</w:t>
            </w:r>
          </w:p>
        </w:tc>
      </w:tr>
      <w:tr>
        <w:trPr>
          <w:cantSplit/>
        </w:trPr>
        <w:tc>
          <w:tcPr>
            <w:tcW w:w="684" w:type="dxa"/>
          </w:tcPr>
          <w:p>
            <w:pPr>
              <w:pStyle w:val="yTableNAm"/>
              <w:rPr>
                <w:sz w:val="20"/>
              </w:rPr>
            </w:pPr>
            <w:r>
              <w:rPr>
                <w:sz w:val="20"/>
              </w:rPr>
              <w:t>32.</w:t>
            </w:r>
          </w:p>
        </w:tc>
        <w:tc>
          <w:tcPr>
            <w:tcW w:w="5529" w:type="dxa"/>
          </w:tcPr>
          <w:p>
            <w:pPr>
              <w:pStyle w:val="yTableNAm"/>
              <w:tabs>
                <w:tab w:val="clear" w:pos="567"/>
                <w:tab w:val="right" w:leader="dot" w:pos="6237"/>
              </w:tabs>
              <w:rPr>
                <w:sz w:val="20"/>
              </w:rPr>
            </w:pPr>
            <w:r>
              <w:rPr>
                <w:sz w:val="20"/>
              </w:rPr>
              <w:t xml:space="preserve">Supply of copy of a licence, a permit or a decision of the Commission (or the former Liquor Licensing Court) or the Director </w:t>
            </w:r>
            <w:r>
              <w:rPr>
                <w:sz w:val="20"/>
              </w:rPr>
              <w:tab/>
            </w:r>
          </w:p>
        </w:tc>
        <w:tc>
          <w:tcPr>
            <w:tcW w:w="855" w:type="dxa"/>
          </w:tcPr>
          <w:p>
            <w:pPr>
              <w:pStyle w:val="yTableNAm"/>
              <w:tabs>
                <w:tab w:val="clear" w:pos="567"/>
                <w:tab w:val="right" w:pos="659"/>
              </w:tabs>
              <w:ind w:right="48"/>
              <w:jc w:val="right"/>
              <w:rPr>
                <w:sz w:val="20"/>
              </w:rPr>
            </w:pPr>
            <w:r>
              <w:rPr>
                <w:sz w:val="20"/>
              </w:rPr>
              <w:br/>
            </w:r>
            <w:r>
              <w:rPr>
                <w:sz w:val="20"/>
              </w:rPr>
              <w:br/>
              <w:t>28</w:t>
            </w:r>
          </w:p>
        </w:tc>
      </w:tr>
      <w:tr>
        <w:trPr>
          <w:cantSplit/>
        </w:trPr>
        <w:tc>
          <w:tcPr>
            <w:tcW w:w="684" w:type="dxa"/>
          </w:tcPr>
          <w:p>
            <w:pPr>
              <w:pStyle w:val="yTableNAm"/>
              <w:rPr>
                <w:sz w:val="20"/>
              </w:rPr>
            </w:pPr>
            <w:r>
              <w:rPr>
                <w:sz w:val="20"/>
              </w:rPr>
              <w:t>33.</w:t>
            </w:r>
          </w:p>
        </w:tc>
        <w:tc>
          <w:tcPr>
            <w:tcW w:w="5529" w:type="dxa"/>
          </w:tcPr>
          <w:p>
            <w:pPr>
              <w:pStyle w:val="yTableNAm"/>
              <w:tabs>
                <w:tab w:val="clear" w:pos="567"/>
                <w:tab w:val="right" w:leader="dot" w:pos="6237"/>
              </w:tabs>
              <w:rPr>
                <w:sz w:val="20"/>
              </w:rPr>
            </w:pPr>
            <w:r>
              <w:rPr>
                <w:sz w:val="20"/>
              </w:rPr>
              <w:t xml:space="preserve">For the certification of a copy of a licence, a permit or a decision of the Commission (or the former Liquor Licensing Court) or the Director </w:t>
            </w:r>
            <w:r>
              <w:rPr>
                <w:sz w:val="20"/>
              </w:rPr>
              <w:tab/>
            </w:r>
          </w:p>
          <w:p>
            <w:pPr>
              <w:pStyle w:val="yTableNAm"/>
              <w:tabs>
                <w:tab w:val="clear" w:pos="567"/>
                <w:tab w:val="right" w:leader="dot" w:pos="6237"/>
              </w:tabs>
              <w:rPr>
                <w:sz w:val="20"/>
              </w:rPr>
            </w:pPr>
            <w:r>
              <w:rPr>
                <w:sz w:val="20"/>
              </w:rPr>
              <w:t>[In addition to the fee under item 32]</w:t>
            </w:r>
          </w:p>
        </w:tc>
        <w:tc>
          <w:tcPr>
            <w:tcW w:w="855" w:type="dxa"/>
          </w:tcPr>
          <w:p>
            <w:pPr>
              <w:pStyle w:val="yTableNAm"/>
              <w:tabs>
                <w:tab w:val="clear" w:pos="567"/>
                <w:tab w:val="right" w:pos="659"/>
              </w:tabs>
              <w:ind w:right="48"/>
              <w:jc w:val="right"/>
              <w:rPr>
                <w:sz w:val="20"/>
              </w:rPr>
            </w:pPr>
            <w:r>
              <w:rPr>
                <w:sz w:val="20"/>
              </w:rPr>
              <w:br/>
            </w:r>
            <w:r>
              <w:rPr>
                <w:sz w:val="20"/>
              </w:rPr>
              <w:br/>
              <w:t>28</w:t>
            </w:r>
          </w:p>
        </w:tc>
      </w:tr>
      <w:tr>
        <w:trPr>
          <w:cantSplit/>
        </w:trPr>
        <w:tc>
          <w:tcPr>
            <w:tcW w:w="684" w:type="dxa"/>
          </w:tcPr>
          <w:p>
            <w:pPr>
              <w:pStyle w:val="yTableNAm"/>
              <w:rPr>
                <w:sz w:val="20"/>
              </w:rPr>
            </w:pPr>
            <w:r>
              <w:rPr>
                <w:sz w:val="20"/>
              </w:rPr>
              <w:t>34.</w:t>
            </w:r>
          </w:p>
        </w:tc>
        <w:tc>
          <w:tcPr>
            <w:tcW w:w="5529" w:type="dxa"/>
          </w:tcPr>
          <w:p>
            <w:pPr>
              <w:pStyle w:val="yTableNAm"/>
              <w:tabs>
                <w:tab w:val="clear" w:pos="567"/>
                <w:tab w:val="right" w:leader="dot" w:pos="6237"/>
              </w:tabs>
              <w:rPr>
                <w:sz w:val="20"/>
              </w:rPr>
            </w:pPr>
            <w:r>
              <w:rPr>
                <w:sz w:val="20"/>
              </w:rPr>
              <w:t xml:space="preserve">Supply of copy of documentation, other than that already prescribed, per page </w:t>
            </w:r>
            <w:r>
              <w:rPr>
                <w:sz w:val="20"/>
              </w:rPr>
              <w:tab/>
            </w:r>
          </w:p>
        </w:tc>
        <w:tc>
          <w:tcPr>
            <w:tcW w:w="855" w:type="dxa"/>
          </w:tcPr>
          <w:p>
            <w:pPr>
              <w:pStyle w:val="yTableNAm"/>
              <w:tabs>
                <w:tab w:val="clear" w:pos="567"/>
                <w:tab w:val="right" w:pos="659"/>
              </w:tabs>
              <w:ind w:right="48"/>
              <w:jc w:val="right"/>
              <w:rPr>
                <w:sz w:val="20"/>
              </w:rPr>
            </w:pPr>
            <w:r>
              <w:rPr>
                <w:sz w:val="20"/>
              </w:rPr>
              <w:br/>
              <w:t>4</w:t>
            </w:r>
          </w:p>
        </w:tc>
      </w:tr>
      <w:tr>
        <w:trPr>
          <w:cantSplit/>
        </w:trPr>
        <w:tc>
          <w:tcPr>
            <w:tcW w:w="684" w:type="dxa"/>
          </w:tcPr>
          <w:p>
            <w:pPr>
              <w:pStyle w:val="yTableNAm"/>
              <w:rPr>
                <w:sz w:val="20"/>
              </w:rPr>
            </w:pPr>
            <w:r>
              <w:rPr>
                <w:sz w:val="20"/>
              </w:rPr>
              <w:t>35.</w:t>
            </w:r>
          </w:p>
        </w:tc>
        <w:tc>
          <w:tcPr>
            <w:tcW w:w="5529" w:type="dxa"/>
          </w:tcPr>
          <w:p>
            <w:pPr>
              <w:pStyle w:val="yTableNAm"/>
              <w:tabs>
                <w:tab w:val="clear" w:pos="567"/>
                <w:tab w:val="right" w:leader="dot" w:pos="6237"/>
              </w:tabs>
              <w:rPr>
                <w:sz w:val="20"/>
              </w:rPr>
            </w:pPr>
            <w:r>
              <w:rPr>
                <w:sz w:val="20"/>
              </w:rPr>
              <w:t xml:space="preserve">Issue of a summons to a witness </w:t>
            </w:r>
            <w:r>
              <w:rPr>
                <w:sz w:val="20"/>
              </w:rPr>
              <w:tab/>
            </w:r>
          </w:p>
        </w:tc>
        <w:tc>
          <w:tcPr>
            <w:tcW w:w="855" w:type="dxa"/>
          </w:tcPr>
          <w:p>
            <w:pPr>
              <w:pStyle w:val="yTableNAm"/>
              <w:tabs>
                <w:tab w:val="clear" w:pos="567"/>
                <w:tab w:val="right" w:pos="659"/>
              </w:tabs>
              <w:ind w:right="48"/>
              <w:jc w:val="right"/>
              <w:rPr>
                <w:sz w:val="20"/>
              </w:rPr>
            </w:pPr>
            <w:r>
              <w:rPr>
                <w:sz w:val="20"/>
              </w:rPr>
              <w:t>23</w:t>
            </w:r>
          </w:p>
        </w:tc>
      </w:tr>
      <w:tr>
        <w:trPr>
          <w:cantSplit/>
        </w:trPr>
        <w:tc>
          <w:tcPr>
            <w:tcW w:w="684" w:type="dxa"/>
          </w:tcPr>
          <w:p>
            <w:pPr>
              <w:pStyle w:val="yTableNAm"/>
              <w:rPr>
                <w:sz w:val="20"/>
              </w:rPr>
            </w:pPr>
            <w:r>
              <w:rPr>
                <w:sz w:val="20"/>
              </w:rPr>
              <w:t>36.</w:t>
            </w:r>
          </w:p>
        </w:tc>
        <w:tc>
          <w:tcPr>
            <w:tcW w:w="5529" w:type="dxa"/>
          </w:tcPr>
          <w:p>
            <w:pPr>
              <w:pStyle w:val="yTableNAm"/>
              <w:tabs>
                <w:tab w:val="clear" w:pos="567"/>
                <w:tab w:val="right" w:leader="dot" w:pos="6237"/>
              </w:tabs>
              <w:rPr>
                <w:sz w:val="20"/>
              </w:rPr>
            </w:pPr>
            <w:r>
              <w:rPr>
                <w:sz w:val="20"/>
              </w:rPr>
              <w:t xml:space="preserve">For a search of the database of records of licences — per licence </w:t>
            </w:r>
            <w:r>
              <w:rPr>
                <w:sz w:val="20"/>
              </w:rPr>
              <w:tab/>
            </w:r>
          </w:p>
        </w:tc>
        <w:tc>
          <w:tcPr>
            <w:tcW w:w="855" w:type="dxa"/>
          </w:tcPr>
          <w:p>
            <w:pPr>
              <w:pStyle w:val="yTableNAm"/>
              <w:tabs>
                <w:tab w:val="clear" w:pos="567"/>
                <w:tab w:val="right" w:pos="659"/>
              </w:tabs>
              <w:ind w:right="48"/>
              <w:jc w:val="right"/>
              <w:rPr>
                <w:sz w:val="20"/>
              </w:rPr>
            </w:pPr>
            <w:r>
              <w:rPr>
                <w:sz w:val="20"/>
              </w:rPr>
              <w:br/>
              <w:t>41</w:t>
            </w:r>
          </w:p>
        </w:tc>
      </w:tr>
      <w:tr>
        <w:trPr>
          <w:cantSplit/>
        </w:trPr>
        <w:tc>
          <w:tcPr>
            <w:tcW w:w="684" w:type="dxa"/>
          </w:tcPr>
          <w:p>
            <w:pPr>
              <w:pStyle w:val="yTableNAm"/>
              <w:rPr>
                <w:sz w:val="20"/>
              </w:rPr>
            </w:pPr>
            <w:r>
              <w:rPr>
                <w:sz w:val="20"/>
              </w:rPr>
              <w:t>37.</w:t>
            </w:r>
          </w:p>
        </w:tc>
        <w:tc>
          <w:tcPr>
            <w:tcW w:w="5529" w:type="dxa"/>
          </w:tcPr>
          <w:p>
            <w:pPr>
              <w:pStyle w:val="yTableNAm"/>
              <w:tabs>
                <w:tab w:val="clear" w:pos="567"/>
                <w:tab w:val="right" w:leader="dot" w:pos="6237"/>
              </w:tabs>
              <w:rPr>
                <w:sz w:val="20"/>
              </w:rPr>
            </w:pPr>
            <w:r>
              <w:rPr>
                <w:sz w:val="20"/>
              </w:rPr>
              <w:t xml:space="preserve">For a full search of a licence record </w:t>
            </w:r>
            <w:r>
              <w:rPr>
                <w:sz w:val="20"/>
              </w:rPr>
              <w:tab/>
            </w:r>
          </w:p>
        </w:tc>
        <w:tc>
          <w:tcPr>
            <w:tcW w:w="855" w:type="dxa"/>
          </w:tcPr>
          <w:p>
            <w:pPr>
              <w:pStyle w:val="yTableNAm"/>
              <w:tabs>
                <w:tab w:val="clear" w:pos="567"/>
                <w:tab w:val="right" w:pos="659"/>
              </w:tabs>
              <w:ind w:right="48"/>
              <w:jc w:val="right"/>
              <w:rPr>
                <w:sz w:val="20"/>
              </w:rPr>
            </w:pPr>
            <w:r>
              <w:rPr>
                <w:sz w:val="20"/>
              </w:rPr>
              <w:t>53</w:t>
            </w:r>
          </w:p>
        </w:tc>
      </w:tr>
      <w:tr>
        <w:trPr>
          <w:cantSplit/>
        </w:trPr>
        <w:tc>
          <w:tcPr>
            <w:tcW w:w="684" w:type="dxa"/>
            <w:tcBorders>
              <w:bottom w:val="nil"/>
            </w:tcBorders>
          </w:tcPr>
          <w:p>
            <w:pPr>
              <w:pStyle w:val="yTableNAm"/>
              <w:rPr>
                <w:sz w:val="20"/>
              </w:rPr>
            </w:pPr>
            <w:r>
              <w:rPr>
                <w:sz w:val="20"/>
              </w:rPr>
              <w:t>38.</w:t>
            </w:r>
          </w:p>
        </w:tc>
        <w:tc>
          <w:tcPr>
            <w:tcW w:w="5529" w:type="dxa"/>
            <w:tcBorders>
              <w:bottom w:val="nil"/>
            </w:tcBorders>
          </w:tcPr>
          <w:p>
            <w:pPr>
              <w:pStyle w:val="yTableNAm"/>
              <w:tabs>
                <w:tab w:val="clear" w:pos="567"/>
                <w:tab w:val="right" w:leader="dot" w:pos="6237"/>
              </w:tabs>
              <w:rPr>
                <w:sz w:val="20"/>
              </w:rPr>
            </w:pPr>
            <w:r>
              <w:rPr>
                <w:sz w:val="20"/>
              </w:rPr>
              <w:t xml:space="preserve">For a search of postcodes — </w:t>
            </w:r>
          </w:p>
        </w:tc>
        <w:tc>
          <w:tcPr>
            <w:tcW w:w="855" w:type="dxa"/>
            <w:tcBorders>
              <w:bottom w:val="nil"/>
            </w:tcBorders>
          </w:tcPr>
          <w:p>
            <w:pPr>
              <w:pStyle w:val="yTableNAm"/>
              <w:tabs>
                <w:tab w:val="clear" w:pos="567"/>
                <w:tab w:val="right" w:pos="659"/>
              </w:tabs>
              <w:ind w:right="48"/>
              <w:jc w:val="right"/>
              <w:rPr>
                <w:sz w:val="20"/>
              </w:rPr>
            </w:pPr>
          </w:p>
        </w:tc>
      </w:tr>
      <w:tr>
        <w:trPr>
          <w:cantSplit/>
        </w:trPr>
        <w:tc>
          <w:tcPr>
            <w:tcW w:w="684" w:type="dxa"/>
            <w:tcBorders>
              <w:top w:val="nil"/>
              <w:bottom w:val="nil"/>
            </w:tcBorders>
          </w:tcPr>
          <w:p>
            <w:pPr>
              <w:pStyle w:val="yTableNAm"/>
              <w:rPr>
                <w:sz w:val="20"/>
              </w:rPr>
            </w:pPr>
          </w:p>
        </w:tc>
        <w:tc>
          <w:tcPr>
            <w:tcW w:w="5529" w:type="dxa"/>
            <w:tcBorders>
              <w:top w:val="nil"/>
              <w:bottom w:val="nil"/>
            </w:tcBorders>
          </w:tcPr>
          <w:p>
            <w:pPr>
              <w:pStyle w:val="yTableNAm"/>
              <w:tabs>
                <w:tab w:val="right" w:leader="dot" w:pos="6237"/>
              </w:tabs>
              <w:rPr>
                <w:sz w:val="20"/>
              </w:rPr>
            </w:pPr>
            <w:r>
              <w:rPr>
                <w:sz w:val="20"/>
              </w:rPr>
              <w:t>(a)</w:t>
            </w:r>
            <w:r>
              <w:rPr>
                <w:sz w:val="20"/>
              </w:rPr>
              <w:tab/>
              <w:t xml:space="preserve">1 to 10 postcodes </w:t>
            </w:r>
            <w:r>
              <w:rPr>
                <w:sz w:val="20"/>
              </w:rPr>
              <w:tab/>
            </w:r>
          </w:p>
        </w:tc>
        <w:tc>
          <w:tcPr>
            <w:tcW w:w="855" w:type="dxa"/>
            <w:tcBorders>
              <w:top w:val="nil"/>
              <w:bottom w:val="nil"/>
            </w:tcBorders>
          </w:tcPr>
          <w:p>
            <w:pPr>
              <w:pStyle w:val="yTableNAm"/>
              <w:tabs>
                <w:tab w:val="clear" w:pos="567"/>
                <w:tab w:val="right" w:pos="659"/>
              </w:tabs>
              <w:ind w:right="48"/>
              <w:jc w:val="right"/>
              <w:rPr>
                <w:sz w:val="20"/>
              </w:rPr>
            </w:pPr>
            <w:r>
              <w:rPr>
                <w:sz w:val="20"/>
              </w:rPr>
              <w:t>41</w:t>
            </w:r>
          </w:p>
        </w:tc>
      </w:tr>
      <w:tr>
        <w:trPr>
          <w:cantSplit/>
        </w:trPr>
        <w:tc>
          <w:tcPr>
            <w:tcW w:w="684" w:type="dxa"/>
            <w:tcBorders>
              <w:top w:val="nil"/>
            </w:tcBorders>
          </w:tcPr>
          <w:p>
            <w:pPr>
              <w:pStyle w:val="yTableNAm"/>
              <w:rPr>
                <w:sz w:val="20"/>
              </w:rPr>
            </w:pPr>
          </w:p>
        </w:tc>
        <w:tc>
          <w:tcPr>
            <w:tcW w:w="5529" w:type="dxa"/>
            <w:tcBorders>
              <w:top w:val="nil"/>
            </w:tcBorders>
          </w:tcPr>
          <w:p>
            <w:pPr>
              <w:pStyle w:val="yTableNAm"/>
              <w:tabs>
                <w:tab w:val="right" w:leader="dot" w:pos="6237"/>
              </w:tabs>
              <w:rPr>
                <w:sz w:val="20"/>
              </w:rPr>
            </w:pPr>
            <w:r>
              <w:rPr>
                <w:sz w:val="20"/>
              </w:rPr>
              <w:t>(b)</w:t>
            </w:r>
            <w:r>
              <w:rPr>
                <w:sz w:val="20"/>
              </w:rPr>
              <w:tab/>
              <w:t xml:space="preserve">more than 10 postcodes </w:t>
            </w:r>
            <w:r>
              <w:rPr>
                <w:sz w:val="20"/>
              </w:rPr>
              <w:tab/>
            </w:r>
          </w:p>
        </w:tc>
        <w:tc>
          <w:tcPr>
            <w:tcW w:w="855" w:type="dxa"/>
            <w:tcBorders>
              <w:top w:val="nil"/>
            </w:tcBorders>
          </w:tcPr>
          <w:p>
            <w:pPr>
              <w:pStyle w:val="yTableNAm"/>
              <w:tabs>
                <w:tab w:val="clear" w:pos="567"/>
                <w:tab w:val="right" w:pos="659"/>
              </w:tabs>
              <w:ind w:right="48"/>
              <w:jc w:val="right"/>
              <w:rPr>
                <w:sz w:val="20"/>
              </w:rPr>
            </w:pPr>
            <w:r>
              <w:rPr>
                <w:sz w:val="20"/>
              </w:rPr>
              <w:t>90</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r>
              <w:rPr>
                <w:sz w:val="20"/>
              </w:rPr>
              <w:t>39.</w:t>
            </w:r>
          </w:p>
        </w:tc>
        <w:tc>
          <w:tcPr>
            <w:tcW w:w="5529" w:type="dxa"/>
            <w:tcBorders>
              <w:top w:val="nil"/>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For each person who is a party to an application under the Act and in relation to whom a background check is sought from the Police Service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r>
            <w:r>
              <w:rPr>
                <w:sz w:val="20"/>
              </w:rPr>
              <w:br/>
              <w:t>152</w:t>
            </w:r>
          </w:p>
        </w:tc>
      </w:tr>
    </w:tbl>
    <w:p>
      <w:pPr>
        <w:pStyle w:val="BlankClose"/>
      </w:pPr>
    </w:p>
    <w:p>
      <w:pPr>
        <w:pStyle w:val="BlankClose"/>
      </w:pPr>
    </w:p>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145" w:name="_Toc519770036"/>
      <w:bookmarkStart w:id="146" w:name="_Toc524014940"/>
      <w:bookmarkStart w:id="147" w:name="_Toc524015033"/>
      <w:bookmarkStart w:id="148" w:name="_Toc524015191"/>
      <w:r>
        <w:rPr>
          <w:sz w:val="28"/>
        </w:rPr>
        <w:t>Defined terms</w:t>
      </w:r>
      <w:bookmarkEnd w:id="145"/>
      <w:bookmarkEnd w:id="146"/>
      <w:bookmarkEnd w:id="147"/>
      <w:bookmarkEnd w:id="1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higher education course</w:t>
      </w:r>
      <w:r>
        <w:tab/>
        <w:t>18F(1)</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 14AC(1)</w:t>
      </w:r>
    </w:p>
    <w:p>
      <w:pPr>
        <w:pStyle w:val="DefinedTerms"/>
      </w:pPr>
      <w:r>
        <w:t>approval application</w:t>
      </w:r>
      <w:r>
        <w:tab/>
        <w:t>14ADA(1)</w:t>
      </w:r>
    </w:p>
    <w:p>
      <w:pPr>
        <w:pStyle w:val="DefinedTerms"/>
      </w:pPr>
      <w:r>
        <w:t>approved manager</w:t>
      </w:r>
      <w:r>
        <w:tab/>
        <w:t>3A(1)</w:t>
      </w:r>
    </w:p>
    <w:p>
      <w:pPr>
        <w:pStyle w:val="DefinedTerms"/>
      </w:pPr>
      <w:r>
        <w:t>approved provider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Australian learner driver permit</w:t>
      </w:r>
      <w:r>
        <w:tab/>
        <w:t>18A(1)</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14ADG(1)</w:t>
      </w:r>
    </w:p>
    <w:p>
      <w:pPr>
        <w:pStyle w:val="DefinedTerms"/>
      </w:pPr>
      <w:r>
        <w:t>commercial vessel</w:t>
      </w:r>
      <w:r>
        <w:tab/>
        <w:t>8(3)</w:t>
      </w:r>
    </w:p>
    <w:p>
      <w:pPr>
        <w:pStyle w:val="DefinedTerms"/>
      </w:pPr>
      <w:r>
        <w:t>course of instruction or training</w:t>
      </w:r>
      <w:r>
        <w:tab/>
        <w:t>9A(10e)</w:t>
      </w:r>
    </w:p>
    <w:p>
      <w:pPr>
        <w:pStyle w:val="DefinedTerms"/>
      </w:pPr>
      <w:r>
        <w:t>crowd controller</w:t>
      </w:r>
      <w:r>
        <w:tab/>
        <w:t>3A(1)</w:t>
      </w:r>
    </w:p>
    <w:p>
      <w:pPr>
        <w:pStyle w:val="DefinedTerms"/>
      </w:pPr>
      <w:r>
        <w:t>cruise ship</w:t>
      </w:r>
      <w:r>
        <w:tab/>
        <w:t>8(3)</w:t>
      </w:r>
    </w:p>
    <w:p>
      <w:pPr>
        <w:pStyle w:val="DefinedTerms"/>
      </w:pPr>
      <w:r>
        <w:t>current</w:t>
      </w:r>
      <w:r>
        <w:tab/>
        <w:t>26(1ab)</w:t>
      </w:r>
    </w:p>
    <w:p>
      <w:pPr>
        <w:pStyle w:val="DefinedTerms"/>
      </w:pPr>
      <w:r>
        <w:t>current negative determination</w:t>
      </w:r>
      <w:r>
        <w:tab/>
        <w:t>8A(3)</w:t>
      </w:r>
    </w:p>
    <w:p>
      <w:pPr>
        <w:pStyle w:val="DefinedTerms"/>
      </w:pPr>
      <w:r>
        <w:t>current WA photo card</w:t>
      </w:r>
      <w:r>
        <w:tab/>
        <w:t>18A(1)</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host club</w:t>
      </w:r>
      <w:r>
        <w:tab/>
        <w:t>9G</w:t>
      </w:r>
    </w:p>
    <w:p>
      <w:pPr>
        <w:pStyle w:val="DefinedTerms"/>
      </w:pPr>
      <w:r>
        <w:t>inter</w:t>
      </w:r>
      <w:r>
        <w:noBreakHyphen/>
        <w:t>State voyage</w:t>
      </w:r>
      <w:r>
        <w:tab/>
        <w:t>8(3)</w:t>
      </w:r>
    </w:p>
    <w:p>
      <w:pPr>
        <w:pStyle w:val="DefinedTerms"/>
      </w:pPr>
      <w:r>
        <w:t>liqueur chocolate</w:t>
      </w:r>
      <w:r>
        <w:tab/>
        <w:t>4AE(1)</w:t>
      </w:r>
    </w:p>
    <w:p>
      <w:pPr>
        <w:pStyle w:val="DefinedTerms"/>
      </w:pPr>
      <w:r>
        <w:t>liquor producer</w:t>
      </w:r>
      <w:r>
        <w:tab/>
        <w:t>8D(1)</w:t>
      </w:r>
    </w:p>
    <w:p>
      <w:pPr>
        <w:pStyle w:val="DefinedTerms"/>
      </w:pPr>
      <w:r>
        <w:t>live entertainment</w:t>
      </w:r>
      <w:r>
        <w:tab/>
        <w:t>8A(1)</w:t>
      </w:r>
    </w:p>
    <w:p>
      <w:pPr>
        <w:pStyle w:val="DefinedTerms"/>
      </w:pPr>
      <w:r>
        <w:t>manager’s approval</w:t>
      </w:r>
      <w:r>
        <w:tab/>
        <w:t>3A(1)</w:t>
      </w:r>
    </w:p>
    <w:p>
      <w:pPr>
        <w:pStyle w:val="DefinedTerms"/>
      </w:pPr>
      <w:r>
        <w:t>maximum number of patrons</w:t>
      </w:r>
      <w:r>
        <w:tab/>
        <w:t>3A(1), 14AC(1)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permit area</w:t>
      </w:r>
      <w:r>
        <w:tab/>
        <w:t>14AC(1)</w:t>
      </w:r>
    </w:p>
    <w:p>
      <w:pPr>
        <w:pStyle w:val="DefinedTerms"/>
      </w:pPr>
      <w:r>
        <w:t>photograph</w:t>
      </w:r>
      <w:r>
        <w:tab/>
        <w:t>18B(3a), 18C(2)</w:t>
      </w:r>
    </w:p>
    <w:p>
      <w:pPr>
        <w:pStyle w:val="DefinedTerms"/>
      </w:pPr>
      <w:r>
        <w:t>powdered alcohol</w:t>
      </w:r>
      <w:r>
        <w:tab/>
        <w:t>4AD(1)</w:t>
      </w:r>
    </w:p>
    <w:p>
      <w:pPr>
        <w:pStyle w:val="DefinedTerms"/>
      </w:pPr>
      <w:r>
        <w:t>prescribed incident</w:t>
      </w:r>
      <w:r>
        <w:tab/>
        <w:t>3A(1)</w:t>
      </w:r>
    </w:p>
    <w:p>
      <w:pPr>
        <w:pStyle w:val="DefinedTerms"/>
      </w:pPr>
      <w:r>
        <w:t>prescribed permit</w:t>
      </w:r>
      <w:r>
        <w:tab/>
        <w:t>14AC(1)</w:t>
      </w:r>
    </w:p>
    <w:p>
      <w:pPr>
        <w:pStyle w:val="DefinedTerms"/>
      </w:pPr>
      <w:r>
        <w:t>primary producer</w:t>
      </w:r>
      <w:r>
        <w:tab/>
        <w:t>8D(1)</w:t>
      </w:r>
    </w:p>
    <w:p>
      <w:pPr>
        <w:pStyle w:val="DefinedTerms"/>
      </w:pPr>
      <w:r>
        <w:t>producer</w:t>
      </w:r>
      <w:r>
        <w:tab/>
        <w:t>3A(1)</w:t>
      </w:r>
    </w:p>
    <w:p>
      <w:pPr>
        <w:pStyle w:val="DefinedTerms"/>
      </w:pPr>
      <w:r>
        <w:t>producers’ association</w:t>
      </w:r>
      <w:r>
        <w:tab/>
        <w:t>8D(1)</w:t>
      </w:r>
    </w:p>
    <w:p>
      <w:pPr>
        <w:pStyle w:val="DefinedTerms"/>
      </w:pPr>
      <w:r>
        <w:t>purchase</w:t>
      </w:r>
      <w:r>
        <w:tab/>
        <w:t>5(2)</w:t>
      </w:r>
    </w:p>
    <w:p>
      <w:pPr>
        <w:pStyle w:val="DefinedTerms"/>
      </w:pPr>
      <w:r>
        <w:t>qualifying intra</w:t>
      </w:r>
      <w:r>
        <w:noBreakHyphen/>
        <w:t>State voyage</w:t>
      </w:r>
      <w:r>
        <w:tab/>
        <w:t>8(3)</w:t>
      </w:r>
    </w:p>
    <w:p>
      <w:pPr>
        <w:pStyle w:val="DefinedTerms"/>
      </w:pPr>
      <w:r>
        <w:t>qualifying person</w:t>
      </w:r>
      <w:r>
        <w:tab/>
        <w:t>8(3)</w:t>
      </w:r>
    </w:p>
    <w:p>
      <w:pPr>
        <w:pStyle w:val="DefinedTerms"/>
      </w:pPr>
      <w:r>
        <w:t>relevant body corporate</w:t>
      </w:r>
      <w:r>
        <w:tab/>
        <w:t>5B(2), 5B(3), 5B(4)</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resident</w:t>
      </w:r>
      <w:r>
        <w:tab/>
        <w:t>8(1), 8(2)</w:t>
      </w:r>
    </w:p>
    <w:p>
      <w:pPr>
        <w:pStyle w:val="DefinedTerms"/>
      </w:pPr>
      <w:r>
        <w:t>residential care</w:t>
      </w:r>
      <w:r>
        <w:tab/>
        <w:t>8(2)</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retirement village</w:t>
      </w:r>
      <w:r>
        <w:tab/>
        <w:t>8(2)</w:t>
      </w:r>
    </w:p>
    <w:p>
      <w:pPr>
        <w:pStyle w:val="DefinedTerms"/>
      </w:pPr>
      <w:r>
        <w:t>room service restaurant</w:t>
      </w:r>
      <w:r>
        <w:tab/>
        <w:t>9A(17)</w:t>
      </w:r>
    </w:p>
    <w:p>
      <w:pPr>
        <w:pStyle w:val="DefinedTerms"/>
      </w:pPr>
      <w:r>
        <w:t>sale</w:t>
      </w:r>
      <w:r>
        <w:tab/>
        <w:t>5(2)</w:t>
      </w:r>
    </w:p>
    <w:p>
      <w:pPr>
        <w:pStyle w:val="DefinedTerms"/>
      </w:pPr>
      <w:r>
        <w:t>school</w:t>
      </w:r>
      <w:r>
        <w:tab/>
        <w:t>8F(1)</w:t>
      </w:r>
    </w:p>
    <w:p>
      <w:pPr>
        <w:pStyle w:val="DefinedTerms"/>
      </w:pPr>
      <w:r>
        <w:t>signature</w:t>
      </w:r>
      <w:r>
        <w:tab/>
        <w:t>18C(2)</w:t>
      </w:r>
    </w:p>
    <w:p>
      <w:pPr>
        <w:pStyle w:val="DefinedTerms"/>
      </w:pPr>
      <w:r>
        <w:t>special event</w:t>
      </w:r>
      <w:r>
        <w:tab/>
        <w:t>9A(10e)</w:t>
      </w:r>
    </w:p>
    <w:p>
      <w:pPr>
        <w:pStyle w:val="DefinedTerms"/>
      </w:pPr>
      <w:r>
        <w:t>specified</w:t>
      </w:r>
      <w:r>
        <w:tab/>
        <w:t>9A(3)</w:t>
      </w:r>
    </w:p>
    <w:p>
      <w:pPr>
        <w:pStyle w:val="DefinedTerms"/>
      </w:pPr>
      <w:r>
        <w:t>standard drink</w:t>
      </w:r>
      <w:r>
        <w:tab/>
        <w:t>3A(1)</w:t>
      </w:r>
    </w:p>
    <w:p>
      <w:pPr>
        <w:pStyle w:val="DefinedTerms"/>
      </w:pPr>
      <w:r>
        <w:t>tax period</w:t>
      </w:r>
      <w:r>
        <w:tab/>
        <w:t>3A(1)</w:t>
      </w:r>
    </w:p>
    <w:p>
      <w:pPr>
        <w:pStyle w:val="DefinedTerms"/>
      </w:pPr>
      <w:r>
        <w:t>tourism business</w:t>
      </w:r>
      <w:r>
        <w:tab/>
        <w:t>8CA(1)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95" w:name="Schedule"/>
    <w:bookmarkEnd w:id="9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44" w:name="Compilation"/>
    <w:bookmarkEnd w:id="14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9" w:name="DefinedTerms"/>
    <w:bookmarkEnd w:id="1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0" w:name="Coversheet"/>
    <w:bookmarkEnd w:id="15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lvlText w:val="%1."/>
      <w:lvlJc w:val="left"/>
      <w:pPr>
        <w:tabs>
          <w:tab w:val="num" w:pos="1492"/>
        </w:tabs>
        <w:ind w:left="1492" w:hanging="360"/>
      </w:pPr>
    </w:lvl>
  </w:abstractNum>
  <w:abstractNum w:abstractNumId="1">
    <w:nsid w:val="FFFFFF7D"/>
    <w:multiLevelType w:val="singleLevel"/>
    <w:tmpl w:val="9516EC7C"/>
    <w:lvl w:ilvl="0">
      <w:start w:val="1"/>
      <w:numFmt w:val="decimal"/>
      <w:lvlText w:val="%1."/>
      <w:lvlJc w:val="left"/>
      <w:pPr>
        <w:tabs>
          <w:tab w:val="num" w:pos="1209"/>
        </w:tabs>
        <w:ind w:left="1209" w:hanging="360"/>
      </w:pPr>
    </w:lvl>
  </w:abstractNum>
  <w:abstractNum w:abstractNumId="2">
    <w:nsid w:val="FFFFFF7E"/>
    <w:multiLevelType w:val="singleLevel"/>
    <w:tmpl w:val="E4B0D01E"/>
    <w:lvl w:ilvl="0">
      <w:start w:val="1"/>
      <w:numFmt w:val="decimal"/>
      <w:lvlText w:val="%1."/>
      <w:lvlJc w:val="left"/>
      <w:pPr>
        <w:tabs>
          <w:tab w:val="num" w:pos="926"/>
        </w:tabs>
        <w:ind w:left="926" w:hanging="360"/>
      </w:pPr>
    </w:lvl>
  </w:abstractNum>
  <w:abstractNum w:abstractNumId="3">
    <w:nsid w:val="FFFFFF7F"/>
    <w:multiLevelType w:val="singleLevel"/>
    <w:tmpl w:val="44EEF1E0"/>
    <w:lvl w:ilvl="0">
      <w:start w:val="1"/>
      <w:numFmt w:val="decimal"/>
      <w:lvlText w:val="%1."/>
      <w:lvlJc w:val="left"/>
      <w:pPr>
        <w:tabs>
          <w:tab w:val="num" w:pos="643"/>
        </w:tabs>
        <w:ind w:left="643" w:hanging="360"/>
      </w:pPr>
    </w:lvl>
  </w:abstractNum>
  <w:abstractNum w:abstractNumId="4">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lvlText w:val="%1."/>
      <w:lvlJc w:val="left"/>
      <w:pPr>
        <w:tabs>
          <w:tab w:val="num" w:pos="360"/>
        </w:tabs>
        <w:ind w:left="360" w:hanging="360"/>
      </w:pPr>
    </w:lvl>
  </w:abstractNum>
  <w:abstractNum w:abstractNumId="9">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0D205D1"/>
    <w:multiLevelType w:val="hybridMultilevel"/>
    <w:tmpl w:val="89BA25DA"/>
    <w:lvl w:ilvl="0" w:tplc="B9185A82">
      <w:start w:val="1"/>
      <w:numFmt w:val="decimal"/>
      <w:lvlText w:val="%1."/>
      <w:lvlJc w:val="left"/>
      <w:pPr>
        <w:ind w:left="732" w:hanging="360"/>
      </w:pPr>
      <w:rPr>
        <w:rFonts w:hint="default"/>
      </w:rPr>
    </w:lvl>
    <w:lvl w:ilvl="1" w:tplc="0C090019" w:tentative="1">
      <w:start w:val="1"/>
      <w:numFmt w:val="lowerLetter"/>
      <w:lvlText w:val="%2."/>
      <w:lvlJc w:val="left"/>
      <w:pPr>
        <w:ind w:left="1452" w:hanging="360"/>
      </w:pPr>
    </w:lvl>
    <w:lvl w:ilvl="2" w:tplc="0C09001B" w:tentative="1">
      <w:start w:val="1"/>
      <w:numFmt w:val="lowerRoman"/>
      <w:lvlText w:val="%3."/>
      <w:lvlJc w:val="right"/>
      <w:pPr>
        <w:ind w:left="2172" w:hanging="180"/>
      </w:pPr>
    </w:lvl>
    <w:lvl w:ilvl="3" w:tplc="0C09000F" w:tentative="1">
      <w:start w:val="1"/>
      <w:numFmt w:val="decimal"/>
      <w:lvlText w:val="%4."/>
      <w:lvlJc w:val="left"/>
      <w:pPr>
        <w:ind w:left="2892" w:hanging="360"/>
      </w:pPr>
    </w:lvl>
    <w:lvl w:ilvl="4" w:tplc="0C090019" w:tentative="1">
      <w:start w:val="1"/>
      <w:numFmt w:val="lowerLetter"/>
      <w:lvlText w:val="%5."/>
      <w:lvlJc w:val="left"/>
      <w:pPr>
        <w:ind w:left="3612" w:hanging="360"/>
      </w:pPr>
    </w:lvl>
    <w:lvl w:ilvl="5" w:tplc="0C09001B" w:tentative="1">
      <w:start w:val="1"/>
      <w:numFmt w:val="lowerRoman"/>
      <w:lvlText w:val="%6."/>
      <w:lvlJc w:val="right"/>
      <w:pPr>
        <w:ind w:left="4332" w:hanging="180"/>
      </w:pPr>
    </w:lvl>
    <w:lvl w:ilvl="6" w:tplc="0C09000F" w:tentative="1">
      <w:start w:val="1"/>
      <w:numFmt w:val="decimal"/>
      <w:lvlText w:val="%7."/>
      <w:lvlJc w:val="left"/>
      <w:pPr>
        <w:ind w:left="5052" w:hanging="360"/>
      </w:pPr>
    </w:lvl>
    <w:lvl w:ilvl="7" w:tplc="0C090019" w:tentative="1">
      <w:start w:val="1"/>
      <w:numFmt w:val="lowerLetter"/>
      <w:lvlText w:val="%8."/>
      <w:lvlJc w:val="left"/>
      <w:pPr>
        <w:ind w:left="5772" w:hanging="360"/>
      </w:pPr>
    </w:lvl>
    <w:lvl w:ilvl="8" w:tplc="0C09001B" w:tentative="1">
      <w:start w:val="1"/>
      <w:numFmt w:val="lowerRoman"/>
      <w:lvlText w:val="%9."/>
      <w:lvlJc w:val="right"/>
      <w:pPr>
        <w:ind w:left="6492" w:hanging="180"/>
      </w:pPr>
    </w:lvl>
  </w:abstractNum>
  <w:abstractNum w:abstractNumId="25">
    <w:nsid w:val="71D54604"/>
    <w:multiLevelType w:val="hybridMultilevel"/>
    <w:tmpl w:val="87962A22"/>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2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25"/>
  </w:num>
  <w:num w:numId="4">
    <w:abstractNumId w:val="24"/>
  </w:num>
  <w:num w:numId="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719102702"/>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 w:name="WAFER_20171006092410" w:val="RemoveTocBookmarks,RemoveUnusedBookmarks,RemoveLanguageTags,UsedStyles,ResetPageSize"/>
    <w:docVar w:name="WAFER_20171006092410_GUID" w:val="9fca8faf-c456-43ee-a91f-e1ed0cffc2ab"/>
    <w:docVar w:name="WAFER_20171110134750" w:val="RemoveTocBookmarks,RemoveUnusedBookmarks,RemoveLanguageTags,UsedStyles,ResetPageSize"/>
    <w:docVar w:name="WAFER_20171110134750_GUID" w:val="836d4505-4f75-4632-9f3e-ef5b2104cb73"/>
    <w:docVar w:name="WAFER_20171207105317" w:val="RemoveTocBookmarks,RemoveUnusedBookmarks,RemoveLanguageTags,UsedStyles,ResetPageSize"/>
    <w:docVar w:name="WAFER_20171207105317_GUID" w:val="7d5a268b-043a-41e1-8e72-4e99a1680c6b"/>
    <w:docVar w:name="WAFER_20180118124048" w:val="RemoveTocBookmarks,RemoveUnusedBookmarks,RemoveLanguageTags,UsedStyles,ResetPageSize"/>
    <w:docVar w:name="WAFER_20180118124048_GUID" w:val="b16342d5-aa78-4699-b7db-0dfe01ed8246"/>
    <w:docVar w:name="WAFER_20180705164926" w:val="RemoveTocBookmarks,RemoveUnusedBookmarks,RemoveLanguageTags,UsedStyles,ResetPageSize"/>
    <w:docVar w:name="WAFER_20180705164926_GUID" w:val="6f91dc23-662c-4dba-8e80-bc8c27d117ff"/>
    <w:docVar w:name="WAFER_20180719102702" w:val="RemoveTocBookmarks,RemoveUnusedBookmarks,RemoveLanguageTags,UsedStyles,ResetPageSize"/>
    <w:docVar w:name="WAFER_20180719102702_GUID" w:val="6b570fb0-02e9-4e5e-a1ff-79a3109caf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4.png"/><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3.wmf"/><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148C9-465E-4038-9162-0D03CBFD7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120</Pages>
  <Words>29020</Words>
  <Characters>138426</Characters>
  <Application>Microsoft Office Word</Application>
  <DocSecurity>0</DocSecurity>
  <Lines>5126</Lines>
  <Paragraphs>2990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1989 - 14-m0-00</dc:title>
  <dc:subject/>
  <dc:creator/>
  <cp:keywords/>
  <dc:description/>
  <cp:lastModifiedBy>svcMRProcess</cp:lastModifiedBy>
  <cp:revision>4</cp:revision>
  <cp:lastPrinted>2017-09-12T01:43:00Z</cp:lastPrinted>
  <dcterms:created xsi:type="dcterms:W3CDTF">2020-02-26T17:03:00Z</dcterms:created>
  <dcterms:modified xsi:type="dcterms:W3CDTF">2020-02-26T17:03:00Z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AsAtDate">
    <vt:lpwstr>07 Sep 2018</vt:lpwstr>
  </property>
  <property fmtid="{D5CDD505-2E9C-101B-9397-08002B2CF9AE}" pid="8" name="Suffix">
    <vt:lpwstr>14-m0-00</vt:lpwstr>
  </property>
  <property fmtid="{D5CDD505-2E9C-101B-9397-08002B2CF9AE}" pid="9" name="CommencementDate">
    <vt:lpwstr>20180907</vt:lpwstr>
  </property>
</Properties>
</file>