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Amendment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_Toc525723933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_Toc525723934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Act amended</w:t>
      </w:r>
      <w:r>
        <w:tab/>
      </w:r>
      <w:r>
        <w:fldChar w:fldCharType="begin"/>
      </w:r>
      <w:r>
        <w:instrText xml:space="preserve"> PAGEREF _Toc525723935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19A inserted</w:t>
      </w:r>
      <w:r>
        <w:tab/>
      </w:r>
      <w:r>
        <w:fldChar w:fldCharType="begin"/>
      </w:r>
      <w:r>
        <w:instrText xml:space="preserve"> PAGEREF _Toc525723936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19A.</w:t>
      </w:r>
      <w:r>
        <w:rPr>
          <w:noProof/>
        </w:rPr>
        <w:tab/>
        <w:t>Certain reportable deaths do not require investigation</w:t>
      </w:r>
      <w:r>
        <w:rPr>
          <w:noProof/>
        </w:rPr>
        <w:tab/>
      </w:r>
      <w:r>
        <w:rPr>
          <w:noProof/>
        </w:rPr>
        <w:fldChar w:fldCharType="begin"/>
      </w:r>
      <w:r>
        <w:rPr>
          <w:noProof/>
        </w:rPr>
        <w:instrText xml:space="preserve"> PAGEREF _Toc525723937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tab/>
        <w:t>Section 25 amended</w:t>
      </w:r>
      <w:r>
        <w:tab/>
      </w:r>
      <w:r>
        <w:fldChar w:fldCharType="begin"/>
      </w:r>
      <w:r>
        <w:instrText xml:space="preserve"> PAGEREF _Toc525723938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28 amended</w:t>
      </w:r>
      <w:r>
        <w:tab/>
      </w:r>
      <w:r>
        <w:fldChar w:fldCharType="begin"/>
      </w:r>
      <w:r>
        <w:instrText xml:space="preserve"> PAGEREF _Toc525723939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Coroners Amendment Act 2018</w:t>
      </w:r>
    </w:p>
    <w:p>
      <w:pPr>
        <w:pStyle w:val="ABillFor"/>
        <w:pBdr>
          <w:top w:val="single" w:sz="4" w:space="6" w:color="auto"/>
          <w:bottom w:val="single" w:sz="4" w:space="6" w:color="auto"/>
        </w:pBdr>
        <w:spacing w:before="0" w:after="240"/>
        <w:ind w:left="2551" w:right="2551"/>
      </w:pPr>
      <w:bookmarkStart w:id="3" w:name="BillCited"/>
      <w:bookmarkEnd w:id="3"/>
      <w:r>
        <w:t>No. 23 of 2018</w:t>
      </w:r>
    </w:p>
    <w:p>
      <w:pPr>
        <w:pStyle w:val="LongTitle"/>
        <w:suppressLineNumbers/>
      </w:pPr>
      <w:r>
        <w:t xml:space="preserve">An Act to amend the </w:t>
      </w:r>
      <w:r>
        <w:rPr>
          <w:i/>
        </w:rPr>
        <w:t>Coroners Act 1996</w:t>
      </w:r>
      <w:r>
        <w:t>.</w:t>
      </w:r>
    </w:p>
    <w:p>
      <w:pPr>
        <w:pStyle w:val="AssentNote"/>
      </w:pPr>
      <w:r>
        <w:t>[Assented to 21 September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25713590"/>
      <w:bookmarkStart w:id="5" w:name="_Toc525723106"/>
      <w:bookmarkStart w:id="6" w:name="_Toc525723933"/>
      <w:r>
        <w:rPr>
          <w:rStyle w:val="CharSectno"/>
        </w:rPr>
        <w:t>1</w:t>
      </w:r>
      <w:r>
        <w:t>.</w:t>
      </w:r>
      <w:r>
        <w:tab/>
        <w:t>Short title</w:t>
      </w:r>
      <w:bookmarkEnd w:id="4"/>
      <w:bookmarkEnd w:id="5"/>
      <w:bookmarkEnd w:id="6"/>
    </w:p>
    <w:p>
      <w:pPr>
        <w:pStyle w:val="Subsection"/>
      </w:pPr>
      <w:r>
        <w:tab/>
      </w:r>
      <w:r>
        <w:tab/>
        <w:t>This is the</w:t>
      </w:r>
      <w:r>
        <w:rPr>
          <w:i/>
        </w:rPr>
        <w:t xml:space="preserve"> Coroners Amendment Act 2018</w:t>
      </w:r>
      <w:r>
        <w:t>.</w:t>
      </w:r>
    </w:p>
    <w:p>
      <w:pPr>
        <w:pStyle w:val="Heading5"/>
      </w:pPr>
      <w:bookmarkStart w:id="7" w:name="_Toc525713591"/>
      <w:bookmarkStart w:id="8" w:name="_Toc525723107"/>
      <w:bookmarkStart w:id="9" w:name="_Toc525723934"/>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25713592"/>
      <w:bookmarkStart w:id="11" w:name="_Toc525723108"/>
      <w:bookmarkStart w:id="12" w:name="_Toc525723935"/>
      <w:r>
        <w:rPr>
          <w:rStyle w:val="CharSectno"/>
        </w:rPr>
        <w:t>3</w:t>
      </w:r>
      <w:r>
        <w:t>.</w:t>
      </w:r>
      <w:r>
        <w:tab/>
      </w:r>
      <w:r>
        <w:rPr>
          <w:snapToGrid w:val="0"/>
        </w:rPr>
        <w:t>Act amended</w:t>
      </w:r>
      <w:bookmarkEnd w:id="10"/>
      <w:bookmarkEnd w:id="11"/>
      <w:bookmarkEnd w:id="12"/>
    </w:p>
    <w:p>
      <w:pPr>
        <w:pStyle w:val="Subsection"/>
      </w:pPr>
      <w:r>
        <w:tab/>
      </w:r>
      <w:r>
        <w:tab/>
        <w:t xml:space="preserve">This Act amends the </w:t>
      </w:r>
      <w:r>
        <w:rPr>
          <w:i/>
        </w:rPr>
        <w:t>Coroners Act 1996</w:t>
      </w:r>
      <w:r>
        <w:t>.</w:t>
      </w:r>
    </w:p>
    <w:p>
      <w:pPr>
        <w:pStyle w:val="Heading5"/>
      </w:pPr>
      <w:bookmarkStart w:id="13" w:name="_Toc525713593"/>
      <w:bookmarkStart w:id="14" w:name="_Toc525723109"/>
      <w:bookmarkStart w:id="15" w:name="_Toc525723936"/>
      <w:r>
        <w:rPr>
          <w:rStyle w:val="CharSectno"/>
        </w:rPr>
        <w:t>4</w:t>
      </w:r>
      <w:r>
        <w:t>.</w:t>
      </w:r>
      <w:r>
        <w:tab/>
        <w:t>Section 19A inserted</w:t>
      </w:r>
      <w:bookmarkEnd w:id="13"/>
      <w:bookmarkEnd w:id="14"/>
      <w:bookmarkEnd w:id="15"/>
    </w:p>
    <w:p>
      <w:pPr>
        <w:pStyle w:val="Subsection"/>
      </w:pPr>
      <w:r>
        <w:tab/>
      </w:r>
      <w:r>
        <w:tab/>
        <w:t>After section 19 insert:</w:t>
      </w:r>
    </w:p>
    <w:p>
      <w:pPr>
        <w:pStyle w:val="BlankOpen"/>
      </w:pPr>
    </w:p>
    <w:p>
      <w:pPr>
        <w:pStyle w:val="zHeading5"/>
      </w:pPr>
      <w:bookmarkStart w:id="16" w:name="_Toc525713594"/>
      <w:bookmarkStart w:id="17" w:name="_Toc525723110"/>
      <w:bookmarkStart w:id="18" w:name="_Toc525723937"/>
      <w:r>
        <w:t>19A.</w:t>
      </w:r>
      <w:r>
        <w:tab/>
        <w:t>Certain reportable deaths do not require investigation</w:t>
      </w:r>
      <w:bookmarkEnd w:id="16"/>
      <w:bookmarkEnd w:id="17"/>
      <w:bookmarkEnd w:id="18"/>
    </w:p>
    <w:p>
      <w:pPr>
        <w:pStyle w:val="zSubsection"/>
      </w:pPr>
      <w:r>
        <w:tab/>
        <w:t>(1)</w:t>
      </w:r>
      <w:r>
        <w:tab/>
        <w:t>A coroner is not required to investigate, or continue to investigate, a reportable death if the coroner determines that —</w:t>
      </w:r>
    </w:p>
    <w:p>
      <w:pPr>
        <w:pStyle w:val="zIndenta"/>
      </w:pPr>
      <w:r>
        <w:tab/>
        <w:t>(a)</w:t>
      </w:r>
      <w:r>
        <w:tab/>
        <w:t>the death is due to natural causes; and</w:t>
      </w:r>
    </w:p>
    <w:p>
      <w:pPr>
        <w:pStyle w:val="zIndenta"/>
      </w:pPr>
      <w:r>
        <w:tab/>
        <w:t>(b)</w:t>
      </w:r>
      <w:r>
        <w:tab/>
        <w:t>the death is a reportable death solely because it appears to have been unexpected.</w:t>
      </w:r>
    </w:p>
    <w:p>
      <w:pPr>
        <w:pStyle w:val="z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zSubsection"/>
        <w:keepNext/>
      </w:pPr>
      <w:r>
        <w:tab/>
        <w:t>(3)</w:t>
      </w:r>
      <w:r>
        <w:tab/>
        <w:t xml:space="preserve">However, a determination cannot be made under subsection (1) about a reportable death if — </w:t>
      </w:r>
    </w:p>
    <w:p>
      <w:pPr>
        <w:pStyle w:val="zIndenta"/>
      </w:pPr>
      <w:r>
        <w:tab/>
        <w:t>(a)</w:t>
      </w:r>
      <w:r>
        <w:tab/>
        <w:t>there is a duty to hold an inquest into the death under this Act; or</w:t>
      </w:r>
    </w:p>
    <w:p>
      <w:pPr>
        <w:pStyle w:val="zIndenta"/>
      </w:pPr>
      <w:r>
        <w:tab/>
        <w:t>(b)</w:t>
      </w:r>
      <w:r>
        <w:tab/>
        <w:t>the death occurred during an anaesthetic.</w:t>
      </w:r>
    </w:p>
    <w:p>
      <w:pPr>
        <w:pStyle w:val="z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BlankClose"/>
      </w:pPr>
    </w:p>
    <w:p>
      <w:pPr>
        <w:pStyle w:val="Heading5"/>
      </w:pPr>
      <w:bookmarkStart w:id="19" w:name="_Toc525713595"/>
      <w:bookmarkStart w:id="20" w:name="_Toc525723111"/>
      <w:bookmarkStart w:id="21" w:name="_Toc525723938"/>
      <w:r>
        <w:rPr>
          <w:rStyle w:val="CharSectno"/>
        </w:rPr>
        <w:t>5</w:t>
      </w:r>
      <w:r>
        <w:t>.</w:t>
      </w:r>
      <w:r>
        <w:tab/>
        <w:t>Section 25 amended</w:t>
      </w:r>
      <w:bookmarkEnd w:id="19"/>
      <w:bookmarkEnd w:id="20"/>
      <w:bookmarkEnd w:id="21"/>
    </w:p>
    <w:p>
      <w:pPr>
        <w:pStyle w:val="Subsection"/>
      </w:pPr>
      <w:r>
        <w:tab/>
      </w:r>
      <w:r>
        <w:tab/>
        <w:t>After section 25(1) insert:</w:t>
      </w:r>
    </w:p>
    <w:p>
      <w:pPr>
        <w:pStyle w:val="BlankOpen"/>
      </w:pPr>
    </w:p>
    <w:p>
      <w:pPr>
        <w:pStyle w:val="zSubsection"/>
      </w:pPr>
      <w:r>
        <w:tab/>
        <w:t>(1A)</w:t>
      </w:r>
      <w:r>
        <w:tab/>
        <w:t xml:space="preserve">However, a coroner is not under a duty to make a finding under subsection (1)(b) as to how death occurred, even if it is possible to do so, if — </w:t>
      </w:r>
    </w:p>
    <w:p>
      <w:pPr>
        <w:pStyle w:val="zIndenta"/>
      </w:pPr>
      <w:r>
        <w:tab/>
        <w:t>(a)</w:t>
      </w:r>
      <w:r>
        <w:tab/>
        <w:t>there is no duty to hold an inquest into the death under this Act; and</w:t>
      </w:r>
    </w:p>
    <w:p>
      <w:pPr>
        <w:pStyle w:val="zIndenta"/>
      </w:pPr>
      <w:r>
        <w:tab/>
        <w:t>(b)</w:t>
      </w:r>
      <w:r>
        <w:tab/>
        <w:t>the coroner determines that there is no public interest to be served in making a finding as to how the death occurred.</w:t>
      </w:r>
    </w:p>
    <w:p>
      <w:pPr>
        <w:pStyle w:val="BlankClose"/>
      </w:pPr>
    </w:p>
    <w:p>
      <w:pPr>
        <w:pStyle w:val="Heading5"/>
      </w:pPr>
      <w:bookmarkStart w:id="22" w:name="_Toc525713596"/>
      <w:bookmarkStart w:id="23" w:name="_Toc525723112"/>
      <w:bookmarkStart w:id="24" w:name="_Toc525723939"/>
      <w:r>
        <w:rPr>
          <w:rStyle w:val="CharSectno"/>
        </w:rPr>
        <w:t>6</w:t>
      </w:r>
      <w:r>
        <w:t>.</w:t>
      </w:r>
      <w:r>
        <w:tab/>
        <w:t>Section 28 amended</w:t>
      </w:r>
      <w:bookmarkEnd w:id="22"/>
      <w:bookmarkEnd w:id="23"/>
      <w:bookmarkEnd w:id="24"/>
    </w:p>
    <w:p>
      <w:pPr>
        <w:pStyle w:val="Subsection"/>
      </w:pPr>
      <w:r>
        <w:tab/>
      </w:r>
      <w:r>
        <w:tab/>
        <w:t>In section 28(1) after “particulars” insert:</w:t>
      </w:r>
    </w:p>
    <w:p>
      <w:pPr>
        <w:pStyle w:val="BlankOpen"/>
      </w:pPr>
    </w:p>
    <w:p>
      <w:pPr>
        <w:pStyle w:val="Subsection"/>
      </w:pPr>
      <w:r>
        <w:tab/>
      </w:r>
      <w:r>
        <w:tab/>
        <w:t>(if any)</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8020050</wp:posOffset>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12"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31.5pt;width:10.1pt;height:193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o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BhdYESB&#10;1c8HWZZG7JMXbWOd/8R0hQJRYAuli4iS7cJ5iAREO5HgzGkpyrmQMl7sankjLdoSKPM8/kKQoHIi&#10;JhXaFXh4PkijZaWDfiMnVbDDYsc0/uBWeyDjO2QRq/lznPXz9Lo/7s2Ho4tePs8HvfFFOuq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" stroked="f" strokeweight=".5pt">
                <v:textbox>
                  <w:txbxContent>
                    <w:p>
                      <w:pPr>
                        <w:pBdr>
                          <w:top w:val="double" w:sz="4" w:space="12"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23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611052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601164256" w:val="RemoveTocBookmarks,RemoveUnusedBookmarks,RemoveLanguageTags,UsedStyles,ResetPageSize"/>
    <w:docVar w:name="WAFER_20170601164256_GUID" w:val="24df778d-4cd6-4926-b8a0-919d5026020b"/>
    <w:docVar w:name="WAFER_20170621104450" w:val="RemoveTocBookmarks,RemoveUnusedBookmarks,RemoveLanguageTags,UsedStyles,ResetPageSize"/>
    <w:docVar w:name="WAFER_20170621104450_GUID" w:val="6e768c40-c574-4914-9b46-0ddd71a9f3b7"/>
    <w:docVar w:name="WAFER_20180926110522" w:val="UpdateStyles,ResetPageSize"/>
    <w:docVar w:name="WAFER_20180926110522_GUID" w:val="2d6fafce-fa84-4013-bb2d-b098837b1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9F64-9674-4A63-9DD5-21FFFBC6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521</Words>
  <Characters>2444</Characters>
  <Application>Microsoft Office Word</Application>
  <DocSecurity>0</DocSecurity>
  <Lines>101</Lines>
  <Paragraphs>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2897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Amendment Act 2018 - 00-00-01</dc:title>
  <dc:subject/>
  <dc:creator/>
  <cp:keywords/>
  <dc:description/>
  <cp:lastModifiedBy>svcMRProcess</cp:lastModifiedBy>
  <cp:revision>4</cp:revision>
  <cp:lastPrinted>2018-09-26T00:31:00Z</cp:lastPrinted>
  <dcterms:created xsi:type="dcterms:W3CDTF">2018-09-27T01:27:00Z</dcterms:created>
  <dcterms:modified xsi:type="dcterms:W3CDTF">2018-09-27T01:27:00Z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2539</vt:lpwstr>
  </property>
  <property fmtid="{D5CDD505-2E9C-101B-9397-08002B2CF9AE}" pid="3" name="ActNo">
    <vt:lpwstr>23 of 2018</vt:lpwstr>
  </property>
  <property fmtid="{D5CDD505-2E9C-101B-9397-08002B2CF9AE}" pid="4" name="DocumentType">
    <vt:lpwstr>Act</vt:lpwstr>
  </property>
  <property fmtid="{D5CDD505-2E9C-101B-9397-08002B2CF9AE}" pid="5" name="AsAtDate">
    <vt:lpwstr>21 Sep 2018</vt:lpwstr>
  </property>
  <property fmtid="{D5CDD505-2E9C-101B-9397-08002B2CF9AE}" pid="6" name="Suffix">
    <vt:lpwstr>00-00-01</vt:lpwstr>
  </property>
  <property fmtid="{D5CDD505-2E9C-101B-9397-08002B2CF9AE}" pid="7" name="ActNoFooter">
    <vt:lpwstr>No. 23 of 2018</vt:lpwstr>
  </property>
  <property fmtid="{D5CDD505-2E9C-101B-9397-08002B2CF9AE}" pid="8" name="CommencementDate">
    <vt:lpwstr>20180921</vt:lpwstr>
  </property>
</Properties>
</file>