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_Toc526243039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_Toc526243040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_Toc526243041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_Toc526243042 \h </w:instrText>
      </w:r>
      <w:r>
        <w:fldChar w:fldCharType="separate"/>
      </w:r>
      <w:r>
        <w:t>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_Toc526243043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_Toc526243044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_Toc526243045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_Toc526243048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_Toc526243050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_Toc526243051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_Toc526243052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_Toc526243054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_Toc526243055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_Toc526243056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_Toc526243057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_Toc526243058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_Toc526243059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_Toc526243060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_Toc526243062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_Toc526243063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_Toc526243064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_Toc526243065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_Toc526243066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_Toc526243068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_Toc526243069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_Toc526243071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_Toc526243073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_Toc526243074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_Toc526243075 \h </w:instrText>
      </w:r>
      <w:r>
        <w:fldChar w:fldCharType="separate"/>
      </w:r>
      <w:r>
        <w:t>33</w:t>
      </w:r>
      <w:r>
        <w:fldChar w:fldCharType="end"/>
      </w:r>
    </w:p>
    <w:p>
      <w:pPr>
        <w:pStyle w:val="TOC8"/>
        <w:rPr>
          <w:rFonts w:asciiTheme="minorHAnsi" w:eastAsiaTheme="minorEastAsia" w:hAnsiTheme="minorHAnsi" w:cstheme="minorBidi"/>
          <w:szCs w:val="22"/>
        </w:rPr>
      </w:pPr>
      <w:r>
        <w:t>18AA.</w:t>
      </w:r>
      <w:r>
        <w:tab/>
        <w:t>Notice of decision</w:t>
      </w:r>
      <w:r>
        <w:tab/>
      </w:r>
      <w:r>
        <w:fldChar w:fldCharType="begin"/>
      </w:r>
      <w:r>
        <w:instrText xml:space="preserve"> PAGEREF _Toc526243076 \h </w:instrText>
      </w:r>
      <w:r>
        <w:fldChar w:fldCharType="separate"/>
      </w:r>
      <w:r>
        <w:t>34</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_Toc526243077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_Toc526243078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_Toc526243079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_Toc526243080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_Toc526243081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_Toc526243082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_Toc526243084 \h </w:instrText>
      </w:r>
      <w:r>
        <w:fldChar w:fldCharType="separate"/>
      </w:r>
      <w:r>
        <w:t>40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_Toc526243085 \h </w:instrText>
      </w:r>
      <w:r>
        <w:fldChar w:fldCharType="separate"/>
      </w:r>
      <w:r>
        <w:t>40</w:t>
      </w:r>
      <w:r>
        <w:fldChar w:fldCharType="end"/>
      </w:r>
    </w:p>
    <w:p>
      <w:pPr>
        <w:pStyle w:val="TOC8"/>
        <w:rPr>
          <w:rFonts w:asciiTheme="minorHAnsi" w:eastAsiaTheme="minorEastAsia" w:hAnsiTheme="minorHAnsi" w:cstheme="minorBidi"/>
          <w:szCs w:val="22"/>
        </w:rPr>
      </w:pPr>
      <w:r>
        <w:t>25A.</w:t>
      </w:r>
      <w:r>
        <w:tab/>
        <w:t>Commission may refer application for review to State Administrative Tribunal</w:t>
      </w:r>
      <w:r>
        <w:tab/>
      </w:r>
      <w:r>
        <w:fldChar w:fldCharType="begin"/>
      </w:r>
      <w:r>
        <w:instrText xml:space="preserve"> PAGEREF _Toc526243086 \h </w:instrText>
      </w:r>
      <w:r>
        <w:fldChar w:fldCharType="separate"/>
      </w:r>
      <w:r>
        <w:t>43</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_Toc526243087 \h </w:instrText>
      </w:r>
      <w:r>
        <w:fldChar w:fldCharType="separate"/>
      </w:r>
      <w:r>
        <w:t>44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_Toc526243088 \h </w:instrText>
      </w:r>
      <w:r>
        <w:fldChar w:fldCharType="separate"/>
      </w:r>
      <w:r>
        <w:t>44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_Toc526243089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_Toc526243090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_Toc526243092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_Toc526243095 \h </w:instrText>
      </w:r>
      <w:r>
        <w:fldChar w:fldCharType="separate"/>
      </w:r>
      <w:r>
        <w:t>50</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_Toc526243096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_Toc526243097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_Toc526243098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_Toc526243099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_Toc526243100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_Toc526243101 \h </w:instrText>
      </w:r>
      <w:r>
        <w:fldChar w:fldCharType="separate"/>
      </w:r>
      <w:r>
        <w:t>58</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_Toc526243102 \h </w:instrText>
      </w:r>
      <w:r>
        <w:fldChar w:fldCharType="separate"/>
      </w:r>
      <w:r>
        <w:t>58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_Toc526243103 \h </w:instrText>
      </w:r>
      <w:r>
        <w:fldChar w:fldCharType="separate"/>
      </w:r>
      <w:r>
        <w:t>59</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_Toc526243104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_Toc526243105 \h </w:instrText>
      </w:r>
      <w:r>
        <w:fldChar w:fldCharType="separate"/>
      </w:r>
      <w:r>
        <w:t>60</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_Toc526243106 \h </w:instrText>
      </w:r>
      <w:r>
        <w:fldChar w:fldCharType="separate"/>
      </w:r>
      <w:r>
        <w:t>64</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_Toc526243107 \h </w:instrText>
      </w:r>
      <w:r>
        <w:fldChar w:fldCharType="separate"/>
      </w:r>
      <w:r>
        <w:t>64</w:t>
      </w:r>
      <w:r>
        <w:fldChar w:fldCharType="end"/>
      </w:r>
    </w:p>
    <w:p>
      <w:pPr>
        <w:pStyle w:val="TOC8"/>
        <w:rPr>
          <w:rFonts w:asciiTheme="minorHAnsi" w:eastAsiaTheme="minorEastAsia" w:hAnsiTheme="minorHAnsi" w:cstheme="minorBidi"/>
          <w:szCs w:val="22"/>
        </w:rPr>
      </w:pPr>
      <w:r>
        <w:t>37C.</w:t>
      </w:r>
      <w:r>
        <w:tab/>
        <w:t>Register of licensed premises</w:t>
      </w:r>
      <w:r>
        <w:tab/>
      </w:r>
      <w:r>
        <w:fldChar w:fldCharType="begin"/>
      </w:r>
      <w:r>
        <w:instrText xml:space="preserve"> PAGEREF _Toc526243108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_Toc526243110 \h </w:instrText>
      </w:r>
      <w:r>
        <w:fldChar w:fldCharType="separate"/>
      </w:r>
      <w:r>
        <w:t>66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_Toc526243111 \h </w:instrText>
      </w:r>
      <w:r>
        <w:fldChar w:fldCharType="separate"/>
      </w:r>
      <w:r>
        <w:t>68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_Toc526243112 \h </w:instrText>
      </w:r>
      <w:r>
        <w:fldChar w:fldCharType="separate"/>
      </w:r>
      <w:r>
        <w:t>69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_Toc526243113 \h </w:instrText>
      </w:r>
      <w:r>
        <w:fldChar w:fldCharType="separate"/>
      </w:r>
      <w:r>
        <w:t>70</w:t>
      </w:r>
      <w:r>
        <w:fldChar w:fldCharType="end"/>
      </w:r>
    </w:p>
    <w:p>
      <w:pPr>
        <w:pStyle w:val="TOC8"/>
        <w:rPr>
          <w:rFonts w:asciiTheme="minorHAnsi" w:eastAsiaTheme="minorEastAsia" w:hAnsiTheme="minorHAnsi" w:cstheme="minorBidi"/>
          <w:szCs w:val="22"/>
        </w:rPr>
      </w:pPr>
      <w:r>
        <w:t>41A.</w:t>
      </w:r>
      <w:r>
        <w:tab/>
        <w:t>Effect and conditions of small bar licence</w:t>
      </w:r>
      <w:r>
        <w:tab/>
      </w:r>
      <w:r>
        <w:fldChar w:fldCharType="begin"/>
      </w:r>
      <w:r>
        <w:instrText xml:space="preserve"> PAGEREF _Toc526243114 \h </w:instrText>
      </w:r>
      <w:r>
        <w:fldChar w:fldCharType="separate"/>
      </w:r>
      <w:r>
        <w:t>72</w:t>
      </w:r>
      <w:r>
        <w:fldChar w:fldCharType="end"/>
      </w:r>
    </w:p>
    <w:p>
      <w:pPr>
        <w:pStyle w:val="TOC8"/>
        <w:rPr>
          <w:rFonts w:asciiTheme="minorHAnsi" w:eastAsiaTheme="minorEastAsia" w:hAnsiTheme="minorHAnsi" w:cstheme="minorBidi"/>
          <w:szCs w:val="22"/>
        </w:rPr>
      </w:pPr>
      <w:r>
        <w:t>41B.</w:t>
      </w:r>
      <w:r>
        <w:tab/>
        <w:t>Small bar licence may be granted as alternative to tavern restricted licence</w:t>
      </w:r>
      <w:r>
        <w:tab/>
      </w:r>
      <w:r>
        <w:fldChar w:fldCharType="begin"/>
      </w:r>
      <w:r>
        <w:instrText xml:space="preserve"> PAGEREF _Toc526243115 \h </w:instrText>
      </w:r>
      <w:r>
        <w:fldChar w:fldCharType="separate"/>
      </w:r>
      <w:r>
        <w:t>73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_Toc526243116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_Toc526243117 \h </w:instrText>
      </w:r>
      <w:r>
        <w:fldChar w:fldCharType="separate"/>
      </w:r>
      <w:r>
        <w:t>74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_Toc526243118 \h </w:instrText>
      </w:r>
      <w:r>
        <w:fldChar w:fldCharType="separate"/>
      </w:r>
      <w:r>
        <w:t>75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_Toc526243119 \h </w:instrText>
      </w:r>
      <w:r>
        <w:fldChar w:fldCharType="separate"/>
      </w:r>
      <w:r>
        <w:t>76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_Toc526243120 \h </w:instrText>
      </w:r>
      <w:r>
        <w:fldChar w:fldCharType="separate"/>
      </w:r>
      <w:r>
        <w:t>77</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_Toc526243121 \h </w:instrText>
      </w:r>
      <w:r>
        <w:fldChar w:fldCharType="separate"/>
      </w:r>
      <w:r>
        <w:t>78</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_Toc526243122 \h </w:instrText>
      </w:r>
      <w:r>
        <w:fldChar w:fldCharType="separate"/>
      </w:r>
      <w:r>
        <w:t>79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_Toc526243123 \h </w:instrText>
      </w:r>
      <w:r>
        <w:fldChar w:fldCharType="separate"/>
      </w:r>
      <w:r>
        <w:t>80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_Toc526243124 \h </w:instrText>
      </w:r>
      <w:r>
        <w:fldChar w:fldCharType="separate"/>
      </w:r>
      <w:r>
        <w:t>80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_Toc526243125 \h </w:instrText>
      </w:r>
      <w:r>
        <w:fldChar w:fldCharType="separate"/>
      </w:r>
      <w:r>
        <w:t>85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_Toc526243126 \h </w:instrText>
      </w:r>
      <w:r>
        <w:fldChar w:fldCharType="separate"/>
      </w:r>
      <w:r>
        <w:t>86</w:t>
      </w:r>
      <w:r>
        <w:fldChar w:fldCharType="end"/>
      </w:r>
    </w:p>
    <w:p>
      <w:pPr>
        <w:pStyle w:val="TOC8"/>
        <w:rPr>
          <w:rFonts w:asciiTheme="minorHAnsi" w:eastAsiaTheme="minorEastAsia" w:hAnsiTheme="minorHAnsi" w:cstheme="minorBidi"/>
          <w:szCs w:val="22"/>
        </w:rPr>
      </w:pPr>
      <w:r>
        <w:t>50A.</w:t>
      </w:r>
      <w:r>
        <w:tab/>
        <w:t>Issue of extended trading permit under s. 60(4)(ca) for certain restaurant licences at time of grant</w:t>
      </w:r>
      <w:r>
        <w:tab/>
      </w:r>
      <w:r>
        <w:fldChar w:fldCharType="begin"/>
      </w:r>
      <w:r>
        <w:instrText xml:space="preserve"> PAGEREF _Toc526243127 \h </w:instrText>
      </w:r>
      <w:r>
        <w:fldChar w:fldCharType="separate"/>
      </w:r>
      <w:r>
        <w:t>87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_Toc526243128 \h </w:instrText>
      </w:r>
      <w:r>
        <w:fldChar w:fldCharType="separate"/>
      </w:r>
      <w:r>
        <w:t>88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_Toc526243129 \h </w:instrText>
      </w:r>
      <w:r>
        <w:fldChar w:fldCharType="separate"/>
      </w:r>
      <w:r>
        <w:t>88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_Toc526243130 \h </w:instrText>
      </w:r>
      <w:r>
        <w:fldChar w:fldCharType="separate"/>
      </w:r>
      <w:r>
        <w:t>90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_Toc526243131 \h </w:instrText>
      </w:r>
      <w:r>
        <w:fldChar w:fldCharType="separate"/>
      </w:r>
      <w:r>
        <w:t>91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_Toc526243132 \h </w:instrText>
      </w:r>
      <w:r>
        <w:fldChar w:fldCharType="separate"/>
      </w:r>
      <w:r>
        <w:t>92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_Toc526243133 \h </w:instrText>
      </w:r>
      <w:r>
        <w:fldChar w:fldCharType="separate"/>
      </w:r>
      <w:r>
        <w:t>93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_Toc526243134 \h </w:instrText>
      </w:r>
      <w:r>
        <w:fldChar w:fldCharType="separate"/>
      </w:r>
      <w:r>
        <w:t>93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_Toc526243135 \h </w:instrText>
      </w:r>
      <w:r>
        <w:fldChar w:fldCharType="separate"/>
      </w:r>
      <w:r>
        <w:t>95</w:t>
      </w:r>
      <w:r>
        <w:fldChar w:fldCharType="end"/>
      </w:r>
    </w:p>
    <w:p>
      <w:pPr>
        <w:pStyle w:val="TOC8"/>
        <w:rPr>
          <w:rFonts w:asciiTheme="minorHAnsi" w:eastAsiaTheme="minorEastAsia" w:hAnsiTheme="minorHAnsi" w:cstheme="minorBidi"/>
          <w:szCs w:val="22"/>
        </w:rPr>
      </w:pPr>
      <w:r>
        <w:t>59A.</w:t>
      </w:r>
      <w:r>
        <w:tab/>
        <w:t>Additional authorisations relating to supply and sale of liquor on licensed premises</w:t>
      </w:r>
      <w:r>
        <w:tab/>
      </w:r>
      <w:r>
        <w:fldChar w:fldCharType="begin"/>
      </w:r>
      <w:r>
        <w:instrText xml:space="preserve"> PAGEREF _Toc526243136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_Toc526243138 \h </w:instrText>
      </w:r>
      <w:r>
        <w:fldChar w:fldCharType="separate"/>
      </w:r>
      <w:r>
        <w:t>99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_Toc526243139 \h </w:instrText>
      </w:r>
      <w:r>
        <w:fldChar w:fldCharType="separate"/>
      </w:r>
      <w:r>
        <w:t>104</w:t>
      </w:r>
      <w:r>
        <w:fldChar w:fldCharType="end"/>
      </w:r>
    </w:p>
    <w:p>
      <w:pPr>
        <w:pStyle w:val="TOC8"/>
        <w:rPr>
          <w:rFonts w:asciiTheme="minorHAnsi" w:eastAsiaTheme="minorEastAsia" w:hAnsiTheme="minorHAnsi" w:cstheme="minorBidi"/>
          <w:szCs w:val="22"/>
        </w:rPr>
      </w:pPr>
      <w:r>
        <w:t>61A.</w:t>
      </w:r>
      <w:r>
        <w:tab/>
        <w:t>Extended trading permit for sale of liquor (s. 60(4)(ia))</w:t>
      </w:r>
      <w:r>
        <w:tab/>
      </w:r>
      <w:r>
        <w:fldChar w:fldCharType="begin"/>
      </w:r>
      <w:r>
        <w:instrText xml:space="preserve"> PAGEREF _Toc526243140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_Toc526243142 \h </w:instrText>
      </w:r>
      <w:r>
        <w:fldChar w:fldCharType="separate"/>
      </w:r>
      <w:r>
        <w:t>106</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_Toc526243143 \h </w:instrText>
      </w:r>
      <w:r>
        <w:fldChar w:fldCharType="separate"/>
      </w:r>
      <w:r>
        <w:t>109</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_Toc526243144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_Toc526243146 \h </w:instrText>
      </w:r>
      <w:r>
        <w:fldChar w:fldCharType="separate"/>
      </w:r>
      <w:r>
        <w:t>110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_Toc526243147 \h </w:instrText>
      </w:r>
      <w:r>
        <w:fldChar w:fldCharType="separate"/>
      </w:r>
      <w:r>
        <w:t>111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_Toc526243148 \h </w:instrText>
      </w:r>
      <w:r>
        <w:fldChar w:fldCharType="separate"/>
      </w:r>
      <w:r>
        <w:t>116</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_Toc526243149 \h </w:instrText>
      </w:r>
      <w:r>
        <w:fldChar w:fldCharType="separate"/>
      </w:r>
      <w:r>
        <w:t>118</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_Toc526243150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_Toc526243152 \h </w:instrText>
      </w:r>
      <w:r>
        <w:fldChar w:fldCharType="separate"/>
      </w:r>
      <w:r>
        <w:t>119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_Toc526243153 \h </w:instrText>
      </w:r>
      <w:r>
        <w:fldChar w:fldCharType="separate"/>
      </w:r>
      <w:r>
        <w:t>120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_Toc526243154 \h </w:instrText>
      </w:r>
      <w:r>
        <w:fldChar w:fldCharType="separate"/>
      </w:r>
      <w:r>
        <w:t>120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_Toc526243155 \h </w:instrText>
      </w:r>
      <w:r>
        <w:fldChar w:fldCharType="separate"/>
      </w:r>
      <w:r>
        <w:t>121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_Toc526243156 \h </w:instrText>
      </w:r>
      <w:r>
        <w:fldChar w:fldCharType="separate"/>
      </w:r>
      <w:r>
        <w:t>126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_Toc526243157 \h </w:instrText>
      </w:r>
      <w:r>
        <w:fldChar w:fldCharType="separate"/>
      </w:r>
      <w:r>
        <w:t>127</w:t>
      </w:r>
      <w:r>
        <w:fldChar w:fldCharType="end"/>
      </w:r>
    </w:p>
    <w:p>
      <w:pPr>
        <w:pStyle w:val="TOC8"/>
        <w:rPr>
          <w:rFonts w:asciiTheme="minorHAnsi" w:eastAsiaTheme="minorEastAsia" w:hAnsiTheme="minorHAnsi" w:cstheme="minorBidi"/>
          <w:szCs w:val="22"/>
        </w:rPr>
      </w:pPr>
      <w:r>
        <w:t>72A.</w:t>
      </w:r>
      <w:r>
        <w:tab/>
        <w:t>Submissions generally</w:t>
      </w:r>
      <w:r>
        <w:tab/>
      </w:r>
      <w:r>
        <w:fldChar w:fldCharType="begin"/>
      </w:r>
      <w:r>
        <w:instrText xml:space="preserve"> PAGEREF _Toc526243158 \h </w:instrText>
      </w:r>
      <w:r>
        <w:fldChar w:fldCharType="separate"/>
      </w:r>
      <w:r>
        <w:t>128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_Toc526243159 \h </w:instrText>
      </w:r>
      <w:r>
        <w:fldChar w:fldCharType="separate"/>
      </w:r>
      <w:r>
        <w:t>128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_Toc526243160 \h </w:instrText>
      </w:r>
      <w:r>
        <w:fldChar w:fldCharType="separate"/>
      </w:r>
      <w:r>
        <w:t>130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_Toc526243161 \h </w:instrText>
      </w:r>
      <w:r>
        <w:fldChar w:fldCharType="separate"/>
      </w:r>
      <w:r>
        <w:t>132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_Toc526243162 \h </w:instrText>
      </w:r>
      <w:r>
        <w:fldChar w:fldCharType="separate"/>
      </w:r>
      <w:r>
        <w:t>133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_Toc526243163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_Toc526243165 \h </w:instrText>
      </w:r>
      <w:r>
        <w:fldChar w:fldCharType="separate"/>
      </w:r>
      <w:r>
        <w:t>136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_Toc526243166 \h </w:instrText>
      </w:r>
      <w:r>
        <w:fldChar w:fldCharType="separate"/>
      </w:r>
      <w:r>
        <w:t>136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_Toc526243167 \h </w:instrText>
      </w:r>
      <w:r>
        <w:fldChar w:fldCharType="separate"/>
      </w:r>
      <w:r>
        <w:t>137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_Toc526243168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_Toc526243170 \h </w:instrText>
      </w:r>
      <w:r>
        <w:fldChar w:fldCharType="separate"/>
      </w:r>
      <w:r>
        <w:t>139</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_Toc526243171 \h </w:instrText>
      </w:r>
      <w:r>
        <w:fldChar w:fldCharType="separate"/>
      </w:r>
      <w:r>
        <w:t>140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_Toc526243172 \h </w:instrText>
      </w:r>
      <w:r>
        <w:fldChar w:fldCharType="separate"/>
      </w:r>
      <w:r>
        <w:t>140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_Toc526243173 \h </w:instrText>
      </w:r>
      <w:r>
        <w:fldChar w:fldCharType="separate"/>
      </w:r>
      <w:r>
        <w:t>141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_Toc526243174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_Toc526243176 \h </w:instrText>
      </w:r>
      <w:r>
        <w:fldChar w:fldCharType="separate"/>
      </w:r>
      <w:r>
        <w:t>143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_Toc526243177 \h </w:instrText>
      </w:r>
      <w:r>
        <w:fldChar w:fldCharType="separate"/>
      </w:r>
      <w:r>
        <w:t>146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_Toc526243178 \h </w:instrText>
      </w:r>
      <w:r>
        <w:fldChar w:fldCharType="separate"/>
      </w:r>
      <w:r>
        <w:t>150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_Toc526243179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_Toc526243181 \h </w:instrText>
      </w:r>
      <w:r>
        <w:fldChar w:fldCharType="separate"/>
      </w:r>
      <w:r>
        <w:t>151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_Toc526243182 \h </w:instrText>
      </w:r>
      <w:r>
        <w:fldChar w:fldCharType="separate"/>
      </w:r>
      <w:r>
        <w:t>152</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_Toc526243183 \h </w:instrText>
      </w:r>
      <w:r>
        <w:fldChar w:fldCharType="separate"/>
      </w:r>
      <w:r>
        <w:t>152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_Toc526243184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_Toc526243186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_Toc526243188 \h </w:instrText>
      </w:r>
      <w:r>
        <w:fldChar w:fldCharType="separate"/>
      </w:r>
      <w:r>
        <w:t>154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_Toc526243189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_Toc526243192 \h </w:instrText>
      </w:r>
      <w:r>
        <w:fldChar w:fldCharType="separate"/>
      </w:r>
      <w:r>
        <w:t>163</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_Toc526243193 \h </w:instrText>
      </w:r>
      <w:r>
        <w:fldChar w:fldCharType="separate"/>
      </w:r>
      <w:r>
        <w:t>163</w:t>
      </w:r>
      <w:r>
        <w:fldChar w:fldCharType="end"/>
      </w:r>
    </w:p>
    <w:p>
      <w:pPr>
        <w:pStyle w:val="TOC8"/>
        <w:rPr>
          <w:rFonts w:asciiTheme="minorHAnsi" w:eastAsiaTheme="minorEastAsia" w:hAnsiTheme="minorHAnsi" w:cstheme="minorBidi"/>
          <w:szCs w:val="22"/>
        </w:rPr>
      </w:pPr>
      <w:r>
        <w:t>98AA.</w:t>
      </w:r>
      <w:r>
        <w:tab/>
        <w:t>Permitted hours under small bar licence</w:t>
      </w:r>
      <w:r>
        <w:tab/>
      </w:r>
      <w:r>
        <w:fldChar w:fldCharType="begin"/>
      </w:r>
      <w:r>
        <w:instrText xml:space="preserve"> PAGEREF _Toc526243194 \h </w:instrText>
      </w:r>
      <w:r>
        <w:fldChar w:fldCharType="separate"/>
      </w:r>
      <w:r>
        <w:t>164</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_Toc526243195 \h </w:instrText>
      </w:r>
      <w:r>
        <w:fldChar w:fldCharType="separate"/>
      </w:r>
      <w:r>
        <w:t>164</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_Toc526243196 \h </w:instrText>
      </w:r>
      <w:r>
        <w:fldChar w:fldCharType="separate"/>
      </w:r>
      <w:r>
        <w:t>165</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_Toc526243197 \h </w:instrText>
      </w:r>
      <w:r>
        <w:fldChar w:fldCharType="separate"/>
      </w:r>
      <w:r>
        <w:t>165</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_Toc526243198 \h </w:instrText>
      </w:r>
      <w:r>
        <w:fldChar w:fldCharType="separate"/>
      </w:r>
      <w:r>
        <w:t>166</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_Toc526243199 \h </w:instrText>
      </w:r>
      <w:r>
        <w:fldChar w:fldCharType="separate"/>
      </w:r>
      <w:r>
        <w:t>166</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_Toc526243200 \h </w:instrText>
      </w:r>
      <w:r>
        <w:fldChar w:fldCharType="separate"/>
      </w:r>
      <w:r>
        <w:t>168</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_Toc526243201 \h </w:instrText>
      </w:r>
      <w:r>
        <w:fldChar w:fldCharType="separate"/>
      </w:r>
      <w:r>
        <w:t>168</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_Toc526243202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_Toc526243204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_Toc526243207 \h </w:instrText>
      </w:r>
      <w:r>
        <w:fldChar w:fldCharType="separate"/>
      </w:r>
      <w:r>
        <w:t>170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_Toc526243208 \h </w:instrText>
      </w:r>
      <w:r>
        <w:fldChar w:fldCharType="separate"/>
      </w:r>
      <w:r>
        <w:t>173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_Toc526243210 \h </w:instrText>
      </w:r>
      <w:r>
        <w:fldChar w:fldCharType="separate"/>
      </w:r>
      <w:r>
        <w:t>174</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_Toc526243211 \h </w:instrText>
      </w:r>
      <w:r>
        <w:fldChar w:fldCharType="separate"/>
      </w:r>
      <w:r>
        <w:t>174</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_Toc526243212 \h </w:instrText>
      </w:r>
      <w:r>
        <w:fldChar w:fldCharType="separate"/>
      </w:r>
      <w:r>
        <w:t>175</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_Toc526243213 \h </w:instrText>
      </w:r>
      <w:r>
        <w:fldChar w:fldCharType="separate"/>
      </w:r>
      <w:r>
        <w:t>175</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_Toc526243214 \h </w:instrText>
      </w:r>
      <w:r>
        <w:fldChar w:fldCharType="separate"/>
      </w:r>
      <w:r>
        <w:t>175</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_Toc526243215 \h </w:instrText>
      </w:r>
      <w:r>
        <w:fldChar w:fldCharType="separate"/>
      </w:r>
      <w:r>
        <w:t>176</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_Toc526243216 \h </w:instrText>
      </w:r>
      <w:r>
        <w:fldChar w:fldCharType="separate"/>
      </w:r>
      <w:r>
        <w:t>177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_Toc526243218 \h </w:instrText>
      </w:r>
      <w:r>
        <w:fldChar w:fldCharType="separate"/>
      </w:r>
      <w:r>
        <w:t>177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_Toc526243219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_Toc526243221 \h </w:instrText>
      </w:r>
      <w:r>
        <w:fldChar w:fldCharType="separate"/>
      </w:r>
      <w:r>
        <w:t>178</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_Toc526243222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_Toc526243224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_Toc526243226 \h </w:instrText>
      </w:r>
      <w:r>
        <w:fldChar w:fldCharType="separate"/>
      </w:r>
      <w:r>
        <w:t>182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_Toc526243227 \h </w:instrText>
      </w:r>
      <w:r>
        <w:fldChar w:fldCharType="separate"/>
      </w:r>
      <w:r>
        <w:t>182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_Toc526243228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_Toc526243230 \h </w:instrText>
      </w:r>
      <w:r>
        <w:fldChar w:fldCharType="separate"/>
      </w:r>
      <w:r>
        <w:t>184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_Toc526243231 \h </w:instrText>
      </w:r>
      <w:r>
        <w:fldChar w:fldCharType="separate"/>
      </w:r>
      <w:r>
        <w:t>185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_Toc526243232 \h </w:instrText>
      </w:r>
      <w:r>
        <w:fldChar w:fldCharType="separate"/>
      </w:r>
      <w:r>
        <w:t>187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_Toc526243233 \h </w:instrText>
      </w:r>
      <w:r>
        <w:fldChar w:fldCharType="separate"/>
      </w:r>
      <w:r>
        <w:t>191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_Toc526243234 \h </w:instrText>
      </w:r>
      <w:r>
        <w:fldChar w:fldCharType="separate"/>
      </w:r>
      <w:r>
        <w:t>192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_Toc526243235 \h </w:instrText>
      </w:r>
      <w:r>
        <w:fldChar w:fldCharType="separate"/>
      </w:r>
      <w:r>
        <w:t>193</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_Toc526243236 \h </w:instrText>
      </w:r>
      <w:r>
        <w:fldChar w:fldCharType="separate"/>
      </w:r>
      <w:r>
        <w:t>194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_Toc526243237 \h </w:instrText>
      </w:r>
      <w:r>
        <w:fldChar w:fldCharType="separate"/>
      </w:r>
      <w:r>
        <w:t>194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_Toc526243238 \h </w:instrText>
      </w:r>
      <w:r>
        <w:fldChar w:fldCharType="separate"/>
      </w:r>
      <w:r>
        <w:t>195</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_Toc526243239 \h </w:instrText>
      </w:r>
      <w:r>
        <w:fldChar w:fldCharType="separate"/>
      </w:r>
      <w:r>
        <w:t>199</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_Toc526243240 \h </w:instrText>
      </w:r>
      <w:r>
        <w:fldChar w:fldCharType="separate"/>
      </w:r>
      <w:r>
        <w:t>201</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_Toc526243241 \h </w:instrText>
      </w:r>
      <w:r>
        <w:fldChar w:fldCharType="separate"/>
      </w:r>
      <w:r>
        <w:t>201</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_Toc526243242 \h </w:instrText>
      </w:r>
      <w:r>
        <w:fldChar w:fldCharType="separate"/>
      </w:r>
      <w:r>
        <w:t>202</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_Toc526243243 \h </w:instrText>
      </w:r>
      <w:r>
        <w:fldChar w:fldCharType="separate"/>
      </w:r>
      <w:r>
        <w:t>204</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_Toc526243244 \h </w:instrText>
      </w:r>
      <w:r>
        <w:fldChar w:fldCharType="separate"/>
      </w:r>
      <w:r>
        <w:t>204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_Toc526243245 \h </w:instrText>
      </w:r>
      <w:r>
        <w:fldChar w:fldCharType="separate"/>
      </w:r>
      <w:r>
        <w:t>205</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_Toc526243246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_Toc526243248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_Toc526243250 \h </w:instrText>
      </w:r>
      <w:r>
        <w:fldChar w:fldCharType="separate"/>
      </w:r>
      <w:r>
        <w:t>212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_Toc526243251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_Toc526243253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_Toc526243255 \h </w:instrText>
      </w:r>
      <w:r>
        <w:fldChar w:fldCharType="separate"/>
      </w:r>
      <w:r>
        <w:t>217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_Toc526243256 \h </w:instrText>
      </w:r>
      <w:r>
        <w:fldChar w:fldCharType="separate"/>
      </w:r>
      <w:r>
        <w:t>219</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_Toc526243257 \h </w:instrText>
      </w:r>
      <w:r>
        <w:fldChar w:fldCharType="separate"/>
      </w:r>
      <w:r>
        <w:t>223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_Toc526243258 \h </w:instrText>
      </w:r>
      <w:r>
        <w:fldChar w:fldCharType="separate"/>
      </w:r>
      <w:r>
        <w:t>224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_Toc526243259 \h </w:instrText>
      </w:r>
      <w:r>
        <w:fldChar w:fldCharType="separate"/>
      </w:r>
      <w:r>
        <w:t>226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_Toc526243260 \h </w:instrText>
      </w:r>
      <w:r>
        <w:fldChar w:fldCharType="separate"/>
      </w:r>
      <w:r>
        <w:t>226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_Toc526243261 \h </w:instrText>
      </w:r>
      <w:r>
        <w:fldChar w:fldCharType="separate"/>
      </w:r>
      <w:r>
        <w:t>227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_Toc526243262 \h </w:instrText>
      </w:r>
      <w:r>
        <w:fldChar w:fldCharType="separate"/>
      </w:r>
      <w:r>
        <w:t>228</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_Toc526243263 \h </w:instrText>
      </w:r>
      <w:r>
        <w:fldChar w:fldCharType="separate"/>
      </w:r>
      <w:r>
        <w:t>230</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_Toc526243264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_Toc526243266 \h </w:instrText>
      </w:r>
      <w:r>
        <w:fldChar w:fldCharType="separate"/>
      </w:r>
      <w:r>
        <w:t>232</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_Toc526243267 \h </w:instrText>
      </w:r>
      <w:r>
        <w:fldChar w:fldCharType="separate"/>
      </w:r>
      <w:r>
        <w:t>232</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_Toc526243268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_Toc526243271 \h </w:instrText>
      </w:r>
      <w:r>
        <w:fldChar w:fldCharType="separate"/>
      </w:r>
      <w:r>
        <w:t>235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_Toc526243272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_Toc526243274 \h </w:instrText>
      </w:r>
      <w:r>
        <w:fldChar w:fldCharType="separate"/>
      </w:r>
      <w:r>
        <w:t>236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_Toc526243275 \h </w:instrText>
      </w:r>
      <w:r>
        <w:fldChar w:fldCharType="separate"/>
      </w:r>
      <w:r>
        <w:t>236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_Toc526243276 \h </w:instrText>
      </w:r>
      <w:r>
        <w:fldChar w:fldCharType="separate"/>
      </w:r>
      <w:r>
        <w:t>237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_Toc526243277 \h </w:instrText>
      </w:r>
      <w:r>
        <w:fldChar w:fldCharType="separate"/>
      </w:r>
      <w:r>
        <w:t>237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_Toc526243278 \h </w:instrText>
      </w:r>
      <w:r>
        <w:fldChar w:fldCharType="separate"/>
      </w:r>
      <w:r>
        <w:t>237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_Toc526243279 \h </w:instrText>
      </w:r>
      <w:r>
        <w:fldChar w:fldCharType="separate"/>
      </w:r>
      <w:r>
        <w:t>238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_Toc526243280 \h </w:instrText>
      </w:r>
      <w:r>
        <w:fldChar w:fldCharType="separate"/>
      </w:r>
      <w:r>
        <w:t>238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_Toc526243281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_Toc526243283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_Toc526243285 \h </w:instrText>
      </w:r>
      <w:r>
        <w:fldChar w:fldCharType="separate"/>
      </w:r>
      <w:r>
        <w:t>241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_Toc526243286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_Toc526243288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_Toc526243290 \h </w:instrText>
      </w:r>
      <w:r>
        <w:fldChar w:fldCharType="separate"/>
      </w:r>
      <w:r>
        <w:t>244</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_Toc526243291 \h </w:instrText>
      </w:r>
      <w:r>
        <w:fldChar w:fldCharType="separate"/>
      </w:r>
      <w:r>
        <w:t>244</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_Toc526243292 \h </w:instrText>
      </w:r>
      <w:r>
        <w:fldChar w:fldCharType="separate"/>
      </w:r>
      <w:r>
        <w:t>244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_Toc526243293 \h </w:instrText>
      </w:r>
      <w:r>
        <w:fldChar w:fldCharType="separate"/>
      </w:r>
      <w:r>
        <w:t>245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_Toc526243294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_Toc526243296 \h </w:instrText>
      </w:r>
      <w:r>
        <w:fldChar w:fldCharType="separate"/>
      </w:r>
      <w:r>
        <w:t>247</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_Toc526243297 \h </w:instrText>
      </w:r>
      <w:r>
        <w:fldChar w:fldCharType="separate"/>
      </w:r>
      <w:r>
        <w:t>247</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_Toc526243298 \h </w:instrText>
      </w:r>
      <w:r>
        <w:fldChar w:fldCharType="separate"/>
      </w:r>
      <w:r>
        <w:t>248</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_Toc526243299 \h </w:instrText>
      </w:r>
      <w:r>
        <w:fldChar w:fldCharType="separate"/>
      </w:r>
      <w:r>
        <w:t>248</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_Toc526243300 \h </w:instrText>
      </w:r>
      <w:r>
        <w:fldChar w:fldCharType="separate"/>
      </w:r>
      <w:r>
        <w:t>249</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_Toc526243301 \h </w:instrText>
      </w:r>
      <w:r>
        <w:fldChar w:fldCharType="separate"/>
      </w:r>
      <w:r>
        <w:t>249</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_Toc526243302 \h </w:instrText>
      </w:r>
      <w:r>
        <w:fldChar w:fldCharType="separate"/>
      </w:r>
      <w:r>
        <w:t>250</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_Toc526243303 \h </w:instrText>
      </w:r>
      <w:r>
        <w:fldChar w:fldCharType="separate"/>
      </w:r>
      <w:r>
        <w:t>250</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_Toc526243304 \h </w:instrText>
      </w:r>
      <w:r>
        <w:fldChar w:fldCharType="separate"/>
      </w:r>
      <w:r>
        <w:t>250</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_Toc526243305 \h </w:instrText>
      </w:r>
      <w:r>
        <w:fldChar w:fldCharType="separate"/>
      </w:r>
      <w:r>
        <w:t>251</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_Toc526243306 \h </w:instrText>
      </w:r>
      <w:r>
        <w:fldChar w:fldCharType="separate"/>
      </w:r>
      <w:r>
        <w:t>251</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_Toc526243307 \h </w:instrText>
      </w:r>
      <w:r>
        <w:fldChar w:fldCharType="separate"/>
      </w:r>
      <w:r>
        <w:t>252</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_Toc526243308 \h </w:instrText>
      </w:r>
      <w:r>
        <w:fldChar w:fldCharType="separate"/>
      </w:r>
      <w:r>
        <w:t>253</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_Toc526243309 \h </w:instrText>
      </w:r>
      <w:r>
        <w:fldChar w:fldCharType="separate"/>
      </w:r>
      <w:r>
        <w:t>253</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_Toc526243311 \h </w:instrText>
      </w:r>
      <w:r>
        <w:fldChar w:fldCharType="separate"/>
      </w:r>
      <w:r>
        <w:t>254</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_Toc526243312 \h </w:instrText>
      </w:r>
      <w:r>
        <w:fldChar w:fldCharType="separate"/>
      </w:r>
      <w:r>
        <w:t>254</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_Toc526243313 \h </w:instrText>
      </w:r>
      <w:r>
        <w:fldChar w:fldCharType="separate"/>
      </w:r>
      <w:r>
        <w:t>255</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_Toc526243314 \h </w:instrText>
      </w:r>
      <w:r>
        <w:fldChar w:fldCharType="separate"/>
      </w:r>
      <w:r>
        <w:t>256</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_Toc526243315 \h </w:instrText>
      </w:r>
      <w:r>
        <w:fldChar w:fldCharType="separate"/>
      </w:r>
      <w:r>
        <w:t>257</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_Toc526243316 \h </w:instrText>
      </w:r>
      <w:r>
        <w:fldChar w:fldCharType="separate"/>
      </w:r>
      <w:r>
        <w:t>258</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_Toc526243317 \h </w:instrText>
      </w:r>
      <w:r>
        <w:fldChar w:fldCharType="separate"/>
      </w:r>
      <w:r>
        <w:t>259</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_Toc526243318 \h </w:instrText>
      </w:r>
      <w:r>
        <w:fldChar w:fldCharType="separate"/>
      </w:r>
      <w:r>
        <w:t>259</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_Toc526243319 \h </w:instrText>
      </w:r>
      <w:r>
        <w:fldChar w:fldCharType="separate"/>
      </w:r>
      <w:r>
        <w:t>261</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_Toc526243320 \h </w:instrText>
      </w:r>
      <w:r>
        <w:fldChar w:fldCharType="separate"/>
      </w:r>
      <w:r>
        <w:t>261</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_Toc526243321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_Toc526243323 \h </w:instrText>
      </w:r>
      <w:r>
        <w:fldChar w:fldCharType="separate"/>
      </w:r>
      <w:r>
        <w:t>263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_Toc526243324 \h </w:instrText>
      </w:r>
      <w:r>
        <w:fldChar w:fldCharType="separate"/>
      </w:r>
      <w:r>
        <w:t>264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_Toc526243325 \h </w:instrText>
      </w:r>
      <w:r>
        <w:fldChar w:fldCharType="separate"/>
      </w:r>
      <w:r>
        <w:t>266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_Toc526243326 \h </w:instrText>
      </w:r>
      <w:r>
        <w:fldChar w:fldCharType="separate"/>
      </w:r>
      <w:r>
        <w:t>268</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_Toc526243327 \h </w:instrText>
      </w:r>
      <w:r>
        <w:fldChar w:fldCharType="separate"/>
      </w:r>
      <w:r>
        <w:t>269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_Toc526243328 \h </w:instrText>
      </w:r>
      <w:r>
        <w:fldChar w:fldCharType="separate"/>
      </w:r>
      <w:r>
        <w:t>269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_Toc526243329 \h </w:instrText>
      </w:r>
      <w:r>
        <w:fldChar w:fldCharType="separate"/>
      </w:r>
      <w:r>
        <w:t>270</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_Toc526243330 \h </w:instrText>
      </w:r>
      <w:r>
        <w:fldChar w:fldCharType="separate"/>
      </w:r>
      <w:r>
        <w:t>271</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_Toc526243331 \h </w:instrText>
      </w:r>
      <w:r>
        <w:fldChar w:fldCharType="separate"/>
      </w:r>
      <w:r>
        <w:t>272</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_Toc526243332 \h </w:instrText>
      </w:r>
      <w:r>
        <w:fldChar w:fldCharType="separate"/>
      </w:r>
      <w:r>
        <w:t>274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_Toc526243333 \h </w:instrText>
      </w:r>
      <w:r>
        <w:fldChar w:fldCharType="separate"/>
      </w:r>
      <w:r>
        <w:t>275</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_Toc526243334 \h </w:instrText>
      </w:r>
      <w:r>
        <w:fldChar w:fldCharType="separate"/>
      </w:r>
      <w:r>
        <w:t>275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_Toc526243335 \h </w:instrText>
      </w:r>
      <w:r>
        <w:fldChar w:fldCharType="separate"/>
      </w:r>
      <w:r>
        <w:t>278</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_Toc526243336 \h </w:instrText>
      </w:r>
      <w:r>
        <w:fldChar w:fldCharType="separate"/>
      </w:r>
      <w:r>
        <w:t>278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_Toc526243337 \h </w:instrText>
      </w:r>
      <w:r>
        <w:fldChar w:fldCharType="separate"/>
      </w:r>
      <w:r>
        <w:t>279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_Toc526243338 \h </w:instrText>
      </w:r>
      <w:r>
        <w:fldChar w:fldCharType="separate"/>
      </w:r>
      <w:r>
        <w:t>281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_Toc526243339 \h </w:instrText>
      </w:r>
      <w:r>
        <w:fldChar w:fldCharType="separate"/>
      </w:r>
      <w:r>
        <w:t>282</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_Toc526243340 \h </w:instrText>
      </w:r>
      <w:r>
        <w:fldChar w:fldCharType="separate"/>
      </w:r>
      <w:r>
        <w:t>282</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_Toc526243341 \h </w:instrText>
      </w:r>
      <w:r>
        <w:fldChar w:fldCharType="separate"/>
      </w:r>
      <w:r>
        <w:t>284</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_Toc526243342 \h </w:instrText>
      </w:r>
      <w:r>
        <w:fldChar w:fldCharType="separate"/>
      </w:r>
      <w:r>
        <w:t>285</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_Toc526243343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_Toc526243345 \h </w:instrText>
      </w:r>
      <w:r>
        <w:fldChar w:fldCharType="separate"/>
      </w:r>
      <w:r>
        <w:t>292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_Toc526243346 \h </w:instrText>
      </w:r>
      <w:r>
        <w:fldChar w:fldCharType="separate"/>
      </w:r>
      <w:r>
        <w:t>292</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_Toc526243347 \h </w:instrText>
      </w:r>
      <w:r>
        <w:fldChar w:fldCharType="separate"/>
      </w:r>
      <w:r>
        <w:t>293</w:t>
      </w:r>
      <w:r>
        <w:fldChar w:fldCharType="end"/>
      </w:r>
    </w:p>
    <w:p>
      <w:pPr>
        <w:pStyle w:val="TOC8"/>
        <w:rPr>
          <w:rFonts w:asciiTheme="minorHAnsi" w:eastAsiaTheme="minorEastAsia" w:hAnsiTheme="minorHAnsi" w:cstheme="minorBidi"/>
          <w:szCs w:val="22"/>
        </w:rPr>
      </w:pPr>
      <w:r>
        <w:t>174B.</w:t>
      </w:r>
      <w:r>
        <w:tab/>
        <w:t xml:space="preserve">Liquor accords: authorisation for purposes of </w:t>
      </w:r>
      <w:r>
        <w:rPr>
          <w:i/>
        </w:rPr>
        <w:t>Competition and Consumer Act 2010</w:t>
      </w:r>
      <w:r>
        <w:t xml:space="preserve"> and Competition Code</w:t>
      </w:r>
      <w:r>
        <w:tab/>
      </w:r>
      <w:r>
        <w:fldChar w:fldCharType="begin"/>
      </w:r>
      <w:r>
        <w:instrText xml:space="preserve"> PAGEREF _Toc526243348 \h </w:instrText>
      </w:r>
      <w:r>
        <w:fldChar w:fldCharType="separate"/>
      </w:r>
      <w:r>
        <w:t>293</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_Toc526243349 \h </w:instrText>
      </w:r>
      <w:r>
        <w:fldChar w:fldCharType="separate"/>
      </w:r>
      <w:r>
        <w:t>293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_Toc526243350 \h </w:instrText>
      </w:r>
      <w:r>
        <w:fldChar w:fldCharType="separate"/>
      </w:r>
      <w:r>
        <w:t>295</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_Toc526243351 \h </w:instrText>
      </w:r>
      <w:r>
        <w:fldChar w:fldCharType="separate"/>
      </w:r>
      <w:r>
        <w:t>296</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_Toc526243352 \h </w:instrText>
      </w:r>
      <w:r>
        <w:fldChar w:fldCharType="separate"/>
      </w:r>
      <w:r>
        <w:t>296</w:t>
      </w:r>
      <w:r>
        <w:fldChar w:fldCharType="end"/>
      </w:r>
    </w:p>
    <w:p>
      <w:pPr>
        <w:pStyle w:val="TOC8"/>
        <w:rPr>
          <w:rFonts w:asciiTheme="minorHAnsi" w:eastAsiaTheme="minorEastAsia" w:hAnsiTheme="minorHAnsi" w:cstheme="minorBidi"/>
          <w:szCs w:val="22"/>
        </w:rPr>
      </w:pPr>
      <w:r>
        <w:t>177C.</w:t>
      </w:r>
      <w:r>
        <w:tab/>
        <w:t xml:space="preserve">Transitional provisions for </w:t>
      </w:r>
      <w:r>
        <w:rPr>
          <w:i/>
        </w:rPr>
        <w:t>Liquor Control Amendment Act 2018</w:t>
      </w:r>
      <w:r>
        <w:t xml:space="preserve"> (Sch. 1C)</w:t>
      </w:r>
      <w:r>
        <w:tab/>
      </w:r>
      <w:r>
        <w:fldChar w:fldCharType="begin"/>
      </w:r>
      <w:r>
        <w:instrText xml:space="preserve"> PAGEREF _Toc526243353 \h </w:instrText>
      </w:r>
      <w:r>
        <w:fldChar w:fldCharType="separate"/>
      </w:r>
      <w:r>
        <w:t>296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_Toc526243354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_Toc526243356 \h </w:instrText>
      </w:r>
      <w:r>
        <w:fldChar w:fldCharType="separate"/>
      </w:r>
      <w:r>
        <w:t>298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_Toc526243357 \h </w:instrText>
      </w:r>
      <w:r>
        <w:fldChar w:fldCharType="separate"/>
      </w:r>
      <w:r>
        <w:t>299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_Toc526243358 \h </w:instrText>
      </w:r>
      <w:r>
        <w:fldChar w:fldCharType="separate"/>
      </w:r>
      <w:r>
        <w:t>299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_Toc526243359 \h </w:instrText>
      </w:r>
      <w:r>
        <w:fldChar w:fldCharType="separate"/>
      </w:r>
      <w:r>
        <w:t>301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_Toc526243360 \h </w:instrText>
      </w:r>
      <w:r>
        <w:fldChar w:fldCharType="separate"/>
      </w:r>
      <w:r>
        <w:t>302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_Toc526243361 \h </w:instrText>
      </w:r>
      <w:r>
        <w:fldChar w:fldCharType="separate"/>
      </w:r>
      <w:r>
        <w:t>303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_Toc526243362 \h </w:instrText>
      </w:r>
      <w:r>
        <w:fldChar w:fldCharType="separate"/>
      </w:r>
      <w:r>
        <w:t>305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_Toc526243363 \h </w:instrText>
      </w:r>
      <w:r>
        <w:fldChar w:fldCharType="separate"/>
      </w:r>
      <w:r>
        <w:t>305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_Toc526243364 \h </w:instrText>
      </w:r>
      <w:r>
        <w:fldChar w:fldCharType="separate"/>
      </w:r>
      <w:r>
        <w:t>305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_Toc526243365 \h </w:instrText>
      </w:r>
      <w:r>
        <w:fldChar w:fldCharType="separate"/>
      </w:r>
      <w:r>
        <w:t>305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_Toc526243366 \h </w:instrText>
      </w:r>
      <w:r>
        <w:fldChar w:fldCharType="separate"/>
      </w:r>
      <w:r>
        <w:t>306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_Toc526243367 \h </w:instrText>
      </w:r>
      <w:r>
        <w:fldChar w:fldCharType="separate"/>
      </w:r>
      <w:r>
        <w:t>307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_Toc526243368 \h </w:instrText>
      </w:r>
      <w:r>
        <w:fldChar w:fldCharType="separate"/>
      </w:r>
      <w:r>
        <w:t>307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_Toc526243369 \h </w:instrText>
      </w:r>
      <w:r>
        <w:fldChar w:fldCharType="separate"/>
      </w:r>
      <w:r>
        <w:t>307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_Toc526243370 \h </w:instrText>
      </w:r>
      <w:r>
        <w:fldChar w:fldCharType="separate"/>
      </w:r>
      <w:r>
        <w:t>307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_Toc526243371 \h </w:instrText>
      </w:r>
      <w:r>
        <w:fldChar w:fldCharType="separate"/>
      </w:r>
      <w:r>
        <w:t>308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_Toc526243372 \h </w:instrText>
      </w:r>
      <w:r>
        <w:fldChar w:fldCharType="separate"/>
      </w:r>
      <w:r>
        <w:t>309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_Toc526243373 \h </w:instrText>
      </w:r>
      <w:r>
        <w:fldChar w:fldCharType="separate"/>
      </w:r>
      <w:r>
        <w:t>309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_Toc526243374 \h </w:instrText>
      </w:r>
      <w:r>
        <w:fldChar w:fldCharType="separate"/>
      </w:r>
      <w:r>
        <w:t>310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_Toc526243375 \h </w:instrText>
      </w:r>
      <w:r>
        <w:fldChar w:fldCharType="separate"/>
      </w:r>
      <w:r>
        <w:t>311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_Toc526243376 \h </w:instrText>
      </w:r>
      <w:r>
        <w:fldChar w:fldCharType="separate"/>
      </w:r>
      <w:r>
        <w:t>313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_Toc526243377 \h </w:instrText>
      </w:r>
      <w:r>
        <w:fldChar w:fldCharType="separate"/>
      </w:r>
      <w:r>
        <w:t>313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_Toc526243378 \h </w:instrText>
      </w:r>
      <w:r>
        <w:fldChar w:fldCharType="separate"/>
      </w:r>
      <w:r>
        <w:t>313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_Toc526243379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_Toc526243381 \h </w:instrText>
      </w:r>
      <w:r>
        <w:fldChar w:fldCharType="separate"/>
      </w:r>
      <w:r>
        <w:t>315</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_Toc526243382 \h </w:instrText>
      </w:r>
      <w:r>
        <w:fldChar w:fldCharType="separate"/>
      </w:r>
      <w:r>
        <w:t>315</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_Toc526243383 \h </w:instrText>
      </w:r>
      <w:r>
        <w:fldChar w:fldCharType="separate"/>
      </w:r>
      <w:r>
        <w:t>315</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_Toc526243384 \h </w:instrText>
      </w:r>
      <w:r>
        <w:fldChar w:fldCharType="separate"/>
      </w:r>
      <w:r>
        <w:t>316</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_Toc526243385 \h </w:instrText>
      </w:r>
      <w:r>
        <w:fldChar w:fldCharType="separate"/>
      </w:r>
      <w:r>
        <w:t>316</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_Toc526243386 \h </w:instrText>
      </w:r>
      <w:r>
        <w:fldChar w:fldCharType="separate"/>
      </w:r>
      <w:r>
        <w:t>317</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_Toc526243387 \h </w:instrText>
      </w:r>
      <w:r>
        <w:fldChar w:fldCharType="separate"/>
      </w:r>
      <w:r>
        <w:t>317</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_Toc526243388 \h </w:instrText>
      </w:r>
      <w:r>
        <w:fldChar w:fldCharType="separate"/>
      </w:r>
      <w:r>
        <w:t>317</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_Toc526243389 \h </w:instrText>
      </w:r>
      <w:r>
        <w:fldChar w:fldCharType="separate"/>
      </w:r>
      <w:r>
        <w:t>318</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_Toc526243390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_Toc526243392 \h </w:instrText>
      </w:r>
      <w:r>
        <w:fldChar w:fldCharType="separate"/>
      </w:r>
      <w:r>
        <w:t>319</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_Toc526243393 \h </w:instrText>
      </w:r>
      <w:r>
        <w:fldChar w:fldCharType="separate"/>
      </w:r>
      <w:r>
        <w:t>319</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_Toc526243394 \h </w:instrText>
      </w:r>
      <w:r>
        <w:fldChar w:fldCharType="separate"/>
      </w:r>
      <w:r>
        <w:t>319</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_Toc526243395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1C — Transitional provisions relating to the </w:t>
      </w:r>
      <w:r>
        <w:rPr>
          <w:i/>
        </w:rPr>
        <w:t>Liquor Control Amendment Act 2018</w:t>
      </w:r>
    </w:p>
    <w:p>
      <w:pPr>
        <w:pStyle w:val="TOC8"/>
        <w:rPr>
          <w:rFonts w:asciiTheme="minorHAnsi" w:eastAsiaTheme="minorEastAsia" w:hAnsiTheme="minorHAnsi" w:cstheme="minorBidi"/>
          <w:szCs w:val="22"/>
        </w:rPr>
      </w:pPr>
      <w:r>
        <w:t>1.</w:t>
      </w:r>
      <w:r>
        <w:tab/>
        <w:t>Application of s. 36B to existing applications for grant or removal of licence</w:t>
      </w:r>
      <w:r>
        <w:tab/>
      </w:r>
      <w:r>
        <w:fldChar w:fldCharType="begin"/>
      </w:r>
      <w:r>
        <w:instrText xml:space="preserve"> PAGEREF _Toc526243397 \h </w:instrText>
      </w:r>
      <w:r>
        <w:fldChar w:fldCharType="separate"/>
      </w:r>
      <w:r>
        <w:t>321</w:t>
      </w:r>
      <w:r>
        <w:fldChar w:fldCharType="end"/>
      </w:r>
    </w:p>
    <w:p>
      <w:pPr>
        <w:pStyle w:val="TOC8"/>
        <w:rPr>
          <w:rFonts w:asciiTheme="minorHAnsi" w:eastAsiaTheme="minorEastAsia" w:hAnsiTheme="minorHAnsi" w:cstheme="minorBidi"/>
          <w:szCs w:val="22"/>
        </w:rPr>
      </w:pPr>
      <w:r>
        <w:t>2.</w:t>
      </w:r>
      <w:r>
        <w:tab/>
        <w:t>Small bar licences</w:t>
      </w:r>
      <w:r>
        <w:tab/>
      </w:r>
      <w:r>
        <w:fldChar w:fldCharType="begin"/>
      </w:r>
      <w:r>
        <w:instrText xml:space="preserve"> PAGEREF _Toc526243398 \h </w:instrText>
      </w:r>
      <w:r>
        <w:fldChar w:fldCharType="separate"/>
      </w:r>
      <w:r>
        <w:t>321</w:t>
      </w:r>
      <w:r>
        <w:fldChar w:fldCharType="end"/>
      </w:r>
    </w:p>
    <w:p>
      <w:pPr>
        <w:pStyle w:val="TOC8"/>
        <w:rPr>
          <w:rFonts w:asciiTheme="minorHAnsi" w:eastAsiaTheme="minorEastAsia" w:hAnsiTheme="minorHAnsi" w:cstheme="minorBidi"/>
          <w:szCs w:val="22"/>
        </w:rPr>
      </w:pPr>
      <w:r>
        <w:t>3.</w:t>
      </w:r>
      <w:r>
        <w:tab/>
        <w:t>Certain restaurant licences: no fee for application for extended trading permit under section 60(4)(ca)</w:t>
      </w:r>
      <w:r>
        <w:tab/>
      </w:r>
      <w:r>
        <w:fldChar w:fldCharType="begin"/>
      </w:r>
      <w:r>
        <w:instrText xml:space="preserve"> PAGEREF _Toc526243399 \h </w:instrText>
      </w:r>
      <w:r>
        <w:fldChar w:fldCharType="separate"/>
      </w:r>
      <w:r>
        <w:t>321</w:t>
      </w:r>
      <w:r>
        <w:fldChar w:fldCharType="end"/>
      </w:r>
    </w:p>
    <w:p>
      <w:pPr>
        <w:pStyle w:val="TOC8"/>
        <w:rPr>
          <w:rFonts w:asciiTheme="minorHAnsi" w:eastAsiaTheme="minorEastAsia" w:hAnsiTheme="minorHAnsi" w:cstheme="minorBidi"/>
          <w:szCs w:val="22"/>
        </w:rPr>
      </w:pPr>
      <w:r>
        <w:t>4.</w:t>
      </w:r>
      <w:r>
        <w:tab/>
        <w:t>Application of s. 77A to existing applications for alteration or redefinition of licensed premises</w:t>
      </w:r>
      <w:r>
        <w:tab/>
      </w:r>
      <w:r>
        <w:fldChar w:fldCharType="begin"/>
      </w:r>
      <w:r>
        <w:instrText xml:space="preserve"> PAGEREF _Toc526243400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_Toc526243403 \h </w:instrText>
      </w:r>
      <w:r>
        <w:fldChar w:fldCharType="separate"/>
      </w:r>
      <w:r>
        <w:t>323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_Toc526243404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_Toc526243406 \h </w:instrText>
      </w:r>
      <w:r>
        <w:fldChar w:fldCharType="separate"/>
      </w:r>
      <w:r>
        <w:t>325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_Toc526243407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_Toc526243409 \h </w:instrText>
      </w:r>
      <w:r>
        <w:fldChar w:fldCharType="separate"/>
      </w:r>
      <w:r>
        <w:t>327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_Toc526243410 \h </w:instrText>
      </w:r>
      <w:r>
        <w:fldChar w:fldCharType="separate"/>
      </w:r>
      <w:r>
        <w:t>332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No. 12 of 1998 s. 4 (correction: Gazette 31 Jul 1998 p. 3942); No. 73 of 2006 s. 4.] </w:t>
      </w:r>
    </w:p>
    <w:p>
      <w:pPr>
        <w:pStyle w:val="Heading2"/>
      </w:pPr>
      <w:bookmarkStart w:id="3" w:name="_Toc525287612"/>
      <w:bookmarkStart w:id="4" w:name="_Toc526243038"/>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526243039"/>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No. 73 of 2006 s. 5.]</w:t>
      </w:r>
    </w:p>
    <w:p>
      <w:pPr>
        <w:pStyle w:val="Heading5"/>
        <w:rPr>
          <w:snapToGrid w:val="0"/>
        </w:rPr>
      </w:pPr>
      <w:bookmarkStart w:id="6" w:name="_Toc526243040"/>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 w:name="_Toc526243041"/>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w:t>
      </w:r>
      <w:r>
        <w:t xml:space="preserve">.] </w:t>
      </w:r>
    </w:p>
    <w:p>
      <w:pPr>
        <w:pStyle w:val="Heading5"/>
        <w:spacing w:before="180"/>
      </w:pPr>
      <w:bookmarkStart w:id="8" w:name="_Toc526243042"/>
      <w:r>
        <w:rPr>
          <w:rStyle w:val="CharSectno"/>
        </w:rPr>
        <w:t>3A</w:t>
      </w:r>
      <w:r>
        <w:t>.</w:t>
      </w:r>
      <w:r>
        <w:tab/>
        <w:t>Term used: drunk</w:t>
      </w:r>
      <w:bookmarkEnd w:id="8"/>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No. 73 of 2006 s. 7.]</w:t>
      </w:r>
    </w:p>
    <w:p>
      <w:pPr>
        <w:pStyle w:val="Heading5"/>
        <w:spacing w:before="180"/>
        <w:rPr>
          <w:snapToGrid w:val="0"/>
        </w:rPr>
      </w:pPr>
      <w:bookmarkStart w:id="9" w:name="_Toc526243043"/>
      <w:r>
        <w:rPr>
          <w:rStyle w:val="CharSectno"/>
        </w:rPr>
        <w:t>4</w:t>
      </w:r>
      <w:r>
        <w:rPr>
          <w:snapToGrid w:val="0"/>
        </w:rPr>
        <w:t>.</w:t>
      </w:r>
      <w:r>
        <w:rPr>
          <w:snapToGrid w:val="0"/>
        </w:rPr>
        <w:tab/>
        <w:t>Storing and receiving liquor for licensed premises at other premises; records to be kept</w:t>
      </w:r>
      <w:bookmarkEnd w:id="9"/>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 xml:space="preserve">On application by a </w:t>
      </w:r>
      <w:r>
        <w:t>licensee of a producer’s licence, a wholesaler’s licence or a special facility licence of a prescribed type,</w:t>
      </w:r>
      <w:r>
        <w:rPr>
          <w:snapToGrid w:val="0"/>
        </w:rPr>
        <w:t xml:space="preserv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keepNext/>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No. 56 of 1997 s. 27; No. 12 of 1998 s. 6; No. 73 of 2006 s. 8; No. 9 of 2018 s. 5.] </w:t>
      </w:r>
    </w:p>
    <w:p>
      <w:pPr>
        <w:pStyle w:val="Heading5"/>
        <w:rPr>
          <w:snapToGrid w:val="0"/>
        </w:rPr>
      </w:pPr>
      <w:bookmarkStart w:id="10" w:name="_Toc526243044"/>
      <w:r>
        <w:rPr>
          <w:rStyle w:val="CharSectno"/>
        </w:rPr>
        <w:t>5</w:t>
      </w:r>
      <w:r>
        <w:rPr>
          <w:snapToGrid w:val="0"/>
        </w:rPr>
        <w:t>.</w:t>
      </w:r>
      <w:r>
        <w:rPr>
          <w:snapToGrid w:val="0"/>
        </w:rPr>
        <w:tab/>
        <w:t>Objects of Act</w:t>
      </w:r>
      <w:bookmarkEnd w:id="10"/>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No. 12 of 1998 s. 7; No. 73 of 2006 s. 9; No. 9 of 2018 s. 6.] </w:t>
      </w:r>
    </w:p>
    <w:p>
      <w:pPr>
        <w:pStyle w:val="Heading5"/>
        <w:rPr>
          <w:snapToGrid w:val="0"/>
        </w:rPr>
      </w:pPr>
      <w:bookmarkStart w:id="11" w:name="_Toc526243045"/>
      <w:r>
        <w:rPr>
          <w:rStyle w:val="CharSectno"/>
        </w:rPr>
        <w:t>6</w:t>
      </w:r>
      <w:r>
        <w:rPr>
          <w:snapToGrid w:val="0"/>
        </w:rPr>
        <w:t>.</w:t>
      </w:r>
      <w:r>
        <w:rPr>
          <w:snapToGrid w:val="0"/>
        </w:rPr>
        <w:tab/>
        <w:t>Act not to apply in certain cases</w:t>
      </w:r>
      <w:bookmarkEnd w:id="11"/>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No. 12 of 1998 s. 35(2); No. 31 of 2003 s. 151; No. 35 of 2010 s. 104; No. 56 of 2010 s. 36.] </w:t>
      </w:r>
    </w:p>
    <w:p>
      <w:pPr>
        <w:pStyle w:val="Heading2"/>
      </w:pPr>
      <w:bookmarkStart w:id="12" w:name="_Toc525287620"/>
      <w:bookmarkStart w:id="13" w:name="_Toc526243046"/>
      <w:r>
        <w:rPr>
          <w:rStyle w:val="CharPartNo"/>
        </w:rPr>
        <w:t>Part 2</w:t>
      </w:r>
      <w:r>
        <w:t> — </w:t>
      </w:r>
      <w:r>
        <w:rPr>
          <w:rStyle w:val="CharPartText"/>
        </w:rPr>
        <w:t>The licensing authority</w:t>
      </w:r>
      <w:bookmarkEnd w:id="12"/>
      <w:bookmarkEnd w:id="13"/>
      <w:r>
        <w:rPr>
          <w:rStyle w:val="CharPartText"/>
        </w:rPr>
        <w:t xml:space="preserve"> </w:t>
      </w:r>
    </w:p>
    <w:p>
      <w:pPr>
        <w:pStyle w:val="Heading3"/>
        <w:rPr>
          <w:snapToGrid w:val="0"/>
        </w:rPr>
      </w:pPr>
      <w:bookmarkStart w:id="14" w:name="_Toc525287621"/>
      <w:bookmarkStart w:id="15" w:name="_Toc526243047"/>
      <w:r>
        <w:rPr>
          <w:rStyle w:val="CharDivNo"/>
        </w:rPr>
        <w:t>Division 1</w:t>
      </w:r>
      <w:r>
        <w:rPr>
          <w:snapToGrid w:val="0"/>
        </w:rPr>
        <w:t> — </w:t>
      </w:r>
      <w:r>
        <w:rPr>
          <w:rStyle w:val="CharDivText"/>
        </w:rPr>
        <w:t>The licensing authority</w:t>
      </w:r>
      <w:bookmarkEnd w:id="14"/>
      <w:bookmarkEnd w:id="15"/>
      <w:r>
        <w:rPr>
          <w:rStyle w:val="CharDivText"/>
        </w:rPr>
        <w:t xml:space="preserve"> </w:t>
      </w:r>
    </w:p>
    <w:p>
      <w:pPr>
        <w:pStyle w:val="Heading5"/>
        <w:spacing w:before="180"/>
        <w:rPr>
          <w:snapToGrid w:val="0"/>
        </w:rPr>
      </w:pPr>
      <w:bookmarkStart w:id="16" w:name="_Toc526243048"/>
      <w:r>
        <w:rPr>
          <w:rStyle w:val="CharSectno"/>
        </w:rPr>
        <w:t>7</w:t>
      </w:r>
      <w:r>
        <w:rPr>
          <w:snapToGrid w:val="0"/>
        </w:rPr>
        <w:t>.</w:t>
      </w:r>
      <w:r>
        <w:rPr>
          <w:snapToGrid w:val="0"/>
        </w:rPr>
        <w:tab/>
        <w:t>Constitution and jurisdiction of licensing authority</w:t>
      </w:r>
      <w:bookmarkEnd w:id="16"/>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No. 12 of 1998 s. 8; No. 73 of 2006 s. 10 and 106.] </w:t>
      </w:r>
    </w:p>
    <w:p>
      <w:pPr>
        <w:pStyle w:val="Heading3"/>
        <w:spacing w:before="200"/>
        <w:rPr>
          <w:rStyle w:val="CharDivText"/>
        </w:rPr>
      </w:pPr>
      <w:bookmarkStart w:id="17" w:name="_Toc525287623"/>
      <w:bookmarkStart w:id="18" w:name="_Toc526243049"/>
      <w:r>
        <w:rPr>
          <w:rStyle w:val="CharDivNo"/>
        </w:rPr>
        <w:t>Division 2</w:t>
      </w:r>
      <w:r>
        <w:t> — </w:t>
      </w:r>
      <w:r>
        <w:rPr>
          <w:rStyle w:val="CharDivText"/>
        </w:rPr>
        <w:t>The Liquor Commission</w:t>
      </w:r>
      <w:bookmarkEnd w:id="17"/>
      <w:bookmarkEnd w:id="18"/>
    </w:p>
    <w:p>
      <w:pPr>
        <w:pStyle w:val="Footnoteheading"/>
      </w:pPr>
      <w:r>
        <w:tab/>
        <w:t>[Heading inserted: No. 73 of 2006 s. 11.]</w:t>
      </w:r>
    </w:p>
    <w:p>
      <w:pPr>
        <w:pStyle w:val="Heading5"/>
        <w:keepNext w:val="0"/>
        <w:keepLines w:val="0"/>
        <w:spacing w:before="180"/>
      </w:pPr>
      <w:bookmarkStart w:id="19" w:name="_Toc526243050"/>
      <w:r>
        <w:rPr>
          <w:rStyle w:val="CharSectno"/>
        </w:rPr>
        <w:t>8</w:t>
      </w:r>
      <w:r>
        <w:t>.</w:t>
      </w:r>
      <w:r>
        <w:tab/>
        <w:t>Commission established</w:t>
      </w:r>
      <w:bookmarkEnd w:id="19"/>
    </w:p>
    <w:p>
      <w:pPr>
        <w:pStyle w:val="Subsection"/>
        <w:spacing w:before="120"/>
      </w:pPr>
      <w:r>
        <w:tab/>
      </w:r>
      <w:r>
        <w:tab/>
        <w:t>A commission called the Liquor Commission is established.</w:t>
      </w:r>
    </w:p>
    <w:p>
      <w:pPr>
        <w:pStyle w:val="Footnotesection"/>
        <w:spacing w:before="60"/>
        <w:ind w:left="890" w:hanging="890"/>
      </w:pPr>
      <w:r>
        <w:tab/>
        <w:t>[Section 8 inserted: No. 73 of 2006 s. 11.]</w:t>
      </w:r>
    </w:p>
    <w:p>
      <w:pPr>
        <w:pStyle w:val="Heading5"/>
      </w:pPr>
      <w:bookmarkStart w:id="20" w:name="_Toc526243051"/>
      <w:r>
        <w:rPr>
          <w:rStyle w:val="CharSectno"/>
        </w:rPr>
        <w:t>9</w:t>
      </w:r>
      <w:r>
        <w:t>.</w:t>
      </w:r>
      <w:r>
        <w:tab/>
        <w:t>Jurisdiction of Commission</w:t>
      </w:r>
      <w:bookmarkEnd w:id="2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No. 73 of 2006 s. 11.]</w:t>
      </w:r>
    </w:p>
    <w:p>
      <w:pPr>
        <w:pStyle w:val="Heading5"/>
      </w:pPr>
      <w:bookmarkStart w:id="21" w:name="_Toc526243052"/>
      <w:r>
        <w:rPr>
          <w:rStyle w:val="CharSectno"/>
        </w:rPr>
        <w:t>9A</w:t>
      </w:r>
      <w:r>
        <w:t>.</w:t>
      </w:r>
      <w:r>
        <w:tab/>
        <w:t>Constitution of Commission</w:t>
      </w:r>
      <w:bookmarkEnd w:id="2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No. 73 of 2006 s. 11.]</w:t>
      </w:r>
    </w:p>
    <w:p>
      <w:pPr>
        <w:pStyle w:val="Heading3"/>
      </w:pPr>
      <w:bookmarkStart w:id="22" w:name="_Toc525287627"/>
      <w:bookmarkStart w:id="23" w:name="_Toc526243053"/>
      <w:r>
        <w:rPr>
          <w:rStyle w:val="CharDivNo"/>
        </w:rPr>
        <w:t>Division 2A</w:t>
      </w:r>
      <w:r>
        <w:t> — </w:t>
      </w:r>
      <w:r>
        <w:rPr>
          <w:rStyle w:val="CharDivText"/>
        </w:rPr>
        <w:t>Members of the Commission</w:t>
      </w:r>
      <w:bookmarkEnd w:id="22"/>
      <w:bookmarkEnd w:id="23"/>
    </w:p>
    <w:p>
      <w:pPr>
        <w:pStyle w:val="Footnoteheading"/>
      </w:pPr>
      <w:r>
        <w:tab/>
        <w:t>[Heading inserted: No. 73 of 2006 s. 11.]</w:t>
      </w:r>
    </w:p>
    <w:p>
      <w:pPr>
        <w:pStyle w:val="Heading5"/>
      </w:pPr>
      <w:bookmarkStart w:id="24" w:name="_Toc526243054"/>
      <w:r>
        <w:rPr>
          <w:rStyle w:val="CharSectno"/>
        </w:rPr>
        <w:t>9B</w:t>
      </w:r>
      <w:r>
        <w:t>.</w:t>
      </w:r>
      <w:r>
        <w:tab/>
        <w:t>Commission members</w:t>
      </w:r>
      <w:bookmarkEnd w:id="24"/>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No. 73 of 2006 s. 11; amended: No. 21 of 2008 s. 675(3).]</w:t>
      </w:r>
    </w:p>
    <w:p>
      <w:pPr>
        <w:pStyle w:val="Heading5"/>
      </w:pPr>
      <w:bookmarkStart w:id="25" w:name="_Toc526243055"/>
      <w:r>
        <w:rPr>
          <w:rStyle w:val="CharSectno"/>
        </w:rPr>
        <w:t>9C</w:t>
      </w:r>
      <w:r>
        <w:t>.</w:t>
      </w:r>
      <w:r>
        <w:tab/>
        <w:t>Tenure of office</w:t>
      </w:r>
      <w:bookmarkEnd w:id="2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No. 73 of 2006 s. 11.]</w:t>
      </w:r>
    </w:p>
    <w:p>
      <w:pPr>
        <w:pStyle w:val="Heading5"/>
      </w:pPr>
      <w:bookmarkStart w:id="26" w:name="_Toc526243056"/>
      <w:r>
        <w:rPr>
          <w:rStyle w:val="CharSectno"/>
        </w:rPr>
        <w:t>9D</w:t>
      </w:r>
      <w:r>
        <w:t>.</w:t>
      </w:r>
      <w:r>
        <w:tab/>
        <w:t>Deputy chairperson</w:t>
      </w:r>
      <w:bookmarkEnd w:id="26"/>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No. 73 of 2006 s. 11.]</w:t>
      </w:r>
    </w:p>
    <w:p>
      <w:pPr>
        <w:pStyle w:val="Heading5"/>
      </w:pPr>
      <w:bookmarkStart w:id="27" w:name="_Toc526243057"/>
      <w:r>
        <w:rPr>
          <w:rStyle w:val="CharSectno"/>
        </w:rPr>
        <w:t>9E</w:t>
      </w:r>
      <w:r>
        <w:t>.</w:t>
      </w:r>
      <w:r>
        <w:tab/>
        <w:t>Removal or resignation</w:t>
      </w:r>
      <w:bookmarkEnd w:id="27"/>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No. 73 of 2006 s. 11.]</w:t>
      </w:r>
    </w:p>
    <w:p>
      <w:pPr>
        <w:pStyle w:val="Heading5"/>
      </w:pPr>
      <w:bookmarkStart w:id="28" w:name="_Toc526243058"/>
      <w:r>
        <w:rPr>
          <w:rStyle w:val="CharSectno"/>
        </w:rPr>
        <w:t>9F</w:t>
      </w:r>
      <w:r>
        <w:t>.</w:t>
      </w:r>
      <w:r>
        <w:tab/>
        <w:t>Leave of absence</w:t>
      </w:r>
      <w:bookmarkEnd w:id="28"/>
    </w:p>
    <w:p>
      <w:pPr>
        <w:pStyle w:val="Subsection"/>
      </w:pPr>
      <w:r>
        <w:tab/>
      </w:r>
      <w:r>
        <w:tab/>
        <w:t>The Minister may grant leave of absence to a member on the terms and conditions that the Minister thinks fit.</w:t>
      </w:r>
    </w:p>
    <w:p>
      <w:pPr>
        <w:pStyle w:val="Footnotesection"/>
      </w:pPr>
      <w:r>
        <w:tab/>
        <w:t>[Section 9F inserted: No. 73 of 2006 s. 11.]</w:t>
      </w:r>
    </w:p>
    <w:p>
      <w:pPr>
        <w:pStyle w:val="Heading5"/>
      </w:pPr>
      <w:bookmarkStart w:id="29" w:name="_Toc526243059"/>
      <w:r>
        <w:rPr>
          <w:rStyle w:val="CharSectno"/>
        </w:rPr>
        <w:t>9G</w:t>
      </w:r>
      <w:r>
        <w:t>.</w:t>
      </w:r>
      <w:r>
        <w:tab/>
        <w:t>Member whose term has expired may continue in office</w:t>
      </w:r>
      <w:bookmarkEnd w:id="29"/>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No. 73 of 2006 s. 11.]</w:t>
      </w:r>
    </w:p>
    <w:p>
      <w:pPr>
        <w:pStyle w:val="Heading5"/>
      </w:pPr>
      <w:bookmarkStart w:id="30" w:name="_Toc526243060"/>
      <w:r>
        <w:rPr>
          <w:rStyle w:val="CharSectno"/>
        </w:rPr>
        <w:t>9H</w:t>
      </w:r>
      <w:r>
        <w:t>.</w:t>
      </w:r>
      <w:r>
        <w:tab/>
        <w:t>Remuneration and conditions of office</w:t>
      </w:r>
      <w:bookmarkEnd w:id="30"/>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No. 73 of 2006 s. 11; amended: No. 39 of 2010 s. 89.]</w:t>
      </w:r>
    </w:p>
    <w:p>
      <w:pPr>
        <w:pStyle w:val="Heading3"/>
      </w:pPr>
      <w:bookmarkStart w:id="31" w:name="_Toc525287635"/>
      <w:bookmarkStart w:id="32" w:name="_Toc526243061"/>
      <w:r>
        <w:rPr>
          <w:rStyle w:val="CharDivNo"/>
        </w:rPr>
        <w:t>Division 2B</w:t>
      </w:r>
      <w:r>
        <w:t> — </w:t>
      </w:r>
      <w:r>
        <w:rPr>
          <w:rStyle w:val="CharDivText"/>
        </w:rPr>
        <w:t>Other matters</w:t>
      </w:r>
      <w:bookmarkEnd w:id="31"/>
      <w:bookmarkEnd w:id="32"/>
    </w:p>
    <w:p>
      <w:pPr>
        <w:pStyle w:val="Footnoteheading"/>
      </w:pPr>
      <w:r>
        <w:tab/>
        <w:t>[Heading inserted: No. 73 of 2006 s. 11.]</w:t>
      </w:r>
    </w:p>
    <w:p>
      <w:pPr>
        <w:pStyle w:val="Heading5"/>
        <w:spacing w:before="240"/>
      </w:pPr>
      <w:bookmarkStart w:id="33" w:name="_Toc526243062"/>
      <w:r>
        <w:rPr>
          <w:rStyle w:val="CharSectno"/>
        </w:rPr>
        <w:t>9I</w:t>
      </w:r>
      <w:r>
        <w:t>.</w:t>
      </w:r>
      <w:r>
        <w:tab/>
        <w:t>Decisions of Commission to be written etc.</w:t>
      </w:r>
      <w:bookmarkEnd w:id="33"/>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No. 73 of 2006 s. 11.]</w:t>
      </w:r>
    </w:p>
    <w:p>
      <w:pPr>
        <w:pStyle w:val="Heading5"/>
        <w:spacing w:before="240"/>
      </w:pPr>
      <w:bookmarkStart w:id="34" w:name="_Toc526243063"/>
      <w:r>
        <w:rPr>
          <w:rStyle w:val="CharSectno"/>
        </w:rPr>
        <w:t>9J</w:t>
      </w:r>
      <w:r>
        <w:t>.</w:t>
      </w:r>
      <w:r>
        <w:tab/>
        <w:t>Seal of Commission</w:t>
      </w:r>
      <w:bookmarkEnd w:id="34"/>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No. 73 of 2006 s. 11.]</w:t>
      </w:r>
    </w:p>
    <w:p>
      <w:pPr>
        <w:pStyle w:val="Heading5"/>
      </w:pPr>
      <w:bookmarkStart w:id="35" w:name="_Toc526243064"/>
      <w:r>
        <w:rPr>
          <w:rStyle w:val="CharSectno"/>
        </w:rPr>
        <w:t>9K</w:t>
      </w:r>
      <w:r>
        <w:t>.</w:t>
      </w:r>
      <w:r>
        <w:tab/>
        <w:t>Annual reports by Commission</w:t>
      </w:r>
      <w:bookmarkEnd w:id="3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No. 73 of 2006 s. 11.]</w:t>
      </w:r>
    </w:p>
    <w:p>
      <w:pPr>
        <w:pStyle w:val="Heading5"/>
        <w:spacing w:before="180"/>
      </w:pPr>
      <w:bookmarkStart w:id="36" w:name="_Toc526243065"/>
      <w:r>
        <w:rPr>
          <w:rStyle w:val="CharSectno"/>
        </w:rPr>
        <w:t>9L</w:t>
      </w:r>
      <w:r>
        <w:t>.</w:t>
      </w:r>
      <w:r>
        <w:tab/>
        <w:t>Laying annual report before House of Parliament not sitting</w:t>
      </w:r>
      <w:bookmarkEnd w:id="36"/>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No. 73 of 2006 s. 11.]</w:t>
      </w:r>
    </w:p>
    <w:p>
      <w:pPr>
        <w:pStyle w:val="Heading5"/>
      </w:pPr>
      <w:bookmarkStart w:id="37" w:name="_Toc526243066"/>
      <w:r>
        <w:rPr>
          <w:rStyle w:val="CharSectno"/>
        </w:rPr>
        <w:t>9M</w:t>
      </w:r>
      <w:r>
        <w:t>.</w:t>
      </w:r>
      <w:r>
        <w:tab/>
        <w:t>Protection and immunity of members, parties etc.</w:t>
      </w:r>
      <w:bookmarkEnd w:id="37"/>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No. 73 of 2006 s. 11; amended: No. 21 of 2008 s. 675(3).]</w:t>
      </w:r>
    </w:p>
    <w:p>
      <w:pPr>
        <w:pStyle w:val="Ednotesection"/>
        <w:spacing w:before="180"/>
        <w:ind w:left="890" w:hanging="890"/>
      </w:pPr>
      <w:r>
        <w:t>[</w:t>
      </w:r>
      <w:r>
        <w:rPr>
          <w:b/>
        </w:rPr>
        <w:t>10</w:t>
      </w:r>
      <w:r>
        <w:rPr>
          <w:b/>
        </w:rPr>
        <w:noBreakHyphen/>
        <w:t>11.</w:t>
      </w:r>
      <w:r>
        <w:tab/>
        <w:t>Deleted: No. 27 of 2000 s. 12.]</w:t>
      </w:r>
    </w:p>
    <w:p>
      <w:pPr>
        <w:pStyle w:val="Ednotesection"/>
        <w:spacing w:before="180"/>
        <w:ind w:left="890" w:hanging="890"/>
      </w:pPr>
      <w:r>
        <w:t>[</w:t>
      </w:r>
      <w:r>
        <w:rPr>
          <w:b/>
        </w:rPr>
        <w:t>12.</w:t>
      </w:r>
      <w:r>
        <w:rPr>
          <w:b/>
        </w:rPr>
        <w:tab/>
      </w:r>
      <w:r>
        <w:t>Deleted: No. 12 of 1998 s. 10(1).]</w:t>
      </w:r>
    </w:p>
    <w:p>
      <w:pPr>
        <w:pStyle w:val="Heading3"/>
        <w:rPr>
          <w:snapToGrid w:val="0"/>
        </w:rPr>
      </w:pPr>
      <w:bookmarkStart w:id="38" w:name="_Toc525287641"/>
      <w:bookmarkStart w:id="39" w:name="_Toc526243067"/>
      <w:r>
        <w:rPr>
          <w:rStyle w:val="CharDivNo"/>
        </w:rPr>
        <w:t>Division 3</w:t>
      </w:r>
      <w:r>
        <w:rPr>
          <w:snapToGrid w:val="0"/>
        </w:rPr>
        <w:t> — </w:t>
      </w:r>
      <w:r>
        <w:rPr>
          <w:rStyle w:val="CharDivText"/>
        </w:rPr>
        <w:t>The Director of Liquor Licensing</w:t>
      </w:r>
      <w:bookmarkEnd w:id="38"/>
      <w:bookmarkEnd w:id="39"/>
      <w:r>
        <w:rPr>
          <w:rStyle w:val="CharDivText"/>
        </w:rPr>
        <w:t xml:space="preserve"> </w:t>
      </w:r>
    </w:p>
    <w:p>
      <w:pPr>
        <w:pStyle w:val="Heading5"/>
        <w:spacing w:before="240"/>
        <w:rPr>
          <w:snapToGrid w:val="0"/>
        </w:rPr>
      </w:pPr>
      <w:bookmarkStart w:id="40" w:name="_Toc526243068"/>
      <w:r>
        <w:rPr>
          <w:rStyle w:val="CharSectno"/>
        </w:rPr>
        <w:t>13</w:t>
      </w:r>
      <w:r>
        <w:rPr>
          <w:snapToGrid w:val="0"/>
        </w:rPr>
        <w:t>.</w:t>
      </w:r>
      <w:r>
        <w:rPr>
          <w:snapToGrid w:val="0"/>
        </w:rPr>
        <w:tab/>
        <w:t>Functions of and hearings by Director</w:t>
      </w:r>
      <w:bookmarkEnd w:id="40"/>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No. 32 of 1994 s. 3(2); No. 73 of 2006 s. 12.] </w:t>
      </w:r>
    </w:p>
    <w:p>
      <w:pPr>
        <w:pStyle w:val="Heading5"/>
        <w:spacing w:before="180"/>
        <w:rPr>
          <w:snapToGrid w:val="0"/>
        </w:rPr>
      </w:pPr>
      <w:bookmarkStart w:id="41" w:name="_Toc526243069"/>
      <w:r>
        <w:rPr>
          <w:rStyle w:val="CharSectno"/>
        </w:rPr>
        <w:t>14</w:t>
      </w:r>
      <w:r>
        <w:rPr>
          <w:snapToGrid w:val="0"/>
        </w:rPr>
        <w:t>.</w:t>
      </w:r>
      <w:r>
        <w:rPr>
          <w:snapToGrid w:val="0"/>
        </w:rPr>
        <w:tab/>
        <w:t>Inspectors etc., appointment of etc.</w:t>
      </w:r>
      <w:bookmarkEnd w:id="41"/>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No. 32 of 1994 s. 3(2); No. 56 of 1997 s. 28; No. 73 of 2006 s. 106 and 111(1); No. 9 of 2018 s. 7.] </w:t>
      </w:r>
    </w:p>
    <w:p>
      <w:pPr>
        <w:pStyle w:val="Heading3"/>
        <w:rPr>
          <w:snapToGrid w:val="0"/>
        </w:rPr>
      </w:pPr>
      <w:bookmarkStart w:id="42" w:name="_Toc525287644"/>
      <w:bookmarkStart w:id="43" w:name="_Toc526243070"/>
      <w:r>
        <w:rPr>
          <w:rStyle w:val="CharDivNo"/>
        </w:rPr>
        <w:t>Division 4</w:t>
      </w:r>
      <w:r>
        <w:rPr>
          <w:snapToGrid w:val="0"/>
        </w:rPr>
        <w:t> — </w:t>
      </w:r>
      <w:r>
        <w:rPr>
          <w:rStyle w:val="CharDivText"/>
        </w:rPr>
        <w:t>Other staff of the licensing authority</w:t>
      </w:r>
      <w:bookmarkEnd w:id="42"/>
      <w:bookmarkEnd w:id="43"/>
      <w:r>
        <w:rPr>
          <w:rStyle w:val="CharDivText"/>
        </w:rPr>
        <w:t xml:space="preserve"> </w:t>
      </w:r>
    </w:p>
    <w:p>
      <w:pPr>
        <w:pStyle w:val="Heading5"/>
        <w:rPr>
          <w:snapToGrid w:val="0"/>
        </w:rPr>
      </w:pPr>
      <w:bookmarkStart w:id="44" w:name="_Toc526243071"/>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44"/>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5" w:name="_Toc525287646"/>
      <w:bookmarkStart w:id="46" w:name="_Toc526243072"/>
      <w:r>
        <w:rPr>
          <w:rStyle w:val="CharDivNo"/>
        </w:rPr>
        <w:t>Division 5</w:t>
      </w:r>
      <w:r>
        <w:rPr>
          <w:snapToGrid w:val="0"/>
        </w:rPr>
        <w:t> — </w:t>
      </w:r>
      <w:r>
        <w:rPr>
          <w:rStyle w:val="CharDivText"/>
        </w:rPr>
        <w:t>Proceedings before the licensing authority</w:t>
      </w:r>
      <w:bookmarkEnd w:id="45"/>
      <w:bookmarkEnd w:id="46"/>
      <w:r>
        <w:rPr>
          <w:rStyle w:val="CharDivText"/>
        </w:rPr>
        <w:t xml:space="preserve"> </w:t>
      </w:r>
    </w:p>
    <w:p>
      <w:pPr>
        <w:pStyle w:val="Heading5"/>
        <w:spacing w:before="180"/>
        <w:rPr>
          <w:snapToGrid w:val="0"/>
        </w:rPr>
      </w:pPr>
      <w:bookmarkStart w:id="47" w:name="_Toc526243073"/>
      <w:r>
        <w:rPr>
          <w:rStyle w:val="CharSectno"/>
        </w:rPr>
        <w:t>16</w:t>
      </w:r>
      <w:r>
        <w:rPr>
          <w:snapToGrid w:val="0"/>
        </w:rPr>
        <w:t>.</w:t>
      </w:r>
      <w:r>
        <w:rPr>
          <w:snapToGrid w:val="0"/>
        </w:rPr>
        <w:tab/>
        <w:t>Procedure, sittings, use of experts, evidentiary rules etc.</w:t>
      </w:r>
      <w:bookmarkEnd w:id="47"/>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must be in public unless the Commission considers that, in the circumstances of the case, the hearing should be in private.</w:t>
      </w:r>
    </w:p>
    <w:p>
      <w:pPr>
        <w:pStyle w:val="Subsection"/>
        <w:spacing w:before="180"/>
      </w:pPr>
      <w:r>
        <w:rPr>
          <w:snapToGrid w:val="0"/>
        </w:rPr>
        <w:tab/>
        <w:t>(9)</w:t>
      </w:r>
      <w:r>
        <w:rPr>
          <w:snapToGrid w:val="0"/>
        </w:rPr>
        <w:tab/>
      </w:r>
      <w:r>
        <w:t xml:space="preserve">When the hearing of a proceeding before the licensing authority, however constituted, is in private, the licensing authority,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pPr>
      <w:r>
        <w:tab/>
        <w:t>(11)</w:t>
      </w:r>
      <w:r>
        <w:tab/>
        <w:t xml:space="preserve">Subject to subsections (8) and (9) and section 30, the licensing authority must ensure that each party to proceedings is given a reasonable opportunity to — </w:t>
      </w:r>
    </w:p>
    <w:p>
      <w:pPr>
        <w:pStyle w:val="Indenta"/>
      </w:pPr>
      <w:r>
        <w:tab/>
        <w:t>(a)</w:t>
      </w:r>
      <w:r>
        <w:tab/>
        <w:t>present its case to the licensing authority; and</w:t>
      </w:r>
    </w:p>
    <w:p>
      <w:pPr>
        <w:pStyle w:val="Indenta"/>
      </w:pPr>
      <w:r>
        <w:tab/>
        <w:t>(b)</w:t>
      </w:r>
      <w:r>
        <w:tab/>
        <w:t xml:space="preserve">inspect any documents — </w:t>
      </w:r>
    </w:p>
    <w:p>
      <w:pPr>
        <w:pStyle w:val="Indenti"/>
      </w:pPr>
      <w:r>
        <w:tab/>
        <w:t>(i)</w:t>
      </w:r>
      <w:r>
        <w:tab/>
        <w:t>to which the licensing authority proposes to have regard in making a determination in the proceedings; and</w:t>
      </w:r>
    </w:p>
    <w:p>
      <w:pPr>
        <w:pStyle w:val="Indenti"/>
      </w:pPr>
      <w:r>
        <w:tab/>
        <w:t>(ii)</w:t>
      </w:r>
      <w:r>
        <w:tab/>
        <w:t>that are relevant to the party’s case;</w:t>
      </w:r>
    </w:p>
    <w:p>
      <w:pPr>
        <w:pStyle w:val="Indenta"/>
      </w:pPr>
      <w:r>
        <w:tab/>
      </w:r>
      <w:r>
        <w:tab/>
        <w:t>and</w:t>
      </w:r>
    </w:p>
    <w:p>
      <w:pPr>
        <w:pStyle w:val="Indenta"/>
      </w:pPr>
      <w:r>
        <w:tab/>
        <w:t>(c)</w:t>
      </w:r>
      <w:r>
        <w:tab/>
        <w:t>make submissions in relation to any documents inspected under paragraph (b).</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No. 12 of 1998 s. 10(2), (3), (4) and (5) and 11; No. 27 of 2000 s. 13; No. 59 of 2004 s. 141; No. 73 of 2006 s. 13 and 106; No. 56 of 2010 s. 37; No. 9 of 2018 s. 8.] </w:t>
      </w:r>
    </w:p>
    <w:p>
      <w:pPr>
        <w:pStyle w:val="Heading5"/>
        <w:rPr>
          <w:snapToGrid w:val="0"/>
        </w:rPr>
      </w:pPr>
      <w:bookmarkStart w:id="48" w:name="_Toc526243074"/>
      <w:r>
        <w:rPr>
          <w:rStyle w:val="CharSectno"/>
        </w:rPr>
        <w:t>17</w:t>
      </w:r>
      <w:r>
        <w:rPr>
          <w:snapToGrid w:val="0"/>
        </w:rPr>
        <w:t>.</w:t>
      </w:r>
      <w:r>
        <w:rPr>
          <w:snapToGrid w:val="0"/>
        </w:rPr>
        <w:tab/>
        <w:t>Representation of parties</w:t>
      </w:r>
      <w:bookmarkEnd w:id="48"/>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No. 12 of 1998 s. 12.] </w:t>
      </w:r>
    </w:p>
    <w:p>
      <w:pPr>
        <w:pStyle w:val="Heading5"/>
        <w:rPr>
          <w:snapToGrid w:val="0"/>
        </w:rPr>
      </w:pPr>
      <w:bookmarkStart w:id="49" w:name="_Toc526243075"/>
      <w:r>
        <w:rPr>
          <w:rStyle w:val="CharSectno"/>
        </w:rPr>
        <w:t>18</w:t>
      </w:r>
      <w:r>
        <w:rPr>
          <w:snapToGrid w:val="0"/>
        </w:rPr>
        <w:t>.</w:t>
      </w:r>
      <w:r>
        <w:rPr>
          <w:snapToGrid w:val="0"/>
        </w:rPr>
        <w:tab/>
        <w:t>Witnesses and evidence, powers to summon etc.</w:t>
      </w:r>
      <w:bookmarkEnd w:id="49"/>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No. 12 of 1998 s. 10(6) and (7); No. 73 of 2006 s. 14 and 106.] </w:t>
      </w:r>
    </w:p>
    <w:p>
      <w:pPr>
        <w:pStyle w:val="Heading5"/>
      </w:pPr>
      <w:bookmarkStart w:id="50" w:name="_Toc526243076"/>
      <w:r>
        <w:rPr>
          <w:rStyle w:val="CharSectno"/>
        </w:rPr>
        <w:t>18AA</w:t>
      </w:r>
      <w:r>
        <w:t>.</w:t>
      </w:r>
      <w:r>
        <w:tab/>
        <w:t>Notice of decision</w:t>
      </w:r>
      <w:bookmarkEnd w:id="50"/>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No. 9 of 2018 s. 9.] </w:t>
      </w:r>
    </w:p>
    <w:p>
      <w:pPr>
        <w:pStyle w:val="Heading5"/>
      </w:pPr>
      <w:bookmarkStart w:id="51" w:name="_Toc526243077"/>
      <w:r>
        <w:rPr>
          <w:rStyle w:val="CharSectno"/>
        </w:rPr>
        <w:t>18A</w:t>
      </w:r>
      <w:r>
        <w:t>.</w:t>
      </w:r>
      <w:r>
        <w:tab/>
        <w:t>Enforcing decisions</w:t>
      </w:r>
      <w:bookmarkEnd w:id="5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No. 73 of 2006 s. 15.]</w:t>
      </w:r>
    </w:p>
    <w:p>
      <w:pPr>
        <w:pStyle w:val="Heading5"/>
        <w:rPr>
          <w:snapToGrid w:val="0"/>
        </w:rPr>
      </w:pPr>
      <w:bookmarkStart w:id="52" w:name="_Toc526243078"/>
      <w:r>
        <w:rPr>
          <w:rStyle w:val="CharSectno"/>
        </w:rPr>
        <w:t>19</w:t>
      </w:r>
      <w:r>
        <w:rPr>
          <w:snapToGrid w:val="0"/>
        </w:rPr>
        <w:t>.</w:t>
      </w:r>
      <w:r>
        <w:rPr>
          <w:snapToGrid w:val="0"/>
        </w:rPr>
        <w:tab/>
        <w:t>Enforcing monetary penalties</w:t>
      </w:r>
      <w:bookmarkEnd w:id="52"/>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No. 92 of 1994 s. 22; No. 73 of 2006 s. 16.] </w:t>
      </w:r>
    </w:p>
    <w:p>
      <w:pPr>
        <w:pStyle w:val="Heading5"/>
        <w:spacing w:before="180"/>
        <w:rPr>
          <w:snapToGrid w:val="0"/>
        </w:rPr>
      </w:pPr>
      <w:bookmarkStart w:id="53" w:name="_Toc526243079"/>
      <w:r>
        <w:rPr>
          <w:rStyle w:val="CharSectno"/>
        </w:rPr>
        <w:t>20</w:t>
      </w:r>
      <w:r>
        <w:rPr>
          <w:snapToGrid w:val="0"/>
        </w:rPr>
        <w:t>.</w:t>
      </w:r>
      <w:r>
        <w:rPr>
          <w:snapToGrid w:val="0"/>
        </w:rPr>
        <w:tab/>
        <w:t>Contempt etc.</w:t>
      </w:r>
      <w:bookmarkEnd w:id="5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No. 12 of 1998 s. 10(8); No. 73 of 2006 s. 17 and 106; No. 56 of 2010 s. 69.] </w:t>
      </w:r>
    </w:p>
    <w:p>
      <w:pPr>
        <w:pStyle w:val="Heading5"/>
        <w:rPr>
          <w:snapToGrid w:val="0"/>
        </w:rPr>
      </w:pPr>
      <w:bookmarkStart w:id="54" w:name="_Toc526243080"/>
      <w:r>
        <w:rPr>
          <w:rStyle w:val="CharSectno"/>
        </w:rPr>
        <w:t>21</w:t>
      </w:r>
      <w:r>
        <w:rPr>
          <w:snapToGrid w:val="0"/>
        </w:rPr>
        <w:t>.</w:t>
      </w:r>
      <w:r>
        <w:rPr>
          <w:snapToGrid w:val="0"/>
        </w:rPr>
        <w:tab/>
        <w:t>Costs</w:t>
      </w:r>
      <w:bookmarkEnd w:id="54"/>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No. 73 of 2006 s. 18 and 106.]</w:t>
      </w:r>
    </w:p>
    <w:p>
      <w:pPr>
        <w:pStyle w:val="Heading5"/>
        <w:rPr>
          <w:snapToGrid w:val="0"/>
        </w:rPr>
      </w:pPr>
      <w:bookmarkStart w:id="55" w:name="_Toc526243081"/>
      <w:r>
        <w:rPr>
          <w:rStyle w:val="CharSectno"/>
        </w:rPr>
        <w:t>22</w:t>
      </w:r>
      <w:r>
        <w:rPr>
          <w:snapToGrid w:val="0"/>
        </w:rPr>
        <w:t>.</w:t>
      </w:r>
      <w:r>
        <w:rPr>
          <w:snapToGrid w:val="0"/>
        </w:rPr>
        <w:tab/>
        <w:t xml:space="preserve">Rules </w:t>
      </w:r>
      <w:r>
        <w:t>of Commission</w:t>
      </w:r>
      <w:bookmarkEnd w:id="55"/>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constituted by the chairperson and 2 other members,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No. 73 of 2006 s. 19 and 106; No. 9 of 2018 s. 10.]</w:t>
      </w:r>
    </w:p>
    <w:p>
      <w:pPr>
        <w:pStyle w:val="Heading5"/>
        <w:rPr>
          <w:snapToGrid w:val="0"/>
        </w:rPr>
      </w:pPr>
      <w:bookmarkStart w:id="56" w:name="_Toc526243082"/>
      <w:r>
        <w:rPr>
          <w:rStyle w:val="CharSectno"/>
        </w:rPr>
        <w:t>23</w:t>
      </w:r>
      <w:r>
        <w:rPr>
          <w:snapToGrid w:val="0"/>
        </w:rPr>
        <w:t>.</w:t>
      </w:r>
      <w:r>
        <w:rPr>
          <w:snapToGrid w:val="0"/>
        </w:rPr>
        <w:tab/>
        <w:t>Proof of process; protection from personal liability</w:t>
      </w:r>
      <w:bookmarkEnd w:id="5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No. 73 of 2006 s. 106.]</w:t>
      </w:r>
    </w:p>
    <w:p>
      <w:pPr>
        <w:pStyle w:val="Heading3"/>
        <w:keepLines/>
      </w:pPr>
      <w:bookmarkStart w:id="57" w:name="_Toc525287657"/>
      <w:bookmarkStart w:id="58" w:name="_Toc526243083"/>
      <w:r>
        <w:rPr>
          <w:rStyle w:val="CharDivNo"/>
        </w:rPr>
        <w:t>Division 6</w:t>
      </w:r>
      <w:r>
        <w:rPr>
          <w:snapToGrid w:val="0"/>
        </w:rPr>
        <w:t> — </w:t>
      </w:r>
      <w:r>
        <w:rPr>
          <w:rStyle w:val="CharDivText"/>
        </w:rPr>
        <w:t>Reference to the Commission, review and appeals</w:t>
      </w:r>
      <w:bookmarkEnd w:id="57"/>
      <w:bookmarkEnd w:id="58"/>
      <w:r>
        <w:t xml:space="preserve"> </w:t>
      </w:r>
    </w:p>
    <w:p>
      <w:pPr>
        <w:pStyle w:val="Footnoteheading"/>
        <w:keepNext/>
        <w:keepLines/>
      </w:pPr>
      <w:r>
        <w:tab/>
        <w:t>[Heading amended: No. 73 of 2006 s. 20.]</w:t>
      </w:r>
    </w:p>
    <w:p>
      <w:pPr>
        <w:pStyle w:val="Heading5"/>
        <w:rPr>
          <w:snapToGrid w:val="0"/>
        </w:rPr>
      </w:pPr>
      <w:bookmarkStart w:id="59" w:name="_Toc526243084"/>
      <w:r>
        <w:rPr>
          <w:rStyle w:val="CharSectno"/>
        </w:rPr>
        <w:t>24</w:t>
      </w:r>
      <w:r>
        <w:rPr>
          <w:snapToGrid w:val="0"/>
        </w:rPr>
        <w:t>.</w:t>
      </w:r>
      <w:r>
        <w:rPr>
          <w:snapToGrid w:val="0"/>
        </w:rPr>
        <w:tab/>
        <w:t>Director may refer matters to Commission</w:t>
      </w:r>
      <w:bookmarkEnd w:id="5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No. 12 of 1998 s. 13; amended: No. 73 of 2006 s. 21 and 106.] </w:t>
      </w:r>
    </w:p>
    <w:p>
      <w:pPr>
        <w:pStyle w:val="Heading5"/>
        <w:rPr>
          <w:snapToGrid w:val="0"/>
        </w:rPr>
      </w:pPr>
      <w:bookmarkStart w:id="60" w:name="_Toc526243085"/>
      <w:r>
        <w:rPr>
          <w:rStyle w:val="CharSectno"/>
        </w:rPr>
        <w:t>25</w:t>
      </w:r>
      <w:r>
        <w:rPr>
          <w:snapToGrid w:val="0"/>
        </w:rPr>
        <w:t>.</w:t>
      </w:r>
      <w:r>
        <w:rPr>
          <w:snapToGrid w:val="0"/>
        </w:rPr>
        <w:tab/>
        <w:t>Review of Director’s decisions</w:t>
      </w:r>
      <w:bookmarkEnd w:id="6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No. 56 of 1997 s. 29; No. 12 of 1998 s. 14; No. 73 of 2006 s. 22 and 106; No. 21 of 2008 s. 675(3); No. 9 of 2018 s. 11.]</w:t>
      </w:r>
    </w:p>
    <w:p>
      <w:pPr>
        <w:pStyle w:val="Heading5"/>
      </w:pPr>
      <w:bookmarkStart w:id="61" w:name="_Toc518626504"/>
      <w:bookmarkStart w:id="62" w:name="_Toc519495315"/>
      <w:bookmarkStart w:id="63" w:name="_Toc526243086"/>
      <w:r>
        <w:rPr>
          <w:rStyle w:val="CharSectno"/>
        </w:rPr>
        <w:t>25A</w:t>
      </w:r>
      <w:r>
        <w:t>.</w:t>
      </w:r>
      <w:r>
        <w:tab/>
        <w:t>Commission may refer application for review to State Administrative Tribunal</w:t>
      </w:r>
      <w:bookmarkEnd w:id="61"/>
      <w:bookmarkEnd w:id="62"/>
      <w:bookmarkEnd w:id="63"/>
    </w:p>
    <w:p>
      <w:pPr>
        <w:pStyle w:val="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Subsection"/>
      </w:pPr>
      <w:r>
        <w:tab/>
        <w:t>(2)</w:t>
      </w:r>
      <w:r>
        <w:tab/>
        <w:t>An application cannot be referred under subsection (1) unless the President of the Tribunal agrees to the referral.</w:t>
      </w:r>
    </w:p>
    <w:p>
      <w:pPr>
        <w:pStyle w:val="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Subsection"/>
      </w:pPr>
      <w:r>
        <w:tab/>
        <w:t>(4)</w:t>
      </w:r>
      <w:r>
        <w:tab/>
        <w:t>When conducting a review under this section, the Tribunal may have regard only to the material that was before the Director when making the decision.</w:t>
      </w:r>
    </w:p>
    <w:p>
      <w:pPr>
        <w:pStyle w:val="Subsection"/>
      </w:pPr>
      <w:r>
        <w:tab/>
        <w:t>(5)</w:t>
      </w:r>
      <w:r>
        <w:tab/>
        <w:t>When conducting a review under this section involving a question of law or giving directions as to any question of law reviewed, the Tribunal is to be constituted by, or is to include, a lawyer.</w:t>
      </w:r>
    </w:p>
    <w:p>
      <w:pPr>
        <w:pStyle w:val="Subsection"/>
      </w:pPr>
      <w:r>
        <w:tab/>
        <w:t>(6)</w:t>
      </w:r>
      <w:r>
        <w:tab/>
        <w:t>Section 25(3) applies to a review under this section as if it were a review under section 25.</w:t>
      </w:r>
    </w:p>
    <w:p>
      <w:pPr>
        <w:pStyle w:val="Subsection"/>
      </w:pPr>
      <w:r>
        <w:tab/>
        <w:t>(7)</w:t>
      </w:r>
      <w:r>
        <w:tab/>
        <w:t>On a review under this section, the Tribunal has the powers conferred on the Commission under section 25(4).</w:t>
      </w:r>
    </w:p>
    <w:p>
      <w:pPr>
        <w:pStyle w:val="Footnotesection"/>
      </w:pPr>
      <w:r>
        <w:tab/>
        <w:t>[Section 25A inserted: No. 9 of 2018 s. 12.]</w:t>
      </w:r>
    </w:p>
    <w:p>
      <w:pPr>
        <w:pStyle w:val="Heading5"/>
      </w:pPr>
      <w:bookmarkStart w:id="64" w:name="_Toc526243087"/>
      <w:r>
        <w:rPr>
          <w:rStyle w:val="CharSectno"/>
        </w:rPr>
        <w:t>26</w:t>
      </w:r>
      <w:r>
        <w:t>.</w:t>
      </w:r>
      <w:r>
        <w:tab/>
        <w:t>Some Director’s decisions have effect despite application to review</w:t>
      </w:r>
      <w:bookmarkEnd w:id="64"/>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No. 73 of 2006 s. 23.]</w:t>
      </w:r>
    </w:p>
    <w:p>
      <w:pPr>
        <w:pStyle w:val="Heading5"/>
        <w:rPr>
          <w:snapToGrid w:val="0"/>
        </w:rPr>
      </w:pPr>
      <w:bookmarkStart w:id="65" w:name="_Toc526243088"/>
      <w:r>
        <w:rPr>
          <w:rStyle w:val="CharSectno"/>
        </w:rPr>
        <w:t>27</w:t>
      </w:r>
      <w:r>
        <w:rPr>
          <w:snapToGrid w:val="0"/>
        </w:rPr>
        <w:t>.</w:t>
      </w:r>
      <w:r>
        <w:rPr>
          <w:snapToGrid w:val="0"/>
        </w:rPr>
        <w:tab/>
        <w:t>Question of law, Commission may state to Supreme Court</w:t>
      </w:r>
      <w:bookmarkEnd w:id="65"/>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No. 45 of 2004 s. 37; No. 73 of 2006 s. 24 and 106.]</w:t>
      </w:r>
    </w:p>
    <w:p>
      <w:pPr>
        <w:pStyle w:val="Heading5"/>
        <w:rPr>
          <w:snapToGrid w:val="0"/>
        </w:rPr>
      </w:pPr>
      <w:bookmarkStart w:id="66" w:name="_Toc526243089"/>
      <w:r>
        <w:rPr>
          <w:rStyle w:val="CharSectno"/>
        </w:rPr>
        <w:t>28</w:t>
      </w:r>
      <w:r>
        <w:rPr>
          <w:snapToGrid w:val="0"/>
        </w:rPr>
        <w:t>.</w:t>
      </w:r>
      <w:r>
        <w:rPr>
          <w:snapToGrid w:val="0"/>
        </w:rPr>
        <w:tab/>
        <w:t>Appeals against Commission’s decisions</w:t>
      </w:r>
      <w:bookmarkEnd w:id="66"/>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No. 12 of 1998 s. 15; No. 45 of 2004 s. 37; No. 73 of 2006 s. 25 and 106; No. 21 of 2008 s. 675(3); No. 9 of 2018 s. 13.] </w:t>
      </w:r>
    </w:p>
    <w:p>
      <w:pPr>
        <w:pStyle w:val="Heading5"/>
        <w:spacing w:before="180"/>
        <w:rPr>
          <w:snapToGrid w:val="0"/>
        </w:rPr>
      </w:pPr>
      <w:bookmarkStart w:id="67" w:name="_Toc526243090"/>
      <w:r>
        <w:rPr>
          <w:rStyle w:val="CharSectno"/>
        </w:rPr>
        <w:t>29</w:t>
      </w:r>
      <w:r>
        <w:rPr>
          <w:snapToGrid w:val="0"/>
        </w:rPr>
        <w:t>.</w:t>
      </w:r>
      <w:r>
        <w:rPr>
          <w:snapToGrid w:val="0"/>
        </w:rPr>
        <w:tab/>
        <w:t>Licence or permit continues to have effect pending appeal</w:t>
      </w:r>
      <w:bookmarkEnd w:id="67"/>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No. 73 of 2006 s. 26 and 106.]</w:t>
      </w:r>
    </w:p>
    <w:p>
      <w:pPr>
        <w:pStyle w:val="Heading3"/>
      </w:pPr>
      <w:bookmarkStart w:id="68" w:name="_Toc525287664"/>
      <w:bookmarkStart w:id="69" w:name="_Toc526243091"/>
      <w:r>
        <w:rPr>
          <w:rStyle w:val="CharDivNo"/>
        </w:rPr>
        <w:t>Division 7</w:t>
      </w:r>
      <w:r>
        <w:t> — </w:t>
      </w:r>
      <w:r>
        <w:rPr>
          <w:rStyle w:val="CharDivText"/>
        </w:rPr>
        <w:t>Confidential police information</w:t>
      </w:r>
      <w:bookmarkEnd w:id="68"/>
      <w:bookmarkEnd w:id="69"/>
    </w:p>
    <w:p>
      <w:pPr>
        <w:pStyle w:val="Footnoteheading"/>
      </w:pPr>
      <w:r>
        <w:tab/>
        <w:t>[Heading inserted: No. 73 of 2006 s. 27.]</w:t>
      </w:r>
    </w:p>
    <w:p>
      <w:pPr>
        <w:pStyle w:val="Heading5"/>
        <w:spacing w:before="180"/>
      </w:pPr>
      <w:bookmarkStart w:id="70" w:name="_Toc526243092"/>
      <w:r>
        <w:rPr>
          <w:rStyle w:val="CharSectno"/>
        </w:rPr>
        <w:t>30</w:t>
      </w:r>
      <w:r>
        <w:t>.</w:t>
      </w:r>
      <w:r>
        <w:tab/>
        <w:t>Confidential police information, use and protection of</w:t>
      </w:r>
      <w:bookmarkEnd w:id="70"/>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No. 73 of 2006 s. 27; amended: No. 56 of 2010 s. 5; No. 35 of 2014 s. 39; No. 9 of 2018 s. 14.]</w:t>
      </w:r>
    </w:p>
    <w:p>
      <w:pPr>
        <w:pStyle w:val="Heading2"/>
      </w:pPr>
      <w:bookmarkStart w:id="71" w:name="_Toc525287666"/>
      <w:bookmarkStart w:id="72" w:name="_Toc526243093"/>
      <w:r>
        <w:rPr>
          <w:rStyle w:val="CharPartNo"/>
        </w:rPr>
        <w:t>Part 3</w:t>
      </w:r>
      <w:r>
        <w:t> — </w:t>
      </w:r>
      <w:r>
        <w:rPr>
          <w:rStyle w:val="CharPartText"/>
        </w:rPr>
        <w:t>Licences and permits</w:t>
      </w:r>
      <w:bookmarkEnd w:id="71"/>
      <w:bookmarkEnd w:id="72"/>
      <w:r>
        <w:rPr>
          <w:rStyle w:val="CharPartText"/>
        </w:rPr>
        <w:t xml:space="preserve"> </w:t>
      </w:r>
    </w:p>
    <w:p>
      <w:pPr>
        <w:pStyle w:val="Heading3"/>
        <w:rPr>
          <w:snapToGrid w:val="0"/>
        </w:rPr>
      </w:pPr>
      <w:bookmarkStart w:id="73" w:name="_Toc525287667"/>
      <w:bookmarkStart w:id="74" w:name="_Toc526243094"/>
      <w:r>
        <w:rPr>
          <w:rStyle w:val="CharDivNo"/>
        </w:rPr>
        <w:t>Division 1</w:t>
      </w:r>
      <w:r>
        <w:rPr>
          <w:snapToGrid w:val="0"/>
        </w:rPr>
        <w:t> — </w:t>
      </w:r>
      <w:r>
        <w:rPr>
          <w:rStyle w:val="CharDivText"/>
        </w:rPr>
        <w:t>General matters</w:t>
      </w:r>
      <w:bookmarkEnd w:id="73"/>
      <w:bookmarkEnd w:id="74"/>
      <w:r>
        <w:rPr>
          <w:rStyle w:val="CharDivText"/>
        </w:rPr>
        <w:t xml:space="preserve"> </w:t>
      </w:r>
    </w:p>
    <w:p>
      <w:pPr>
        <w:pStyle w:val="Heading5"/>
        <w:rPr>
          <w:snapToGrid w:val="0"/>
        </w:rPr>
      </w:pPr>
      <w:bookmarkStart w:id="75" w:name="_Toc526243095"/>
      <w:r>
        <w:rPr>
          <w:rStyle w:val="CharSectno"/>
        </w:rPr>
        <w:t>30A</w:t>
      </w:r>
      <w:r>
        <w:rPr>
          <w:snapToGrid w:val="0"/>
        </w:rPr>
        <w:t>.</w:t>
      </w:r>
      <w:r>
        <w:rPr>
          <w:snapToGrid w:val="0"/>
        </w:rPr>
        <w:tab/>
        <w:t>Licences to sell liquor, grant and nature of</w:t>
      </w:r>
      <w:bookmarkEnd w:id="75"/>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No. 12 of 1998 s. 17; amended: No. 42 of 2011 s. 95 .] </w:t>
      </w:r>
    </w:p>
    <w:p>
      <w:pPr>
        <w:pStyle w:val="Heading5"/>
        <w:spacing w:before="180"/>
        <w:rPr>
          <w:snapToGrid w:val="0"/>
        </w:rPr>
      </w:pPr>
      <w:bookmarkStart w:id="76" w:name="_Toc526243096"/>
      <w:r>
        <w:rPr>
          <w:rStyle w:val="CharSectno"/>
        </w:rPr>
        <w:t>30B</w:t>
      </w:r>
      <w:r>
        <w:rPr>
          <w:snapToGrid w:val="0"/>
        </w:rPr>
        <w:t>.</w:t>
      </w:r>
      <w:r>
        <w:rPr>
          <w:snapToGrid w:val="0"/>
        </w:rPr>
        <w:tab/>
        <w:t>Power of attorney does not empower donee to act for licensee under this Act</w:t>
      </w:r>
      <w:bookmarkEnd w:id="76"/>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No. 12 of 1998 s. 17.] </w:t>
      </w:r>
    </w:p>
    <w:p>
      <w:pPr>
        <w:pStyle w:val="Heading5"/>
        <w:spacing w:before="180"/>
        <w:rPr>
          <w:snapToGrid w:val="0"/>
        </w:rPr>
      </w:pPr>
      <w:bookmarkStart w:id="77" w:name="_Toc526243097"/>
      <w:r>
        <w:rPr>
          <w:rStyle w:val="CharSectno"/>
        </w:rPr>
        <w:t>31</w:t>
      </w:r>
      <w:r>
        <w:rPr>
          <w:snapToGrid w:val="0"/>
        </w:rPr>
        <w:t>.</w:t>
      </w:r>
      <w:r>
        <w:rPr>
          <w:snapToGrid w:val="0"/>
        </w:rPr>
        <w:tab/>
        <w:t>Licences, generally</w:t>
      </w:r>
      <w:bookmarkEnd w:id="77"/>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No. 12 of 1998 s. 18.] </w:t>
      </w:r>
    </w:p>
    <w:p>
      <w:pPr>
        <w:pStyle w:val="Heading5"/>
        <w:spacing w:before="180"/>
        <w:rPr>
          <w:snapToGrid w:val="0"/>
        </w:rPr>
      </w:pPr>
      <w:bookmarkStart w:id="78" w:name="_Toc526243098"/>
      <w:r>
        <w:rPr>
          <w:rStyle w:val="CharSectno"/>
        </w:rPr>
        <w:t>32</w:t>
      </w:r>
      <w:r>
        <w:rPr>
          <w:snapToGrid w:val="0"/>
        </w:rPr>
        <w:t>.</w:t>
      </w:r>
      <w:r>
        <w:rPr>
          <w:snapToGrid w:val="0"/>
        </w:rPr>
        <w:tab/>
        <w:t>Duration of licences</w:t>
      </w:r>
      <w:bookmarkEnd w:id="78"/>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No. 12 of 1998 s. 19 and 39(2); No. 73 of 2006 s. 106.] </w:t>
      </w:r>
    </w:p>
    <w:p>
      <w:pPr>
        <w:pStyle w:val="Heading5"/>
        <w:rPr>
          <w:snapToGrid w:val="0"/>
        </w:rPr>
      </w:pPr>
      <w:bookmarkStart w:id="79" w:name="_Toc526243099"/>
      <w:r>
        <w:rPr>
          <w:rStyle w:val="CharSectno"/>
        </w:rPr>
        <w:t>33</w:t>
      </w:r>
      <w:r>
        <w:rPr>
          <w:snapToGrid w:val="0"/>
        </w:rPr>
        <w:t>.</w:t>
      </w:r>
      <w:r>
        <w:rPr>
          <w:snapToGrid w:val="0"/>
        </w:rPr>
        <w:tab/>
        <w:t>Powers of licensing authority when deciding applications</w:t>
      </w:r>
      <w:bookmarkEnd w:id="79"/>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No. 12 of 1998 s. 20; No. 73 of 2006 s. 28; No. 56 of 2010 s. 6 and 38.] </w:t>
      </w:r>
    </w:p>
    <w:p>
      <w:pPr>
        <w:pStyle w:val="Heading5"/>
        <w:rPr>
          <w:snapToGrid w:val="0"/>
        </w:rPr>
      </w:pPr>
      <w:bookmarkStart w:id="80" w:name="_Toc526243100"/>
      <w:r>
        <w:rPr>
          <w:rStyle w:val="CharSectno"/>
        </w:rPr>
        <w:t>34</w:t>
      </w:r>
      <w:r>
        <w:rPr>
          <w:snapToGrid w:val="0"/>
        </w:rPr>
        <w:t>.</w:t>
      </w:r>
      <w:r>
        <w:rPr>
          <w:snapToGrid w:val="0"/>
        </w:rPr>
        <w:tab/>
        <w:t>Certain applications not to be decided</w:t>
      </w:r>
      <w:bookmarkEnd w:id="80"/>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No. 12 of 1998 s. 21 and 97(1); No. 10 of 2001 s. 220; No. 18 of 2009 s. 51; No. 56 of 2010 s. 7 and 25; No. 9 of 2018 s. 15.] </w:t>
      </w:r>
    </w:p>
    <w:p>
      <w:pPr>
        <w:pStyle w:val="Heading5"/>
        <w:spacing w:before="180"/>
        <w:rPr>
          <w:snapToGrid w:val="0"/>
        </w:rPr>
      </w:pPr>
      <w:bookmarkStart w:id="81" w:name="_Toc526243101"/>
      <w:r>
        <w:rPr>
          <w:rStyle w:val="CharSectno"/>
        </w:rPr>
        <w:t>35</w:t>
      </w:r>
      <w:r>
        <w:rPr>
          <w:snapToGrid w:val="0"/>
        </w:rPr>
        <w:t>.</w:t>
      </w:r>
      <w:r>
        <w:rPr>
          <w:snapToGrid w:val="0"/>
        </w:rPr>
        <w:tab/>
        <w:t>Persons who may hold licences</w:t>
      </w:r>
      <w:bookmarkEnd w:id="81"/>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No. 12 of 1998 s. 22.] </w:t>
      </w:r>
    </w:p>
    <w:p>
      <w:pPr>
        <w:pStyle w:val="Heading5"/>
        <w:spacing w:before="260"/>
        <w:rPr>
          <w:snapToGrid w:val="0"/>
        </w:rPr>
      </w:pPr>
      <w:bookmarkStart w:id="82" w:name="_Toc526243102"/>
      <w:r>
        <w:rPr>
          <w:rStyle w:val="CharSectno"/>
        </w:rPr>
        <w:t>35A</w:t>
      </w:r>
      <w:r>
        <w:rPr>
          <w:snapToGrid w:val="0"/>
        </w:rPr>
        <w:t>.</w:t>
      </w:r>
      <w:r>
        <w:rPr>
          <w:snapToGrid w:val="0"/>
        </w:rPr>
        <w:tab/>
        <w:t>Trustees for unincorporated bodies</w:t>
      </w:r>
      <w:bookmarkEnd w:id="82"/>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No. 12 of 1998 s. 22; amended: No. 56 of 2010 s. 25.] </w:t>
      </w:r>
    </w:p>
    <w:p>
      <w:pPr>
        <w:pStyle w:val="Ednotesection"/>
      </w:pPr>
      <w:r>
        <w:t>[</w:t>
      </w:r>
      <w:r>
        <w:rPr>
          <w:b/>
        </w:rPr>
        <w:t>35B.</w:t>
      </w:r>
      <w:r>
        <w:rPr>
          <w:b/>
        </w:rPr>
        <w:tab/>
      </w:r>
      <w:r>
        <w:t xml:space="preserve">Deleted: No. 56 of 2010 s. 8.] </w:t>
      </w:r>
    </w:p>
    <w:p>
      <w:pPr>
        <w:pStyle w:val="Heading5"/>
        <w:rPr>
          <w:snapToGrid w:val="0"/>
        </w:rPr>
      </w:pPr>
      <w:bookmarkStart w:id="83" w:name="_Toc526243103"/>
      <w:r>
        <w:rPr>
          <w:rStyle w:val="CharSectno"/>
        </w:rPr>
        <w:t>36</w:t>
      </w:r>
      <w:r>
        <w:rPr>
          <w:snapToGrid w:val="0"/>
        </w:rPr>
        <w:t>.</w:t>
      </w:r>
      <w:r>
        <w:rPr>
          <w:snapToGrid w:val="0"/>
        </w:rPr>
        <w:tab/>
        <w:t>Two or more licences for same premises, restrictions on</w:t>
      </w:r>
      <w:bookmarkEnd w:id="83"/>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No. 9 of 2018 s. 16.] </w:t>
      </w:r>
    </w:p>
    <w:p>
      <w:pPr>
        <w:pStyle w:val="Heading5"/>
      </w:pPr>
      <w:bookmarkStart w:id="84" w:name="_Toc526243104"/>
      <w:r>
        <w:rPr>
          <w:rStyle w:val="CharSectno"/>
        </w:rPr>
        <w:t>36A</w:t>
      </w:r>
      <w:r>
        <w:t>.</w:t>
      </w:r>
      <w:r>
        <w:tab/>
        <w:t>Petrol stations in some areas not to be granted licences</w:t>
      </w:r>
      <w:bookmarkEnd w:id="84"/>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No. 23 of 2000 s. 5.]</w:t>
      </w:r>
    </w:p>
    <w:p>
      <w:pPr>
        <w:pStyle w:val="Heading5"/>
        <w:rPr>
          <w:snapToGrid w:val="0"/>
        </w:rPr>
      </w:pPr>
      <w:bookmarkStart w:id="85" w:name="_Toc526243105"/>
      <w:r>
        <w:rPr>
          <w:rStyle w:val="CharSectno"/>
        </w:rPr>
        <w:t>37</w:t>
      </w:r>
      <w:r>
        <w:rPr>
          <w:snapToGrid w:val="0"/>
        </w:rPr>
        <w:t>.</w:t>
      </w:r>
      <w:r>
        <w:rPr>
          <w:snapToGrid w:val="0"/>
        </w:rPr>
        <w:tab/>
        <w:t>Pre-requisites for grants of licences etc.; conditions on licences</w:t>
      </w:r>
      <w:bookmarkEnd w:id="85"/>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keepNext/>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keepNext/>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keepNext/>
        <w:rPr>
          <w:snapToGrid w:val="0"/>
        </w:rPr>
      </w:pPr>
      <w:r>
        <w:rPr>
          <w:snapToGrid w:val="0"/>
        </w:rPr>
        <w:tab/>
        <w:t>(e)</w:t>
      </w:r>
      <w:r>
        <w:rPr>
          <w:snapToGrid w:val="0"/>
        </w:rPr>
        <w:tab/>
        <w:t>in the case of an application for — </w:t>
      </w:r>
    </w:p>
    <w:p>
      <w:pPr>
        <w:pStyle w:val="Indenti"/>
        <w:keepNext/>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No. 12 of 1998 s. 23; No. 73 of 2006 s. 30; No. 56 of 2010 s. 9 and 39; No. 30 of 2015 s. 222; No. 26 of 2016 s. 66.] </w:t>
      </w:r>
    </w:p>
    <w:p>
      <w:pPr>
        <w:pStyle w:val="Heading5"/>
        <w:rPr>
          <w:snapToGrid w:val="0"/>
        </w:rPr>
      </w:pPr>
      <w:bookmarkStart w:id="86" w:name="_Toc526243106"/>
      <w:r>
        <w:rPr>
          <w:rStyle w:val="CharSectno"/>
        </w:rPr>
        <w:t>37A</w:t>
      </w:r>
      <w:r>
        <w:rPr>
          <w:snapToGrid w:val="0"/>
        </w:rPr>
        <w:t>.</w:t>
      </w:r>
      <w:r>
        <w:rPr>
          <w:snapToGrid w:val="0"/>
        </w:rPr>
        <w:tab/>
        <w:t>Conviction of licensee etc., duty to inform Director</w:t>
      </w:r>
      <w:bookmarkEnd w:id="86"/>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No. 12 of 1998 s. 24; amended: No. 73 of 2006 s. 110; No. 56 of 2010 s. 25 and 69.]</w:t>
      </w:r>
    </w:p>
    <w:p>
      <w:pPr>
        <w:pStyle w:val="Heading5"/>
        <w:spacing w:before="180"/>
      </w:pPr>
      <w:bookmarkStart w:id="87" w:name="_Toc526243107"/>
      <w:r>
        <w:rPr>
          <w:rStyle w:val="CharSectno"/>
        </w:rPr>
        <w:t>37B</w:t>
      </w:r>
      <w:r>
        <w:t>.</w:t>
      </w:r>
      <w:r>
        <w:tab/>
        <w:t>Fingerprints etc., licensing authority’s powers to obtain</w:t>
      </w:r>
      <w:bookmarkEnd w:id="87"/>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No. 73 of 2006 s. 31; No. 56 of 2010 s. 10.]</w:t>
      </w:r>
    </w:p>
    <w:p>
      <w:pPr>
        <w:pStyle w:val="Heading5"/>
      </w:pPr>
      <w:bookmarkStart w:id="88" w:name="_Toc526243108"/>
      <w:r>
        <w:rPr>
          <w:rStyle w:val="CharSectno"/>
        </w:rPr>
        <w:t>37C</w:t>
      </w:r>
      <w:r>
        <w:t>.</w:t>
      </w:r>
      <w:r>
        <w:tab/>
        <w:t>Register of licensed premises</w:t>
      </w:r>
      <w:bookmarkEnd w:id="88"/>
    </w:p>
    <w:p>
      <w:pPr>
        <w:pStyle w:val="Subsection"/>
        <w:keepNext/>
      </w:pPr>
      <w:r>
        <w:tab/>
        <w:t>(1)</w:t>
      </w:r>
      <w:r>
        <w:tab/>
        <w:t xml:space="preserve">The Director may keep a register that contains the following information in respect of licensed premises — </w:t>
      </w:r>
    </w:p>
    <w:p>
      <w:pPr>
        <w:pStyle w:val="Indenta"/>
        <w:keepNext/>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No. 9 of 2018 s. 19.]</w:t>
      </w:r>
    </w:p>
    <w:p>
      <w:pPr>
        <w:pStyle w:val="Heading3"/>
      </w:pPr>
      <w:bookmarkStart w:id="89" w:name="_Toc525287682"/>
      <w:bookmarkStart w:id="90" w:name="_Toc526243109"/>
      <w:r>
        <w:rPr>
          <w:rStyle w:val="CharDivNo"/>
        </w:rPr>
        <w:t>Division 2</w:t>
      </w:r>
      <w:r>
        <w:t> — </w:t>
      </w:r>
      <w:r>
        <w:rPr>
          <w:rStyle w:val="CharDivText"/>
        </w:rPr>
        <w:t>Licences</w:t>
      </w:r>
      <w:bookmarkEnd w:id="89"/>
      <w:bookmarkEnd w:id="90"/>
    </w:p>
    <w:p>
      <w:pPr>
        <w:pStyle w:val="Footnoteheading"/>
        <w:rPr>
          <w:snapToGrid w:val="0"/>
        </w:rPr>
      </w:pPr>
      <w:r>
        <w:tab/>
        <w:t>[Heading inserted: No. 73 of 2006 s. 32.]</w:t>
      </w:r>
    </w:p>
    <w:p>
      <w:pPr>
        <w:pStyle w:val="Heading5"/>
      </w:pPr>
      <w:bookmarkStart w:id="91" w:name="_Toc526243110"/>
      <w:r>
        <w:rPr>
          <w:rStyle w:val="CharSectno"/>
        </w:rPr>
        <w:t>38</w:t>
      </w:r>
      <w:r>
        <w:t>.</w:t>
      </w:r>
      <w:r>
        <w:tab/>
        <w:t>Some applications not to be granted unless in the public interest</w:t>
      </w:r>
      <w:bookmarkEnd w:id="91"/>
    </w:p>
    <w:p>
      <w:pPr>
        <w:pStyle w:val="Subsection"/>
      </w:pPr>
      <w:r>
        <w:tab/>
        <w:t>(1)</w:t>
      </w:r>
      <w:r>
        <w:tab/>
        <w:t xml:space="preserve">Subsection (2) applies to — </w:t>
      </w:r>
    </w:p>
    <w:p>
      <w:pPr>
        <w:pStyle w:val="Indenta"/>
        <w:spacing w:before="60"/>
      </w:pPr>
      <w:r>
        <w:tab/>
        <w:t>(a)</w:t>
      </w:r>
      <w:r>
        <w:tab/>
        <w:t>an application for the grant or removal of a licence of a kind prescribed;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keepNext/>
      </w:pPr>
      <w:r>
        <w:tab/>
        <w:t>(3)</w:t>
      </w:r>
      <w:r>
        <w:tab/>
        <w:t xml:space="preserve">For the purposes of subsection (2), the applicant must provide to the licensing authority — </w:t>
      </w:r>
    </w:p>
    <w:p>
      <w:pPr>
        <w:pStyle w:val="Indenta"/>
        <w:keepNext/>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whether the amenity, quiet or good order of the locality in which the licensed premises or proposed licensed premises are, or are to be, situated might in some manner be lessened;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pPr>
      <w:r>
        <w:tab/>
        <w:t>(ca)</w:t>
      </w:r>
      <w:r>
        <w:tab/>
        <w:t>any effect the granting of the application might have in relation to tourism, or community or cultural matters;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Subsection"/>
      </w:pPr>
      <w:r>
        <w:tab/>
        <w:t>(7)</w:t>
      </w:r>
      <w:r>
        <w:tab/>
        <w:t xml:space="preserve">If subsection (2) applies to an application, the Director may publish the following on the Department’s website — </w:t>
      </w:r>
    </w:p>
    <w:p>
      <w:pPr>
        <w:pStyle w:val="Indenta"/>
      </w:pPr>
      <w:r>
        <w:tab/>
        <w:t>(a)</w:t>
      </w:r>
      <w:r>
        <w:tab/>
        <w:t>the application;</w:t>
      </w:r>
    </w:p>
    <w:p>
      <w:pPr>
        <w:pStyle w:val="Indenta"/>
        <w:keepNext/>
      </w:pPr>
      <w:r>
        <w:tab/>
        <w:t>(b)</w:t>
      </w:r>
      <w:r>
        <w:tab/>
        <w:t>any document or information provided under subsection (3) in relation to the application.</w:t>
      </w:r>
    </w:p>
    <w:p>
      <w:pPr>
        <w:pStyle w:val="Footnotesection"/>
      </w:pPr>
      <w:r>
        <w:tab/>
        <w:t>[Section 38 inserted: No. 73 of 2006 s. 33; amended: No. 56 of 2010 s. 40; No. 9 of 2018 s. 20.]</w:t>
      </w:r>
    </w:p>
    <w:p>
      <w:pPr>
        <w:pStyle w:val="Heading5"/>
        <w:spacing w:before="180"/>
        <w:rPr>
          <w:snapToGrid w:val="0"/>
        </w:rPr>
      </w:pPr>
      <w:bookmarkStart w:id="92" w:name="_Toc526243111"/>
      <w:r>
        <w:rPr>
          <w:rStyle w:val="CharSectno"/>
        </w:rPr>
        <w:t>39</w:t>
      </w:r>
      <w:r>
        <w:rPr>
          <w:snapToGrid w:val="0"/>
        </w:rPr>
        <w:t>.</w:t>
      </w:r>
      <w:r>
        <w:rPr>
          <w:snapToGrid w:val="0"/>
        </w:rPr>
        <w:tab/>
        <w:t>Certificate of local government as to whether premises comply with laws</w:t>
      </w:r>
      <w:bookmarkEnd w:id="92"/>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No. 12 of 1998 s. 26; amended: No. 43 of 2008 s. 148(2); No. 24 of 2011 s. 165(2); No. 19 of 2016 s. 101.] </w:t>
      </w:r>
    </w:p>
    <w:p>
      <w:pPr>
        <w:pStyle w:val="Heading5"/>
        <w:spacing w:before="180"/>
        <w:rPr>
          <w:snapToGrid w:val="0"/>
        </w:rPr>
      </w:pPr>
      <w:bookmarkStart w:id="93" w:name="_Toc526243112"/>
      <w:r>
        <w:rPr>
          <w:rStyle w:val="CharSectno"/>
        </w:rPr>
        <w:t>40</w:t>
      </w:r>
      <w:r>
        <w:rPr>
          <w:snapToGrid w:val="0"/>
        </w:rPr>
        <w:t>.</w:t>
      </w:r>
      <w:r>
        <w:rPr>
          <w:snapToGrid w:val="0"/>
        </w:rPr>
        <w:tab/>
        <w:t>Certificate of planning authority as to whether use of premises complies with planning laws</w:t>
      </w:r>
      <w:bookmarkEnd w:id="93"/>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No. 12 of 1998 s. 26; amended: No. 38 of 2005 s. 15; No. 35 of 2015 s. 5.] </w:t>
      </w:r>
    </w:p>
    <w:p>
      <w:pPr>
        <w:pStyle w:val="Heading5"/>
        <w:spacing w:before="180"/>
        <w:rPr>
          <w:snapToGrid w:val="0"/>
        </w:rPr>
      </w:pPr>
      <w:bookmarkStart w:id="94" w:name="_Toc526243113"/>
      <w:r>
        <w:rPr>
          <w:rStyle w:val="CharSectno"/>
        </w:rPr>
        <w:t>41</w:t>
      </w:r>
      <w:r>
        <w:rPr>
          <w:snapToGrid w:val="0"/>
        </w:rPr>
        <w:t>.</w:t>
      </w:r>
      <w:r>
        <w:rPr>
          <w:snapToGrid w:val="0"/>
        </w:rPr>
        <w:tab/>
        <w:t>Hotel licence, kinds, conditions and effect of</w:t>
      </w:r>
      <w:bookmarkEnd w:id="94"/>
    </w:p>
    <w:p>
      <w:pPr>
        <w:pStyle w:val="Ednotesubsection"/>
      </w:pPr>
      <w:r>
        <w:tab/>
        <w:t>[(1aa)</w:t>
      </w:r>
      <w:r>
        <w:tab/>
        <w:t>deleted]</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 xml:space="preserve">any condition referred to in subsection (4) </w:t>
      </w:r>
      <w:r>
        <w:rPr>
          <w:snapToGrid w:val="0"/>
        </w:rPr>
        <w:t>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keepNext/>
      </w:pPr>
      <w:r>
        <w:tab/>
        <w:t>(2)</w:t>
      </w:r>
      <w:r>
        <w:tab/>
        <w:t xml:space="preserve">Subject to this Act, during permitted hours the licensee of a hotel licence is authorised to keep open the licensed premises, or part of those premises, and, while those premises are open — </w:t>
      </w:r>
    </w:p>
    <w:p>
      <w:pPr>
        <w:pStyle w:val="Indenta"/>
        <w:keepNext/>
      </w:pPr>
      <w:r>
        <w:tab/>
        <w:t>(a)</w:t>
      </w:r>
      <w:r>
        <w:tab/>
        <w:t>may sell liquor on the premises to any person for consumption on the premises; and</w:t>
      </w:r>
    </w:p>
    <w:p>
      <w:pPr>
        <w:pStyle w:val="Indenta"/>
      </w:pPr>
      <w:r>
        <w:tab/>
        <w:t>(b)</w:t>
      </w:r>
      <w:r>
        <w:tab/>
        <w:t>may, unless the licence is a hotel restricted licence or a tavern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No. 12 of 1998 s. 27; No. 26 of 2001 s. 4; No. 73 of 2006 s. 34 and 108; No. 56 of 2010 s. 41; No. 9 of 2018 s. 21.] </w:t>
      </w:r>
    </w:p>
    <w:p>
      <w:pPr>
        <w:pStyle w:val="Heading5"/>
      </w:pPr>
      <w:bookmarkStart w:id="95" w:name="_Toc518626517"/>
      <w:bookmarkStart w:id="96" w:name="_Toc519495328"/>
      <w:bookmarkStart w:id="97" w:name="_Toc526243114"/>
      <w:r>
        <w:rPr>
          <w:rStyle w:val="CharSectno"/>
        </w:rPr>
        <w:t>41A</w:t>
      </w:r>
      <w:r>
        <w:t>.</w:t>
      </w:r>
      <w:r>
        <w:tab/>
        <w:t>Effect and conditions of small bar licence</w:t>
      </w:r>
      <w:bookmarkEnd w:id="95"/>
      <w:bookmarkEnd w:id="96"/>
      <w:bookmarkEnd w:id="97"/>
    </w:p>
    <w:p>
      <w:pPr>
        <w:pStyle w:val="Subsection"/>
      </w:pPr>
      <w:r>
        <w:tab/>
        <w:t>(1)</w:t>
      </w:r>
      <w:r>
        <w:tab/>
        <w:t>Subject to this Act, the licensee of a small bar licence is, during permitted hours, authorised to sell liquor for consumption on the licensed premises.</w:t>
      </w:r>
    </w:p>
    <w:p>
      <w:pPr>
        <w:pStyle w:val="Subsection"/>
      </w:pPr>
      <w:r>
        <w:tab/>
        <w:t>(2)</w:t>
      </w:r>
      <w:r>
        <w:tab/>
        <w:t xml:space="preserve">A small bar licence is subject to — </w:t>
      </w:r>
    </w:p>
    <w:p>
      <w:pPr>
        <w:pStyle w:val="Indenta"/>
      </w:pPr>
      <w:r>
        <w:tab/>
        <w:t>(a)</w:t>
      </w:r>
      <w:r>
        <w:tab/>
        <w:t>a condition prohibiting the sale of packaged liquor; and</w:t>
      </w:r>
    </w:p>
    <w:p>
      <w:pPr>
        <w:pStyle w:val="Indenta"/>
      </w:pPr>
      <w:r>
        <w:tab/>
        <w:t>(b)</w:t>
      </w:r>
      <w:r>
        <w:tab/>
        <w:t>a condition limiting the maximum number of persons (excluding responsible persons and authorised officers) who may be on the licensed premises to 120.</w:t>
      </w:r>
    </w:p>
    <w:p>
      <w:pPr>
        <w:pStyle w:val="Footnotesection"/>
      </w:pPr>
      <w:r>
        <w:tab/>
        <w:t>[Section 41A inserted: No. 9 of 2018 s. 22.]</w:t>
      </w:r>
    </w:p>
    <w:p>
      <w:pPr>
        <w:pStyle w:val="Heading5"/>
      </w:pPr>
      <w:bookmarkStart w:id="98" w:name="_Toc518626518"/>
      <w:bookmarkStart w:id="99" w:name="_Toc519495329"/>
      <w:bookmarkStart w:id="100" w:name="_Toc526243115"/>
      <w:r>
        <w:rPr>
          <w:rStyle w:val="CharSectno"/>
        </w:rPr>
        <w:t>41B</w:t>
      </w:r>
      <w:r>
        <w:t>.</w:t>
      </w:r>
      <w:r>
        <w:tab/>
        <w:t>Small bar licence may be granted as alternative to tavern restricted licence</w:t>
      </w:r>
      <w:bookmarkEnd w:id="98"/>
      <w:bookmarkEnd w:id="99"/>
      <w:bookmarkEnd w:id="100"/>
    </w:p>
    <w:p>
      <w:pPr>
        <w:pStyle w:val="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Subsection"/>
      </w:pPr>
      <w:r>
        <w:tab/>
        <w:t>(2)</w:t>
      </w:r>
      <w:r>
        <w:tab/>
        <w:t xml:space="preserve">Subsection (3) applies to a tavern restricted licence if — </w:t>
      </w:r>
    </w:p>
    <w:p>
      <w:pPr>
        <w:pStyle w:val="Indenta"/>
      </w:pPr>
      <w:r>
        <w:tab/>
        <w:t>(a)</w:t>
      </w:r>
      <w:r>
        <w:tab/>
        <w:t>it is subject to a condition limiting the maximum number of persons (excluding responsible persons and authorised officers) who may be on the licensed premises to 120; and</w:t>
      </w:r>
    </w:p>
    <w:p>
      <w:pPr>
        <w:pStyle w:val="Indenta"/>
      </w:pPr>
      <w:r>
        <w:tab/>
        <w:t>(b)</w:t>
      </w:r>
      <w:r>
        <w:tab/>
        <w:t>the capacity of the licensed premises is not more than 120 persons.</w:t>
      </w:r>
    </w:p>
    <w:p>
      <w:pPr>
        <w:pStyle w:val="Subsection"/>
      </w:pPr>
      <w:r>
        <w:tab/>
        <w:t>(3)</w:t>
      </w:r>
      <w:r>
        <w:tab/>
        <w:t xml:space="preserve">The licensing authority may, of its own motion or on the application of the licensee of the licence — </w:t>
      </w:r>
    </w:p>
    <w:p>
      <w:pPr>
        <w:pStyle w:val="Indenta"/>
      </w:pPr>
      <w:r>
        <w:tab/>
        <w:t>(a)</w:t>
      </w:r>
      <w:r>
        <w:tab/>
        <w:t>cancel a tavern restricted licence to which this subsection applies; and</w:t>
      </w:r>
    </w:p>
    <w:p>
      <w:pPr>
        <w:pStyle w:val="Indenta"/>
      </w:pPr>
      <w:r>
        <w:tab/>
        <w:t>(b)</w:t>
      </w:r>
      <w:r>
        <w:tab/>
        <w:t>grant to the person who was the licensee of the licence a small bar licence in respect of the premises to which the licence related.</w:t>
      </w:r>
    </w:p>
    <w:p>
      <w:pPr>
        <w:pStyle w:val="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Indenta"/>
      </w:pPr>
      <w:r>
        <w:tab/>
        <w:t>(a)</w:t>
      </w:r>
      <w:r>
        <w:tab/>
        <w:t>a notice that sets out the proposal and the reasons for it; and</w:t>
      </w:r>
    </w:p>
    <w:p>
      <w:pPr>
        <w:pStyle w:val="Indenta"/>
      </w:pPr>
      <w:r>
        <w:tab/>
        <w:t>(b)</w:t>
      </w:r>
      <w:r>
        <w:tab/>
        <w:t>a reasonable opportunity to make submissions or to be heard in relation to the proposal.</w:t>
      </w:r>
    </w:p>
    <w:p>
      <w:pPr>
        <w:pStyle w:val="Footnotesection"/>
      </w:pPr>
      <w:r>
        <w:tab/>
        <w:t>[Section 41B inserted: No. 9 of 2018 s. 22.]</w:t>
      </w:r>
    </w:p>
    <w:p>
      <w:pPr>
        <w:pStyle w:val="Heading5"/>
        <w:spacing w:before="240"/>
        <w:rPr>
          <w:snapToGrid w:val="0"/>
        </w:rPr>
      </w:pPr>
      <w:bookmarkStart w:id="101" w:name="_Toc526243116"/>
      <w:r>
        <w:rPr>
          <w:rStyle w:val="CharSectno"/>
        </w:rPr>
        <w:t>42</w:t>
      </w:r>
      <w:r>
        <w:rPr>
          <w:snapToGrid w:val="0"/>
        </w:rPr>
        <w:t>.</w:t>
      </w:r>
      <w:r>
        <w:rPr>
          <w:snapToGrid w:val="0"/>
        </w:rPr>
        <w:tab/>
        <w:t>Nightclub licence, effect and conditions of</w:t>
      </w:r>
      <w:bookmarkEnd w:id="101"/>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No. 73 of 2006 s. 107.]</w:t>
      </w:r>
    </w:p>
    <w:p>
      <w:pPr>
        <w:pStyle w:val="Heading5"/>
        <w:rPr>
          <w:snapToGrid w:val="0"/>
        </w:rPr>
      </w:pPr>
      <w:bookmarkStart w:id="102" w:name="_Toc526243117"/>
      <w:r>
        <w:rPr>
          <w:rStyle w:val="CharSectno"/>
        </w:rPr>
        <w:t>43</w:t>
      </w:r>
      <w:r>
        <w:rPr>
          <w:snapToGrid w:val="0"/>
        </w:rPr>
        <w:t>.</w:t>
      </w:r>
      <w:r>
        <w:rPr>
          <w:snapToGrid w:val="0"/>
        </w:rPr>
        <w:tab/>
        <w:t>N</w:t>
      </w:r>
      <w:r>
        <w:t xml:space="preserve">ightclub </w:t>
      </w:r>
      <w:r>
        <w:rPr>
          <w:snapToGrid w:val="0"/>
        </w:rPr>
        <w:t>licence, pre-requisites for grant of</w:t>
      </w:r>
      <w:bookmarkEnd w:id="102"/>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No. 73 of 2006 s. 107.]</w:t>
      </w:r>
    </w:p>
    <w:p>
      <w:pPr>
        <w:pStyle w:val="Heading5"/>
        <w:keepLines w:val="0"/>
        <w:spacing w:before="180"/>
        <w:rPr>
          <w:snapToGrid w:val="0"/>
        </w:rPr>
      </w:pPr>
      <w:bookmarkStart w:id="103" w:name="_Toc526243118"/>
      <w:r>
        <w:rPr>
          <w:rStyle w:val="CharSectno"/>
        </w:rPr>
        <w:t>44</w:t>
      </w:r>
      <w:r>
        <w:rPr>
          <w:snapToGrid w:val="0"/>
        </w:rPr>
        <w:t>.</w:t>
      </w:r>
      <w:r>
        <w:rPr>
          <w:snapToGrid w:val="0"/>
        </w:rPr>
        <w:tab/>
        <w:t>Casino liquor licence, effect and conditions of</w:t>
      </w:r>
      <w:bookmarkEnd w:id="103"/>
    </w:p>
    <w:p>
      <w:pPr>
        <w:pStyle w:val="Subsection"/>
        <w:keepNext/>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No. 35 of 2003 s. 173(4); No. 73 of 2006 s. 107; No. 9 of 2018 s. 23.]</w:t>
      </w:r>
    </w:p>
    <w:p>
      <w:pPr>
        <w:pStyle w:val="Heading5"/>
        <w:keepNext w:val="0"/>
        <w:keepLines w:val="0"/>
        <w:spacing w:before="180"/>
        <w:rPr>
          <w:snapToGrid w:val="0"/>
        </w:rPr>
      </w:pPr>
      <w:bookmarkStart w:id="104" w:name="_Toc526243119"/>
      <w:r>
        <w:rPr>
          <w:rStyle w:val="CharSectno"/>
        </w:rPr>
        <w:t>45</w:t>
      </w:r>
      <w:r>
        <w:rPr>
          <w:snapToGrid w:val="0"/>
        </w:rPr>
        <w:t>.</w:t>
      </w:r>
      <w:r>
        <w:rPr>
          <w:snapToGrid w:val="0"/>
        </w:rPr>
        <w:tab/>
        <w:t>Casino liquor licence, pre-requisites for grant of</w:t>
      </w:r>
      <w:bookmarkEnd w:id="104"/>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No. 12 of 1998 s. 28; No. 35 of 2003 s. 173(4); No. 9 of 2018 s. 24.] </w:t>
      </w:r>
    </w:p>
    <w:p>
      <w:pPr>
        <w:pStyle w:val="Heading5"/>
        <w:spacing w:before="240"/>
        <w:rPr>
          <w:snapToGrid w:val="0"/>
        </w:rPr>
      </w:pPr>
      <w:bookmarkStart w:id="105" w:name="_Toc526243120"/>
      <w:r>
        <w:rPr>
          <w:rStyle w:val="CharSectno"/>
        </w:rPr>
        <w:t>46</w:t>
      </w:r>
      <w:r>
        <w:rPr>
          <w:snapToGrid w:val="0"/>
        </w:rPr>
        <w:t>.</w:t>
      </w:r>
      <w:r>
        <w:rPr>
          <w:snapToGrid w:val="0"/>
        </w:rPr>
        <w:tab/>
        <w:t>Special facility licence, pre-requisites for grant of</w:t>
      </w:r>
      <w:bookmarkEnd w:id="105"/>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No. 12 of 1998 s. 29; amended: No. 26 of 2001 s. 5(1); No. 73 of 2006 s. 35.] </w:t>
      </w:r>
    </w:p>
    <w:p>
      <w:pPr>
        <w:pStyle w:val="Heading5"/>
        <w:spacing w:before="240"/>
      </w:pPr>
      <w:bookmarkStart w:id="106" w:name="_Toc526243121"/>
      <w:r>
        <w:rPr>
          <w:rStyle w:val="CharSectno"/>
        </w:rPr>
        <w:t>46A</w:t>
      </w:r>
      <w:r>
        <w:t>.</w:t>
      </w:r>
      <w:r>
        <w:tab/>
        <w:t>Special facility licence, restrictions on varying</w:t>
      </w:r>
      <w:bookmarkEnd w:id="106"/>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No. 73 of 2006 s. 36.]</w:t>
      </w:r>
    </w:p>
    <w:p>
      <w:pPr>
        <w:pStyle w:val="Heading5"/>
      </w:pPr>
      <w:bookmarkStart w:id="107" w:name="_Toc526243122"/>
      <w:r>
        <w:rPr>
          <w:rStyle w:val="CharSectno"/>
        </w:rPr>
        <w:t>46B</w:t>
      </w:r>
      <w:r>
        <w:t>.</w:t>
      </w:r>
      <w:r>
        <w:tab/>
        <w:t>Alternatives to granting or varying special facility licences</w:t>
      </w:r>
      <w:bookmarkEnd w:id="107"/>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No. 73 of 2006 s. 36.]</w:t>
      </w:r>
    </w:p>
    <w:p>
      <w:pPr>
        <w:pStyle w:val="Heading5"/>
        <w:keepNext w:val="0"/>
        <w:keepLines w:val="0"/>
        <w:spacing w:before="180"/>
        <w:rPr>
          <w:snapToGrid w:val="0"/>
        </w:rPr>
      </w:pPr>
      <w:bookmarkStart w:id="108" w:name="_Toc526243123"/>
      <w:r>
        <w:rPr>
          <w:rStyle w:val="CharSectno"/>
        </w:rPr>
        <w:t>47</w:t>
      </w:r>
      <w:r>
        <w:rPr>
          <w:snapToGrid w:val="0"/>
        </w:rPr>
        <w:t>.</w:t>
      </w:r>
      <w:r>
        <w:rPr>
          <w:snapToGrid w:val="0"/>
        </w:rPr>
        <w:tab/>
        <w:t>Liquor store licence, effect of</w:t>
      </w:r>
      <w:bookmarkEnd w:id="108"/>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No. 12 of 1998 s. 30.] </w:t>
      </w:r>
    </w:p>
    <w:p>
      <w:pPr>
        <w:pStyle w:val="Ednotedivision"/>
        <w:spacing w:before="240"/>
      </w:pPr>
      <w:r>
        <w:t>[Heading deleted: No. 73 of 2006 s. 37.]</w:t>
      </w:r>
    </w:p>
    <w:p>
      <w:pPr>
        <w:pStyle w:val="Heading5"/>
        <w:spacing w:before="240"/>
        <w:rPr>
          <w:snapToGrid w:val="0"/>
        </w:rPr>
      </w:pPr>
      <w:bookmarkStart w:id="109" w:name="_Toc526243124"/>
      <w:r>
        <w:rPr>
          <w:rStyle w:val="CharSectno"/>
        </w:rPr>
        <w:t>48</w:t>
      </w:r>
      <w:r>
        <w:rPr>
          <w:snapToGrid w:val="0"/>
        </w:rPr>
        <w:t>.</w:t>
      </w:r>
      <w:r>
        <w:rPr>
          <w:snapToGrid w:val="0"/>
        </w:rPr>
        <w:tab/>
        <w:t>Club licence, kinds, conditions and effect of</w:t>
      </w:r>
      <w:bookmarkEnd w:id="109"/>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 xml:space="preserve">ancillary to a meal supplied at the club by or on behalf of the club to a member and to each of the guests of that member (without limitation as to number), being guests of whose attendance prior notice was given to the club in accordance with </w:t>
      </w:r>
      <w:r>
        <w:t>the rules of the club;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to a member, for consumption by the guests of that member (without limitation as to number) at a function held by or on behalf of that member at the club if in accordance with </w:t>
      </w:r>
      <w:r>
        <w:t>the rules of the club;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 xml:space="preserve">if the </w:t>
      </w:r>
      <w:r>
        <w:t>rules of the club</w:t>
      </w:r>
      <w:r>
        <w:rPr>
          <w:snapToGrid w:val="0"/>
        </w:rPr>
        <w:t xml:space="preserve"> are not thereby contravened.</w:t>
      </w:r>
    </w:p>
    <w:p>
      <w:pPr>
        <w:pStyle w:val="Subsection"/>
      </w:pPr>
      <w:r>
        <w:tab/>
        <w:t>(2A)</w:t>
      </w:r>
      <w:r>
        <w:tab/>
        <w:t>Subject to this Act, a club licence authorises the sale, during permitted hours, of liquor to a visitor for consumption on the licensed premises if the sale does not contravene the rules of the club.</w:t>
      </w:r>
    </w:p>
    <w:p>
      <w:pPr>
        <w:pStyle w:val="Subsection"/>
        <w:keepNext/>
      </w:pPr>
      <w:r>
        <w:tab/>
        <w:t>(2B)</w:t>
      </w:r>
      <w:r>
        <w:tab/>
        <w:t xml:space="preserve">In subsection (2A) — </w:t>
      </w:r>
    </w:p>
    <w:p>
      <w:pPr>
        <w:pStyle w:val="Defstart"/>
        <w:keepNext/>
      </w:pPr>
      <w:r>
        <w:tab/>
      </w:r>
      <w:r>
        <w:rPr>
          <w:rStyle w:val="CharDefText"/>
        </w:rPr>
        <w:t>visitor</w:t>
      </w:r>
      <w:r>
        <w:t xml:space="preserve"> means a person, other than a member, a guest of a member or a person referred to in subsection (5), who — </w:t>
      </w:r>
    </w:p>
    <w:p>
      <w:pPr>
        <w:pStyle w:val="Defpara"/>
      </w:pPr>
      <w:r>
        <w:tab/>
        <w:t>(a)</w:t>
      </w:r>
      <w:r>
        <w:tab/>
        <w:t>is at least 40 km or, if a greater distance is prescribed for the purposes of this paragraph, at least that distance from their usual place of residence; and</w:t>
      </w:r>
    </w:p>
    <w:p>
      <w:pPr>
        <w:pStyle w:val="Defpara"/>
      </w:pPr>
      <w:r>
        <w:tab/>
        <w:t>(b)</w:t>
      </w:r>
      <w:r>
        <w:tab/>
        <w:t>is visiting the club while travelling in the course of a holiday or travelling for leisure or business; and</w:t>
      </w:r>
    </w:p>
    <w:p>
      <w:pPr>
        <w:pStyle w:val="Defpara"/>
      </w:pPr>
      <w:r>
        <w:tab/>
        <w:t>(c)</w:t>
      </w:r>
      <w:r>
        <w:tab/>
        <w:t>is required, at the time of their visit, to pay a fee to the club for the use of its facilities.</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authority to sell liquor for consumption by the guests of a member, otherwise than ancillary to a meal or at a function under subsection (2)(b), extends only to such persons, not exceeding 5 or such lesser number as may be permitted by </w:t>
      </w:r>
      <w:r>
        <w:t>the rules of the club,</w:t>
      </w:r>
      <w:r>
        <w:rPr>
          <w:snapToGrid w:val="0"/>
        </w:rPr>
        <w:t xml:space="preserve"> as are introduced as the guests of that member on that day; and</w:t>
      </w:r>
    </w:p>
    <w:p>
      <w:pPr>
        <w:pStyle w:val="Indenta"/>
        <w:keepNext/>
        <w:rPr>
          <w:snapToGrid w:val="0"/>
        </w:rPr>
      </w:pPr>
      <w:r>
        <w:rPr>
          <w:snapToGrid w:val="0"/>
        </w:rPr>
        <w:tab/>
        <w:t>(c)</w:t>
      </w:r>
      <w:r>
        <w:rPr>
          <w:snapToGrid w:val="0"/>
        </w:rPr>
        <w:tab/>
        <w:t>packaged liquor be not removed — </w:t>
      </w:r>
    </w:p>
    <w:p>
      <w:pPr>
        <w:pStyle w:val="Indenti"/>
        <w:keepNext/>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 xml:space="preserve">as soon as is practicable after the making of any proposal for a </w:t>
      </w:r>
      <w:r>
        <w:t>change in the appointment of a person as trustee to hold the licence for the club, the Secretary</w:t>
      </w:r>
      <w:r>
        <w:rPr>
          <w:snapToGrid w:val="0"/>
        </w:rPr>
        <w:t xml:space="preserve">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pPr>
      <w:r>
        <w:tab/>
        <w:t>(ea)</w:t>
      </w:r>
      <w:r>
        <w:tab/>
        <w:t>an up-to-date register of visitors (as defined in subsection (2B)) be continually available for inspection at the club premises; and</w:t>
      </w:r>
    </w:p>
    <w:p>
      <w:pPr>
        <w:pStyle w:val="Indenta"/>
        <w:rPr>
          <w:snapToGrid w:val="0"/>
        </w:rPr>
      </w:pPr>
      <w:r>
        <w:rPr>
          <w:snapToGrid w:val="0"/>
        </w:rPr>
        <w:tab/>
        <w:t>(f)</w:t>
      </w:r>
      <w:r>
        <w:rPr>
          <w:snapToGrid w:val="0"/>
        </w:rPr>
        <w:tab/>
        <w:t xml:space="preserve">the club ensures that its </w:t>
      </w:r>
      <w:r>
        <w:t>rules</w:t>
      </w:r>
      <w:r>
        <w:rPr>
          <w:snapToGrid w:val="0"/>
        </w:rPr>
        <w:t xml:space="preserve">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as a member or an official of another club or a team, or a person assisting a member or an official of another club or a team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the rules of the club.</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 xml:space="preserve">Where in relation to the sale of liquor a club permits any contravention of its </w:t>
      </w:r>
      <w:r>
        <w:t>rules,</w:t>
      </w:r>
      <w:r>
        <w:rPr>
          <w:snapToGrid w:val="0"/>
        </w:rPr>
        <w:t xml:space="preserve">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No. 12 of 1998 s. 31; No. 73 of 2006 s. 38; No. 56 of 2010 s. 11; No. 9 of 2018 s. 25.] </w:t>
      </w:r>
    </w:p>
    <w:p>
      <w:pPr>
        <w:pStyle w:val="Heading5"/>
        <w:rPr>
          <w:snapToGrid w:val="0"/>
        </w:rPr>
      </w:pPr>
      <w:bookmarkStart w:id="110" w:name="_Toc526243125"/>
      <w:r>
        <w:rPr>
          <w:rStyle w:val="CharSectno"/>
        </w:rPr>
        <w:t>49</w:t>
      </w:r>
      <w:r>
        <w:rPr>
          <w:snapToGrid w:val="0"/>
        </w:rPr>
        <w:t>.</w:t>
      </w:r>
      <w:r>
        <w:rPr>
          <w:snapToGrid w:val="0"/>
        </w:rPr>
        <w:tab/>
        <w:t>Club licence, pre-requisites for grant of</w:t>
      </w:r>
      <w:bookmarkEnd w:id="110"/>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keepNext/>
        <w:rPr>
          <w:snapToGrid w:val="0"/>
        </w:rPr>
      </w:pPr>
      <w:r>
        <w:rPr>
          <w:snapToGrid w:val="0"/>
        </w:rPr>
        <w:tab/>
        <w:t>(a)</w:t>
      </w:r>
      <w:r>
        <w:rPr>
          <w:snapToGrid w:val="0"/>
        </w:rPr>
        <w:tab/>
        <w:t>that the applicant is a society, club, institution or other body of persons which — </w:t>
      </w:r>
    </w:p>
    <w:p>
      <w:pPr>
        <w:pStyle w:val="Indenti"/>
        <w:keepNext/>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r>
      <w:r>
        <w:t>that the</w:t>
      </w:r>
      <w:r>
        <w:rPr>
          <w:snapToGrid w:val="0"/>
        </w:rPr>
        <w:t xml:space="preserve"> rules of the club are of a kind appropriate for the purposes of a club seeking to be licensed, having regard to the terms and conditions of the licence </w:t>
      </w:r>
      <w:r>
        <w:t>sought.</w:t>
      </w:r>
    </w:p>
    <w:p>
      <w:pPr>
        <w:pStyle w:val="Subsection"/>
        <w:rPr>
          <w:snapToGrid w:val="0"/>
        </w:rPr>
      </w:pPr>
      <w:r>
        <w:rPr>
          <w:snapToGrid w:val="0"/>
        </w:rPr>
        <w:tab/>
        <w:t>(2)</w:t>
      </w:r>
      <w:r>
        <w:rPr>
          <w:snapToGrid w:val="0"/>
        </w:rPr>
        <w:tab/>
        <w:t>Where the Director finds that the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rules to be varied; or</w:t>
      </w:r>
    </w:p>
    <w:p>
      <w:pPr>
        <w:pStyle w:val="Indenta"/>
        <w:rPr>
          <w:snapToGrid w:val="0"/>
        </w:rPr>
      </w:pPr>
      <w:r>
        <w:rPr>
          <w:snapToGrid w:val="0"/>
        </w:rPr>
        <w:tab/>
        <w:t>(b)</w:t>
      </w:r>
      <w:r>
        <w:rPr>
          <w:snapToGrid w:val="0"/>
        </w:rPr>
        <w:tab/>
        <w:t>grant the application subject to a condition requiring amendment of the rules.</w:t>
      </w:r>
    </w:p>
    <w:p>
      <w:pPr>
        <w:pStyle w:val="Ednotesubsection"/>
      </w:pPr>
      <w:r>
        <w:tab/>
        <w:t>[(3), (4)</w:t>
      </w:r>
      <w:r>
        <w:tab/>
        <w:t>deleted]</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No. 12 of 1998 s. 32; No. 73 of 2006 s. 39; No. 30 of 2015 s. 232; No. 9 of 2018 s. 26.] </w:t>
      </w:r>
    </w:p>
    <w:p>
      <w:pPr>
        <w:pStyle w:val="Heading5"/>
        <w:rPr>
          <w:snapToGrid w:val="0"/>
        </w:rPr>
      </w:pPr>
      <w:bookmarkStart w:id="111" w:name="_Toc526243126"/>
      <w:r>
        <w:rPr>
          <w:rStyle w:val="CharSectno"/>
        </w:rPr>
        <w:t>50</w:t>
      </w:r>
      <w:r>
        <w:rPr>
          <w:snapToGrid w:val="0"/>
        </w:rPr>
        <w:t>.</w:t>
      </w:r>
      <w:r>
        <w:rPr>
          <w:snapToGrid w:val="0"/>
        </w:rPr>
        <w:tab/>
        <w:t>Restaurant licence, effect and conditions of</w:t>
      </w:r>
      <w:bookmarkEnd w:id="111"/>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No. 12 of 1998 s. 33; No. 73 of 2006 s. 40 and 108.] </w:t>
      </w:r>
    </w:p>
    <w:p>
      <w:pPr>
        <w:pStyle w:val="Heading5"/>
      </w:pPr>
      <w:bookmarkStart w:id="112" w:name="_Toc526243127"/>
      <w:r>
        <w:rPr>
          <w:rStyle w:val="CharSectno"/>
        </w:rPr>
        <w:t>50A</w:t>
      </w:r>
      <w:r>
        <w:t>.</w:t>
      </w:r>
      <w:r>
        <w:tab/>
        <w:t>Issue of extended trading permit under s. 60(4)(ca) for certain restaurant licences at time of grant</w:t>
      </w:r>
      <w:bookmarkEnd w:id="112"/>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No. 9 of 2018 s. 27.]</w:t>
      </w:r>
    </w:p>
    <w:p>
      <w:pPr>
        <w:pStyle w:val="Heading5"/>
        <w:rPr>
          <w:snapToGrid w:val="0"/>
        </w:rPr>
      </w:pPr>
      <w:bookmarkStart w:id="113" w:name="_Toc526243128"/>
      <w:r>
        <w:rPr>
          <w:rStyle w:val="CharSectno"/>
        </w:rPr>
        <w:t>51</w:t>
      </w:r>
      <w:r>
        <w:rPr>
          <w:snapToGrid w:val="0"/>
        </w:rPr>
        <w:t>.</w:t>
      </w:r>
      <w:r>
        <w:rPr>
          <w:snapToGrid w:val="0"/>
        </w:rPr>
        <w:tab/>
        <w:t>Unlicensed restaurants, supply of liquor in</w:t>
      </w:r>
      <w:bookmarkEnd w:id="113"/>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No. 12 of 1998 s. 34; No. 73 of 2006 s. 110; No. 56 of 2010 s. 69.] </w:t>
      </w:r>
    </w:p>
    <w:p>
      <w:pPr>
        <w:pStyle w:val="Heading5"/>
        <w:rPr>
          <w:snapToGrid w:val="0"/>
        </w:rPr>
      </w:pPr>
      <w:bookmarkStart w:id="114" w:name="_Toc526243129"/>
      <w:r>
        <w:rPr>
          <w:rStyle w:val="CharSectno"/>
        </w:rPr>
        <w:t>52</w:t>
      </w:r>
      <w:r>
        <w:rPr>
          <w:snapToGrid w:val="0"/>
        </w:rPr>
        <w:t>.</w:t>
      </w:r>
      <w:r>
        <w:rPr>
          <w:snapToGrid w:val="0"/>
        </w:rPr>
        <w:tab/>
        <w:t>Liquor sold or consumed with meals, effect of extended trading permit which authorises; evidentiary provisions</w:t>
      </w:r>
      <w:bookmarkEnd w:id="114"/>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No. 84 of 2004 s. 80.] </w:t>
      </w:r>
    </w:p>
    <w:p>
      <w:pPr>
        <w:pStyle w:val="Heading5"/>
        <w:pageBreakBefore/>
        <w:rPr>
          <w:snapToGrid w:val="0"/>
        </w:rPr>
      </w:pPr>
      <w:bookmarkStart w:id="115" w:name="_Toc526243130"/>
      <w:r>
        <w:rPr>
          <w:rStyle w:val="CharSectno"/>
        </w:rPr>
        <w:t>53</w:t>
      </w:r>
      <w:r>
        <w:rPr>
          <w:snapToGrid w:val="0"/>
        </w:rPr>
        <w:t>.</w:t>
      </w:r>
      <w:r>
        <w:rPr>
          <w:snapToGrid w:val="0"/>
        </w:rPr>
        <w:tab/>
        <w:t>Restaurant licence and extended trading permit, effect of may be restricted as to selling liquor with meals</w:t>
      </w:r>
      <w:bookmarkEnd w:id="115"/>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No. 12 of 1998 s. 35(1).] </w:t>
      </w:r>
    </w:p>
    <w:p>
      <w:pPr>
        <w:pStyle w:val="Heading5"/>
        <w:spacing w:before="240"/>
        <w:rPr>
          <w:snapToGrid w:val="0"/>
        </w:rPr>
      </w:pPr>
      <w:bookmarkStart w:id="116" w:name="_Toc526243131"/>
      <w:r>
        <w:rPr>
          <w:rStyle w:val="CharSectno"/>
        </w:rPr>
        <w:t>55</w:t>
      </w:r>
      <w:r>
        <w:rPr>
          <w:snapToGrid w:val="0"/>
        </w:rPr>
        <w:t>.</w:t>
      </w:r>
      <w:r>
        <w:rPr>
          <w:snapToGrid w:val="0"/>
        </w:rPr>
        <w:tab/>
        <w:t>Producer’s licence, effect of</w:t>
      </w:r>
      <w:bookmarkEnd w:id="116"/>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spacing w:before="80"/>
        <w:ind w:left="890" w:hanging="890"/>
      </w:pPr>
      <w:r>
        <w:tab/>
        <w:t xml:space="preserve">[Section 55 amended: No. 12 of 1998 s. 36; No. 73 of 2006 s. 41; No. 56 of 2010 s. 42; No. 35 of 2015 s. 6; No. 9 of 2018 s. 28.] </w:t>
      </w:r>
    </w:p>
    <w:p>
      <w:pPr>
        <w:pStyle w:val="Heading5"/>
        <w:spacing w:before="180"/>
        <w:rPr>
          <w:snapToGrid w:val="0"/>
        </w:rPr>
      </w:pPr>
      <w:bookmarkStart w:id="117" w:name="_Toc526243132"/>
      <w:r>
        <w:rPr>
          <w:rStyle w:val="CharSectno"/>
        </w:rPr>
        <w:t>56</w:t>
      </w:r>
      <w:r>
        <w:rPr>
          <w:snapToGrid w:val="0"/>
        </w:rPr>
        <w:t>.</w:t>
      </w:r>
      <w:r>
        <w:rPr>
          <w:snapToGrid w:val="0"/>
        </w:rPr>
        <w:tab/>
        <w:t>Production of liquor by person, presumption of</w:t>
      </w:r>
      <w:bookmarkEnd w:id="117"/>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No. 74 of 2003 s. 78; No. 9 of 2018 s. 29.]</w:t>
      </w:r>
    </w:p>
    <w:p>
      <w:pPr>
        <w:pStyle w:val="Heading5"/>
        <w:pageBreakBefore/>
        <w:spacing w:before="180"/>
        <w:rPr>
          <w:snapToGrid w:val="0"/>
        </w:rPr>
      </w:pPr>
      <w:bookmarkStart w:id="118" w:name="_Toc526243133"/>
      <w:r>
        <w:rPr>
          <w:rStyle w:val="CharSectno"/>
        </w:rPr>
        <w:t>57</w:t>
      </w:r>
      <w:r>
        <w:rPr>
          <w:snapToGrid w:val="0"/>
        </w:rPr>
        <w:t>.</w:t>
      </w:r>
      <w:r>
        <w:rPr>
          <w:snapToGrid w:val="0"/>
        </w:rPr>
        <w:tab/>
        <w:t>Producer’s licence, pre-requisites for grant of</w:t>
      </w:r>
      <w:bookmarkEnd w:id="118"/>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No. 12 of 1998 s. 37; No. 56 of 2010 s. 43.] </w:t>
      </w:r>
    </w:p>
    <w:p>
      <w:pPr>
        <w:pStyle w:val="Heading5"/>
        <w:rPr>
          <w:snapToGrid w:val="0"/>
        </w:rPr>
      </w:pPr>
      <w:bookmarkStart w:id="119" w:name="_Toc526243134"/>
      <w:r>
        <w:rPr>
          <w:rStyle w:val="CharSectno"/>
        </w:rPr>
        <w:t>58</w:t>
      </w:r>
      <w:r>
        <w:rPr>
          <w:snapToGrid w:val="0"/>
        </w:rPr>
        <w:t>.</w:t>
      </w:r>
      <w:r>
        <w:rPr>
          <w:snapToGrid w:val="0"/>
        </w:rPr>
        <w:tab/>
        <w:t>Wholesaler’s licence, effect and conditions of</w:t>
      </w:r>
      <w:bookmarkEnd w:id="119"/>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No. 56 of 1997 s. 26(4); No. 12 of 1998 s. 38; No. 73 of 2006 s. 42; No. 35 of 2015 s. 7; No. 9 of 2018 s. 30.] </w:t>
      </w:r>
    </w:p>
    <w:p>
      <w:pPr>
        <w:pStyle w:val="Heading5"/>
        <w:rPr>
          <w:snapToGrid w:val="0"/>
        </w:rPr>
      </w:pPr>
      <w:bookmarkStart w:id="120" w:name="_Toc526243135"/>
      <w:r>
        <w:rPr>
          <w:rStyle w:val="CharSectno"/>
        </w:rPr>
        <w:t>59</w:t>
      </w:r>
      <w:r>
        <w:rPr>
          <w:snapToGrid w:val="0"/>
        </w:rPr>
        <w:t>.</w:t>
      </w:r>
      <w:r>
        <w:rPr>
          <w:snapToGrid w:val="0"/>
        </w:rPr>
        <w:tab/>
        <w:t>Occasional licence, effect, conditions and pre-requisites for grant of</w:t>
      </w:r>
      <w:bookmarkEnd w:id="120"/>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No. 12 of 1998 s. 39(1); No. 56 of 2010 s. 12.] </w:t>
      </w:r>
    </w:p>
    <w:p>
      <w:pPr>
        <w:pStyle w:val="Heading5"/>
      </w:pPr>
      <w:bookmarkStart w:id="121" w:name="_Toc526243136"/>
      <w:r>
        <w:rPr>
          <w:rStyle w:val="CharSectno"/>
        </w:rPr>
        <w:t>59A</w:t>
      </w:r>
      <w:r>
        <w:t>.</w:t>
      </w:r>
      <w:r>
        <w:tab/>
        <w:t>Additional authorisations relating to supply and sale of liquor on licensed premises</w:t>
      </w:r>
      <w:bookmarkEnd w:id="121"/>
    </w:p>
    <w:p>
      <w:pPr>
        <w:pStyle w:val="Subsection"/>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No. 9 of 2018 s. 31.] </w:t>
      </w:r>
    </w:p>
    <w:p>
      <w:pPr>
        <w:pStyle w:val="Heading3"/>
        <w:rPr>
          <w:snapToGrid w:val="0"/>
        </w:rPr>
      </w:pPr>
      <w:bookmarkStart w:id="122" w:name="_Toc525287708"/>
      <w:bookmarkStart w:id="123" w:name="_Toc526243137"/>
      <w:r>
        <w:rPr>
          <w:rStyle w:val="CharDivNo"/>
        </w:rPr>
        <w:t>Division 4</w:t>
      </w:r>
      <w:r>
        <w:rPr>
          <w:snapToGrid w:val="0"/>
        </w:rPr>
        <w:t> — </w:t>
      </w:r>
      <w:r>
        <w:rPr>
          <w:rStyle w:val="CharDivText"/>
        </w:rPr>
        <w:t>Permits</w:t>
      </w:r>
      <w:bookmarkEnd w:id="122"/>
      <w:bookmarkEnd w:id="123"/>
      <w:r>
        <w:rPr>
          <w:rStyle w:val="CharDivText"/>
        </w:rPr>
        <w:t xml:space="preserve"> </w:t>
      </w:r>
    </w:p>
    <w:p>
      <w:pPr>
        <w:pStyle w:val="Heading5"/>
        <w:rPr>
          <w:snapToGrid w:val="0"/>
        </w:rPr>
      </w:pPr>
      <w:bookmarkStart w:id="124" w:name="_Toc526243138"/>
      <w:r>
        <w:rPr>
          <w:rStyle w:val="CharSectno"/>
        </w:rPr>
        <w:t>60</w:t>
      </w:r>
      <w:r>
        <w:rPr>
          <w:snapToGrid w:val="0"/>
        </w:rPr>
        <w:t>.</w:t>
      </w:r>
      <w:r>
        <w:rPr>
          <w:snapToGrid w:val="0"/>
        </w:rPr>
        <w:tab/>
        <w:t>Extended trading permit, purposes, effect and conditions of</w:t>
      </w:r>
      <w:bookmarkEnd w:id="124"/>
    </w:p>
    <w:p>
      <w:pPr>
        <w:pStyle w:val="Subsection"/>
        <w:keepNext/>
        <w:rPr>
          <w:snapToGrid w:val="0"/>
        </w:rPr>
      </w:pPr>
      <w:r>
        <w:rPr>
          <w:snapToGrid w:val="0"/>
        </w:rPr>
        <w:tab/>
        <w:t>(1)</w:t>
      </w:r>
      <w:r>
        <w:rPr>
          <w:snapToGrid w:val="0"/>
        </w:rPr>
        <w:tab/>
        <w:t>An extended trading permit authorises the licensee of the licence to which it relates, subject to — </w:t>
      </w:r>
    </w:p>
    <w:p>
      <w:pPr>
        <w:pStyle w:val="Indenta"/>
        <w:keepNext/>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(g) or (h)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 xml:space="preserve">catering, authorising the licensee to sell liquor </w:t>
      </w:r>
      <w:r>
        <w:t>as a caterer</w:t>
      </w:r>
      <w:r>
        <w:rPr>
          <w:snapToGrid w:val="0"/>
        </w:rPr>
        <w:t xml:space="preserve"> on such days other than a Good Friday and between such hours on those days as may be specified,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 xml:space="preserve">the licensee takes such measures as will ensure that the </w:t>
      </w:r>
      <w:r>
        <w:t>rules of the association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10 years,</w:t>
      </w:r>
      <w:r>
        <w:rPr>
          <w:snapToGrid w:val="0"/>
        </w:rPr>
        <w:t xml:space="preserve"> specified; or</w:t>
      </w:r>
    </w:p>
    <w:p>
      <w:pPr>
        <w:pStyle w:val="Indenta"/>
      </w:pPr>
      <w:r>
        <w:rPr>
          <w:snapToGrid w:val="0"/>
        </w:rPr>
        <w:tab/>
        <w:t>(h)</w:t>
      </w:r>
      <w:r>
        <w:rPr>
          <w:snapToGrid w:val="0"/>
        </w:rPr>
        <w:tab/>
        <w:t xml:space="preserve">an extended area, authorising the licensee to sell liquor </w:t>
      </w:r>
      <w:r>
        <w:t xml:space="preserve">under the licence on specified premises or in a specified area that would not otherwise be authorised, on such days and between such hours on those days as may be specified, </w:t>
      </w:r>
      <w:r>
        <w:rPr>
          <w:snapToGrid w:val="0"/>
        </w:rPr>
        <w:t>which remains in force for the period specified</w:t>
      </w:r>
      <w:r>
        <w:t>; or</w:t>
      </w:r>
    </w:p>
    <w:p>
      <w:pPr>
        <w:pStyle w:val="Indenta"/>
      </w:pPr>
      <w:r>
        <w:tab/>
        <w:t>(ia)</w:t>
      </w:r>
      <w:r>
        <w:tab/>
        <w:t>authorising the licensee of a producer’s licence to sell liquor under the licence on specified premises on which the licensee would not otherwise be authorised to sell the liquor,for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No. 12 of 1998 s. 40 and 97(2); No. 73 of 2006 s. 43, 107 and 108; No. 56 of 2010 s. 13; No. 35 of 2015 s. 8; No. 9 of 2018 s. 32.] </w:t>
      </w:r>
    </w:p>
    <w:p>
      <w:pPr>
        <w:pStyle w:val="Heading5"/>
        <w:rPr>
          <w:snapToGrid w:val="0"/>
        </w:rPr>
      </w:pPr>
      <w:bookmarkStart w:id="125" w:name="_Toc526243139"/>
      <w:r>
        <w:rPr>
          <w:rStyle w:val="CharSectno"/>
        </w:rPr>
        <w:t>61</w:t>
      </w:r>
      <w:r>
        <w:rPr>
          <w:snapToGrid w:val="0"/>
        </w:rPr>
        <w:t>.</w:t>
      </w:r>
      <w:r>
        <w:rPr>
          <w:snapToGrid w:val="0"/>
        </w:rPr>
        <w:tab/>
        <w:t>Extended trading permit for extended area (s. 60(4)(h)), pre</w:t>
      </w:r>
      <w:r>
        <w:rPr>
          <w:snapToGrid w:val="0"/>
        </w:rPr>
        <w:noBreakHyphen/>
        <w:t>requisites for grant of</w:t>
      </w:r>
      <w:bookmarkEnd w:id="125"/>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No. 14 of 1996 s. 4; No. 9 of 2018 s. 33.] </w:t>
      </w:r>
    </w:p>
    <w:p>
      <w:pPr>
        <w:pStyle w:val="Heading5"/>
      </w:pPr>
      <w:bookmarkStart w:id="126" w:name="_Toc526243140"/>
      <w:r>
        <w:rPr>
          <w:rStyle w:val="CharSectno"/>
        </w:rPr>
        <w:t>61A</w:t>
      </w:r>
      <w:r>
        <w:t>.</w:t>
      </w:r>
      <w:r>
        <w:tab/>
        <w:t>Extended trading permit for sale of liquor (s. 60(4)(ia))</w:t>
      </w:r>
      <w:bookmarkEnd w:id="126"/>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No. 35 of 2015 s. 9; amended: No. 9 of 2018 s. 34.]</w:t>
      </w:r>
    </w:p>
    <w:p>
      <w:pPr>
        <w:pStyle w:val="Heading3"/>
        <w:keepLines/>
        <w:rPr>
          <w:snapToGrid w:val="0"/>
        </w:rPr>
      </w:pPr>
      <w:bookmarkStart w:id="127" w:name="_Toc525287712"/>
      <w:bookmarkStart w:id="128" w:name="_Toc526243141"/>
      <w:r>
        <w:rPr>
          <w:rStyle w:val="CharDivNo"/>
        </w:rPr>
        <w:t>Division 5</w:t>
      </w:r>
      <w:r>
        <w:rPr>
          <w:snapToGrid w:val="0"/>
        </w:rPr>
        <w:t> — </w:t>
      </w:r>
      <w:r>
        <w:rPr>
          <w:rStyle w:val="CharDivText"/>
        </w:rPr>
        <w:t>Conditional grants or approvals</w:t>
      </w:r>
      <w:bookmarkEnd w:id="127"/>
      <w:bookmarkEnd w:id="128"/>
      <w:r>
        <w:rPr>
          <w:rStyle w:val="CharDivText"/>
        </w:rPr>
        <w:t xml:space="preserve"> </w:t>
      </w:r>
    </w:p>
    <w:p>
      <w:pPr>
        <w:pStyle w:val="Footnoteheading"/>
        <w:keepNext/>
        <w:keepLines/>
        <w:rPr>
          <w:snapToGrid w:val="0"/>
        </w:rPr>
      </w:pPr>
      <w:r>
        <w:rPr>
          <w:snapToGrid w:val="0"/>
        </w:rPr>
        <w:tab/>
        <w:t>[Heading amended: No. 12 of 1998 s. 41.]</w:t>
      </w:r>
    </w:p>
    <w:p>
      <w:pPr>
        <w:pStyle w:val="Heading5"/>
        <w:rPr>
          <w:snapToGrid w:val="0"/>
        </w:rPr>
      </w:pPr>
      <w:bookmarkStart w:id="129" w:name="_Toc526243142"/>
      <w:r>
        <w:rPr>
          <w:rStyle w:val="CharSectno"/>
        </w:rPr>
        <w:t>62</w:t>
      </w:r>
      <w:r>
        <w:rPr>
          <w:snapToGrid w:val="0"/>
        </w:rPr>
        <w:t>.</w:t>
      </w:r>
      <w:r>
        <w:rPr>
          <w:snapToGrid w:val="0"/>
        </w:rPr>
        <w:tab/>
        <w:t>Uncompleted premises, conditional grant or removal in case of</w:t>
      </w:r>
      <w:bookmarkEnd w:id="129"/>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No. 12 of 1998 s. 42.] </w:t>
      </w:r>
    </w:p>
    <w:p>
      <w:pPr>
        <w:pStyle w:val="Heading5"/>
        <w:spacing w:before="180"/>
        <w:rPr>
          <w:snapToGrid w:val="0"/>
        </w:rPr>
      </w:pPr>
      <w:bookmarkStart w:id="130" w:name="_Toc526243143"/>
      <w:r>
        <w:rPr>
          <w:rStyle w:val="CharSectno"/>
        </w:rPr>
        <w:t>62A</w:t>
      </w:r>
      <w:r>
        <w:rPr>
          <w:snapToGrid w:val="0"/>
        </w:rPr>
        <w:t>.</w:t>
      </w:r>
      <w:r>
        <w:rPr>
          <w:snapToGrid w:val="0"/>
        </w:rPr>
        <w:tab/>
        <w:t>Pending certificate (s. 39 or 40) etc., conditional grant in case of</w:t>
      </w:r>
      <w:bookmarkEnd w:id="130"/>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No. 12 of 1998 s. 42.] </w:t>
      </w:r>
    </w:p>
    <w:p>
      <w:pPr>
        <w:pStyle w:val="Heading5"/>
        <w:spacing w:before="160"/>
        <w:rPr>
          <w:snapToGrid w:val="0"/>
        </w:rPr>
      </w:pPr>
      <w:bookmarkStart w:id="131" w:name="_Toc526243144"/>
      <w:r>
        <w:rPr>
          <w:rStyle w:val="CharSectno"/>
        </w:rPr>
        <w:t>62B</w:t>
      </w:r>
      <w:r>
        <w:rPr>
          <w:snapToGrid w:val="0"/>
        </w:rPr>
        <w:t>.</w:t>
      </w:r>
      <w:r>
        <w:rPr>
          <w:snapToGrid w:val="0"/>
        </w:rPr>
        <w:tab/>
        <w:t>Pending approval etc. (s. 77(5)), conditional approval of alteration etc. in case of</w:t>
      </w:r>
      <w:bookmarkEnd w:id="131"/>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No. 12 of 1998 </w:t>
      </w:r>
      <w:r>
        <w:t xml:space="preserve">s. 42.] </w:t>
      </w:r>
    </w:p>
    <w:p>
      <w:pPr>
        <w:pStyle w:val="Heading3"/>
        <w:keepLines/>
        <w:rPr>
          <w:snapToGrid w:val="0"/>
        </w:rPr>
      </w:pPr>
      <w:bookmarkStart w:id="132" w:name="_Toc525287716"/>
      <w:bookmarkStart w:id="133" w:name="_Toc526243145"/>
      <w:r>
        <w:rPr>
          <w:rStyle w:val="CharDivNo"/>
        </w:rPr>
        <w:t>Division 6</w:t>
      </w:r>
      <w:r>
        <w:rPr>
          <w:snapToGrid w:val="0"/>
        </w:rPr>
        <w:t> — </w:t>
      </w:r>
      <w:r>
        <w:rPr>
          <w:rStyle w:val="CharDivText"/>
        </w:rPr>
        <w:t>Conditions, generally</w:t>
      </w:r>
      <w:bookmarkEnd w:id="132"/>
      <w:bookmarkEnd w:id="133"/>
      <w:r>
        <w:rPr>
          <w:rStyle w:val="CharDivText"/>
        </w:rPr>
        <w:t xml:space="preserve"> </w:t>
      </w:r>
    </w:p>
    <w:p>
      <w:pPr>
        <w:pStyle w:val="Heading5"/>
        <w:rPr>
          <w:snapToGrid w:val="0"/>
        </w:rPr>
      </w:pPr>
      <w:bookmarkStart w:id="134" w:name="_Toc526243146"/>
      <w:r>
        <w:rPr>
          <w:rStyle w:val="CharSectno"/>
        </w:rPr>
        <w:t>63</w:t>
      </w:r>
      <w:r>
        <w:rPr>
          <w:snapToGrid w:val="0"/>
        </w:rPr>
        <w:t>.</w:t>
      </w:r>
      <w:r>
        <w:rPr>
          <w:snapToGrid w:val="0"/>
        </w:rPr>
        <w:tab/>
        <w:t>Terms fixed and conditions imposed by Act, only some can be varied etc.</w:t>
      </w:r>
      <w:bookmarkEnd w:id="134"/>
    </w:p>
    <w:p>
      <w:pPr>
        <w:pStyle w:val="Subsection"/>
        <w:keepNext/>
        <w:rPr>
          <w:snapToGrid w:val="0"/>
        </w:rPr>
      </w:pPr>
      <w:r>
        <w:rPr>
          <w:snapToGrid w:val="0"/>
        </w:rPr>
        <w:tab/>
      </w:r>
      <w:r>
        <w:rPr>
          <w:snapToGrid w:val="0"/>
        </w:rPr>
        <w:tab/>
        <w:t>The licensing authority may, of its own motion or on the application of the licensee — </w:t>
      </w:r>
    </w:p>
    <w:p>
      <w:pPr>
        <w:pStyle w:val="Indenta"/>
        <w:keepNext/>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No. 12 of 1998 s. 43; No. 73 of 2006 s. 45.] </w:t>
      </w:r>
    </w:p>
    <w:p>
      <w:pPr>
        <w:pStyle w:val="Heading5"/>
        <w:rPr>
          <w:snapToGrid w:val="0"/>
        </w:rPr>
      </w:pPr>
      <w:bookmarkStart w:id="135" w:name="_Toc526243147"/>
      <w:r>
        <w:rPr>
          <w:rStyle w:val="CharSectno"/>
        </w:rPr>
        <w:t>64</w:t>
      </w:r>
      <w:r>
        <w:rPr>
          <w:snapToGrid w:val="0"/>
        </w:rPr>
        <w:t>.</w:t>
      </w:r>
      <w:r>
        <w:rPr>
          <w:snapToGrid w:val="0"/>
        </w:rPr>
        <w:tab/>
        <w:t>Imposing, varying and cancelling conditions</w:t>
      </w:r>
      <w:bookmarkEnd w:id="135"/>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(1BA)</w:t>
      </w:r>
      <w:r>
        <w:tab/>
        <w:t>An application under subsection (1a)(b) to vary a condition must be made not later than the prescribed number of days before the variation is proposed to take effect, unless the Director otherwise approves.</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keepNext/>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keepNext/>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No. 56 of 1997 s. 31; No. 12 of 1998 s. 44; No. 73 of 2006 s. 46; No. 56 of 2010 s. 44; No. 35 of 2015 s. 10</w:t>
      </w:r>
      <w:r>
        <w:rPr>
          <w:spacing w:val="-4"/>
        </w:rPr>
        <w:t>; No. 19 of 2016 s. 163; No. 9 of 2018 s. 35</w:t>
      </w:r>
      <w:r>
        <w:t xml:space="preserve">.] </w:t>
      </w:r>
    </w:p>
    <w:p>
      <w:pPr>
        <w:pStyle w:val="Heading5"/>
        <w:spacing w:before="240"/>
        <w:rPr>
          <w:snapToGrid w:val="0"/>
        </w:rPr>
      </w:pPr>
      <w:bookmarkStart w:id="136" w:name="_Toc526243148"/>
      <w:r>
        <w:rPr>
          <w:rStyle w:val="CharSectno"/>
        </w:rPr>
        <w:t>65</w:t>
      </w:r>
      <w:r>
        <w:rPr>
          <w:snapToGrid w:val="0"/>
        </w:rPr>
        <w:t>.</w:t>
      </w:r>
      <w:r>
        <w:rPr>
          <w:snapToGrid w:val="0"/>
        </w:rPr>
        <w:tab/>
        <w:t>Packaged liquor, conditions relating to sale of for consumption off licensed premises</w:t>
      </w:r>
      <w:bookmarkEnd w:id="136"/>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No. 12 of 1998 s. 45; No. 56 of 2010 s. 69.] </w:t>
      </w:r>
    </w:p>
    <w:p>
      <w:pPr>
        <w:pStyle w:val="Heading5"/>
        <w:spacing w:before="180"/>
      </w:pPr>
      <w:bookmarkStart w:id="137" w:name="_Toc526243149"/>
      <w:r>
        <w:rPr>
          <w:rStyle w:val="CharSectno"/>
        </w:rPr>
        <w:t>65A</w:t>
      </w:r>
      <w:r>
        <w:t>.</w:t>
      </w:r>
      <w:r>
        <w:tab/>
        <w:t>Petrol station not to be established on premises from which packaged liquor is sold</w:t>
      </w:r>
      <w:bookmarkEnd w:id="137"/>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No. 23 of 2000 s. 6.]</w:t>
      </w:r>
    </w:p>
    <w:p>
      <w:pPr>
        <w:pStyle w:val="Heading5"/>
      </w:pPr>
      <w:bookmarkStart w:id="138" w:name="_Toc526243150"/>
      <w:r>
        <w:rPr>
          <w:rStyle w:val="CharSectno"/>
        </w:rPr>
        <w:t>65B</w:t>
      </w:r>
      <w:r>
        <w:t>.</w:t>
      </w:r>
      <w:r>
        <w:tab/>
        <w:t>Promoting liquor, regulations may prescribe conditions about</w:t>
      </w:r>
      <w:bookmarkEnd w:id="138"/>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No. 73 of 2006 s. 47.]</w:t>
      </w:r>
    </w:p>
    <w:p>
      <w:pPr>
        <w:pStyle w:val="Heading3"/>
        <w:rPr>
          <w:snapToGrid w:val="0"/>
        </w:rPr>
      </w:pPr>
      <w:bookmarkStart w:id="139" w:name="_Toc525287722"/>
      <w:bookmarkStart w:id="140" w:name="_Toc526243151"/>
      <w:r>
        <w:rPr>
          <w:rStyle w:val="CharDivNo"/>
        </w:rPr>
        <w:t>Division 7</w:t>
      </w:r>
      <w:r>
        <w:rPr>
          <w:snapToGrid w:val="0"/>
        </w:rPr>
        <w:t> — </w:t>
      </w:r>
      <w:r>
        <w:rPr>
          <w:rStyle w:val="CharDivText"/>
        </w:rPr>
        <w:t>Applications</w:t>
      </w:r>
      <w:bookmarkEnd w:id="139"/>
      <w:bookmarkEnd w:id="140"/>
      <w:r>
        <w:rPr>
          <w:rStyle w:val="CharDivText"/>
        </w:rPr>
        <w:t xml:space="preserve"> </w:t>
      </w:r>
    </w:p>
    <w:p>
      <w:pPr>
        <w:pStyle w:val="Heading5"/>
        <w:rPr>
          <w:snapToGrid w:val="0"/>
        </w:rPr>
      </w:pPr>
      <w:bookmarkStart w:id="141" w:name="_Toc526243152"/>
      <w:r>
        <w:rPr>
          <w:rStyle w:val="CharSectno"/>
        </w:rPr>
        <w:t>66</w:t>
      </w:r>
      <w:r>
        <w:rPr>
          <w:snapToGrid w:val="0"/>
        </w:rPr>
        <w:t>.</w:t>
      </w:r>
      <w:r>
        <w:rPr>
          <w:snapToGrid w:val="0"/>
        </w:rPr>
        <w:tab/>
        <w:t>Plans and specifications of premises, requirements as to</w:t>
      </w:r>
      <w:bookmarkEnd w:id="141"/>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No. 12 of 1998 s. 46.] </w:t>
      </w:r>
    </w:p>
    <w:p>
      <w:pPr>
        <w:pStyle w:val="Heading5"/>
        <w:rPr>
          <w:snapToGrid w:val="0"/>
        </w:rPr>
      </w:pPr>
      <w:bookmarkStart w:id="142" w:name="_Toc526243153"/>
      <w:r>
        <w:rPr>
          <w:rStyle w:val="CharSectno"/>
        </w:rPr>
        <w:t>67</w:t>
      </w:r>
      <w:r>
        <w:rPr>
          <w:snapToGrid w:val="0"/>
        </w:rPr>
        <w:t>.</w:t>
      </w:r>
      <w:r>
        <w:rPr>
          <w:snapToGrid w:val="0"/>
        </w:rPr>
        <w:tab/>
        <w:t>Advertisement of applications</w:t>
      </w:r>
      <w:bookmarkEnd w:id="142"/>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No. 12 of 1998 s. 47; No. 73 of 2006 s. 48; No. 56 of 2010 s. 45; No. 9 of 2018 s. 37.] </w:t>
      </w:r>
    </w:p>
    <w:p>
      <w:pPr>
        <w:pStyle w:val="Heading5"/>
        <w:rPr>
          <w:snapToGrid w:val="0"/>
        </w:rPr>
      </w:pPr>
      <w:bookmarkStart w:id="143" w:name="_Toc526243154"/>
      <w:r>
        <w:rPr>
          <w:rStyle w:val="CharSectno"/>
        </w:rPr>
        <w:t>68</w:t>
      </w:r>
      <w:r>
        <w:rPr>
          <w:snapToGrid w:val="0"/>
        </w:rPr>
        <w:t>.</w:t>
      </w:r>
      <w:r>
        <w:rPr>
          <w:snapToGrid w:val="0"/>
        </w:rPr>
        <w:tab/>
        <w:t>Form, manner, notice and public inspection of applications</w:t>
      </w:r>
      <w:bookmarkEnd w:id="143"/>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 xml:space="preserve">any consent required under </w:t>
      </w:r>
      <w:r>
        <w:t>section 72;</w:t>
      </w:r>
    </w:p>
    <w:p>
      <w:pPr>
        <w:pStyle w:val="Ednotesubpara"/>
      </w:pPr>
      <w:r>
        <w:tab/>
        <w:t>[(v)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w:t>
      </w:r>
      <w:r>
        <w:t xml:space="preserve">(1)(b)(iii) and (iv) </w:t>
      </w:r>
      <w:r>
        <w:rPr>
          <w:snapToGrid w:val="0"/>
        </w:rPr>
        <w:t>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No. 73 of 2006 s. 49 and 111(2); No. 9 of 2018 s. 38.]</w:t>
      </w:r>
    </w:p>
    <w:p>
      <w:pPr>
        <w:pStyle w:val="Heading5"/>
        <w:spacing w:before="180"/>
        <w:rPr>
          <w:snapToGrid w:val="0"/>
        </w:rPr>
      </w:pPr>
      <w:bookmarkStart w:id="144" w:name="_Toc526243155"/>
      <w:r>
        <w:rPr>
          <w:rStyle w:val="CharSectno"/>
        </w:rPr>
        <w:t>69</w:t>
      </w:r>
      <w:r>
        <w:rPr>
          <w:snapToGrid w:val="0"/>
        </w:rPr>
        <w:t>.</w:t>
      </w:r>
      <w:r>
        <w:rPr>
          <w:snapToGrid w:val="0"/>
        </w:rPr>
        <w:tab/>
        <w:t>Advertising, referring, investigating and intervening in applications</w:t>
      </w:r>
      <w:bookmarkEnd w:id="144"/>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Ednotesubsection"/>
      </w:pPr>
      <w:r>
        <w:tab/>
        <w:t>[(5)</w:t>
      </w:r>
      <w:r>
        <w:tab/>
        <w:t>deleted]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as to 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pPr>
      <w:r>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Indenta"/>
      </w:pPr>
      <w:r>
        <w:tab/>
        <w:t>(a)</w:t>
      </w:r>
      <w:r>
        <w:tab/>
        <w:t>as to whether any tourism benefits might result if a particular application is granted; and</w:t>
      </w:r>
    </w:p>
    <w:p>
      <w:pPr>
        <w:pStyle w:val="Indenta"/>
      </w:pPr>
      <w:r>
        <w:tab/>
        <w:t>(b)</w:t>
      </w:r>
      <w:r>
        <w:tab/>
        <w:t>as to any other matter relevant to the proper development of the tourism industry in the State.</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No. 14 of 1996 s. 4; No. 12 of 1998 s. 10(9) and 48; No. 73 of 2006 s. 50; No. 43 of 2008 s. 148(3); No. 56 of 2010 s. 29 and 46; No. 24 of 2011 s. 165(3); No. 35 of 2015 s. 11; No. 19 of 2016 s. 101 and 164; No. 9 of 2018 s. 39.] </w:t>
      </w:r>
    </w:p>
    <w:p>
      <w:pPr>
        <w:pStyle w:val="Heading5"/>
        <w:keepNext w:val="0"/>
        <w:keepLines w:val="0"/>
        <w:spacing w:before="180"/>
        <w:rPr>
          <w:snapToGrid w:val="0"/>
        </w:rPr>
      </w:pPr>
      <w:bookmarkStart w:id="145" w:name="_Toc526243156"/>
      <w:r>
        <w:rPr>
          <w:rStyle w:val="CharSectno"/>
        </w:rPr>
        <w:t>70</w:t>
      </w:r>
      <w:r>
        <w:rPr>
          <w:snapToGrid w:val="0"/>
        </w:rPr>
        <w:t>.</w:t>
      </w:r>
      <w:r>
        <w:rPr>
          <w:snapToGrid w:val="0"/>
        </w:rPr>
        <w:tab/>
        <w:t>Club licence applications, intervening in</w:t>
      </w:r>
      <w:bookmarkEnd w:id="145"/>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No. 9 of 2018 s. 40.]</w:t>
      </w:r>
    </w:p>
    <w:p>
      <w:pPr>
        <w:pStyle w:val="Ednotesection"/>
        <w:spacing w:before="240"/>
      </w:pPr>
      <w:r>
        <w:t>[</w:t>
      </w:r>
      <w:r>
        <w:rPr>
          <w:b/>
        </w:rPr>
        <w:t>71.</w:t>
      </w:r>
      <w:r>
        <w:tab/>
        <w:t>Deleted: No. 73 of 2006 s. 51.]</w:t>
      </w:r>
    </w:p>
    <w:p>
      <w:pPr>
        <w:pStyle w:val="Heading5"/>
        <w:spacing w:before="240"/>
        <w:rPr>
          <w:snapToGrid w:val="0"/>
        </w:rPr>
      </w:pPr>
      <w:bookmarkStart w:id="146" w:name="_Toc526243157"/>
      <w:r>
        <w:rPr>
          <w:rStyle w:val="CharSectno"/>
        </w:rPr>
        <w:t>72</w:t>
      </w:r>
      <w:r>
        <w:rPr>
          <w:snapToGrid w:val="0"/>
        </w:rPr>
        <w:t>.</w:t>
      </w:r>
      <w:r>
        <w:rPr>
          <w:snapToGrid w:val="0"/>
        </w:rPr>
        <w:tab/>
        <w:t>Owner etc. of premises, when consent of required; right of owner, lessee etc. to object</w:t>
      </w:r>
      <w:bookmarkEnd w:id="146"/>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No. 12 of 1998 s. 50; No. 73 of 2006 s. 52.] </w:t>
      </w:r>
    </w:p>
    <w:p>
      <w:pPr>
        <w:pStyle w:val="Heading5"/>
      </w:pPr>
      <w:bookmarkStart w:id="147" w:name="_Toc526243158"/>
      <w:r>
        <w:rPr>
          <w:rStyle w:val="CharSectno"/>
        </w:rPr>
        <w:t>72A</w:t>
      </w:r>
      <w:r>
        <w:t>.</w:t>
      </w:r>
      <w:r>
        <w:tab/>
        <w:t>Submissions generally</w:t>
      </w:r>
      <w:bookmarkEnd w:id="147"/>
    </w:p>
    <w:p>
      <w:pPr>
        <w:pStyle w:val="Subsection"/>
        <w:keepNext/>
      </w:pPr>
      <w:r>
        <w:tab/>
        <w:t>(1)</w:t>
      </w:r>
      <w:r>
        <w:tab/>
        <w:t xml:space="preserve">In this section — </w:t>
      </w:r>
    </w:p>
    <w:p>
      <w:pPr>
        <w:pStyle w:val="Defstart"/>
        <w:keepNext/>
      </w:pPr>
      <w:r>
        <w:tab/>
      </w:r>
      <w:r>
        <w:rPr>
          <w:rStyle w:val="CharDefText"/>
        </w:rPr>
        <w:t>submission</w:t>
      </w:r>
      <w:r>
        <w:t xml:space="preserve"> means — </w:t>
      </w:r>
    </w:p>
    <w:p>
      <w:pPr>
        <w:pStyle w:val="Defpara"/>
        <w:keepNext/>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No. 9 of 2018 s. 41.]</w:t>
      </w:r>
    </w:p>
    <w:p>
      <w:pPr>
        <w:pStyle w:val="Heading5"/>
        <w:rPr>
          <w:snapToGrid w:val="0"/>
        </w:rPr>
      </w:pPr>
      <w:bookmarkStart w:id="148" w:name="_Toc526243159"/>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148"/>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No. 12 of 1998 s. 16(2) and 51; No. 73 of 2006 s. 53, 111(3) and (4); No. 9 of 2018 s. 42.] </w:t>
      </w:r>
    </w:p>
    <w:p>
      <w:pPr>
        <w:pStyle w:val="Heading5"/>
        <w:rPr>
          <w:snapToGrid w:val="0"/>
        </w:rPr>
      </w:pPr>
      <w:bookmarkStart w:id="149" w:name="_Toc526243160"/>
      <w:r>
        <w:rPr>
          <w:rStyle w:val="CharSectno"/>
        </w:rPr>
        <w:t>74</w:t>
      </w:r>
      <w:r>
        <w:rPr>
          <w:snapToGrid w:val="0"/>
        </w:rPr>
        <w:t>.</w:t>
      </w:r>
      <w:r>
        <w:rPr>
          <w:snapToGrid w:val="0"/>
        </w:rPr>
        <w:tab/>
        <w:t>Objecting to applications, grounds for etc.</w:t>
      </w:r>
      <w:bookmarkEnd w:id="149"/>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No. 12 of 1998 s. 10(10) and 52; No. 73 of 2006 s. 54; No. 9 of 2018 s. 43.] </w:t>
      </w:r>
    </w:p>
    <w:p>
      <w:pPr>
        <w:pStyle w:val="Heading5"/>
        <w:spacing w:before="240"/>
        <w:rPr>
          <w:snapToGrid w:val="0"/>
        </w:rPr>
      </w:pPr>
      <w:bookmarkStart w:id="150" w:name="_Toc526243161"/>
      <w:r>
        <w:rPr>
          <w:rStyle w:val="CharSectno"/>
        </w:rPr>
        <w:t>75</w:t>
      </w:r>
      <w:r>
        <w:rPr>
          <w:snapToGrid w:val="0"/>
        </w:rPr>
        <w:t>.</w:t>
      </w:r>
      <w:r>
        <w:rPr>
          <w:snapToGrid w:val="0"/>
        </w:rPr>
        <w:tab/>
        <w:t>Occasional licence, applications for</w:t>
      </w:r>
      <w:bookmarkEnd w:id="150"/>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No. 12 of 1998 s. 53; No. 73 of 2006 s. 55, 106 and 111(5); No. 9 of 2018 s. 44.] </w:t>
      </w:r>
    </w:p>
    <w:p>
      <w:pPr>
        <w:pStyle w:val="Heading5"/>
        <w:keepLines w:val="0"/>
        <w:spacing w:before="240"/>
        <w:rPr>
          <w:snapToGrid w:val="0"/>
        </w:rPr>
      </w:pPr>
      <w:bookmarkStart w:id="151" w:name="_Toc526243162"/>
      <w:r>
        <w:rPr>
          <w:rStyle w:val="CharSectno"/>
        </w:rPr>
        <w:t>76</w:t>
      </w:r>
      <w:r>
        <w:rPr>
          <w:snapToGrid w:val="0"/>
        </w:rPr>
        <w:t>.</w:t>
      </w:r>
      <w:r>
        <w:rPr>
          <w:snapToGrid w:val="0"/>
        </w:rPr>
        <w:tab/>
        <w:t>Extended trading permit, applications for</w:t>
      </w:r>
      <w:bookmarkEnd w:id="151"/>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No. 12 of 1998 s. 54; No. 73 of 2006 s. 56 and 111(6).] </w:t>
      </w:r>
    </w:p>
    <w:p>
      <w:pPr>
        <w:pStyle w:val="Heading5"/>
        <w:keepLines w:val="0"/>
        <w:rPr>
          <w:snapToGrid w:val="0"/>
        </w:rPr>
      </w:pPr>
      <w:bookmarkStart w:id="152" w:name="_Toc526243163"/>
      <w:r>
        <w:rPr>
          <w:rStyle w:val="CharSectno"/>
        </w:rPr>
        <w:t>77</w:t>
      </w:r>
      <w:r>
        <w:rPr>
          <w:snapToGrid w:val="0"/>
        </w:rPr>
        <w:t>.</w:t>
      </w:r>
      <w:r>
        <w:rPr>
          <w:snapToGrid w:val="0"/>
        </w:rPr>
        <w:tab/>
        <w:t>No alteration of licensed premises without approval; application for approvals of alterations or redefinition of premises</w:t>
      </w:r>
      <w:bookmarkEnd w:id="152"/>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No. 26 of 2001 s. 6(1); No. 73 of 2006 s. 57 and 110; No. 56 of 2010 s. 69.]</w:t>
      </w:r>
    </w:p>
    <w:p>
      <w:pPr>
        <w:pStyle w:val="Heading3"/>
        <w:rPr>
          <w:snapToGrid w:val="0"/>
        </w:rPr>
      </w:pPr>
      <w:bookmarkStart w:id="153" w:name="_Toc525287735"/>
      <w:bookmarkStart w:id="154" w:name="_Toc526243164"/>
      <w:r>
        <w:rPr>
          <w:rStyle w:val="CharDivNo"/>
        </w:rPr>
        <w:t>Division 8</w:t>
      </w:r>
      <w:r>
        <w:rPr>
          <w:snapToGrid w:val="0"/>
        </w:rPr>
        <w:t> — </w:t>
      </w:r>
      <w:r>
        <w:rPr>
          <w:rStyle w:val="CharDivText"/>
        </w:rPr>
        <w:t>Removals</w:t>
      </w:r>
      <w:bookmarkEnd w:id="153"/>
      <w:bookmarkEnd w:id="154"/>
      <w:r>
        <w:rPr>
          <w:rStyle w:val="CharDivText"/>
        </w:rPr>
        <w:t xml:space="preserve"> </w:t>
      </w:r>
    </w:p>
    <w:p>
      <w:pPr>
        <w:pStyle w:val="Heading5"/>
        <w:rPr>
          <w:snapToGrid w:val="0"/>
        </w:rPr>
      </w:pPr>
      <w:bookmarkStart w:id="155" w:name="_Toc526243165"/>
      <w:r>
        <w:rPr>
          <w:rStyle w:val="CharSectno"/>
        </w:rPr>
        <w:t>78</w:t>
      </w:r>
      <w:r>
        <w:rPr>
          <w:snapToGrid w:val="0"/>
        </w:rPr>
        <w:t>.</w:t>
      </w:r>
      <w:r>
        <w:rPr>
          <w:snapToGrid w:val="0"/>
        </w:rPr>
        <w:tab/>
        <w:t>Casino liquor licence not removable without authority</w:t>
      </w:r>
      <w:bookmarkEnd w:id="155"/>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No. 35 of 2003 s. 173(4).]</w:t>
      </w:r>
    </w:p>
    <w:p>
      <w:pPr>
        <w:pStyle w:val="Heading5"/>
        <w:keepNext w:val="0"/>
        <w:keepLines w:val="0"/>
        <w:rPr>
          <w:snapToGrid w:val="0"/>
        </w:rPr>
      </w:pPr>
      <w:bookmarkStart w:id="156" w:name="_Toc526243166"/>
      <w:r>
        <w:rPr>
          <w:rStyle w:val="CharSectno"/>
        </w:rPr>
        <w:t>79</w:t>
      </w:r>
      <w:r>
        <w:rPr>
          <w:snapToGrid w:val="0"/>
        </w:rPr>
        <w:t>.</w:t>
      </w:r>
      <w:r>
        <w:rPr>
          <w:snapToGrid w:val="0"/>
        </w:rPr>
        <w:tab/>
        <w:t>Licence relating to transport, when removable</w:t>
      </w:r>
      <w:bookmarkEnd w:id="156"/>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57" w:name="_Toc526243167"/>
      <w:r>
        <w:rPr>
          <w:rStyle w:val="CharSectno"/>
        </w:rPr>
        <w:t>80</w:t>
      </w:r>
      <w:r>
        <w:rPr>
          <w:snapToGrid w:val="0"/>
        </w:rPr>
        <w:t>.</w:t>
      </w:r>
      <w:r>
        <w:rPr>
          <w:snapToGrid w:val="0"/>
        </w:rPr>
        <w:tab/>
        <w:t>Temporary removal or redefinition of licence</w:t>
      </w:r>
      <w:bookmarkEnd w:id="157"/>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No. 73 of 2006 s. 58.]</w:t>
      </w:r>
    </w:p>
    <w:p>
      <w:pPr>
        <w:pStyle w:val="Heading5"/>
        <w:rPr>
          <w:snapToGrid w:val="0"/>
        </w:rPr>
      </w:pPr>
      <w:bookmarkStart w:id="158" w:name="_Toc526243168"/>
      <w:r>
        <w:rPr>
          <w:rStyle w:val="CharSectno"/>
        </w:rPr>
        <w:t>81</w:t>
      </w:r>
      <w:r>
        <w:rPr>
          <w:snapToGrid w:val="0"/>
        </w:rPr>
        <w:t>.</w:t>
      </w:r>
      <w:r>
        <w:rPr>
          <w:snapToGrid w:val="0"/>
        </w:rPr>
        <w:tab/>
        <w:t>Applications for removal of licence</w:t>
      </w:r>
      <w:bookmarkEnd w:id="158"/>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keepNext/>
        <w:rPr>
          <w:snapToGrid w:val="0"/>
        </w:rPr>
      </w:pPr>
      <w:r>
        <w:rPr>
          <w:snapToGrid w:val="0"/>
        </w:rPr>
        <w:tab/>
        <w:t>(3)</w:t>
      </w:r>
      <w:r>
        <w:rPr>
          <w:snapToGrid w:val="0"/>
        </w:rPr>
        <w:tab/>
        <w:t>An applicant for the removal of a licence must satisfy the licensing authority — </w:t>
      </w:r>
    </w:p>
    <w:p>
      <w:pPr>
        <w:pStyle w:val="Ednotepara"/>
        <w:keepNext/>
        <w:spacing w:before="80"/>
        <w:rPr>
          <w:snapToGrid w:val="0"/>
        </w:rPr>
      </w:pPr>
      <w:r>
        <w:rPr>
          <w:snapToGrid w:val="0"/>
        </w:rPr>
        <w:tab/>
        <w:t>[(a)</w:t>
      </w:r>
      <w:r>
        <w:rPr>
          <w:snapToGrid w:val="0"/>
        </w:rPr>
        <w:tab/>
        <w:t xml:space="preserve">deleted] </w:t>
      </w:r>
    </w:p>
    <w:p>
      <w:pPr>
        <w:pStyle w:val="Indenta"/>
        <w:keepNext/>
        <w:rPr>
          <w:snapToGrid w:val="0"/>
        </w:rPr>
      </w:pPr>
      <w:r>
        <w:rPr>
          <w:snapToGrid w:val="0"/>
        </w:rPr>
        <w:tab/>
        <w:t>(b)</w:t>
      </w:r>
      <w:r>
        <w:rPr>
          <w:snapToGrid w:val="0"/>
        </w:rPr>
        <w:tab/>
        <w:t>that the requirements of this Act in relation to the grant of a new licence of that class are met in relation to — </w:t>
      </w:r>
    </w:p>
    <w:p>
      <w:pPr>
        <w:pStyle w:val="Indenti"/>
        <w:keepNext/>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keepNext/>
        <w:spacing w:before="140"/>
      </w:pPr>
      <w:r>
        <w:tab/>
        <w:t>(7)</w:t>
      </w:r>
      <w:r>
        <w:tab/>
        <w:t xml:space="preserve">An application for the removal of a licence cannot be made if — </w:t>
      </w:r>
    </w:p>
    <w:p>
      <w:pPr>
        <w:pStyle w:val="Indenta"/>
        <w:keepNext/>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No. 12 of 1998 s. 55; No. 73 of 2006 s. 59.] </w:t>
      </w:r>
    </w:p>
    <w:p>
      <w:pPr>
        <w:pStyle w:val="Heading3"/>
        <w:rPr>
          <w:snapToGrid w:val="0"/>
        </w:rPr>
      </w:pPr>
      <w:bookmarkStart w:id="159" w:name="_Toc525287740"/>
      <w:bookmarkStart w:id="160" w:name="_Toc526243169"/>
      <w:r>
        <w:rPr>
          <w:rStyle w:val="CharDivNo"/>
        </w:rPr>
        <w:t>Division 9</w:t>
      </w:r>
      <w:r>
        <w:rPr>
          <w:snapToGrid w:val="0"/>
        </w:rPr>
        <w:t> — </w:t>
      </w:r>
      <w:r>
        <w:rPr>
          <w:rStyle w:val="CharDivText"/>
        </w:rPr>
        <w:t>Transfers</w:t>
      </w:r>
      <w:bookmarkEnd w:id="159"/>
      <w:bookmarkEnd w:id="160"/>
      <w:r>
        <w:rPr>
          <w:rStyle w:val="CharDivText"/>
        </w:rPr>
        <w:t xml:space="preserve"> </w:t>
      </w:r>
    </w:p>
    <w:p>
      <w:pPr>
        <w:pStyle w:val="Heading5"/>
        <w:rPr>
          <w:snapToGrid w:val="0"/>
        </w:rPr>
      </w:pPr>
      <w:bookmarkStart w:id="161" w:name="_Toc526243170"/>
      <w:r>
        <w:rPr>
          <w:rStyle w:val="CharSectno"/>
        </w:rPr>
        <w:t>82</w:t>
      </w:r>
      <w:r>
        <w:rPr>
          <w:snapToGrid w:val="0"/>
        </w:rPr>
        <w:t>.</w:t>
      </w:r>
      <w:r>
        <w:rPr>
          <w:snapToGrid w:val="0"/>
        </w:rPr>
        <w:tab/>
        <w:t>Applications for transfer of licences</w:t>
      </w:r>
      <w:bookmarkEnd w:id="161"/>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No. 12 of 1998 s. 56.] </w:t>
      </w:r>
    </w:p>
    <w:p>
      <w:pPr>
        <w:pStyle w:val="Heading5"/>
        <w:spacing w:before="240"/>
        <w:rPr>
          <w:snapToGrid w:val="0"/>
        </w:rPr>
      </w:pPr>
      <w:bookmarkStart w:id="162" w:name="_Toc526243171"/>
      <w:r>
        <w:rPr>
          <w:rStyle w:val="CharSectno"/>
        </w:rPr>
        <w:t>82A</w:t>
      </w:r>
      <w:r>
        <w:rPr>
          <w:snapToGrid w:val="0"/>
        </w:rPr>
        <w:t>.</w:t>
      </w:r>
      <w:r>
        <w:rPr>
          <w:snapToGrid w:val="0"/>
        </w:rPr>
        <w:tab/>
        <w:t>Transfer of licence between licence holders</w:t>
      </w:r>
      <w:bookmarkEnd w:id="162"/>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No. 12 of 1998 s. 57.] </w:t>
      </w:r>
    </w:p>
    <w:p>
      <w:pPr>
        <w:pStyle w:val="Heading5"/>
        <w:rPr>
          <w:snapToGrid w:val="0"/>
        </w:rPr>
      </w:pPr>
      <w:bookmarkStart w:id="163" w:name="_Toc526243172"/>
      <w:r>
        <w:rPr>
          <w:rStyle w:val="CharSectno"/>
        </w:rPr>
        <w:t>83</w:t>
      </w:r>
      <w:r>
        <w:rPr>
          <w:snapToGrid w:val="0"/>
        </w:rPr>
        <w:t>.</w:t>
      </w:r>
      <w:r>
        <w:rPr>
          <w:snapToGrid w:val="0"/>
        </w:rPr>
        <w:tab/>
        <w:t>Certain licences not transferable</w:t>
      </w:r>
      <w:bookmarkEnd w:id="163"/>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No. 35 of 2003 s. 173(4).]</w:t>
      </w:r>
    </w:p>
    <w:p>
      <w:pPr>
        <w:pStyle w:val="Heading5"/>
        <w:rPr>
          <w:snapToGrid w:val="0"/>
        </w:rPr>
      </w:pPr>
      <w:bookmarkStart w:id="164" w:name="_Toc526243173"/>
      <w:r>
        <w:rPr>
          <w:rStyle w:val="CharSectno"/>
        </w:rPr>
        <w:t>84</w:t>
      </w:r>
      <w:r>
        <w:rPr>
          <w:snapToGrid w:val="0"/>
        </w:rPr>
        <w:t>.</w:t>
      </w:r>
      <w:r>
        <w:rPr>
          <w:snapToGrid w:val="0"/>
        </w:rPr>
        <w:tab/>
        <w:t>Pre-requisites for transfer of licence</w:t>
      </w:r>
      <w:bookmarkEnd w:id="164"/>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No. 12 of 1998 s. 58; No. 73 of 2006 s. 60 and 111(7).] </w:t>
      </w:r>
    </w:p>
    <w:p>
      <w:pPr>
        <w:pStyle w:val="Heading5"/>
        <w:rPr>
          <w:snapToGrid w:val="0"/>
        </w:rPr>
      </w:pPr>
      <w:bookmarkStart w:id="165" w:name="_Toc526243174"/>
      <w:r>
        <w:rPr>
          <w:rStyle w:val="CharSectno"/>
        </w:rPr>
        <w:t>85</w:t>
      </w:r>
      <w:r>
        <w:rPr>
          <w:snapToGrid w:val="0"/>
        </w:rPr>
        <w:t>.</w:t>
      </w:r>
      <w:r>
        <w:rPr>
          <w:snapToGrid w:val="0"/>
        </w:rPr>
        <w:tab/>
        <w:t>Transferee to succeed to certain of transferor’s liabilities and rights</w:t>
      </w:r>
      <w:bookmarkEnd w:id="165"/>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No. 56 of 1997 s. 32.] </w:t>
      </w:r>
    </w:p>
    <w:p>
      <w:pPr>
        <w:pStyle w:val="Heading3"/>
        <w:rPr>
          <w:snapToGrid w:val="0"/>
        </w:rPr>
      </w:pPr>
      <w:bookmarkStart w:id="166" w:name="_Toc525287746"/>
      <w:bookmarkStart w:id="167" w:name="_Toc526243175"/>
      <w:r>
        <w:rPr>
          <w:rStyle w:val="CharDivNo"/>
        </w:rPr>
        <w:t>Division 10</w:t>
      </w:r>
      <w:r>
        <w:rPr>
          <w:snapToGrid w:val="0"/>
        </w:rPr>
        <w:t> — </w:t>
      </w:r>
      <w:r>
        <w:rPr>
          <w:rStyle w:val="CharDivText"/>
        </w:rPr>
        <w:t>Interim authorisations and protection orders</w:t>
      </w:r>
      <w:bookmarkEnd w:id="166"/>
      <w:bookmarkEnd w:id="167"/>
      <w:r>
        <w:rPr>
          <w:rStyle w:val="CharDivText"/>
        </w:rPr>
        <w:t xml:space="preserve"> </w:t>
      </w:r>
    </w:p>
    <w:p>
      <w:pPr>
        <w:pStyle w:val="Heading5"/>
        <w:rPr>
          <w:snapToGrid w:val="0"/>
        </w:rPr>
      </w:pPr>
      <w:bookmarkStart w:id="168" w:name="_Toc526243176"/>
      <w:r>
        <w:rPr>
          <w:rStyle w:val="CharSectno"/>
        </w:rPr>
        <w:t>86</w:t>
      </w:r>
      <w:r>
        <w:rPr>
          <w:snapToGrid w:val="0"/>
        </w:rPr>
        <w:t>.</w:t>
      </w:r>
      <w:r>
        <w:rPr>
          <w:snapToGrid w:val="0"/>
        </w:rPr>
        <w:tab/>
        <w:t>Interim authorisations to carry on business under licence</w:t>
      </w:r>
      <w:bookmarkEnd w:id="168"/>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No. 12 of 1998 s. 59; No. 10 of 2001 s. 220; No. 73 of 2006 s. 61.] </w:t>
      </w:r>
    </w:p>
    <w:p>
      <w:pPr>
        <w:pStyle w:val="Heading5"/>
        <w:keepLines w:val="0"/>
        <w:rPr>
          <w:snapToGrid w:val="0"/>
        </w:rPr>
      </w:pPr>
      <w:bookmarkStart w:id="169" w:name="_Toc526243177"/>
      <w:r>
        <w:rPr>
          <w:rStyle w:val="CharSectno"/>
        </w:rPr>
        <w:t>87</w:t>
      </w:r>
      <w:r>
        <w:rPr>
          <w:snapToGrid w:val="0"/>
        </w:rPr>
        <w:t>.</w:t>
      </w:r>
      <w:r>
        <w:rPr>
          <w:snapToGrid w:val="0"/>
        </w:rPr>
        <w:tab/>
        <w:t>Protection orders, grant and term of etc.</w:t>
      </w:r>
      <w:bookmarkEnd w:id="16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No. 14 of 1996 s. 4; No. 12 of 1998 s. 60; No. 73 of 2006 s. 62.] </w:t>
      </w:r>
    </w:p>
    <w:p>
      <w:pPr>
        <w:pStyle w:val="Heading5"/>
        <w:rPr>
          <w:snapToGrid w:val="0"/>
        </w:rPr>
      </w:pPr>
      <w:bookmarkStart w:id="170" w:name="_Toc526243178"/>
      <w:r>
        <w:rPr>
          <w:rStyle w:val="CharSectno"/>
        </w:rPr>
        <w:t>88</w:t>
      </w:r>
      <w:r>
        <w:rPr>
          <w:snapToGrid w:val="0"/>
        </w:rPr>
        <w:t>.</w:t>
      </w:r>
      <w:r>
        <w:rPr>
          <w:snapToGrid w:val="0"/>
        </w:rPr>
        <w:tab/>
        <w:t>Protection order, effect of</w:t>
      </w:r>
      <w:bookmarkEnd w:id="170"/>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No. 12 of 1998 s. 61.] </w:t>
      </w:r>
    </w:p>
    <w:p>
      <w:pPr>
        <w:pStyle w:val="Heading5"/>
        <w:spacing w:before="180"/>
        <w:rPr>
          <w:snapToGrid w:val="0"/>
        </w:rPr>
      </w:pPr>
      <w:bookmarkStart w:id="171" w:name="_Toc526243179"/>
      <w:r>
        <w:rPr>
          <w:rStyle w:val="CharSectno"/>
        </w:rPr>
        <w:t>89</w:t>
      </w:r>
      <w:r>
        <w:rPr>
          <w:snapToGrid w:val="0"/>
        </w:rPr>
        <w:t>.</w:t>
      </w:r>
      <w:r>
        <w:rPr>
          <w:snapToGrid w:val="0"/>
        </w:rPr>
        <w:tab/>
        <w:t>Dispute as to terms of lease, Director’s powers in case of</w:t>
      </w:r>
      <w:bookmarkEnd w:id="171"/>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No. 12 of 1998 s. 62.] </w:t>
      </w:r>
    </w:p>
    <w:p>
      <w:pPr>
        <w:pStyle w:val="Heading3"/>
        <w:spacing w:before="180"/>
        <w:rPr>
          <w:snapToGrid w:val="0"/>
        </w:rPr>
      </w:pPr>
      <w:bookmarkStart w:id="172" w:name="_Toc525287751"/>
      <w:bookmarkStart w:id="173" w:name="_Toc526243180"/>
      <w:r>
        <w:rPr>
          <w:rStyle w:val="CharDivNo"/>
        </w:rPr>
        <w:t>Division 11</w:t>
      </w:r>
      <w:r>
        <w:rPr>
          <w:snapToGrid w:val="0"/>
        </w:rPr>
        <w:t> — </w:t>
      </w:r>
      <w:r>
        <w:rPr>
          <w:rStyle w:val="CharDivText"/>
        </w:rPr>
        <w:t>Suspensions</w:t>
      </w:r>
      <w:bookmarkEnd w:id="172"/>
      <w:bookmarkEnd w:id="173"/>
      <w:r>
        <w:rPr>
          <w:rStyle w:val="CharDivText"/>
        </w:rPr>
        <w:t xml:space="preserve"> </w:t>
      </w:r>
    </w:p>
    <w:p>
      <w:pPr>
        <w:pStyle w:val="Ednotesection"/>
        <w:spacing w:before="180"/>
      </w:pPr>
      <w:r>
        <w:t>[</w:t>
      </w:r>
      <w:r>
        <w:rPr>
          <w:b/>
        </w:rPr>
        <w:t>90.</w:t>
      </w:r>
      <w:r>
        <w:tab/>
        <w:t>Deleted: No. 73 of 2006 s. 63.]</w:t>
      </w:r>
    </w:p>
    <w:p>
      <w:pPr>
        <w:pStyle w:val="Heading5"/>
        <w:spacing w:before="180"/>
        <w:rPr>
          <w:snapToGrid w:val="0"/>
        </w:rPr>
      </w:pPr>
      <w:bookmarkStart w:id="174" w:name="_Toc526243181"/>
      <w:r>
        <w:rPr>
          <w:rStyle w:val="CharSectno"/>
        </w:rPr>
        <w:t>91</w:t>
      </w:r>
      <w:r>
        <w:rPr>
          <w:snapToGrid w:val="0"/>
        </w:rPr>
        <w:t>.</w:t>
      </w:r>
      <w:r>
        <w:rPr>
          <w:snapToGrid w:val="0"/>
        </w:rPr>
        <w:tab/>
        <w:t>Suspension of licence or permit in the public interest</w:t>
      </w:r>
      <w:bookmarkEnd w:id="174"/>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No. 73 of 2006 s. 64.]</w:t>
      </w:r>
    </w:p>
    <w:p>
      <w:pPr>
        <w:pStyle w:val="Heading5"/>
        <w:spacing w:before="240"/>
        <w:rPr>
          <w:snapToGrid w:val="0"/>
        </w:rPr>
      </w:pPr>
      <w:bookmarkStart w:id="175" w:name="_Toc526243182"/>
      <w:r>
        <w:rPr>
          <w:rStyle w:val="CharSectno"/>
        </w:rPr>
        <w:t>92</w:t>
      </w:r>
      <w:r>
        <w:rPr>
          <w:snapToGrid w:val="0"/>
        </w:rPr>
        <w:t>.</w:t>
      </w:r>
      <w:r>
        <w:rPr>
          <w:snapToGrid w:val="0"/>
        </w:rPr>
        <w:tab/>
        <w:t>Suspension because business has ceased etc.</w:t>
      </w:r>
      <w:bookmarkEnd w:id="175"/>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No. 12 of 1998 s. 63.] </w:t>
      </w:r>
    </w:p>
    <w:p>
      <w:pPr>
        <w:pStyle w:val="Heading5"/>
        <w:spacing w:before="240"/>
        <w:rPr>
          <w:snapToGrid w:val="0"/>
        </w:rPr>
      </w:pPr>
      <w:bookmarkStart w:id="176" w:name="_Toc526243183"/>
      <w:r>
        <w:rPr>
          <w:rStyle w:val="CharSectno"/>
        </w:rPr>
        <w:t>92A</w:t>
      </w:r>
      <w:r>
        <w:rPr>
          <w:snapToGrid w:val="0"/>
        </w:rPr>
        <w:t>.</w:t>
      </w:r>
      <w:r>
        <w:rPr>
          <w:snapToGrid w:val="0"/>
        </w:rPr>
        <w:tab/>
        <w:t>Cancellation of suspension</w:t>
      </w:r>
      <w:bookmarkEnd w:id="176"/>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No. 12 of 1998 s. 64.] </w:t>
      </w:r>
    </w:p>
    <w:p>
      <w:pPr>
        <w:pStyle w:val="Heading5"/>
        <w:spacing w:before="240"/>
        <w:rPr>
          <w:snapToGrid w:val="0"/>
        </w:rPr>
      </w:pPr>
      <w:bookmarkStart w:id="177" w:name="_Toc526243184"/>
      <w:r>
        <w:rPr>
          <w:rStyle w:val="CharSectno"/>
        </w:rPr>
        <w:t>93</w:t>
      </w:r>
      <w:r>
        <w:rPr>
          <w:snapToGrid w:val="0"/>
        </w:rPr>
        <w:t>.</w:t>
      </w:r>
      <w:r>
        <w:rPr>
          <w:snapToGrid w:val="0"/>
        </w:rPr>
        <w:tab/>
        <w:t>Cancellation of suspended licences</w:t>
      </w:r>
      <w:bookmarkEnd w:id="177"/>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No. 12 of 1998 s. 65; No. 73 of 2006 s. 65.] </w:t>
      </w:r>
    </w:p>
    <w:p>
      <w:pPr>
        <w:pStyle w:val="Heading3"/>
        <w:keepLines/>
        <w:spacing w:before="160"/>
        <w:rPr>
          <w:snapToGrid w:val="0"/>
        </w:rPr>
      </w:pPr>
      <w:bookmarkStart w:id="178" w:name="_Toc525287756"/>
      <w:bookmarkStart w:id="179" w:name="_Toc526243185"/>
      <w:r>
        <w:rPr>
          <w:rStyle w:val="CharDivNo"/>
        </w:rPr>
        <w:t>Division 12</w:t>
      </w:r>
      <w:r>
        <w:rPr>
          <w:snapToGrid w:val="0"/>
        </w:rPr>
        <w:t> — </w:t>
      </w:r>
      <w:r>
        <w:rPr>
          <w:rStyle w:val="CharDivText"/>
        </w:rPr>
        <w:t>Surrenders</w:t>
      </w:r>
      <w:bookmarkEnd w:id="178"/>
      <w:bookmarkEnd w:id="179"/>
      <w:r>
        <w:rPr>
          <w:rStyle w:val="CharDivText"/>
        </w:rPr>
        <w:t xml:space="preserve"> </w:t>
      </w:r>
    </w:p>
    <w:p>
      <w:pPr>
        <w:pStyle w:val="Heading5"/>
        <w:keepNext w:val="0"/>
        <w:spacing w:before="160"/>
        <w:rPr>
          <w:snapToGrid w:val="0"/>
        </w:rPr>
      </w:pPr>
      <w:bookmarkStart w:id="180" w:name="_Toc526243186"/>
      <w:r>
        <w:rPr>
          <w:rStyle w:val="CharSectno"/>
        </w:rPr>
        <w:t>94</w:t>
      </w:r>
      <w:r>
        <w:rPr>
          <w:snapToGrid w:val="0"/>
        </w:rPr>
        <w:t>.</w:t>
      </w:r>
      <w:r>
        <w:rPr>
          <w:snapToGrid w:val="0"/>
        </w:rPr>
        <w:tab/>
        <w:t>Surrendering licences</w:t>
      </w:r>
      <w:bookmarkEnd w:id="180"/>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81" w:name="_Toc525287758"/>
      <w:bookmarkStart w:id="182" w:name="_Toc526243187"/>
      <w:r>
        <w:rPr>
          <w:rStyle w:val="CharDivNo"/>
        </w:rPr>
        <w:t>Division 13</w:t>
      </w:r>
      <w:r>
        <w:rPr>
          <w:snapToGrid w:val="0"/>
        </w:rPr>
        <w:t> — </w:t>
      </w:r>
      <w:r>
        <w:rPr>
          <w:rStyle w:val="CharDivText"/>
        </w:rPr>
        <w:t>Disciplinary matters</w:t>
      </w:r>
      <w:bookmarkEnd w:id="181"/>
      <w:bookmarkEnd w:id="182"/>
      <w:r>
        <w:rPr>
          <w:rStyle w:val="CharDivText"/>
        </w:rPr>
        <w:t xml:space="preserve"> </w:t>
      </w:r>
    </w:p>
    <w:p>
      <w:pPr>
        <w:pStyle w:val="Heading5"/>
        <w:rPr>
          <w:snapToGrid w:val="0"/>
        </w:rPr>
      </w:pPr>
      <w:bookmarkStart w:id="183" w:name="_Toc526243188"/>
      <w:r>
        <w:rPr>
          <w:rStyle w:val="CharSectno"/>
        </w:rPr>
        <w:t>95</w:t>
      </w:r>
      <w:r>
        <w:rPr>
          <w:snapToGrid w:val="0"/>
        </w:rPr>
        <w:t>.</w:t>
      </w:r>
      <w:r>
        <w:rPr>
          <w:snapToGrid w:val="0"/>
        </w:rPr>
        <w:tab/>
        <w:t>Disciplinary action against licensees, grounds and procedure for</w:t>
      </w:r>
      <w:bookmarkEnd w:id="183"/>
    </w:p>
    <w:p>
      <w:pPr>
        <w:pStyle w:val="Subsection"/>
      </w:pPr>
      <w:r>
        <w:tab/>
        <w:t>(1A)</w:t>
      </w:r>
      <w:r>
        <w:tab/>
        <w:t xml:space="preserve">In this section — </w:t>
      </w:r>
    </w:p>
    <w:p>
      <w:pPr>
        <w:pStyle w:val="Defstart"/>
      </w:pPr>
      <w: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 xml:space="preserve">a person who — </w:t>
      </w:r>
    </w:p>
    <w:p>
      <w:pPr>
        <w:pStyle w:val="Defsubpara"/>
      </w:pPr>
      <w:r>
        <w:tab/>
        <w:t>(i)</w:t>
      </w:r>
      <w:r>
        <w:tab/>
        <w:t>holds a crowd controller’s licence; and</w:t>
      </w:r>
    </w:p>
    <w:p>
      <w:pPr>
        <w:pStyle w:val="Defsubpara"/>
      </w:pPr>
      <w:r>
        <w:tab/>
        <w:t>(ii)</w:t>
      </w:r>
      <w:r>
        <w:tab/>
        <w:t>is employed by a crowd control agent engaged under a contract for services by the licensee or occupier or a manager of the licensed premises to supply the services of crowd controllers at those premises.</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keepNext/>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licensee has been convicted of — </w:t>
      </w:r>
    </w:p>
    <w:p>
      <w:pPr>
        <w:pStyle w:val="Indenti"/>
        <w:keepNext/>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keepNext/>
      </w:pPr>
      <w:r>
        <w:rPr>
          <w:snapToGrid w:val="0"/>
        </w:rPr>
        <w:tab/>
        <w:t>(k)</w:t>
      </w:r>
      <w:r>
        <w:rPr>
          <w:snapToGrid w:val="0"/>
        </w:rPr>
        <w:tab/>
        <w:t xml:space="preserve">the safety, health or welfare of persons who resort to the licensed premises is endangered by an act or neglect </w:t>
      </w:r>
      <w:r>
        <w:t xml:space="preserve">of — </w:t>
      </w:r>
    </w:p>
    <w:p>
      <w:pPr>
        <w:pStyle w:val="Indenti"/>
        <w:keepNext/>
      </w:pPr>
      <w:r>
        <w:tab/>
        <w:t>(i)</w:t>
      </w:r>
      <w:r>
        <w:tab/>
        <w:t>the licensee; or</w:t>
      </w:r>
    </w:p>
    <w:p>
      <w:pPr>
        <w:pStyle w:val="Indenti"/>
      </w:pPr>
      <w:r>
        <w:tab/>
        <w:t>(ii)</w:t>
      </w:r>
      <w:r>
        <w:tab/>
        <w:t>an employee or agent of the licensee; or</w:t>
      </w:r>
    </w:p>
    <w:p>
      <w:pPr>
        <w:pStyle w:val="Indenti"/>
      </w:pPr>
      <w:r>
        <w:tab/>
        <w:t>(iii)</w:t>
      </w:r>
      <w:r>
        <w:tab/>
        <w:t>a person acting, or purporting to act, on behalf of the licensee;</w:t>
      </w:r>
    </w:p>
    <w:p>
      <w:pPr>
        <w:pStyle w:val="Indenta"/>
      </w:pPr>
      <w:r>
        <w:tab/>
      </w:r>
      <w:r>
        <w:tab/>
        <w:t>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Subsection"/>
      </w:pPr>
      <w:r>
        <w:tab/>
        <w:t>(12)</w:t>
      </w:r>
      <w:r>
        <w:tab/>
        <w:t>The hearing of a complaint lodged under this section must be in public unless the Commission considers that, in the circumstances of the case, the hearing should be in private.</w:t>
      </w:r>
    </w:p>
    <w:p>
      <w:pPr>
        <w:pStyle w:val="Footnotesection"/>
        <w:widowControl w:val="0"/>
        <w:ind w:left="890" w:hanging="890"/>
      </w:pPr>
      <w:r>
        <w:tab/>
        <w:t xml:space="preserve">[Section 95 amended: No. 14 of 1996 s. 4; No. 56 of 1997 s. 33; No. 12 of 1998 s. 10(11), 35(3) and (4), 66, 70(6) and (7); No. 73 of 2006 s. 66 and 106; No. 21 of 2008 s. 675(3); No. 43 of 2008 s. 148(4); No. 19 of 2016 s. 101; No. 9 of 2018 s. 46.] </w:t>
      </w:r>
    </w:p>
    <w:p>
      <w:pPr>
        <w:pStyle w:val="Heading5"/>
        <w:spacing w:before="240"/>
        <w:rPr>
          <w:snapToGrid w:val="0"/>
        </w:rPr>
      </w:pPr>
      <w:bookmarkStart w:id="184" w:name="_Toc526243189"/>
      <w:r>
        <w:rPr>
          <w:rStyle w:val="CharSectno"/>
        </w:rPr>
        <w:t>96</w:t>
      </w:r>
      <w:r>
        <w:rPr>
          <w:snapToGrid w:val="0"/>
        </w:rPr>
        <w:t>.</w:t>
      </w:r>
      <w:r>
        <w:rPr>
          <w:snapToGrid w:val="0"/>
        </w:rPr>
        <w:tab/>
        <w:t>Disciplinary action, powers to take</w:t>
      </w:r>
      <w:bookmarkEnd w:id="184"/>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No. 73 of 1994 s. 4; No. 12 of 1998 s. 67; No. 73 of 2006 s. 106 and 111(8); No. 56 of 2010 s. 47.] </w:t>
      </w:r>
    </w:p>
    <w:p>
      <w:pPr>
        <w:pStyle w:val="Heading2"/>
      </w:pPr>
      <w:bookmarkStart w:id="185" w:name="_Toc525287761"/>
      <w:bookmarkStart w:id="186" w:name="_Toc526243190"/>
      <w:r>
        <w:rPr>
          <w:rStyle w:val="CharPartNo"/>
        </w:rPr>
        <w:t>Part 4</w:t>
      </w:r>
      <w:r>
        <w:t> — </w:t>
      </w:r>
      <w:r>
        <w:rPr>
          <w:rStyle w:val="CharPartText"/>
        </w:rPr>
        <w:t>The conduct of business</w:t>
      </w:r>
      <w:bookmarkEnd w:id="185"/>
      <w:bookmarkEnd w:id="186"/>
      <w:r>
        <w:rPr>
          <w:rStyle w:val="CharPartText"/>
        </w:rPr>
        <w:t xml:space="preserve"> </w:t>
      </w:r>
    </w:p>
    <w:p>
      <w:pPr>
        <w:pStyle w:val="Heading3"/>
        <w:rPr>
          <w:snapToGrid w:val="0"/>
        </w:rPr>
      </w:pPr>
      <w:bookmarkStart w:id="187" w:name="_Toc525287762"/>
      <w:bookmarkStart w:id="188" w:name="_Toc526243191"/>
      <w:r>
        <w:rPr>
          <w:rStyle w:val="CharDivNo"/>
        </w:rPr>
        <w:t>Division 1</w:t>
      </w:r>
      <w:r>
        <w:rPr>
          <w:snapToGrid w:val="0"/>
        </w:rPr>
        <w:t> — </w:t>
      </w:r>
      <w:r>
        <w:rPr>
          <w:rStyle w:val="CharDivText"/>
        </w:rPr>
        <w:t>Hours of trading</w:t>
      </w:r>
      <w:bookmarkEnd w:id="187"/>
      <w:bookmarkEnd w:id="188"/>
      <w:r>
        <w:rPr>
          <w:rStyle w:val="CharDivText"/>
        </w:rPr>
        <w:t xml:space="preserve"> </w:t>
      </w:r>
    </w:p>
    <w:p>
      <w:pPr>
        <w:pStyle w:val="Heading5"/>
        <w:rPr>
          <w:snapToGrid w:val="0"/>
        </w:rPr>
      </w:pPr>
      <w:bookmarkStart w:id="189" w:name="_Toc526243192"/>
      <w:r>
        <w:rPr>
          <w:rStyle w:val="CharSectno"/>
        </w:rPr>
        <w:t>97</w:t>
      </w:r>
      <w:r>
        <w:rPr>
          <w:snapToGrid w:val="0"/>
        </w:rPr>
        <w:t>.</w:t>
      </w:r>
      <w:r>
        <w:rPr>
          <w:snapToGrid w:val="0"/>
        </w:rPr>
        <w:tab/>
        <w:t>Permitted hours generally</w:t>
      </w:r>
      <w:bookmarkEnd w:id="189"/>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No. 12 of 1998 s. 68; No. 35 of 2003 s. 173(4); No. 73 of 2006 s. 67.] </w:t>
      </w:r>
    </w:p>
    <w:p>
      <w:pPr>
        <w:pStyle w:val="Heading5"/>
      </w:pPr>
      <w:bookmarkStart w:id="190" w:name="_Toc526243193"/>
      <w:r>
        <w:rPr>
          <w:rStyle w:val="CharSectno"/>
        </w:rPr>
        <w:t>98</w:t>
      </w:r>
      <w:r>
        <w:t>.</w:t>
      </w:r>
      <w:r>
        <w:tab/>
        <w:t>Hotel licence, permitted hours under</w:t>
      </w:r>
      <w:bookmarkEnd w:id="190"/>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No. 73 of 2006 s. 68; amended: No. 35 of 2015 s. 12; No. 9 of 2018 s. 47.]</w:t>
      </w:r>
    </w:p>
    <w:p>
      <w:pPr>
        <w:pStyle w:val="Heading5"/>
      </w:pPr>
      <w:bookmarkStart w:id="191" w:name="_Toc526243194"/>
      <w:r>
        <w:rPr>
          <w:rStyle w:val="CharSectno"/>
        </w:rPr>
        <w:t>98AA</w:t>
      </w:r>
      <w:r>
        <w:t>.</w:t>
      </w:r>
      <w:r>
        <w:tab/>
        <w:t>Permitted hours under small bar licence</w:t>
      </w:r>
      <w:bookmarkEnd w:id="191"/>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No. 9 of 2018 s. 48.]</w:t>
      </w:r>
    </w:p>
    <w:p>
      <w:pPr>
        <w:pStyle w:val="Heading5"/>
      </w:pPr>
      <w:bookmarkStart w:id="192" w:name="_Toc526243195"/>
      <w:r>
        <w:rPr>
          <w:rStyle w:val="CharSectno"/>
        </w:rPr>
        <w:t>98A</w:t>
      </w:r>
      <w:r>
        <w:t>.</w:t>
      </w:r>
      <w:r>
        <w:tab/>
        <w:t>Nightclub licence, permitted hours under</w:t>
      </w:r>
      <w:bookmarkEnd w:id="192"/>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No. 73 of 2006 s. 68; amended: No. 56 of 2010 s. 48; No. 35 of 2015 s. 13; No. 9 of 2018 s. 49.]</w:t>
      </w:r>
    </w:p>
    <w:p>
      <w:pPr>
        <w:pStyle w:val="Heading5"/>
      </w:pPr>
      <w:bookmarkStart w:id="193" w:name="_Toc526243196"/>
      <w:r>
        <w:rPr>
          <w:rStyle w:val="CharSectno"/>
        </w:rPr>
        <w:t>98B</w:t>
      </w:r>
      <w:r>
        <w:t>.</w:t>
      </w:r>
      <w:r>
        <w:tab/>
        <w:t>Casino liquor licence, permitted hours under</w:t>
      </w:r>
      <w:bookmarkEnd w:id="193"/>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No. 73 of 2006 s. 68.]</w:t>
      </w:r>
    </w:p>
    <w:p>
      <w:pPr>
        <w:pStyle w:val="Heading5"/>
      </w:pPr>
      <w:bookmarkStart w:id="194" w:name="_Toc526243197"/>
      <w:r>
        <w:rPr>
          <w:rStyle w:val="CharSectno"/>
        </w:rPr>
        <w:t>98C</w:t>
      </w:r>
      <w:r>
        <w:t>.</w:t>
      </w:r>
      <w:r>
        <w:tab/>
        <w:t>Special facility licence, permitted hours under</w:t>
      </w:r>
      <w:bookmarkEnd w:id="194"/>
    </w:p>
    <w:p>
      <w:pPr>
        <w:pStyle w:val="Subsection"/>
      </w:pPr>
      <w:r>
        <w:tab/>
      </w:r>
      <w:r>
        <w:tab/>
        <w:t>The permitted hours under a special facility licence are as specified in the particular licence.</w:t>
      </w:r>
    </w:p>
    <w:p>
      <w:pPr>
        <w:pStyle w:val="Footnotesection"/>
      </w:pPr>
      <w:r>
        <w:tab/>
        <w:t>[Section 98C inserted: No. 73 of 2006 s. 68.]</w:t>
      </w:r>
    </w:p>
    <w:p>
      <w:pPr>
        <w:pStyle w:val="Heading5"/>
      </w:pPr>
      <w:bookmarkStart w:id="195" w:name="_Toc526243198"/>
      <w:r>
        <w:rPr>
          <w:rStyle w:val="CharSectno"/>
        </w:rPr>
        <w:t>98D</w:t>
      </w:r>
      <w:r>
        <w:t>.</w:t>
      </w:r>
      <w:r>
        <w:tab/>
        <w:t>Liquor store licence, permitted hours under</w:t>
      </w:r>
      <w:bookmarkEnd w:id="195"/>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No. 73 of 2006 s. 68.]</w:t>
      </w:r>
    </w:p>
    <w:p>
      <w:pPr>
        <w:pStyle w:val="Heading5"/>
      </w:pPr>
      <w:bookmarkStart w:id="196" w:name="_Toc526243199"/>
      <w:r>
        <w:rPr>
          <w:rStyle w:val="CharSectno"/>
        </w:rPr>
        <w:t>98E</w:t>
      </w:r>
      <w:r>
        <w:t>.</w:t>
      </w:r>
      <w:r>
        <w:tab/>
        <w:t>Club licence and club restricted licence, permitted hours under</w:t>
      </w:r>
      <w:bookmarkEnd w:id="196"/>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No. 73 of 2006 s. 68; amended: No. 9 of 2018 s. 50.]</w:t>
      </w:r>
    </w:p>
    <w:p>
      <w:pPr>
        <w:pStyle w:val="Heading5"/>
      </w:pPr>
      <w:bookmarkStart w:id="197" w:name="_Toc526243200"/>
      <w:r>
        <w:rPr>
          <w:rStyle w:val="CharSectno"/>
        </w:rPr>
        <w:t>98F</w:t>
      </w:r>
      <w:r>
        <w:t>.</w:t>
      </w:r>
      <w:r>
        <w:tab/>
        <w:t>Restaurant licence, permitted hours under</w:t>
      </w:r>
      <w:bookmarkEnd w:id="197"/>
    </w:p>
    <w:p>
      <w:pPr>
        <w:pStyle w:val="Subsection"/>
      </w:pPr>
      <w:r>
        <w:tab/>
      </w:r>
      <w:r>
        <w:tab/>
        <w:t>The permitted hours under a restaurant licence are at any time except from 3 a.m. to 12 noon on ANZAC Day.</w:t>
      </w:r>
    </w:p>
    <w:p>
      <w:pPr>
        <w:pStyle w:val="Footnotesection"/>
      </w:pPr>
      <w:r>
        <w:tab/>
        <w:t>[Section 98F inserted: No. 73 of 2006 s. 68.]</w:t>
      </w:r>
    </w:p>
    <w:p>
      <w:pPr>
        <w:pStyle w:val="Heading5"/>
      </w:pPr>
      <w:bookmarkStart w:id="198" w:name="_Toc526243201"/>
      <w:r>
        <w:rPr>
          <w:rStyle w:val="CharSectno"/>
        </w:rPr>
        <w:t>98G</w:t>
      </w:r>
      <w:r>
        <w:t>.</w:t>
      </w:r>
      <w:r>
        <w:tab/>
        <w:t>Producer’s licence, permitted hours under</w:t>
      </w:r>
      <w:bookmarkEnd w:id="198"/>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No. 73 of 2006 s. 68; amended: No. 35 of 2015 s. 14; No. 9 of 2018 s. 51.]</w:t>
      </w:r>
    </w:p>
    <w:p>
      <w:pPr>
        <w:pStyle w:val="Heading5"/>
        <w:spacing w:before="240"/>
      </w:pPr>
      <w:bookmarkStart w:id="199" w:name="_Toc526243202"/>
      <w:r>
        <w:rPr>
          <w:rStyle w:val="CharSectno"/>
        </w:rPr>
        <w:t>98H</w:t>
      </w:r>
      <w:r>
        <w:t>.</w:t>
      </w:r>
      <w:r>
        <w:tab/>
        <w:t>Wholesaler’s licence, permitted hours under</w:t>
      </w:r>
      <w:bookmarkEnd w:id="199"/>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No. 73 of 2006 s. 68.]</w:t>
      </w:r>
    </w:p>
    <w:p>
      <w:pPr>
        <w:pStyle w:val="Heading3"/>
        <w:rPr>
          <w:snapToGrid w:val="0"/>
        </w:rPr>
      </w:pPr>
      <w:bookmarkStart w:id="200" w:name="_Toc525287774"/>
      <w:bookmarkStart w:id="201" w:name="_Toc526243203"/>
      <w:r>
        <w:rPr>
          <w:rStyle w:val="CharDivNo"/>
        </w:rPr>
        <w:t>Division 2</w:t>
      </w:r>
      <w:r>
        <w:rPr>
          <w:snapToGrid w:val="0"/>
        </w:rPr>
        <w:t> — </w:t>
      </w:r>
      <w:r>
        <w:rPr>
          <w:rStyle w:val="CharDivText"/>
        </w:rPr>
        <w:t>Maintenance of the premises</w:t>
      </w:r>
      <w:bookmarkEnd w:id="200"/>
      <w:bookmarkEnd w:id="201"/>
      <w:r>
        <w:rPr>
          <w:rStyle w:val="CharDivText"/>
        </w:rPr>
        <w:t xml:space="preserve"> </w:t>
      </w:r>
    </w:p>
    <w:p>
      <w:pPr>
        <w:pStyle w:val="Heading5"/>
        <w:spacing w:before="240"/>
        <w:rPr>
          <w:snapToGrid w:val="0"/>
        </w:rPr>
      </w:pPr>
      <w:bookmarkStart w:id="202" w:name="_Toc526243204"/>
      <w:r>
        <w:rPr>
          <w:rStyle w:val="CharSectno"/>
        </w:rPr>
        <w:t>99</w:t>
      </w:r>
      <w:r>
        <w:rPr>
          <w:snapToGrid w:val="0"/>
        </w:rPr>
        <w:t>.</w:t>
      </w:r>
      <w:r>
        <w:rPr>
          <w:snapToGrid w:val="0"/>
        </w:rPr>
        <w:tab/>
        <w:t>Duty to keep premises clean and in good repair; powers to enforce duty and require alterations</w:t>
      </w:r>
      <w:bookmarkEnd w:id="202"/>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No. 12 of 1998 s. 70(1) to (4); No. 56 of 2010 s. 49.] </w:t>
      </w:r>
    </w:p>
    <w:p>
      <w:pPr>
        <w:pStyle w:val="Heading3"/>
        <w:keepLines/>
        <w:spacing w:before="180"/>
        <w:rPr>
          <w:snapToGrid w:val="0"/>
        </w:rPr>
      </w:pPr>
      <w:bookmarkStart w:id="203" w:name="_Toc525287776"/>
      <w:bookmarkStart w:id="204" w:name="_Toc526243205"/>
      <w:r>
        <w:rPr>
          <w:rStyle w:val="CharDivNo"/>
        </w:rPr>
        <w:t>Division 3</w:t>
      </w:r>
      <w:r>
        <w:rPr>
          <w:snapToGrid w:val="0"/>
        </w:rPr>
        <w:t> — </w:t>
      </w:r>
      <w:r>
        <w:rPr>
          <w:rStyle w:val="CharDivText"/>
        </w:rPr>
        <w:t>Supervision and management</w:t>
      </w:r>
      <w:bookmarkEnd w:id="203"/>
      <w:bookmarkEnd w:id="204"/>
      <w:r>
        <w:rPr>
          <w:rStyle w:val="CharDivText"/>
        </w:rPr>
        <w:t xml:space="preserve"> </w:t>
      </w:r>
    </w:p>
    <w:p>
      <w:pPr>
        <w:pStyle w:val="Heading4"/>
        <w:keepLines/>
        <w:spacing w:before="180"/>
      </w:pPr>
      <w:bookmarkStart w:id="205" w:name="_Toc525287777"/>
      <w:bookmarkStart w:id="206" w:name="_Toc526243206"/>
      <w:r>
        <w:t>Subdivision 1 — Licensed premises to be supervised and managed</w:t>
      </w:r>
      <w:bookmarkEnd w:id="205"/>
      <w:bookmarkEnd w:id="206"/>
    </w:p>
    <w:p>
      <w:pPr>
        <w:pStyle w:val="Footnoteheading"/>
        <w:spacing w:before="100"/>
      </w:pPr>
      <w:r>
        <w:tab/>
        <w:t>[Heading inserted: No. 56 of 2010 s. 14.]</w:t>
      </w:r>
    </w:p>
    <w:p>
      <w:pPr>
        <w:pStyle w:val="Heading5"/>
        <w:spacing w:before="180"/>
        <w:rPr>
          <w:snapToGrid w:val="0"/>
        </w:rPr>
      </w:pPr>
      <w:bookmarkStart w:id="207" w:name="_Toc526243207"/>
      <w:r>
        <w:rPr>
          <w:rStyle w:val="CharSectno"/>
        </w:rPr>
        <w:t>100</w:t>
      </w:r>
      <w:r>
        <w:rPr>
          <w:snapToGrid w:val="0"/>
        </w:rPr>
        <w:t>.</w:t>
      </w:r>
      <w:r>
        <w:rPr>
          <w:snapToGrid w:val="0"/>
        </w:rPr>
        <w:tab/>
        <w:t>Licensee’s duties</w:t>
      </w:r>
      <w:bookmarkEnd w:id="207"/>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keepNext/>
        <w:rPr>
          <w:snapToGrid w:val="0"/>
        </w:rPr>
      </w:pPr>
      <w:r>
        <w:rPr>
          <w:snapToGrid w:val="0"/>
        </w:rPr>
        <w:tab/>
        <w:t>(2)</w:t>
      </w:r>
      <w:r>
        <w:rPr>
          <w:snapToGrid w:val="0"/>
        </w:rPr>
        <w:tab/>
        <w:t>The licensee shall ensure that the conduct of business at the licensed premises is personally supervised and managed — </w:t>
      </w:r>
    </w:p>
    <w:p>
      <w:pPr>
        <w:pStyle w:val="Indenta"/>
        <w:keepNext/>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No. 12 of 1998 s. 71; amended: No. 73 of 2006 s. 69 and 110; No. 56 of 2010 s. 15 and 69; No. 9 of 2018 s. 52.] </w:t>
      </w:r>
    </w:p>
    <w:p>
      <w:pPr>
        <w:pStyle w:val="Heading5"/>
        <w:rPr>
          <w:snapToGrid w:val="0"/>
        </w:rPr>
      </w:pPr>
      <w:bookmarkStart w:id="208" w:name="_Toc526243208"/>
      <w:r>
        <w:rPr>
          <w:rStyle w:val="CharSectno"/>
        </w:rPr>
        <w:t>101</w:t>
      </w:r>
      <w:r>
        <w:rPr>
          <w:snapToGrid w:val="0"/>
        </w:rPr>
        <w:t>.</w:t>
      </w:r>
      <w:r>
        <w:rPr>
          <w:snapToGrid w:val="0"/>
        </w:rPr>
        <w:tab/>
        <w:t>Managers etc., liabilities of</w:t>
      </w:r>
      <w:bookmarkEnd w:id="208"/>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No. 12 of 1998 s. 72; No. 84 of 2004 s. 80; No. 73 of 2006 s. 110; No. 56 of 2010 s. 25 and 69.] </w:t>
      </w:r>
    </w:p>
    <w:p>
      <w:pPr>
        <w:pStyle w:val="Heading4"/>
      </w:pPr>
      <w:bookmarkStart w:id="209" w:name="_Toc525287780"/>
      <w:bookmarkStart w:id="210" w:name="_Toc526243209"/>
      <w:r>
        <w:t>Subdivision 2 — Approval of managers</w:t>
      </w:r>
      <w:bookmarkEnd w:id="209"/>
      <w:bookmarkEnd w:id="210"/>
    </w:p>
    <w:p>
      <w:pPr>
        <w:pStyle w:val="Footnoteheading"/>
      </w:pPr>
      <w:r>
        <w:tab/>
        <w:t>[Heading inserted: No. 56 of 2010 s. 16.]</w:t>
      </w:r>
    </w:p>
    <w:p>
      <w:pPr>
        <w:pStyle w:val="Heading5"/>
      </w:pPr>
      <w:bookmarkStart w:id="211" w:name="_Toc526243210"/>
      <w:r>
        <w:rPr>
          <w:rStyle w:val="CharSectno"/>
        </w:rPr>
        <w:t>102A</w:t>
      </w:r>
      <w:r>
        <w:t>.</w:t>
      </w:r>
      <w:r>
        <w:tab/>
        <w:t>Terms used</w:t>
      </w:r>
      <w:bookmarkEnd w:id="211"/>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No. 56 of 2010 s. 16.]</w:t>
      </w:r>
    </w:p>
    <w:p>
      <w:pPr>
        <w:pStyle w:val="Heading5"/>
      </w:pPr>
      <w:bookmarkStart w:id="212" w:name="_Toc526243211"/>
      <w:r>
        <w:rPr>
          <w:rStyle w:val="CharSectno"/>
        </w:rPr>
        <w:t>102B</w:t>
      </w:r>
      <w:r>
        <w:t>.</w:t>
      </w:r>
      <w:r>
        <w:tab/>
        <w:t>Applications for and granting approvals</w:t>
      </w:r>
      <w:bookmarkEnd w:id="212"/>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No. 56 of 2010 s. 16.]</w:t>
      </w:r>
    </w:p>
    <w:p>
      <w:pPr>
        <w:pStyle w:val="Heading5"/>
        <w:spacing w:before="180"/>
      </w:pPr>
      <w:bookmarkStart w:id="213" w:name="_Toc526243212"/>
      <w:r>
        <w:rPr>
          <w:rStyle w:val="CharSectno"/>
        </w:rPr>
        <w:t>102C</w:t>
      </w:r>
      <w:r>
        <w:t>.</w:t>
      </w:r>
      <w:r>
        <w:tab/>
        <w:t>Conditions on manager’s approval</w:t>
      </w:r>
      <w:bookmarkEnd w:id="213"/>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No. 56 of 2010 s. 16.]</w:t>
      </w:r>
    </w:p>
    <w:p>
      <w:pPr>
        <w:pStyle w:val="Heading5"/>
        <w:spacing w:before="180"/>
      </w:pPr>
      <w:bookmarkStart w:id="214" w:name="_Toc526243213"/>
      <w:r>
        <w:rPr>
          <w:rStyle w:val="CharSectno"/>
        </w:rPr>
        <w:t>102D</w:t>
      </w:r>
      <w:r>
        <w:t>.</w:t>
      </w:r>
      <w:r>
        <w:tab/>
        <w:t>Duration of manager’s approval</w:t>
      </w:r>
      <w:bookmarkEnd w:id="214"/>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No. 56 of 2010 s. 16.]</w:t>
      </w:r>
    </w:p>
    <w:p>
      <w:pPr>
        <w:pStyle w:val="Heading5"/>
        <w:keepNext w:val="0"/>
        <w:keepLines w:val="0"/>
        <w:spacing w:before="180"/>
      </w:pPr>
      <w:bookmarkStart w:id="215" w:name="_Toc526243214"/>
      <w:r>
        <w:rPr>
          <w:rStyle w:val="CharSectno"/>
        </w:rPr>
        <w:t>102E</w:t>
      </w:r>
      <w:r>
        <w:t>.</w:t>
      </w:r>
      <w:r>
        <w:tab/>
        <w:t>Renewal of manager’s approval</w:t>
      </w:r>
      <w:bookmarkEnd w:id="215"/>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No. 56 of 2010 s. 16.]</w:t>
      </w:r>
    </w:p>
    <w:p>
      <w:pPr>
        <w:pStyle w:val="Heading5"/>
        <w:spacing w:before="180"/>
      </w:pPr>
      <w:bookmarkStart w:id="216" w:name="_Toc526243215"/>
      <w:r>
        <w:rPr>
          <w:rStyle w:val="CharSectno"/>
        </w:rPr>
        <w:t>102F</w:t>
      </w:r>
      <w:r>
        <w:t>.</w:t>
      </w:r>
      <w:r>
        <w:tab/>
        <w:t>Disciplinary action against approved managers</w:t>
      </w:r>
      <w:bookmarkEnd w:id="216"/>
    </w:p>
    <w:p>
      <w:pPr>
        <w:pStyle w:val="Subsection"/>
        <w:keepNext/>
        <w:spacing w:before="120"/>
        <w:rPr>
          <w:snapToGrid w:val="0"/>
        </w:rPr>
      </w:pPr>
      <w:r>
        <w:rPr>
          <w:snapToGrid w:val="0"/>
        </w:rPr>
        <w:tab/>
        <w:t>(1)</w:t>
      </w:r>
      <w:r>
        <w:rPr>
          <w:snapToGrid w:val="0"/>
        </w:rPr>
        <w:tab/>
        <w:t>There are grounds for taking action against an approved manager under this section if —</w:t>
      </w:r>
    </w:p>
    <w:p>
      <w:pPr>
        <w:pStyle w:val="Indenta"/>
        <w:keepNext/>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No. 56 of 2010 s. 16.]</w:t>
      </w:r>
    </w:p>
    <w:p>
      <w:pPr>
        <w:pStyle w:val="Heading5"/>
      </w:pPr>
      <w:bookmarkStart w:id="217" w:name="_Toc526243216"/>
      <w:r>
        <w:rPr>
          <w:rStyle w:val="CharSectno"/>
        </w:rPr>
        <w:t>102G</w:t>
      </w:r>
      <w:r>
        <w:t>.</w:t>
      </w:r>
      <w:r>
        <w:tab/>
        <w:t>Approval may be cancelled on request</w:t>
      </w:r>
      <w:bookmarkEnd w:id="217"/>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No. 56 of 2010 s. 16.]</w:t>
      </w:r>
    </w:p>
    <w:p>
      <w:pPr>
        <w:pStyle w:val="Heading4"/>
      </w:pPr>
      <w:bookmarkStart w:id="218" w:name="_Toc525287788"/>
      <w:bookmarkStart w:id="219" w:name="_Toc526243217"/>
      <w:r>
        <w:t>Subdivision 3 — General matters</w:t>
      </w:r>
      <w:bookmarkEnd w:id="218"/>
      <w:bookmarkEnd w:id="219"/>
    </w:p>
    <w:p>
      <w:pPr>
        <w:pStyle w:val="Footnoteheading"/>
      </w:pPr>
      <w:r>
        <w:tab/>
        <w:t>[Heading inserted: No. 56 of 2010 s. 17.]</w:t>
      </w:r>
    </w:p>
    <w:p>
      <w:pPr>
        <w:pStyle w:val="Heading5"/>
        <w:rPr>
          <w:snapToGrid w:val="0"/>
        </w:rPr>
      </w:pPr>
      <w:bookmarkStart w:id="220" w:name="_Toc526243218"/>
      <w:r>
        <w:rPr>
          <w:rStyle w:val="CharSectno"/>
        </w:rPr>
        <w:t>102</w:t>
      </w:r>
      <w:r>
        <w:rPr>
          <w:snapToGrid w:val="0"/>
        </w:rPr>
        <w:t>.</w:t>
      </w:r>
      <w:r>
        <w:rPr>
          <w:snapToGrid w:val="0"/>
        </w:rPr>
        <w:tab/>
        <w:t>Management and control of incorporated licensees, approvals required</w:t>
      </w:r>
      <w:bookmarkEnd w:id="220"/>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No. 73 of 2006 s. 70 and 110; No. 56 of 2010 s. 69.]</w:t>
      </w:r>
    </w:p>
    <w:p>
      <w:pPr>
        <w:pStyle w:val="Heading5"/>
        <w:spacing w:before="240"/>
        <w:rPr>
          <w:snapToGrid w:val="0"/>
        </w:rPr>
      </w:pPr>
      <w:bookmarkStart w:id="221" w:name="_Toc526243219"/>
      <w:r>
        <w:rPr>
          <w:rStyle w:val="CharSectno"/>
        </w:rPr>
        <w:t>103</w:t>
      </w:r>
      <w:r>
        <w:rPr>
          <w:snapToGrid w:val="0"/>
        </w:rPr>
        <w:t>.</w:t>
      </w:r>
      <w:r>
        <w:rPr>
          <w:snapToGrid w:val="0"/>
        </w:rPr>
        <w:tab/>
        <w:t>Owners of licensed premises to notify Director of certain matters</w:t>
      </w:r>
      <w:bookmarkEnd w:id="221"/>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No. 56 of 2010 s. 69.]</w:t>
      </w:r>
    </w:p>
    <w:p>
      <w:pPr>
        <w:pStyle w:val="Heading3"/>
        <w:keepLines/>
        <w:spacing w:before="180"/>
      </w:pPr>
      <w:bookmarkStart w:id="222" w:name="_Toc525287791"/>
      <w:bookmarkStart w:id="223" w:name="_Toc526243220"/>
      <w:r>
        <w:rPr>
          <w:rStyle w:val="CharDivNo"/>
        </w:rPr>
        <w:t>Division 3A</w:t>
      </w:r>
      <w:r>
        <w:t> — </w:t>
      </w:r>
      <w:r>
        <w:rPr>
          <w:rStyle w:val="CharDivText"/>
        </w:rPr>
        <w:t>Responsible practices in selling, supplying and serving liquor</w:t>
      </w:r>
      <w:bookmarkEnd w:id="222"/>
      <w:bookmarkEnd w:id="223"/>
    </w:p>
    <w:p>
      <w:pPr>
        <w:pStyle w:val="Footnoteheading"/>
        <w:keepNext/>
        <w:keepLines/>
      </w:pPr>
      <w:r>
        <w:tab/>
        <w:t>[Heading inserted: No. 73 of 2006 s. 71.]</w:t>
      </w:r>
    </w:p>
    <w:p>
      <w:pPr>
        <w:pStyle w:val="Heading5"/>
        <w:spacing w:before="180"/>
      </w:pPr>
      <w:bookmarkStart w:id="224" w:name="_Toc526243221"/>
      <w:r>
        <w:rPr>
          <w:rStyle w:val="CharSectno"/>
        </w:rPr>
        <w:t>103AA</w:t>
      </w:r>
      <w:r>
        <w:t>.</w:t>
      </w:r>
      <w:r>
        <w:tab/>
        <w:t>Register of responsible practices’ training</w:t>
      </w:r>
      <w:bookmarkEnd w:id="224"/>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No. 35 of 2015 s. 15.]</w:t>
      </w:r>
    </w:p>
    <w:p>
      <w:pPr>
        <w:pStyle w:val="Heading5"/>
        <w:spacing w:before="180"/>
      </w:pPr>
      <w:bookmarkStart w:id="225" w:name="_Toc526243222"/>
      <w:r>
        <w:rPr>
          <w:rStyle w:val="CharSectno"/>
        </w:rPr>
        <w:t>103A</w:t>
      </w:r>
      <w:r>
        <w:t>.</w:t>
      </w:r>
      <w:r>
        <w:tab/>
        <w:t>Regulations about training people in responsible practices</w:t>
      </w:r>
      <w:bookmarkEnd w:id="225"/>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No. 73 of 2006 s. 71; amended: No. 56 of 2010 s. 25 and 50; No. 35 of 2015 s. 16.]</w:t>
      </w:r>
    </w:p>
    <w:p>
      <w:pPr>
        <w:pStyle w:val="Heading3"/>
        <w:spacing w:before="180"/>
        <w:rPr>
          <w:snapToGrid w:val="0"/>
        </w:rPr>
      </w:pPr>
      <w:bookmarkStart w:id="226" w:name="_Toc525287794"/>
      <w:bookmarkStart w:id="227" w:name="_Toc526243223"/>
      <w:r>
        <w:rPr>
          <w:rStyle w:val="CharDivNo"/>
        </w:rPr>
        <w:t>Division 4</w:t>
      </w:r>
      <w:r>
        <w:rPr>
          <w:snapToGrid w:val="0"/>
        </w:rPr>
        <w:t> — </w:t>
      </w:r>
      <w:r>
        <w:rPr>
          <w:rStyle w:val="CharDivText"/>
        </w:rPr>
        <w:t>Profit sharing</w:t>
      </w:r>
      <w:bookmarkEnd w:id="226"/>
      <w:bookmarkEnd w:id="227"/>
      <w:r>
        <w:rPr>
          <w:rStyle w:val="CharDivText"/>
        </w:rPr>
        <w:t xml:space="preserve"> </w:t>
      </w:r>
    </w:p>
    <w:p>
      <w:pPr>
        <w:pStyle w:val="Heading5"/>
        <w:spacing w:before="180"/>
        <w:rPr>
          <w:snapToGrid w:val="0"/>
        </w:rPr>
      </w:pPr>
      <w:bookmarkStart w:id="228" w:name="_Toc526243224"/>
      <w:r>
        <w:rPr>
          <w:rStyle w:val="CharSectno"/>
        </w:rPr>
        <w:t>104</w:t>
      </w:r>
      <w:r>
        <w:rPr>
          <w:snapToGrid w:val="0"/>
        </w:rPr>
        <w:t>.</w:t>
      </w:r>
      <w:r>
        <w:rPr>
          <w:snapToGrid w:val="0"/>
        </w:rPr>
        <w:tab/>
        <w:t>Profit sharing etc. prohibited without approval</w:t>
      </w:r>
      <w:bookmarkEnd w:id="228"/>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No. 12 of 1998 s. 73; No. 73 of 2006 s. 72, 92(2) and 110; No. 56 of 2010 s. 69.] </w:t>
      </w:r>
    </w:p>
    <w:p>
      <w:pPr>
        <w:pStyle w:val="Heading3"/>
        <w:rPr>
          <w:snapToGrid w:val="0"/>
        </w:rPr>
      </w:pPr>
      <w:bookmarkStart w:id="229" w:name="_Toc525287796"/>
      <w:bookmarkStart w:id="230" w:name="_Toc526243225"/>
      <w:r>
        <w:rPr>
          <w:rStyle w:val="CharDivNo"/>
        </w:rPr>
        <w:t>Division 5</w:t>
      </w:r>
      <w:r>
        <w:rPr>
          <w:snapToGrid w:val="0"/>
        </w:rPr>
        <w:t> — </w:t>
      </w:r>
      <w:r>
        <w:rPr>
          <w:rStyle w:val="CharDivText"/>
        </w:rPr>
        <w:t>Lodgers</w:t>
      </w:r>
      <w:bookmarkEnd w:id="229"/>
      <w:bookmarkEnd w:id="230"/>
      <w:r>
        <w:rPr>
          <w:rStyle w:val="CharDivText"/>
        </w:rPr>
        <w:t xml:space="preserve"> </w:t>
      </w:r>
    </w:p>
    <w:p>
      <w:pPr>
        <w:pStyle w:val="Heading5"/>
        <w:rPr>
          <w:snapToGrid w:val="0"/>
        </w:rPr>
      </w:pPr>
      <w:bookmarkStart w:id="231" w:name="_Toc526243226"/>
      <w:r>
        <w:rPr>
          <w:rStyle w:val="CharSectno"/>
        </w:rPr>
        <w:t>105</w:t>
      </w:r>
      <w:r>
        <w:rPr>
          <w:snapToGrid w:val="0"/>
        </w:rPr>
        <w:t>.</w:t>
      </w:r>
      <w:r>
        <w:rPr>
          <w:snapToGrid w:val="0"/>
        </w:rPr>
        <w:tab/>
        <w:t>Persons deemed lodgers of licensed premises in some cases</w:t>
      </w:r>
      <w:bookmarkEnd w:id="231"/>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No. 23 of 2000 s. 7; No. 73 of 2006 s. 73 and 108.]</w:t>
      </w:r>
    </w:p>
    <w:p>
      <w:pPr>
        <w:pStyle w:val="Heading5"/>
        <w:spacing w:before="180"/>
        <w:rPr>
          <w:snapToGrid w:val="0"/>
        </w:rPr>
      </w:pPr>
      <w:bookmarkStart w:id="232" w:name="_Toc526243227"/>
      <w:r>
        <w:rPr>
          <w:rStyle w:val="CharSectno"/>
        </w:rPr>
        <w:t>106</w:t>
      </w:r>
      <w:r>
        <w:rPr>
          <w:snapToGrid w:val="0"/>
        </w:rPr>
        <w:t>.</w:t>
      </w:r>
      <w:r>
        <w:rPr>
          <w:snapToGrid w:val="0"/>
        </w:rPr>
        <w:tab/>
        <w:t>Liquor supplied to lodgers etc., conditions applying to</w:t>
      </w:r>
      <w:bookmarkEnd w:id="232"/>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No. 12 of 1998 s. 74; No. 73 of 2006 s. 74 and 110; No. 56 of 2010 s. 51.] </w:t>
      </w:r>
    </w:p>
    <w:p>
      <w:pPr>
        <w:pStyle w:val="Heading5"/>
        <w:rPr>
          <w:snapToGrid w:val="0"/>
        </w:rPr>
      </w:pPr>
      <w:bookmarkStart w:id="233" w:name="_Toc526243228"/>
      <w:r>
        <w:rPr>
          <w:rStyle w:val="CharSectno"/>
        </w:rPr>
        <w:t>107</w:t>
      </w:r>
      <w:r>
        <w:rPr>
          <w:snapToGrid w:val="0"/>
        </w:rPr>
        <w:t>.</w:t>
      </w:r>
      <w:r>
        <w:rPr>
          <w:snapToGrid w:val="0"/>
        </w:rPr>
        <w:tab/>
        <w:t>Loss of lodger’s property, licensee’s liability for</w:t>
      </w:r>
      <w:bookmarkEnd w:id="233"/>
    </w:p>
    <w:p>
      <w:pPr>
        <w:pStyle w:val="Subsection"/>
        <w:keepNext/>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keepNext/>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34" w:name="_Toc525287800"/>
      <w:bookmarkStart w:id="235" w:name="_Toc526243229"/>
      <w:r>
        <w:rPr>
          <w:rStyle w:val="CharDivNo"/>
        </w:rPr>
        <w:t>Division 6</w:t>
      </w:r>
      <w:r>
        <w:rPr>
          <w:snapToGrid w:val="0"/>
        </w:rPr>
        <w:t> — </w:t>
      </w:r>
      <w:r>
        <w:rPr>
          <w:rStyle w:val="CharDivText"/>
        </w:rPr>
        <w:t>The sale and consumption of liquor, etc.</w:t>
      </w:r>
      <w:bookmarkEnd w:id="234"/>
      <w:bookmarkEnd w:id="235"/>
      <w:r>
        <w:rPr>
          <w:rStyle w:val="CharDivText"/>
        </w:rPr>
        <w:t xml:space="preserve"> </w:t>
      </w:r>
    </w:p>
    <w:p>
      <w:pPr>
        <w:pStyle w:val="Heading5"/>
      </w:pPr>
      <w:bookmarkStart w:id="236" w:name="_Toc526243230"/>
      <w:r>
        <w:rPr>
          <w:rStyle w:val="CharSectno"/>
        </w:rPr>
        <w:t>108</w:t>
      </w:r>
      <w:r>
        <w:t>.</w:t>
      </w:r>
      <w:r>
        <w:tab/>
        <w:t>Certain licensees to exhibit charges for meals and liquor</w:t>
      </w:r>
      <w:bookmarkEnd w:id="23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No. 73 of 2006 s. 75; amended: No. 56 of 2010 s. 69.]</w:t>
      </w:r>
    </w:p>
    <w:p>
      <w:pPr>
        <w:pStyle w:val="Heading5"/>
        <w:spacing w:before="240"/>
        <w:rPr>
          <w:snapToGrid w:val="0"/>
        </w:rPr>
      </w:pPr>
      <w:bookmarkStart w:id="237" w:name="_Toc526243231"/>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237"/>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No. 84 of 2004 s. 80 and 82; No. 73 of 2006 s. 76 and 110; No. 56 of 2010 s. 52.] </w:t>
      </w:r>
    </w:p>
    <w:p>
      <w:pPr>
        <w:pStyle w:val="Heading5"/>
        <w:keepLines w:val="0"/>
        <w:spacing w:before="240"/>
        <w:rPr>
          <w:snapToGrid w:val="0"/>
        </w:rPr>
      </w:pPr>
      <w:bookmarkStart w:id="238" w:name="_Toc526243232"/>
      <w:r>
        <w:rPr>
          <w:rStyle w:val="CharSectno"/>
        </w:rPr>
        <w:t>110</w:t>
      </w:r>
      <w:r>
        <w:rPr>
          <w:snapToGrid w:val="0"/>
        </w:rPr>
        <w:t>.</w:t>
      </w:r>
      <w:r>
        <w:rPr>
          <w:snapToGrid w:val="0"/>
        </w:rPr>
        <w:tab/>
        <w:t>Licensed premises and sports arenas, offences as to</w:t>
      </w:r>
      <w:bookmarkEnd w:id="238"/>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keepNext/>
      </w:pPr>
      <w:r>
        <w:tab/>
        <w:t>(4A)</w:t>
      </w:r>
      <w:r>
        <w:tab/>
        <w:t>A person attending a public event at a sports arena commits an offence if, without the consent of the licensee, the person —</w:t>
      </w:r>
    </w:p>
    <w:p>
      <w:pPr>
        <w:pStyle w:val="Indenta"/>
        <w:keepNext/>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No. 12 of 1998 s. 76; No. 73 of 2006 s. 77 and 110; No. 56 of 2010 s. 53 and 69; No. 35 of 2015 s. 17; No. 9 of 2018 s. 54.] </w:t>
      </w:r>
    </w:p>
    <w:p>
      <w:pPr>
        <w:pStyle w:val="Heading5"/>
        <w:rPr>
          <w:snapToGrid w:val="0"/>
        </w:rPr>
      </w:pPr>
      <w:bookmarkStart w:id="239" w:name="_Toc526243233"/>
      <w:r>
        <w:rPr>
          <w:rStyle w:val="CharSectno"/>
        </w:rPr>
        <w:t>111</w:t>
      </w:r>
      <w:r>
        <w:rPr>
          <w:snapToGrid w:val="0"/>
        </w:rPr>
        <w:t>.</w:t>
      </w:r>
      <w:r>
        <w:rPr>
          <w:snapToGrid w:val="0"/>
        </w:rPr>
        <w:tab/>
        <w:t>Trading outside permitted hours, offences as to</w:t>
      </w:r>
      <w:bookmarkEnd w:id="239"/>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No. 12 of 1998 s. 77; No. 73 of 2006 s. 110; No. 56 of 2010 s. 54 and 69.] </w:t>
      </w:r>
    </w:p>
    <w:p>
      <w:pPr>
        <w:pStyle w:val="Heading5"/>
        <w:keepNext w:val="0"/>
        <w:keepLines w:val="0"/>
        <w:rPr>
          <w:snapToGrid w:val="0"/>
        </w:rPr>
      </w:pPr>
      <w:bookmarkStart w:id="240" w:name="_Toc526243234"/>
      <w:r>
        <w:rPr>
          <w:rStyle w:val="CharSectno"/>
        </w:rPr>
        <w:t>112</w:t>
      </w:r>
      <w:r>
        <w:rPr>
          <w:snapToGrid w:val="0"/>
        </w:rPr>
        <w:t>.</w:t>
      </w:r>
      <w:r>
        <w:rPr>
          <w:snapToGrid w:val="0"/>
        </w:rPr>
        <w:tab/>
        <w:t>Exceptions to s. 109, 110 and 111</w:t>
      </w:r>
      <w:bookmarkEnd w:id="240"/>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No. 12 of 1998 s. 78; No. 84 of 2004 s. 80; No. 9 of 2018 s. 55.] </w:t>
      </w:r>
    </w:p>
    <w:p>
      <w:pPr>
        <w:pStyle w:val="Heading5"/>
        <w:keepNext w:val="0"/>
        <w:keepLines w:val="0"/>
        <w:rPr>
          <w:snapToGrid w:val="0"/>
        </w:rPr>
      </w:pPr>
      <w:bookmarkStart w:id="241" w:name="_Toc526243235"/>
      <w:r>
        <w:rPr>
          <w:rStyle w:val="CharSectno"/>
        </w:rPr>
        <w:t>113</w:t>
      </w:r>
      <w:r>
        <w:rPr>
          <w:snapToGrid w:val="0"/>
        </w:rPr>
        <w:t>.</w:t>
      </w:r>
      <w:r>
        <w:rPr>
          <w:snapToGrid w:val="0"/>
        </w:rPr>
        <w:tab/>
        <w:t>Offence under s. 109, 110 or 111, finding as to unlawful dealing in liquor; forfeiture of liquor</w:t>
      </w:r>
      <w:bookmarkEnd w:id="241"/>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No. 6 of 1993 s. 11; No. 49 of 1996 s. 64; No. 59 of 2006 s. 54; No. 77 of 2006 s. 4.]</w:t>
      </w:r>
    </w:p>
    <w:p>
      <w:pPr>
        <w:pStyle w:val="Heading5"/>
      </w:pPr>
      <w:bookmarkStart w:id="242" w:name="_Toc526243236"/>
      <w:r>
        <w:rPr>
          <w:rStyle w:val="CharSectno"/>
        </w:rPr>
        <w:t>113A</w:t>
      </w:r>
      <w:r>
        <w:t>.</w:t>
      </w:r>
      <w:r>
        <w:tab/>
        <w:t>Websites of some licensees, information to be displayed on</w:t>
      </w:r>
      <w:bookmarkEnd w:id="242"/>
    </w:p>
    <w:p>
      <w:pPr>
        <w:pStyle w:val="Subsection"/>
        <w:keepNext/>
      </w:pPr>
      <w:r>
        <w:tab/>
      </w:r>
      <w:r>
        <w:tab/>
      </w:r>
      <w:r>
        <w:rPr>
          <w:snapToGrid w:val="0"/>
        </w:rPr>
        <w:t>Where</w:t>
      </w:r>
      <w:r>
        <w:t xml:space="preserve"> — </w:t>
      </w:r>
    </w:p>
    <w:p>
      <w:pPr>
        <w:pStyle w:val="Indenta"/>
        <w:keepNext/>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No. 73 of 2006 s. 78; amended: No. 56 of 2010 s. 69.]</w:t>
      </w:r>
    </w:p>
    <w:p>
      <w:pPr>
        <w:pStyle w:val="Heading5"/>
        <w:rPr>
          <w:snapToGrid w:val="0"/>
        </w:rPr>
      </w:pPr>
      <w:bookmarkStart w:id="243" w:name="_Toc526243237"/>
      <w:r>
        <w:rPr>
          <w:rStyle w:val="CharSectno"/>
        </w:rPr>
        <w:t>114</w:t>
      </w:r>
      <w:r>
        <w:rPr>
          <w:snapToGrid w:val="0"/>
        </w:rPr>
        <w:t>.</w:t>
      </w:r>
      <w:r>
        <w:rPr>
          <w:snapToGrid w:val="0"/>
        </w:rPr>
        <w:tab/>
        <w:t>Closure of licensed premises, police powers as to</w:t>
      </w:r>
      <w:bookmarkEnd w:id="243"/>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No. 12 of 1998 s. 79; No. 73 of 2006 s. 79, 109 and 110; No. 56 of 2010 s. 55.] </w:t>
      </w:r>
    </w:p>
    <w:p>
      <w:pPr>
        <w:pStyle w:val="Heading5"/>
        <w:rPr>
          <w:snapToGrid w:val="0"/>
        </w:rPr>
      </w:pPr>
      <w:bookmarkStart w:id="244" w:name="_Toc526243238"/>
      <w:r>
        <w:rPr>
          <w:rStyle w:val="CharSectno"/>
        </w:rPr>
        <w:t>115</w:t>
      </w:r>
      <w:r>
        <w:rPr>
          <w:snapToGrid w:val="0"/>
        </w:rPr>
        <w:t>.</w:t>
      </w:r>
      <w:r>
        <w:rPr>
          <w:snapToGrid w:val="0"/>
        </w:rPr>
        <w:tab/>
        <w:t>Drunk etc. people, offences as to, refusal of entry to etc.</w:t>
      </w:r>
      <w:bookmarkEnd w:id="244"/>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Penalty for this subsection:</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Penalty for this subsection:</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pPr>
      <w:r>
        <w:tab/>
        <w:t>(4B)</w:t>
      </w:r>
      <w:r>
        <w:tab/>
        <w:t>A person commits an offence if the person does not leave licensed premises or a part of licensed premises after being required under subsection (4)(b) to do so.</w:t>
      </w:r>
    </w:p>
    <w:p>
      <w:pPr>
        <w:pStyle w:val="Penstart"/>
      </w:pPr>
      <w:r>
        <w:tab/>
        <w:t>Penalty for this subsection: a fine of $5 000.</w:t>
      </w:r>
    </w:p>
    <w:p>
      <w:pPr>
        <w:pStyle w:val="Subsection"/>
        <w:keepNext/>
        <w:rPr>
          <w:snapToGrid w:val="0"/>
        </w:rPr>
      </w:pPr>
      <w:r>
        <w:rPr>
          <w:snapToGrid w:val="0"/>
        </w:rPr>
        <w:tab/>
        <w:t>(5)</w:t>
      </w:r>
      <w:r>
        <w:rPr>
          <w:snapToGrid w:val="0"/>
        </w:rPr>
        <w:tab/>
      </w:r>
      <w:r>
        <w:t>A person commits an offence if the person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w:t>
      </w:r>
    </w:p>
    <w:p>
      <w:pPr>
        <w:pStyle w:val="Ednotepara"/>
      </w:pPr>
      <w:r>
        <w:tab/>
        <w:t>[(c)</w:t>
      </w:r>
      <w:r>
        <w:tab/>
        <w:t>deleted]</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for this subsection: a fine of $5 000.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r>
      <w:r>
        <w:t>Penalty for this subsection:</w:t>
      </w:r>
      <w:r>
        <w:rPr>
          <w:snapToGrid w:val="0"/>
        </w:rPr>
        <w:t xml:space="preserve">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No. 12 of 1998 s. 80; No. 35 of 2003 s. 173(3); No. 73 of 2006 s. 80, 109 and 110; No. 56 of 2010 s. 25, 56 and 69; No. 9 of 2018 s. 56.] </w:t>
      </w:r>
    </w:p>
    <w:p>
      <w:pPr>
        <w:pStyle w:val="Heading5"/>
      </w:pPr>
      <w:bookmarkStart w:id="245" w:name="_Toc526243239"/>
      <w:r>
        <w:rPr>
          <w:rStyle w:val="CharSectno"/>
        </w:rPr>
        <w:t>115AA</w:t>
      </w:r>
      <w:r>
        <w:t>.</w:t>
      </w:r>
      <w:r>
        <w:tab/>
        <w:t>Banning people from licensed premises, Commissioner of Police’s power for</w:t>
      </w:r>
      <w:bookmarkEnd w:id="245"/>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No. 56 of 2010 s. 30; amended: No. 9 of 2018 s. 57.]</w:t>
      </w:r>
    </w:p>
    <w:p>
      <w:pPr>
        <w:pStyle w:val="Heading5"/>
      </w:pPr>
      <w:bookmarkStart w:id="246" w:name="_Toc526243240"/>
      <w:r>
        <w:rPr>
          <w:rStyle w:val="CharSectno"/>
        </w:rPr>
        <w:t>115AB</w:t>
      </w:r>
      <w:r>
        <w:t>.</w:t>
      </w:r>
      <w:r>
        <w:tab/>
        <w:t>Delegation by Commissioner of Police</w:t>
      </w:r>
      <w:bookmarkEnd w:id="246"/>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No. 56 of 2010 s. 30.]</w:t>
      </w:r>
    </w:p>
    <w:p>
      <w:pPr>
        <w:pStyle w:val="Heading5"/>
      </w:pPr>
      <w:bookmarkStart w:id="247" w:name="_Toc526243241"/>
      <w:r>
        <w:rPr>
          <w:rStyle w:val="CharSectno"/>
        </w:rPr>
        <w:t>115AC</w:t>
      </w:r>
      <w:r>
        <w:t>.</w:t>
      </w:r>
      <w:r>
        <w:tab/>
        <w:t>Publication of details of people banned under s. 115AA</w:t>
      </w:r>
      <w:bookmarkEnd w:id="247"/>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No. 56 of 2010 s. 30; amended: No. 9 of 2018 s. 58.]</w:t>
      </w:r>
    </w:p>
    <w:p>
      <w:pPr>
        <w:pStyle w:val="Heading5"/>
      </w:pPr>
      <w:bookmarkStart w:id="248" w:name="_Toc526243242"/>
      <w:r>
        <w:rPr>
          <w:rStyle w:val="CharSectno"/>
        </w:rPr>
        <w:t>115AD</w:t>
      </w:r>
      <w:r>
        <w:t>.</w:t>
      </w:r>
      <w:r>
        <w:tab/>
        <w:t>Review of s. 115AA notices</w:t>
      </w:r>
      <w:bookmarkEnd w:id="248"/>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No. 56 of 2010 s. 30.]</w:t>
      </w:r>
    </w:p>
    <w:p>
      <w:pPr>
        <w:pStyle w:val="Heading5"/>
        <w:spacing w:before="180"/>
      </w:pPr>
      <w:bookmarkStart w:id="249" w:name="_Toc526243243"/>
      <w:r>
        <w:rPr>
          <w:rStyle w:val="CharSectno"/>
        </w:rPr>
        <w:t>115AE</w:t>
      </w:r>
      <w:r>
        <w:t>.</w:t>
      </w:r>
      <w:r>
        <w:tab/>
        <w:t>Permitting entry to premises contrary to s. 115AA notice</w:t>
      </w:r>
      <w:bookmarkEnd w:id="249"/>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No. 56 of 2010 s. 30; amended: No. 9 of 2018 s. 59.]</w:t>
      </w:r>
    </w:p>
    <w:p>
      <w:pPr>
        <w:pStyle w:val="Heading5"/>
        <w:spacing w:before="180"/>
      </w:pPr>
      <w:bookmarkStart w:id="250" w:name="_Toc526243244"/>
      <w:r>
        <w:rPr>
          <w:rStyle w:val="CharSectno"/>
        </w:rPr>
        <w:t>115A</w:t>
      </w:r>
      <w:r>
        <w:t>.</w:t>
      </w:r>
      <w:r>
        <w:tab/>
        <w:t>Drinking water to be provided free at certain licensed premises</w:t>
      </w:r>
      <w:bookmarkEnd w:id="250"/>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No. 73 of 2006 s. 81; amended: No. 56 of 2010 s. 57.]</w:t>
      </w:r>
    </w:p>
    <w:p>
      <w:pPr>
        <w:pStyle w:val="Heading5"/>
        <w:keepNext w:val="0"/>
        <w:keepLines w:val="0"/>
        <w:spacing w:before="180"/>
        <w:rPr>
          <w:snapToGrid w:val="0"/>
        </w:rPr>
      </w:pPr>
      <w:bookmarkStart w:id="251" w:name="_Toc526243245"/>
      <w:r>
        <w:rPr>
          <w:rStyle w:val="CharSectno"/>
        </w:rPr>
        <w:t>116</w:t>
      </w:r>
      <w:r>
        <w:rPr>
          <w:snapToGrid w:val="0"/>
        </w:rPr>
        <w:t>.</w:t>
      </w:r>
      <w:r>
        <w:rPr>
          <w:snapToGrid w:val="0"/>
        </w:rPr>
        <w:tab/>
        <w:t>Documents to be displayed etc. at premises and produced</w:t>
      </w:r>
      <w:bookmarkEnd w:id="251"/>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No. 12 of 1998 s. 81; amended: No. 73 of 2006 s. 82 and 110; No. 56 of 2010 s. 18, 25, 58 and 69; No. 35 of 2015 s. 18.] </w:t>
      </w:r>
    </w:p>
    <w:p>
      <w:pPr>
        <w:pStyle w:val="Heading5"/>
        <w:spacing w:before="180"/>
      </w:pPr>
      <w:bookmarkStart w:id="252" w:name="_Toc526243246"/>
      <w:r>
        <w:rPr>
          <w:rStyle w:val="CharSectno"/>
        </w:rPr>
        <w:t>116A</w:t>
      </w:r>
      <w:r>
        <w:t>.</w:t>
      </w:r>
      <w:r>
        <w:tab/>
        <w:t>Register of incidents at licensed premises to be maintained</w:t>
      </w:r>
      <w:bookmarkEnd w:id="252"/>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No. 73 of 2006 s. 83; amended: No. 56 of 2010 s. 59 and 69; No. 35 of 2015 s. 19.]</w:t>
      </w:r>
    </w:p>
    <w:p>
      <w:pPr>
        <w:pStyle w:val="Heading3"/>
      </w:pPr>
      <w:bookmarkStart w:id="253" w:name="_Toc525287818"/>
      <w:bookmarkStart w:id="254" w:name="_Toc526243247"/>
      <w:r>
        <w:rPr>
          <w:rStyle w:val="CharDivNo"/>
        </w:rPr>
        <w:t>Division 7</w:t>
      </w:r>
      <w:r>
        <w:t> — </w:t>
      </w:r>
      <w:r>
        <w:rPr>
          <w:rStyle w:val="CharDivText"/>
        </w:rPr>
        <w:t>Complaints to Director</w:t>
      </w:r>
      <w:bookmarkEnd w:id="253"/>
      <w:bookmarkEnd w:id="254"/>
    </w:p>
    <w:p>
      <w:pPr>
        <w:pStyle w:val="Footnoteheading"/>
        <w:rPr>
          <w:snapToGrid w:val="0"/>
        </w:rPr>
      </w:pPr>
      <w:r>
        <w:tab/>
        <w:t>[Heading inserted: No. 73 of 2006 s. 84.]</w:t>
      </w:r>
    </w:p>
    <w:p>
      <w:pPr>
        <w:pStyle w:val="Heading5"/>
        <w:spacing w:before="240"/>
        <w:rPr>
          <w:snapToGrid w:val="0"/>
        </w:rPr>
      </w:pPr>
      <w:bookmarkStart w:id="255" w:name="_Toc526243248"/>
      <w:r>
        <w:rPr>
          <w:rStyle w:val="CharSectno"/>
        </w:rPr>
        <w:t>117</w:t>
      </w:r>
      <w:r>
        <w:rPr>
          <w:snapToGrid w:val="0"/>
        </w:rPr>
        <w:t>.</w:t>
      </w:r>
      <w:r>
        <w:rPr>
          <w:snapToGrid w:val="0"/>
        </w:rPr>
        <w:tab/>
        <w:t>Noise or behaviour related to licensed premises, complaints about</w:t>
      </w:r>
      <w:bookmarkEnd w:id="255"/>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No. 14 of 1996 s. 4; No. 12 of 1998 s. 82; No. 73 of 2006 s. 85, 106 and 110; No. 56 of 2010 s. 69.] </w:t>
      </w:r>
    </w:p>
    <w:p>
      <w:pPr>
        <w:pStyle w:val="Heading3"/>
        <w:rPr>
          <w:snapToGrid w:val="0"/>
        </w:rPr>
      </w:pPr>
      <w:bookmarkStart w:id="256" w:name="_Toc525287820"/>
      <w:bookmarkStart w:id="257" w:name="_Toc526243249"/>
      <w:r>
        <w:rPr>
          <w:rStyle w:val="CharDivNo"/>
        </w:rPr>
        <w:t>Division 8</w:t>
      </w:r>
      <w:r>
        <w:rPr>
          <w:snapToGrid w:val="0"/>
        </w:rPr>
        <w:t> — </w:t>
      </w:r>
      <w:r>
        <w:rPr>
          <w:rStyle w:val="CharDivText"/>
        </w:rPr>
        <w:t>Liquor on unlicensed premises</w:t>
      </w:r>
      <w:bookmarkEnd w:id="256"/>
      <w:bookmarkEnd w:id="257"/>
      <w:r>
        <w:rPr>
          <w:rStyle w:val="CharDivText"/>
        </w:rPr>
        <w:t xml:space="preserve"> </w:t>
      </w:r>
    </w:p>
    <w:p>
      <w:pPr>
        <w:pStyle w:val="Heading5"/>
        <w:spacing w:before="180"/>
        <w:rPr>
          <w:snapToGrid w:val="0"/>
        </w:rPr>
      </w:pPr>
      <w:bookmarkStart w:id="258" w:name="_Toc526243250"/>
      <w:r>
        <w:rPr>
          <w:rStyle w:val="CharSectno"/>
        </w:rPr>
        <w:t>118</w:t>
      </w:r>
      <w:r>
        <w:rPr>
          <w:snapToGrid w:val="0"/>
        </w:rPr>
        <w:t>.</w:t>
      </w:r>
      <w:r>
        <w:rPr>
          <w:snapToGrid w:val="0"/>
        </w:rPr>
        <w:tab/>
        <w:t>Persons purporting to be licensee</w:t>
      </w:r>
      <w:bookmarkEnd w:id="258"/>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No. 73 of 2006 s. 110; No. 56 of 2010 s. 69.]</w:t>
      </w:r>
    </w:p>
    <w:p>
      <w:pPr>
        <w:pStyle w:val="Heading5"/>
        <w:spacing w:before="240"/>
        <w:rPr>
          <w:snapToGrid w:val="0"/>
        </w:rPr>
      </w:pPr>
      <w:bookmarkStart w:id="259" w:name="_Toc526243251"/>
      <w:r>
        <w:rPr>
          <w:rStyle w:val="CharSectno"/>
        </w:rPr>
        <w:t>119</w:t>
      </w:r>
      <w:r>
        <w:rPr>
          <w:snapToGrid w:val="0"/>
        </w:rPr>
        <w:t>.</w:t>
      </w:r>
      <w:r>
        <w:rPr>
          <w:snapToGrid w:val="0"/>
        </w:rPr>
        <w:tab/>
        <w:t>Unlicensed premises etc., offences as to</w:t>
      </w:r>
      <w:bookmarkEnd w:id="259"/>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No. 84 of 2004 s. 80 and 82; No. 73 of 2006 s. 86 and 110; No. 56 of 2010 s. 25, 60 and 69; No. 8 of 2012 s. 119.] </w:t>
      </w:r>
    </w:p>
    <w:p>
      <w:pPr>
        <w:pStyle w:val="Heading3"/>
        <w:spacing w:before="180"/>
      </w:pPr>
      <w:bookmarkStart w:id="260" w:name="_Toc525287823"/>
      <w:bookmarkStart w:id="261" w:name="_Toc526243252"/>
      <w:r>
        <w:rPr>
          <w:rStyle w:val="CharDivNo"/>
        </w:rPr>
        <w:t>Division 8A</w:t>
      </w:r>
      <w:r>
        <w:t> — </w:t>
      </w:r>
      <w:r>
        <w:rPr>
          <w:rStyle w:val="CharDivText"/>
        </w:rPr>
        <w:t>Conduct of unapproved businesses on or from licensed premises</w:t>
      </w:r>
      <w:bookmarkEnd w:id="260"/>
      <w:bookmarkEnd w:id="261"/>
    </w:p>
    <w:p>
      <w:pPr>
        <w:pStyle w:val="Footnoteheading"/>
      </w:pPr>
      <w:r>
        <w:tab/>
        <w:t>[Heading inserted: No. 73 of 2006 s. 87.]</w:t>
      </w:r>
    </w:p>
    <w:p>
      <w:pPr>
        <w:pStyle w:val="Heading5"/>
        <w:spacing w:before="180"/>
      </w:pPr>
      <w:bookmarkStart w:id="262" w:name="_Toc526243253"/>
      <w:r>
        <w:rPr>
          <w:rStyle w:val="CharSectno"/>
        </w:rPr>
        <w:t>119A</w:t>
      </w:r>
      <w:r>
        <w:t>.</w:t>
      </w:r>
      <w:r>
        <w:tab/>
        <w:t>Non-liquor businesses on licensed premises, conduct of requires approval</w:t>
      </w:r>
      <w:bookmarkEnd w:id="262"/>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No. 56 of 2010 s. 61.]</w:t>
      </w:r>
    </w:p>
    <w:p>
      <w:pPr>
        <w:pStyle w:val="Heading3"/>
        <w:keepLines/>
        <w:rPr>
          <w:snapToGrid w:val="0"/>
        </w:rPr>
      </w:pPr>
      <w:bookmarkStart w:id="263" w:name="_Toc525287825"/>
      <w:bookmarkStart w:id="264" w:name="_Toc526243254"/>
      <w:r>
        <w:rPr>
          <w:rStyle w:val="CharDivNo"/>
        </w:rPr>
        <w:t>Division 9</w:t>
      </w:r>
      <w:r>
        <w:rPr>
          <w:snapToGrid w:val="0"/>
        </w:rPr>
        <w:t> — </w:t>
      </w:r>
      <w:r>
        <w:rPr>
          <w:rStyle w:val="CharDivText"/>
        </w:rPr>
        <w:t>Juveniles</w:t>
      </w:r>
      <w:bookmarkEnd w:id="263"/>
      <w:bookmarkEnd w:id="264"/>
      <w:r>
        <w:rPr>
          <w:rStyle w:val="CharDivText"/>
        </w:rPr>
        <w:t xml:space="preserve"> </w:t>
      </w:r>
    </w:p>
    <w:p>
      <w:pPr>
        <w:pStyle w:val="Heading5"/>
        <w:rPr>
          <w:snapToGrid w:val="0"/>
        </w:rPr>
      </w:pPr>
      <w:bookmarkStart w:id="265" w:name="_Toc526243255"/>
      <w:r>
        <w:rPr>
          <w:rStyle w:val="CharSectno"/>
        </w:rPr>
        <w:t>120</w:t>
      </w:r>
      <w:r>
        <w:rPr>
          <w:snapToGrid w:val="0"/>
        </w:rPr>
        <w:t>.</w:t>
      </w:r>
      <w:r>
        <w:rPr>
          <w:snapToGrid w:val="0"/>
        </w:rPr>
        <w:tab/>
        <w:t>When juveniles permitted on licensed premises</w:t>
      </w:r>
      <w:bookmarkEnd w:id="265"/>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No. 56 of 2010 s. 25; No. 9 of 2018 s. 60.] </w:t>
      </w:r>
    </w:p>
    <w:p>
      <w:pPr>
        <w:pStyle w:val="Heading5"/>
        <w:rPr>
          <w:snapToGrid w:val="0"/>
        </w:rPr>
      </w:pPr>
      <w:bookmarkStart w:id="266" w:name="_Toc526243256"/>
      <w:r>
        <w:rPr>
          <w:rStyle w:val="CharSectno"/>
        </w:rPr>
        <w:t>121</w:t>
      </w:r>
      <w:r>
        <w:rPr>
          <w:snapToGrid w:val="0"/>
        </w:rPr>
        <w:t>.</w:t>
      </w:r>
      <w:r>
        <w:rPr>
          <w:snapToGrid w:val="0"/>
        </w:rPr>
        <w:tab/>
        <w:t>Licensed premises, offences as to juveniles</w:t>
      </w:r>
      <w:bookmarkEnd w:id="266"/>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No. 12 of 1998 s. 83; No. 73 of 2006 s. 88, 109, 110 and 111(9); No. 56 of 2010 s. 19, 62 and 69.]</w:t>
      </w:r>
    </w:p>
    <w:p>
      <w:pPr>
        <w:pStyle w:val="Heading5"/>
        <w:spacing w:before="240"/>
      </w:pPr>
      <w:bookmarkStart w:id="267" w:name="_Toc526243257"/>
      <w:r>
        <w:rPr>
          <w:rStyle w:val="CharSectno"/>
        </w:rPr>
        <w:t>122A</w:t>
      </w:r>
      <w:r>
        <w:t>.</w:t>
      </w:r>
      <w:r>
        <w:tab/>
        <w:t>Supplying juveniles with alcohol on unlicensed premises</w:t>
      </w:r>
      <w:bookmarkEnd w:id="267"/>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No. 35 of 2015 s. 20.]</w:t>
      </w:r>
    </w:p>
    <w:p>
      <w:pPr>
        <w:pStyle w:val="Heading5"/>
        <w:rPr>
          <w:snapToGrid w:val="0"/>
        </w:rPr>
      </w:pPr>
      <w:bookmarkStart w:id="268" w:name="_Toc526243258"/>
      <w:r>
        <w:rPr>
          <w:rStyle w:val="CharSectno"/>
        </w:rPr>
        <w:t>122</w:t>
      </w:r>
      <w:r>
        <w:rPr>
          <w:snapToGrid w:val="0"/>
        </w:rPr>
        <w:t>.</w:t>
      </w:r>
      <w:r>
        <w:rPr>
          <w:snapToGrid w:val="0"/>
        </w:rPr>
        <w:tab/>
        <w:t>Regulated premises, offences as to juveniles</w:t>
      </w:r>
      <w:bookmarkEnd w:id="268"/>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No. 12 of 1998 s. 35(5); No. 73 of 2006 s. 89 and 110; No. 56 of 2010 s. 63 and 69.] </w:t>
      </w:r>
    </w:p>
    <w:p>
      <w:pPr>
        <w:pStyle w:val="Heading5"/>
        <w:spacing w:before="240"/>
        <w:rPr>
          <w:snapToGrid w:val="0"/>
        </w:rPr>
      </w:pPr>
      <w:bookmarkStart w:id="269" w:name="_Toc526243259"/>
      <w:r>
        <w:rPr>
          <w:rStyle w:val="CharSectno"/>
        </w:rPr>
        <w:t>123</w:t>
      </w:r>
      <w:r>
        <w:rPr>
          <w:snapToGrid w:val="0"/>
        </w:rPr>
        <w:t>.</w:t>
      </w:r>
      <w:r>
        <w:rPr>
          <w:snapToGrid w:val="0"/>
        </w:rPr>
        <w:tab/>
        <w:t>Possession etc. of liquor, offences by juveniles</w:t>
      </w:r>
      <w:bookmarkEnd w:id="269"/>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No. 73 of 2006 s. 90 and 110; No. 56 of 2010 s. 69.]</w:t>
      </w:r>
    </w:p>
    <w:p>
      <w:pPr>
        <w:pStyle w:val="Heading5"/>
        <w:keepNext w:val="0"/>
        <w:keepLines w:val="0"/>
        <w:spacing w:before="160"/>
        <w:rPr>
          <w:snapToGrid w:val="0"/>
        </w:rPr>
      </w:pPr>
      <w:bookmarkStart w:id="270" w:name="_Toc526243260"/>
      <w:r>
        <w:rPr>
          <w:rStyle w:val="CharSectno"/>
        </w:rPr>
        <w:t>124</w:t>
      </w:r>
      <w:r>
        <w:rPr>
          <w:snapToGrid w:val="0"/>
        </w:rPr>
        <w:t>.</w:t>
      </w:r>
      <w:r>
        <w:rPr>
          <w:snapToGrid w:val="0"/>
        </w:rPr>
        <w:tab/>
        <w:t>Sending juveniles to obtain liquor, offence</w:t>
      </w:r>
      <w:bookmarkEnd w:id="270"/>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No. 73 of 2006 s. 110; No. 56 of 2010 s. 69.]</w:t>
      </w:r>
    </w:p>
    <w:p>
      <w:pPr>
        <w:pStyle w:val="Heading5"/>
        <w:spacing w:before="180"/>
        <w:rPr>
          <w:snapToGrid w:val="0"/>
        </w:rPr>
      </w:pPr>
      <w:bookmarkStart w:id="271" w:name="_Toc526243261"/>
      <w:r>
        <w:rPr>
          <w:rStyle w:val="CharSectno"/>
        </w:rPr>
        <w:t>125</w:t>
      </w:r>
      <w:r>
        <w:rPr>
          <w:snapToGrid w:val="0"/>
        </w:rPr>
        <w:t>.</w:t>
      </w:r>
      <w:r>
        <w:rPr>
          <w:snapToGrid w:val="0"/>
        </w:rPr>
        <w:tab/>
        <w:t>Defences to offences under this Division</w:t>
      </w:r>
      <w:bookmarkEnd w:id="271"/>
    </w:p>
    <w:p>
      <w:pPr>
        <w:pStyle w:val="Subsection"/>
        <w:keepNext/>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keepNext/>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keepNext/>
        <w:rPr>
          <w:snapToGrid w:val="0"/>
        </w:rPr>
      </w:pPr>
      <w:r>
        <w:rPr>
          <w:snapToGrid w:val="0"/>
        </w:rPr>
        <w:tab/>
        <w:t>(2)</w:t>
      </w:r>
      <w:r>
        <w:rPr>
          <w:snapToGrid w:val="0"/>
        </w:rPr>
        <w:tab/>
        <w:t>For the purposes of any proceedings under this Division — </w:t>
      </w:r>
    </w:p>
    <w:p>
      <w:pPr>
        <w:pStyle w:val="Indenta"/>
        <w:keepNext/>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No. 12 of 1998 s. 84; No. 28 of 2003 s. 106; No. 84 of 2004 s. 80 and 82; No. 56 of 2010 s. 25.] </w:t>
      </w:r>
    </w:p>
    <w:p>
      <w:pPr>
        <w:pStyle w:val="Heading5"/>
        <w:keepNext w:val="0"/>
        <w:keepLines w:val="0"/>
        <w:rPr>
          <w:snapToGrid w:val="0"/>
        </w:rPr>
      </w:pPr>
      <w:bookmarkStart w:id="272" w:name="_Toc526243262"/>
      <w:r>
        <w:rPr>
          <w:rStyle w:val="CharSectno"/>
        </w:rPr>
        <w:t>126</w:t>
      </w:r>
      <w:r>
        <w:rPr>
          <w:snapToGrid w:val="0"/>
        </w:rPr>
        <w:t>.</w:t>
      </w:r>
      <w:r>
        <w:rPr>
          <w:snapToGrid w:val="0"/>
        </w:rPr>
        <w:tab/>
        <w:t>Suspected juveniles, authorised persons’ powers as to, offences by</w:t>
      </w:r>
      <w:bookmarkEnd w:id="272"/>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No. 12 of 1998 s. 85; No. 73 of 2006 s. 91, 109 and 110; No. 56 of 2010 s. 69; No. 35 of 2015 s. 21.] </w:t>
      </w:r>
    </w:p>
    <w:p>
      <w:pPr>
        <w:pStyle w:val="Heading5"/>
        <w:spacing w:before="240"/>
      </w:pPr>
      <w:bookmarkStart w:id="273" w:name="_Toc526243263"/>
      <w:r>
        <w:rPr>
          <w:rStyle w:val="CharSectno"/>
        </w:rPr>
        <w:t>126A</w:t>
      </w:r>
      <w:r>
        <w:t>.</w:t>
      </w:r>
      <w:r>
        <w:tab/>
        <w:t>Entertainment for juveniles on licensed premises, application for approval of</w:t>
      </w:r>
      <w:bookmarkEnd w:id="273"/>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No. 73 of 2006 s. 92(1).]</w:t>
      </w:r>
    </w:p>
    <w:p>
      <w:pPr>
        <w:pStyle w:val="Heading5"/>
      </w:pPr>
      <w:bookmarkStart w:id="274" w:name="_Toc526243264"/>
      <w:r>
        <w:rPr>
          <w:rStyle w:val="CharSectno"/>
        </w:rPr>
        <w:t>126B</w:t>
      </w:r>
      <w:r>
        <w:t>.</w:t>
      </w:r>
      <w:r>
        <w:tab/>
        <w:t>Entertainment for juveniles on licensed premises, approval of</w:t>
      </w:r>
      <w:bookmarkEnd w:id="274"/>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No. 73 of 2006 s. 92(1).]</w:t>
      </w:r>
    </w:p>
    <w:p>
      <w:pPr>
        <w:pStyle w:val="Heading3"/>
      </w:pPr>
      <w:bookmarkStart w:id="275" w:name="_Toc525287836"/>
      <w:bookmarkStart w:id="276" w:name="_Toc526243265"/>
      <w:r>
        <w:rPr>
          <w:rStyle w:val="CharDivNo"/>
        </w:rPr>
        <w:t>Division 10</w:t>
      </w:r>
      <w:r>
        <w:t> — </w:t>
      </w:r>
      <w:r>
        <w:rPr>
          <w:rStyle w:val="CharDivText"/>
        </w:rPr>
        <w:t>Miscellaneous</w:t>
      </w:r>
      <w:bookmarkEnd w:id="275"/>
      <w:bookmarkEnd w:id="276"/>
    </w:p>
    <w:p>
      <w:pPr>
        <w:pStyle w:val="Footnoteheading"/>
      </w:pPr>
      <w:r>
        <w:tab/>
        <w:t>[Heading inserted: No. 73 of 2006 s. 93.]</w:t>
      </w:r>
    </w:p>
    <w:p>
      <w:pPr>
        <w:pStyle w:val="Heading5"/>
        <w:spacing w:before="240"/>
      </w:pPr>
      <w:bookmarkStart w:id="277" w:name="_Toc526243266"/>
      <w:r>
        <w:rPr>
          <w:rStyle w:val="CharSectno"/>
        </w:rPr>
        <w:t>126C</w:t>
      </w:r>
      <w:r>
        <w:t>.</w:t>
      </w:r>
      <w:r>
        <w:tab/>
        <w:t>Crowd controllers to be authorised when exercising powers of removal</w:t>
      </w:r>
      <w:bookmarkEnd w:id="277"/>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No. 73 of 2006 s. 93; amended: No. 56 of 2010 s. 25.]</w:t>
      </w:r>
    </w:p>
    <w:p>
      <w:pPr>
        <w:pStyle w:val="Heading5"/>
        <w:keepNext w:val="0"/>
        <w:keepLines w:val="0"/>
        <w:spacing w:before="180"/>
      </w:pPr>
      <w:bookmarkStart w:id="278" w:name="_Toc526243267"/>
      <w:r>
        <w:rPr>
          <w:rStyle w:val="CharSectno"/>
        </w:rPr>
        <w:t>126D</w:t>
      </w:r>
      <w:r>
        <w:t>.</w:t>
      </w:r>
      <w:r>
        <w:tab/>
        <w:t>Undesirable liquor products, declaration of and offence as to</w:t>
      </w:r>
      <w:bookmarkEnd w:id="278"/>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No. 73 of 2006 s. 93; amended: No. 56 of 2010 s. 64.]</w:t>
      </w:r>
    </w:p>
    <w:p>
      <w:pPr>
        <w:pStyle w:val="Heading5"/>
      </w:pPr>
      <w:bookmarkStart w:id="279" w:name="_Toc526243268"/>
      <w:r>
        <w:rPr>
          <w:rStyle w:val="CharSectno"/>
        </w:rPr>
        <w:t>126E</w:t>
      </w:r>
      <w:r>
        <w:t>.</w:t>
      </w:r>
      <w:r>
        <w:tab/>
        <w:t>Special events, operation of Act may be modified for</w:t>
      </w:r>
      <w:bookmarkEnd w:id="279"/>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No. 73 of 2006 s. 93.]</w:t>
      </w:r>
    </w:p>
    <w:p>
      <w:pPr>
        <w:pStyle w:val="Heading2"/>
      </w:pPr>
      <w:bookmarkStart w:id="280" w:name="_Toc525287840"/>
      <w:bookmarkStart w:id="281" w:name="_Toc526243269"/>
      <w:r>
        <w:rPr>
          <w:rStyle w:val="CharPartNo"/>
        </w:rPr>
        <w:t>Part 5</w:t>
      </w:r>
      <w:r>
        <w:t> — </w:t>
      </w:r>
      <w:r>
        <w:rPr>
          <w:rStyle w:val="CharPartText"/>
        </w:rPr>
        <w:t>Financial provisions</w:t>
      </w:r>
      <w:bookmarkEnd w:id="280"/>
      <w:bookmarkEnd w:id="281"/>
      <w:r>
        <w:rPr>
          <w:rStyle w:val="CharPartText"/>
        </w:rPr>
        <w:t xml:space="preserve"> </w:t>
      </w:r>
    </w:p>
    <w:p>
      <w:pPr>
        <w:pStyle w:val="Heading3"/>
        <w:spacing w:before="220"/>
        <w:rPr>
          <w:snapToGrid w:val="0"/>
        </w:rPr>
      </w:pPr>
      <w:bookmarkStart w:id="282" w:name="_Toc525287841"/>
      <w:bookmarkStart w:id="283" w:name="_Toc526243270"/>
      <w:r>
        <w:rPr>
          <w:rStyle w:val="CharDivNo"/>
        </w:rPr>
        <w:t>Division 1</w:t>
      </w:r>
      <w:r>
        <w:rPr>
          <w:snapToGrid w:val="0"/>
        </w:rPr>
        <w:t> — </w:t>
      </w:r>
      <w:r>
        <w:rPr>
          <w:rStyle w:val="CharDivText"/>
        </w:rPr>
        <w:t>Licence fees</w:t>
      </w:r>
      <w:bookmarkEnd w:id="282"/>
      <w:bookmarkEnd w:id="283"/>
      <w:r>
        <w:rPr>
          <w:rStyle w:val="CharDivText"/>
        </w:rPr>
        <w:t xml:space="preserve"> </w:t>
      </w:r>
    </w:p>
    <w:p>
      <w:pPr>
        <w:pStyle w:val="Heading5"/>
        <w:rPr>
          <w:snapToGrid w:val="0"/>
        </w:rPr>
      </w:pPr>
      <w:bookmarkStart w:id="284" w:name="_Toc526243271"/>
      <w:r>
        <w:rPr>
          <w:rStyle w:val="CharSectno"/>
        </w:rPr>
        <w:t>127</w:t>
      </w:r>
      <w:r>
        <w:rPr>
          <w:snapToGrid w:val="0"/>
        </w:rPr>
        <w:t>.</w:t>
      </w:r>
      <w:r>
        <w:rPr>
          <w:snapToGrid w:val="0"/>
        </w:rPr>
        <w:tab/>
        <w:t>Payment of licence fees</w:t>
      </w:r>
      <w:bookmarkEnd w:id="284"/>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No. 56 of 1997 s. 34; No. 73 of 2006 s. 94.] </w:t>
      </w:r>
    </w:p>
    <w:p>
      <w:pPr>
        <w:pStyle w:val="Heading5"/>
        <w:rPr>
          <w:snapToGrid w:val="0"/>
        </w:rPr>
      </w:pPr>
      <w:bookmarkStart w:id="285" w:name="_Toc526243272"/>
      <w:r>
        <w:rPr>
          <w:rStyle w:val="CharSectno"/>
        </w:rPr>
        <w:t>128</w:t>
      </w:r>
      <w:r>
        <w:rPr>
          <w:snapToGrid w:val="0"/>
        </w:rPr>
        <w:t>.</w:t>
      </w:r>
      <w:r>
        <w:rPr>
          <w:snapToGrid w:val="0"/>
        </w:rPr>
        <w:tab/>
        <w:t>Regulations about licence fees</w:t>
      </w:r>
      <w:bookmarkEnd w:id="285"/>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No. 56 of 1997 s. 35; amended: No. 73 of 2006 s. 95; No. 56 of 2010 s. 31.] </w:t>
      </w:r>
    </w:p>
    <w:p>
      <w:pPr>
        <w:pStyle w:val="Heading3"/>
        <w:keepLines/>
        <w:spacing w:before="180"/>
        <w:rPr>
          <w:snapToGrid w:val="0"/>
        </w:rPr>
      </w:pPr>
      <w:bookmarkStart w:id="286" w:name="_Toc525287844"/>
      <w:bookmarkStart w:id="287" w:name="_Toc526243273"/>
      <w:r>
        <w:rPr>
          <w:rStyle w:val="CharDivNo"/>
        </w:rPr>
        <w:t>Division 2</w:t>
      </w:r>
      <w:r>
        <w:rPr>
          <w:snapToGrid w:val="0"/>
        </w:rPr>
        <w:t> — </w:t>
      </w:r>
      <w:r>
        <w:rPr>
          <w:rStyle w:val="CharDivText"/>
        </w:rPr>
        <w:t>Subsidies</w:t>
      </w:r>
      <w:bookmarkEnd w:id="286"/>
      <w:bookmarkEnd w:id="287"/>
      <w:r>
        <w:rPr>
          <w:rStyle w:val="CharDivText"/>
        </w:rPr>
        <w:t xml:space="preserve"> </w:t>
      </w:r>
    </w:p>
    <w:p>
      <w:pPr>
        <w:pStyle w:val="Footnoteheading"/>
        <w:keepNext/>
        <w:keepLines/>
        <w:tabs>
          <w:tab w:val="left" w:pos="924"/>
        </w:tabs>
        <w:rPr>
          <w:snapToGrid w:val="0"/>
        </w:rPr>
      </w:pPr>
      <w:r>
        <w:rPr>
          <w:snapToGrid w:val="0"/>
        </w:rPr>
        <w:tab/>
        <w:t xml:space="preserve">[Heading inserted: No. 56 of 1997 s. 36.] </w:t>
      </w:r>
    </w:p>
    <w:p>
      <w:pPr>
        <w:pStyle w:val="Heading5"/>
        <w:spacing w:before="180"/>
        <w:rPr>
          <w:snapToGrid w:val="0"/>
        </w:rPr>
      </w:pPr>
      <w:bookmarkStart w:id="288" w:name="_Toc526243274"/>
      <w:r>
        <w:rPr>
          <w:rStyle w:val="CharSectno"/>
        </w:rPr>
        <w:t>129</w:t>
      </w:r>
      <w:r>
        <w:rPr>
          <w:snapToGrid w:val="0"/>
        </w:rPr>
        <w:t>.</w:t>
      </w:r>
      <w:r>
        <w:rPr>
          <w:snapToGrid w:val="0"/>
        </w:rPr>
        <w:tab/>
        <w:t>Terms used</w:t>
      </w:r>
      <w:bookmarkEnd w:id="28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No. 56 of 1997 s. 36; amended: No. 12 of 1998 s. 35(6).] </w:t>
      </w:r>
    </w:p>
    <w:p>
      <w:pPr>
        <w:pStyle w:val="Heading5"/>
        <w:spacing w:before="180"/>
        <w:rPr>
          <w:snapToGrid w:val="0"/>
        </w:rPr>
      </w:pPr>
      <w:bookmarkStart w:id="289" w:name="_Toc526243275"/>
      <w:r>
        <w:rPr>
          <w:rStyle w:val="CharSectno"/>
        </w:rPr>
        <w:t>130</w:t>
      </w:r>
      <w:r>
        <w:rPr>
          <w:snapToGrid w:val="0"/>
        </w:rPr>
        <w:t>.</w:t>
      </w:r>
      <w:r>
        <w:rPr>
          <w:snapToGrid w:val="0"/>
        </w:rPr>
        <w:tab/>
        <w:t>Subsidies for wholesalers and producers</w:t>
      </w:r>
      <w:bookmarkEnd w:id="289"/>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No. 56 of 1997 s. 36.]</w:t>
      </w:r>
    </w:p>
    <w:p>
      <w:pPr>
        <w:pStyle w:val="Heading5"/>
        <w:spacing w:before="180"/>
        <w:rPr>
          <w:snapToGrid w:val="0"/>
        </w:rPr>
      </w:pPr>
      <w:bookmarkStart w:id="290" w:name="_Toc526243276"/>
      <w:r>
        <w:rPr>
          <w:rStyle w:val="CharSectno"/>
        </w:rPr>
        <w:t>131</w:t>
      </w:r>
      <w:r>
        <w:rPr>
          <w:snapToGrid w:val="0"/>
        </w:rPr>
        <w:t>.</w:t>
      </w:r>
      <w:r>
        <w:rPr>
          <w:snapToGrid w:val="0"/>
        </w:rPr>
        <w:tab/>
        <w:t>Application for subsidy</w:t>
      </w:r>
      <w:bookmarkEnd w:id="290"/>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No. 56 of 1997 s. 36.] </w:t>
      </w:r>
    </w:p>
    <w:p>
      <w:pPr>
        <w:pStyle w:val="Heading5"/>
        <w:spacing w:before="180"/>
        <w:rPr>
          <w:snapToGrid w:val="0"/>
        </w:rPr>
      </w:pPr>
      <w:bookmarkStart w:id="291" w:name="_Toc526243277"/>
      <w:r>
        <w:rPr>
          <w:rStyle w:val="CharSectno"/>
        </w:rPr>
        <w:t>132</w:t>
      </w:r>
      <w:r>
        <w:rPr>
          <w:snapToGrid w:val="0"/>
        </w:rPr>
        <w:t>.</w:t>
      </w:r>
      <w:r>
        <w:rPr>
          <w:snapToGrid w:val="0"/>
        </w:rPr>
        <w:tab/>
        <w:t>Director to pay subsidies</w:t>
      </w:r>
      <w:bookmarkEnd w:id="291"/>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No. 56 of 1997 s. 36.]</w:t>
      </w:r>
    </w:p>
    <w:p>
      <w:pPr>
        <w:pStyle w:val="Heading5"/>
        <w:spacing w:before="180"/>
        <w:rPr>
          <w:snapToGrid w:val="0"/>
        </w:rPr>
      </w:pPr>
      <w:bookmarkStart w:id="292" w:name="_Toc526243278"/>
      <w:r>
        <w:rPr>
          <w:rStyle w:val="CharSectno"/>
        </w:rPr>
        <w:t>133</w:t>
      </w:r>
      <w:r>
        <w:rPr>
          <w:snapToGrid w:val="0"/>
        </w:rPr>
        <w:t>.</w:t>
      </w:r>
      <w:r>
        <w:rPr>
          <w:snapToGrid w:val="0"/>
        </w:rPr>
        <w:tab/>
        <w:t>Consolidated Account appropriated</w:t>
      </w:r>
      <w:bookmarkEnd w:id="292"/>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No. 56 of 1997 s. 36; amended: No. 77 of 2006 s. 4.]</w:t>
      </w:r>
    </w:p>
    <w:p>
      <w:pPr>
        <w:pStyle w:val="Heading5"/>
        <w:rPr>
          <w:snapToGrid w:val="0"/>
        </w:rPr>
      </w:pPr>
      <w:bookmarkStart w:id="293" w:name="_Toc526243279"/>
      <w:r>
        <w:rPr>
          <w:rStyle w:val="CharSectno"/>
        </w:rPr>
        <w:t>134</w:t>
      </w:r>
      <w:r>
        <w:rPr>
          <w:snapToGrid w:val="0"/>
        </w:rPr>
        <w:t>.</w:t>
      </w:r>
      <w:r>
        <w:rPr>
          <w:snapToGrid w:val="0"/>
        </w:rPr>
        <w:tab/>
        <w:t>Correcting incorrect subsidy payments</w:t>
      </w:r>
      <w:bookmarkEnd w:id="29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No. 56 of 1997 s. 36.]</w:t>
      </w:r>
    </w:p>
    <w:p>
      <w:pPr>
        <w:pStyle w:val="Heading5"/>
        <w:rPr>
          <w:snapToGrid w:val="0"/>
        </w:rPr>
      </w:pPr>
      <w:bookmarkStart w:id="294" w:name="_Toc526243280"/>
      <w:r>
        <w:rPr>
          <w:rStyle w:val="CharSectno"/>
        </w:rPr>
        <w:t>135</w:t>
      </w:r>
      <w:r>
        <w:rPr>
          <w:snapToGrid w:val="0"/>
        </w:rPr>
        <w:t>.</w:t>
      </w:r>
      <w:r>
        <w:rPr>
          <w:snapToGrid w:val="0"/>
        </w:rPr>
        <w:tab/>
        <w:t>Failure to correct incorrect subsidy application</w:t>
      </w:r>
      <w:bookmarkEnd w:id="29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No. 56 of 1997 s. 36; amended: No. 56 of 2010 s. 69.]</w:t>
      </w:r>
    </w:p>
    <w:p>
      <w:pPr>
        <w:pStyle w:val="Heading5"/>
        <w:spacing w:before="180"/>
        <w:rPr>
          <w:snapToGrid w:val="0"/>
        </w:rPr>
      </w:pPr>
      <w:bookmarkStart w:id="295" w:name="_Toc526243281"/>
      <w:r>
        <w:rPr>
          <w:rStyle w:val="CharSectno"/>
        </w:rPr>
        <w:t>136</w:t>
      </w:r>
      <w:r>
        <w:rPr>
          <w:snapToGrid w:val="0"/>
        </w:rPr>
        <w:t>.</w:t>
      </w:r>
      <w:r>
        <w:rPr>
          <w:snapToGrid w:val="0"/>
        </w:rPr>
        <w:tab/>
        <w:t>Minister may order subsidies to cease</w:t>
      </w:r>
      <w:bookmarkEnd w:id="295"/>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No. 56 of 1997 s. 36.] </w:t>
      </w:r>
    </w:p>
    <w:p>
      <w:pPr>
        <w:pStyle w:val="Ednotesection"/>
        <w:spacing w:before="240"/>
        <w:ind w:left="890" w:hanging="890"/>
      </w:pPr>
      <w:r>
        <w:t>[</w:t>
      </w:r>
      <w:r>
        <w:rPr>
          <w:b/>
        </w:rPr>
        <w:t>137, 138.</w:t>
      </w:r>
      <w:r>
        <w:rPr>
          <w:b/>
        </w:rPr>
        <w:tab/>
      </w:r>
      <w:r>
        <w:t xml:space="preserve">Deleted: No. 56 of 1997 s. 36.] </w:t>
      </w:r>
    </w:p>
    <w:p>
      <w:pPr>
        <w:pStyle w:val="Heading3"/>
        <w:keepLines/>
        <w:spacing w:before="280"/>
        <w:rPr>
          <w:snapToGrid w:val="0"/>
        </w:rPr>
      </w:pPr>
      <w:bookmarkStart w:id="296" w:name="_Toc525287853"/>
      <w:bookmarkStart w:id="297" w:name="_Toc526243282"/>
      <w:r>
        <w:rPr>
          <w:rStyle w:val="CharDivNo"/>
        </w:rPr>
        <w:t>Division 3</w:t>
      </w:r>
      <w:r>
        <w:rPr>
          <w:snapToGrid w:val="0"/>
        </w:rPr>
        <w:t> — </w:t>
      </w:r>
      <w:r>
        <w:rPr>
          <w:rStyle w:val="CharDivText"/>
        </w:rPr>
        <w:t>Power of Commission with respect to moneys due</w:t>
      </w:r>
      <w:bookmarkEnd w:id="296"/>
      <w:bookmarkEnd w:id="297"/>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No. 56 of 1997 s. 37; No. 73 of 2006 s. 96.]</w:t>
      </w:r>
    </w:p>
    <w:p>
      <w:pPr>
        <w:pStyle w:val="Ednotesection"/>
        <w:keepNext/>
        <w:keepLines/>
        <w:spacing w:before="240"/>
      </w:pPr>
      <w:r>
        <w:t>[</w:t>
      </w:r>
      <w:r>
        <w:rPr>
          <w:b/>
        </w:rPr>
        <w:t>139</w:t>
      </w:r>
      <w:r>
        <w:rPr>
          <w:b/>
        </w:rPr>
        <w:noBreakHyphen/>
        <w:t>142.</w:t>
      </w:r>
      <w:r>
        <w:rPr>
          <w:b/>
        </w:rPr>
        <w:tab/>
      </w:r>
      <w:r>
        <w:t xml:space="preserve">Deleted: No. 56 of 1997 s. 38.] </w:t>
      </w:r>
    </w:p>
    <w:p>
      <w:pPr>
        <w:pStyle w:val="Heading5"/>
        <w:spacing w:before="240"/>
        <w:rPr>
          <w:snapToGrid w:val="0"/>
        </w:rPr>
      </w:pPr>
      <w:bookmarkStart w:id="298" w:name="_Toc526243283"/>
      <w:r>
        <w:rPr>
          <w:rStyle w:val="CharSectno"/>
        </w:rPr>
        <w:t>143</w:t>
      </w:r>
      <w:r>
        <w:rPr>
          <w:snapToGrid w:val="0"/>
        </w:rPr>
        <w:t>.</w:t>
      </w:r>
      <w:r>
        <w:rPr>
          <w:snapToGrid w:val="0"/>
        </w:rPr>
        <w:tab/>
        <w:t>Order for payment of money</w:t>
      </w:r>
      <w:bookmarkEnd w:id="298"/>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No. 56 of 1997 s. 39; No. 59 of 2004 s. 141; No. 73 of 2006 s. 106.] </w:t>
      </w:r>
    </w:p>
    <w:p>
      <w:pPr>
        <w:pStyle w:val="Ednotesection"/>
        <w:ind w:left="890" w:hanging="890"/>
      </w:pPr>
      <w:r>
        <w:t>[</w:t>
      </w:r>
      <w:r>
        <w:rPr>
          <w:b/>
        </w:rPr>
        <w:t>144.</w:t>
      </w:r>
      <w:r>
        <w:rPr>
          <w:b/>
        </w:rPr>
        <w:tab/>
      </w:r>
      <w:r>
        <w:t xml:space="preserve">Deleted: No. 56 of 1997 s. 40.] </w:t>
      </w:r>
    </w:p>
    <w:p>
      <w:pPr>
        <w:pStyle w:val="Heading3"/>
        <w:keepNext w:val="0"/>
        <w:rPr>
          <w:snapToGrid w:val="0"/>
        </w:rPr>
      </w:pPr>
      <w:bookmarkStart w:id="299" w:name="_Toc525287855"/>
      <w:bookmarkStart w:id="300" w:name="_Toc526243284"/>
      <w:r>
        <w:rPr>
          <w:rStyle w:val="CharDivNo"/>
        </w:rPr>
        <w:t>Division 4</w:t>
      </w:r>
      <w:r>
        <w:rPr>
          <w:snapToGrid w:val="0"/>
        </w:rPr>
        <w:t> — </w:t>
      </w:r>
      <w:r>
        <w:rPr>
          <w:rStyle w:val="CharDivText"/>
        </w:rPr>
        <w:t>Records and returns</w:t>
      </w:r>
      <w:bookmarkEnd w:id="299"/>
      <w:bookmarkEnd w:id="300"/>
      <w:r>
        <w:rPr>
          <w:rStyle w:val="CharDivText"/>
        </w:rPr>
        <w:t xml:space="preserve"> </w:t>
      </w:r>
    </w:p>
    <w:p>
      <w:pPr>
        <w:pStyle w:val="Heading5"/>
        <w:keepNext w:val="0"/>
        <w:spacing w:before="160"/>
        <w:rPr>
          <w:snapToGrid w:val="0"/>
        </w:rPr>
      </w:pPr>
      <w:bookmarkStart w:id="301" w:name="_Toc526243285"/>
      <w:r>
        <w:rPr>
          <w:rStyle w:val="CharSectno"/>
        </w:rPr>
        <w:t>145</w:t>
      </w:r>
      <w:r>
        <w:rPr>
          <w:snapToGrid w:val="0"/>
        </w:rPr>
        <w:t>.</w:t>
      </w:r>
      <w:r>
        <w:rPr>
          <w:snapToGrid w:val="0"/>
        </w:rPr>
        <w:tab/>
        <w:t>Records of liquor transactions to be kept by licensees etc.</w:t>
      </w:r>
      <w:bookmarkEnd w:id="301"/>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No. 56 of 1997 s. 41; No. 12 of 1998 s. 86; No. 73 of 2006 s. 110; No. 56 of 2010 s. 69.] </w:t>
      </w:r>
    </w:p>
    <w:p>
      <w:pPr>
        <w:pStyle w:val="Heading5"/>
        <w:rPr>
          <w:snapToGrid w:val="0"/>
        </w:rPr>
      </w:pPr>
      <w:bookmarkStart w:id="302" w:name="_Toc526243286"/>
      <w:r>
        <w:rPr>
          <w:rStyle w:val="CharSectno"/>
        </w:rPr>
        <w:t>146</w:t>
      </w:r>
      <w:r>
        <w:rPr>
          <w:snapToGrid w:val="0"/>
        </w:rPr>
        <w:t>.</w:t>
      </w:r>
      <w:r>
        <w:rPr>
          <w:snapToGrid w:val="0"/>
        </w:rPr>
        <w:tab/>
        <w:t>Information to be given to Director in returns</w:t>
      </w:r>
      <w:bookmarkEnd w:id="302"/>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No. 56 of 1997 s. 42; No. 73 of 2006 s. 110; No. 56 of 2010 s. 69.] </w:t>
      </w:r>
    </w:p>
    <w:p>
      <w:pPr>
        <w:pStyle w:val="Heading3"/>
        <w:rPr>
          <w:snapToGrid w:val="0"/>
        </w:rPr>
      </w:pPr>
      <w:bookmarkStart w:id="303" w:name="_Toc525287858"/>
      <w:bookmarkStart w:id="304" w:name="_Toc526243287"/>
      <w:r>
        <w:rPr>
          <w:rStyle w:val="CharDivNo"/>
        </w:rPr>
        <w:t>Division 5</w:t>
      </w:r>
      <w:r>
        <w:rPr>
          <w:snapToGrid w:val="0"/>
        </w:rPr>
        <w:t> — </w:t>
      </w:r>
      <w:r>
        <w:rPr>
          <w:rStyle w:val="CharDivText"/>
        </w:rPr>
        <w:t>Recovery of illegal gains</w:t>
      </w:r>
      <w:bookmarkEnd w:id="303"/>
      <w:bookmarkEnd w:id="304"/>
      <w:r>
        <w:rPr>
          <w:rStyle w:val="CharDivText"/>
        </w:rPr>
        <w:t xml:space="preserve"> </w:t>
      </w:r>
    </w:p>
    <w:p>
      <w:pPr>
        <w:pStyle w:val="Footnoteheading"/>
        <w:keepNext/>
        <w:keepLines/>
        <w:tabs>
          <w:tab w:val="left" w:pos="924"/>
        </w:tabs>
        <w:rPr>
          <w:snapToGrid w:val="0"/>
        </w:rPr>
      </w:pPr>
      <w:r>
        <w:rPr>
          <w:snapToGrid w:val="0"/>
        </w:rPr>
        <w:tab/>
        <w:t>[Heading amended: No. 56 of 1997 s. 43.]</w:t>
      </w:r>
    </w:p>
    <w:p>
      <w:pPr>
        <w:pStyle w:val="Heading5"/>
        <w:rPr>
          <w:snapToGrid w:val="0"/>
        </w:rPr>
      </w:pPr>
      <w:bookmarkStart w:id="305" w:name="_Toc526243288"/>
      <w:r>
        <w:rPr>
          <w:rStyle w:val="CharSectno"/>
        </w:rPr>
        <w:t>147</w:t>
      </w:r>
      <w:r>
        <w:rPr>
          <w:snapToGrid w:val="0"/>
        </w:rPr>
        <w:t>.</w:t>
      </w:r>
      <w:r>
        <w:rPr>
          <w:snapToGrid w:val="0"/>
        </w:rPr>
        <w:tab/>
        <w:t>Illegal gains, estimation and recovery of</w:t>
      </w:r>
      <w:bookmarkEnd w:id="305"/>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No. 56 of 1997 s. 44; No. 73 of 2006 s. 106.] </w:t>
      </w:r>
    </w:p>
    <w:p>
      <w:pPr>
        <w:pStyle w:val="Heading3"/>
        <w:pageBreakBefore/>
        <w:spacing w:before="0"/>
        <w:rPr>
          <w:snapToGrid w:val="0"/>
        </w:rPr>
      </w:pPr>
      <w:bookmarkStart w:id="306" w:name="_Toc525287860"/>
      <w:bookmarkStart w:id="307" w:name="_Toc526243289"/>
      <w:r>
        <w:rPr>
          <w:rStyle w:val="CharDivNo"/>
        </w:rPr>
        <w:t>Division 6</w:t>
      </w:r>
      <w:r>
        <w:rPr>
          <w:snapToGrid w:val="0"/>
        </w:rPr>
        <w:t> — </w:t>
      </w:r>
      <w:r>
        <w:rPr>
          <w:rStyle w:val="CharDivText"/>
        </w:rPr>
        <w:t>Information</w:t>
      </w:r>
      <w:bookmarkEnd w:id="306"/>
      <w:bookmarkEnd w:id="307"/>
      <w:r>
        <w:rPr>
          <w:rStyle w:val="CharDivText"/>
        </w:rPr>
        <w:t xml:space="preserve"> </w:t>
      </w:r>
    </w:p>
    <w:p>
      <w:pPr>
        <w:pStyle w:val="Heading5"/>
        <w:rPr>
          <w:snapToGrid w:val="0"/>
        </w:rPr>
      </w:pPr>
      <w:bookmarkStart w:id="308" w:name="_Toc526243290"/>
      <w:r>
        <w:rPr>
          <w:rStyle w:val="CharSectno"/>
        </w:rPr>
        <w:t>148</w:t>
      </w:r>
      <w:r>
        <w:rPr>
          <w:snapToGrid w:val="0"/>
        </w:rPr>
        <w:t>.</w:t>
      </w:r>
      <w:r>
        <w:rPr>
          <w:snapToGrid w:val="0"/>
        </w:rPr>
        <w:tab/>
        <w:t>Information etc., Director’s powers to obtain</w:t>
      </w:r>
      <w:bookmarkEnd w:id="308"/>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No. 56 of 1997 s. 45.] </w:t>
      </w:r>
    </w:p>
    <w:p>
      <w:pPr>
        <w:pStyle w:val="Heading5"/>
        <w:rPr>
          <w:snapToGrid w:val="0"/>
        </w:rPr>
      </w:pPr>
      <w:bookmarkStart w:id="309" w:name="_Toc526243291"/>
      <w:r>
        <w:rPr>
          <w:rStyle w:val="CharSectno"/>
        </w:rPr>
        <w:t>149</w:t>
      </w:r>
      <w:r>
        <w:rPr>
          <w:snapToGrid w:val="0"/>
        </w:rPr>
        <w:t>.</w:t>
      </w:r>
      <w:r>
        <w:rPr>
          <w:snapToGrid w:val="0"/>
        </w:rPr>
        <w:tab/>
        <w:t>Use of information, Director’s powers as to</w:t>
      </w:r>
      <w:bookmarkEnd w:id="309"/>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10" w:name="_Toc526243292"/>
      <w:r>
        <w:rPr>
          <w:rStyle w:val="CharSectno"/>
        </w:rPr>
        <w:t>150</w:t>
      </w:r>
      <w:r>
        <w:rPr>
          <w:snapToGrid w:val="0"/>
        </w:rPr>
        <w:t>.</w:t>
      </w:r>
      <w:r>
        <w:rPr>
          <w:snapToGrid w:val="0"/>
        </w:rPr>
        <w:tab/>
        <w:t>Premises and records, Director’s right of access to etc.</w:t>
      </w:r>
      <w:bookmarkEnd w:id="310"/>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No. 56 of 1997 s. 46; No. 12 of 1998 s. 97(1); No. 73 of 2006 s. 110; No. 56 of 2010 s. 69.] </w:t>
      </w:r>
    </w:p>
    <w:p>
      <w:pPr>
        <w:pStyle w:val="Heading5"/>
        <w:rPr>
          <w:snapToGrid w:val="0"/>
        </w:rPr>
      </w:pPr>
      <w:bookmarkStart w:id="311" w:name="_Toc526243293"/>
      <w:r>
        <w:rPr>
          <w:rStyle w:val="CharSectno"/>
        </w:rPr>
        <w:t>151</w:t>
      </w:r>
      <w:r>
        <w:rPr>
          <w:snapToGrid w:val="0"/>
        </w:rPr>
        <w:t>.</w:t>
      </w:r>
      <w:r>
        <w:rPr>
          <w:snapToGrid w:val="0"/>
        </w:rPr>
        <w:tab/>
        <w:t>Licensing authority may assist other authorities</w:t>
      </w:r>
      <w:bookmarkEnd w:id="311"/>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12" w:name="_Toc526243294"/>
      <w:r>
        <w:rPr>
          <w:rStyle w:val="CharSectno"/>
        </w:rPr>
        <w:t>152</w:t>
      </w:r>
      <w:r>
        <w:rPr>
          <w:snapToGrid w:val="0"/>
        </w:rPr>
        <w:t>.</w:t>
      </w:r>
      <w:r>
        <w:rPr>
          <w:snapToGrid w:val="0"/>
        </w:rPr>
        <w:tab/>
        <w:t>Disclosure of information by officials</w:t>
      </w:r>
      <w:bookmarkEnd w:id="312"/>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No. 73 of 2006 s. 110; No. 56 of 2010 s. 69.]</w:t>
      </w:r>
    </w:p>
    <w:p>
      <w:pPr>
        <w:pStyle w:val="Heading2"/>
      </w:pPr>
      <w:bookmarkStart w:id="313" w:name="_Toc525287866"/>
      <w:bookmarkStart w:id="314" w:name="_Toc526243295"/>
      <w:r>
        <w:rPr>
          <w:rStyle w:val="CharPartNo"/>
        </w:rPr>
        <w:t>Part 5A</w:t>
      </w:r>
      <w:r>
        <w:rPr>
          <w:rStyle w:val="CharDivNo"/>
        </w:rPr>
        <w:t> </w:t>
      </w:r>
      <w:r>
        <w:t>—</w:t>
      </w:r>
      <w:r>
        <w:rPr>
          <w:rStyle w:val="CharDivText"/>
        </w:rPr>
        <w:t> </w:t>
      </w:r>
      <w:r>
        <w:rPr>
          <w:rStyle w:val="CharPartText"/>
        </w:rPr>
        <w:t>Prohibition orders</w:t>
      </w:r>
      <w:bookmarkEnd w:id="313"/>
      <w:bookmarkEnd w:id="314"/>
    </w:p>
    <w:p>
      <w:pPr>
        <w:pStyle w:val="Footnoteheading"/>
      </w:pPr>
      <w:r>
        <w:tab/>
        <w:t>[Heading inserted: No. 73 of 2006 s. 97.]</w:t>
      </w:r>
    </w:p>
    <w:p>
      <w:pPr>
        <w:pStyle w:val="Heading5"/>
        <w:spacing w:before="240"/>
      </w:pPr>
      <w:bookmarkStart w:id="315" w:name="_Toc526243296"/>
      <w:r>
        <w:rPr>
          <w:rStyle w:val="CharSectno"/>
        </w:rPr>
        <w:t>152A</w:t>
      </w:r>
      <w:r>
        <w:t>.</w:t>
      </w:r>
      <w:r>
        <w:tab/>
        <w:t>Terms used</w:t>
      </w:r>
      <w:bookmarkEnd w:id="315"/>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No. 73 of 2006 s. 97.]</w:t>
      </w:r>
    </w:p>
    <w:p>
      <w:pPr>
        <w:pStyle w:val="Heading5"/>
        <w:spacing w:before="240"/>
      </w:pPr>
      <w:bookmarkStart w:id="316" w:name="_Toc526243297"/>
      <w:r>
        <w:rPr>
          <w:rStyle w:val="CharSectno"/>
        </w:rPr>
        <w:t>152B</w:t>
      </w:r>
      <w:r>
        <w:t>.</w:t>
      </w:r>
      <w:r>
        <w:tab/>
        <w:t>Commissioner of Police may apply for prohibition orders</w:t>
      </w:r>
      <w:bookmarkEnd w:id="316"/>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No. 73 of 2006 s. 97; amended: No. 9 of 2018 s. 61.]</w:t>
      </w:r>
    </w:p>
    <w:p>
      <w:pPr>
        <w:pStyle w:val="Heading5"/>
        <w:keepNext w:val="0"/>
        <w:keepLines w:val="0"/>
        <w:pageBreakBefore/>
        <w:spacing w:before="0"/>
      </w:pPr>
      <w:bookmarkStart w:id="317" w:name="_Toc526243298"/>
      <w:r>
        <w:rPr>
          <w:rStyle w:val="CharSectno"/>
        </w:rPr>
        <w:t>152C</w:t>
      </w:r>
      <w:r>
        <w:t>.</w:t>
      </w:r>
      <w:r>
        <w:tab/>
        <w:t>Evidence in support of s. 152B application</w:t>
      </w:r>
      <w:bookmarkEnd w:id="317"/>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No. 73 of 2006 s. 97.]</w:t>
      </w:r>
    </w:p>
    <w:p>
      <w:pPr>
        <w:pStyle w:val="Heading5"/>
      </w:pPr>
      <w:bookmarkStart w:id="318" w:name="_Toc526243299"/>
      <w:r>
        <w:rPr>
          <w:rStyle w:val="CharSectno"/>
        </w:rPr>
        <w:t>152D</w:t>
      </w:r>
      <w:r>
        <w:t>.</w:t>
      </w:r>
      <w:r>
        <w:tab/>
        <w:t>Notice of s. 152B application etc. to be given to relevant person</w:t>
      </w:r>
      <w:bookmarkEnd w:id="318"/>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No. 73 of 2006 s. 97.]</w:t>
      </w:r>
    </w:p>
    <w:p>
      <w:pPr>
        <w:pStyle w:val="Heading5"/>
      </w:pPr>
      <w:bookmarkStart w:id="319" w:name="_Toc526243300"/>
      <w:r>
        <w:rPr>
          <w:rStyle w:val="CharSectno"/>
        </w:rPr>
        <w:t>152E</w:t>
      </w:r>
      <w:r>
        <w:t>.</w:t>
      </w:r>
      <w:r>
        <w:tab/>
        <w:t>Director may make prohibition orders</w:t>
      </w:r>
      <w:bookmarkEnd w:id="319"/>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No. 73 of 2006 s. 97.]</w:t>
      </w:r>
    </w:p>
    <w:p>
      <w:pPr>
        <w:pStyle w:val="Heading5"/>
        <w:keepNext w:val="0"/>
        <w:keepLines w:val="0"/>
        <w:spacing w:before="180"/>
      </w:pPr>
      <w:bookmarkStart w:id="320" w:name="_Toc526243301"/>
      <w:r>
        <w:rPr>
          <w:rStyle w:val="CharSectno"/>
        </w:rPr>
        <w:t>152F</w:t>
      </w:r>
      <w:r>
        <w:t>.</w:t>
      </w:r>
      <w:r>
        <w:tab/>
        <w:t>Term of prohibition orders</w:t>
      </w:r>
      <w:bookmarkEnd w:id="320"/>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No. 73 of 2006 s. 97.]</w:t>
      </w:r>
    </w:p>
    <w:p>
      <w:pPr>
        <w:pStyle w:val="Heading5"/>
      </w:pPr>
      <w:bookmarkStart w:id="321" w:name="_Toc526243302"/>
      <w:r>
        <w:rPr>
          <w:rStyle w:val="CharSectno"/>
        </w:rPr>
        <w:t>152G</w:t>
      </w:r>
      <w:r>
        <w:t>.</w:t>
      </w:r>
      <w:r>
        <w:tab/>
        <w:t>Applications to vary or revoke prohibition orders</w:t>
      </w:r>
      <w:bookmarkEnd w:id="321"/>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No. 73 of 2006 s. 97.]</w:t>
      </w:r>
    </w:p>
    <w:p>
      <w:pPr>
        <w:pStyle w:val="Heading5"/>
      </w:pPr>
      <w:bookmarkStart w:id="322" w:name="_Toc526243303"/>
      <w:r>
        <w:rPr>
          <w:rStyle w:val="CharSectno"/>
        </w:rPr>
        <w:t>152H</w:t>
      </w:r>
      <w:r>
        <w:t>.</w:t>
      </w:r>
      <w:r>
        <w:tab/>
        <w:t>Evidence in support of s. 152G application</w:t>
      </w:r>
      <w:bookmarkEnd w:id="322"/>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No. 73 of 2006 s. 97.]</w:t>
      </w:r>
    </w:p>
    <w:p>
      <w:pPr>
        <w:pStyle w:val="Heading5"/>
      </w:pPr>
      <w:bookmarkStart w:id="323" w:name="_Toc526243304"/>
      <w:r>
        <w:rPr>
          <w:rStyle w:val="CharSectno"/>
        </w:rPr>
        <w:t>152I</w:t>
      </w:r>
      <w:r>
        <w:t>.</w:t>
      </w:r>
      <w:r>
        <w:tab/>
        <w:t>Notice of s. 152G application etc. to be given to respondent</w:t>
      </w:r>
      <w:bookmarkEnd w:id="323"/>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No. 73 of 2006 s. 97.]</w:t>
      </w:r>
    </w:p>
    <w:p>
      <w:pPr>
        <w:pStyle w:val="Heading5"/>
      </w:pPr>
      <w:bookmarkStart w:id="324" w:name="_Toc526243305"/>
      <w:r>
        <w:rPr>
          <w:rStyle w:val="CharSectno"/>
        </w:rPr>
        <w:t>152J</w:t>
      </w:r>
      <w:r>
        <w:t>.</w:t>
      </w:r>
      <w:r>
        <w:tab/>
        <w:t>Director may vary or revoke prohibition orders</w:t>
      </w:r>
      <w:bookmarkEnd w:id="324"/>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No. 73 of 2006 s. 97.]</w:t>
      </w:r>
    </w:p>
    <w:p>
      <w:pPr>
        <w:pStyle w:val="Heading5"/>
      </w:pPr>
      <w:bookmarkStart w:id="325" w:name="_Toc526243306"/>
      <w:r>
        <w:rPr>
          <w:rStyle w:val="CharSectno"/>
        </w:rPr>
        <w:t>152K</w:t>
      </w:r>
      <w:r>
        <w:t>.</w:t>
      </w:r>
      <w:r>
        <w:tab/>
        <w:t>Service and publication of prohibition orders</w:t>
      </w:r>
      <w:bookmarkEnd w:id="325"/>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No. 73 of 2006 s. 97; amended: No. 56 of 2010 s. 32.]</w:t>
      </w:r>
    </w:p>
    <w:p>
      <w:pPr>
        <w:pStyle w:val="Heading5"/>
      </w:pPr>
      <w:bookmarkStart w:id="326" w:name="_Toc526243307"/>
      <w:r>
        <w:rPr>
          <w:rStyle w:val="CharSectno"/>
        </w:rPr>
        <w:t>152L</w:t>
      </w:r>
      <w:r>
        <w:t>.</w:t>
      </w:r>
      <w:r>
        <w:tab/>
        <w:t>Failing to comply with prohibition orders</w:t>
      </w:r>
      <w:bookmarkEnd w:id="326"/>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No. 73 of 2006 s. 97; amended: No. 56 of 2010 s. 69.]</w:t>
      </w:r>
    </w:p>
    <w:p>
      <w:pPr>
        <w:pStyle w:val="Heading5"/>
      </w:pPr>
      <w:bookmarkStart w:id="327" w:name="_Toc526243308"/>
      <w:r>
        <w:rPr>
          <w:rStyle w:val="CharSectno"/>
        </w:rPr>
        <w:t>152M</w:t>
      </w:r>
      <w:r>
        <w:t>.</w:t>
      </w:r>
      <w:r>
        <w:tab/>
        <w:t>Permitting entry to premises contrary to prohibition order</w:t>
      </w:r>
      <w:bookmarkEnd w:id="327"/>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No. 56 of 2010 s. 33.]</w:t>
      </w:r>
    </w:p>
    <w:p>
      <w:pPr>
        <w:pStyle w:val="Heading5"/>
      </w:pPr>
      <w:bookmarkStart w:id="328" w:name="_Toc526243309"/>
      <w:r>
        <w:rPr>
          <w:rStyle w:val="CharSectno"/>
        </w:rPr>
        <w:t>152NA</w:t>
      </w:r>
      <w:r>
        <w:t>.</w:t>
      </w:r>
      <w:r>
        <w:tab/>
        <w:t xml:space="preserve">Relationship with </w:t>
      </w:r>
      <w:r>
        <w:rPr>
          <w:i/>
        </w:rPr>
        <w:t>Criminal Organisations Control Act 2012</w:t>
      </w:r>
      <w:bookmarkEnd w:id="328"/>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No. 49 of 2012 s. 178.]</w:t>
      </w:r>
    </w:p>
    <w:p>
      <w:pPr>
        <w:pStyle w:val="Heading2"/>
      </w:pPr>
      <w:bookmarkStart w:id="329" w:name="_Toc525287881"/>
      <w:bookmarkStart w:id="330" w:name="_Toc526243310"/>
      <w:r>
        <w:rPr>
          <w:rStyle w:val="CharPartNo"/>
        </w:rPr>
        <w:t>Part 5B</w:t>
      </w:r>
      <w:r>
        <w:rPr>
          <w:rStyle w:val="CharDivNo"/>
        </w:rPr>
        <w:t> </w:t>
      </w:r>
      <w:r>
        <w:t>—</w:t>
      </w:r>
      <w:r>
        <w:rPr>
          <w:rStyle w:val="CharDivText"/>
        </w:rPr>
        <w:t> </w:t>
      </w:r>
      <w:r>
        <w:rPr>
          <w:rStyle w:val="CharPartText"/>
        </w:rPr>
        <w:t>Liquor restricted premises</w:t>
      </w:r>
      <w:bookmarkEnd w:id="329"/>
      <w:bookmarkEnd w:id="330"/>
    </w:p>
    <w:p>
      <w:pPr>
        <w:pStyle w:val="Footnoteheading"/>
      </w:pPr>
      <w:r>
        <w:tab/>
        <w:t>[Heading inserted: No. 56 of 2010 s. 26.]</w:t>
      </w:r>
    </w:p>
    <w:p>
      <w:pPr>
        <w:pStyle w:val="Heading5"/>
      </w:pPr>
      <w:bookmarkStart w:id="331" w:name="_Toc526243311"/>
      <w:r>
        <w:rPr>
          <w:rStyle w:val="CharSectno"/>
        </w:rPr>
        <w:t>152N</w:t>
      </w:r>
      <w:r>
        <w:t>.</w:t>
      </w:r>
      <w:r>
        <w:tab/>
        <w:t>Terms used</w:t>
      </w:r>
      <w:bookmarkEnd w:id="331"/>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No. 56 of 2010 s. 26.]</w:t>
      </w:r>
    </w:p>
    <w:p>
      <w:pPr>
        <w:pStyle w:val="Heading5"/>
      </w:pPr>
      <w:bookmarkStart w:id="332" w:name="_Toc526243312"/>
      <w:r>
        <w:rPr>
          <w:rStyle w:val="CharSectno"/>
        </w:rPr>
        <w:t>152O</w:t>
      </w:r>
      <w:r>
        <w:t>.</w:t>
      </w:r>
      <w:r>
        <w:tab/>
        <w:t>Liquor on liquor restricted premises, offences as to</w:t>
      </w:r>
      <w:bookmarkEnd w:id="332"/>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No. 56 of 2010 s. 26; No. 35 of 2015 s. 22.]</w:t>
      </w:r>
    </w:p>
    <w:p>
      <w:pPr>
        <w:pStyle w:val="Heading5"/>
      </w:pPr>
      <w:bookmarkStart w:id="333" w:name="_Toc526243313"/>
      <w:r>
        <w:rPr>
          <w:rStyle w:val="CharSectno"/>
        </w:rPr>
        <w:t>152P</w:t>
      </w:r>
      <w:r>
        <w:t>.</w:t>
      </w:r>
      <w:r>
        <w:tab/>
        <w:t>Declaration of liquor restricted premises</w:t>
      </w:r>
      <w:bookmarkEnd w:id="333"/>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No. 56 of 2010 s. 26.]</w:t>
      </w:r>
    </w:p>
    <w:p>
      <w:pPr>
        <w:pStyle w:val="Heading5"/>
        <w:spacing w:before="240"/>
      </w:pPr>
      <w:bookmarkStart w:id="334" w:name="_Toc526243314"/>
      <w:r>
        <w:rPr>
          <w:rStyle w:val="CharSectno"/>
        </w:rPr>
        <w:t>152Q</w:t>
      </w:r>
      <w:r>
        <w:t>.</w:t>
      </w:r>
      <w:r>
        <w:tab/>
        <w:t>Liquor restriction declarations, power to make</w:t>
      </w:r>
      <w:bookmarkEnd w:id="334"/>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No. 56 of 2010 s. 26.]</w:t>
      </w:r>
    </w:p>
    <w:p>
      <w:pPr>
        <w:pStyle w:val="Heading5"/>
      </w:pPr>
      <w:bookmarkStart w:id="335" w:name="_Toc526243315"/>
      <w:r>
        <w:rPr>
          <w:rStyle w:val="CharSectno"/>
        </w:rPr>
        <w:t>152R</w:t>
      </w:r>
      <w:r>
        <w:t>.</w:t>
      </w:r>
      <w:r>
        <w:tab/>
        <w:t>Service etc. of liquor restriction declarations</w:t>
      </w:r>
      <w:bookmarkEnd w:id="335"/>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No. 56 of 2010 s. 26.]</w:t>
      </w:r>
    </w:p>
    <w:p>
      <w:pPr>
        <w:pStyle w:val="Heading5"/>
      </w:pPr>
      <w:bookmarkStart w:id="336" w:name="_Toc526243316"/>
      <w:r>
        <w:rPr>
          <w:rStyle w:val="CharSectno"/>
        </w:rPr>
        <w:t>152S</w:t>
      </w:r>
      <w:r>
        <w:t>.</w:t>
      </w:r>
      <w:r>
        <w:tab/>
        <w:t>Notice of liquor restriction declaration to be displayed at premises</w:t>
      </w:r>
      <w:bookmarkEnd w:id="336"/>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No. 56 of 2010 s. 26; amended: No. 35 of 2015 s. 23.]</w:t>
      </w:r>
    </w:p>
    <w:p>
      <w:pPr>
        <w:pStyle w:val="Heading5"/>
        <w:spacing w:before="180"/>
      </w:pPr>
      <w:bookmarkStart w:id="337" w:name="_Toc526243317"/>
      <w:r>
        <w:rPr>
          <w:rStyle w:val="CharSectno"/>
        </w:rPr>
        <w:t>152T</w:t>
      </w:r>
      <w:r>
        <w:t>.</w:t>
      </w:r>
      <w:r>
        <w:tab/>
        <w:t>Duration of liquor restriction declarations</w:t>
      </w:r>
      <w:bookmarkEnd w:id="337"/>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No. 56 of 2010 s. 26.]</w:t>
      </w:r>
    </w:p>
    <w:p>
      <w:pPr>
        <w:pStyle w:val="Heading5"/>
        <w:spacing w:before="180"/>
      </w:pPr>
      <w:bookmarkStart w:id="338" w:name="_Toc526243318"/>
      <w:r>
        <w:rPr>
          <w:rStyle w:val="CharSectno"/>
        </w:rPr>
        <w:t>152U</w:t>
      </w:r>
      <w:r>
        <w:t>.</w:t>
      </w:r>
      <w:r>
        <w:tab/>
        <w:t>Varying liquor restriction declarations</w:t>
      </w:r>
      <w:bookmarkEnd w:id="338"/>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keepNext/>
      </w:pPr>
      <w:r>
        <w:tab/>
      </w:r>
      <w:r>
        <w:tab/>
        <w:t>and</w:t>
      </w:r>
    </w:p>
    <w:p>
      <w:pPr>
        <w:pStyle w:val="Indenta"/>
        <w:keepNext/>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No. 56 of 2010 s. 26.]</w:t>
      </w:r>
    </w:p>
    <w:p>
      <w:pPr>
        <w:pStyle w:val="Heading5"/>
      </w:pPr>
      <w:bookmarkStart w:id="339" w:name="_Toc526243319"/>
      <w:r>
        <w:rPr>
          <w:rStyle w:val="CharSectno"/>
        </w:rPr>
        <w:t>152V</w:t>
      </w:r>
      <w:r>
        <w:t>.</w:t>
      </w:r>
      <w:r>
        <w:tab/>
        <w:t>Revoking liquor restriction declarations</w:t>
      </w:r>
      <w:bookmarkEnd w:id="339"/>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No. 56 of 2010 s. 26.]</w:t>
      </w:r>
    </w:p>
    <w:p>
      <w:pPr>
        <w:pStyle w:val="Heading5"/>
      </w:pPr>
      <w:bookmarkStart w:id="340" w:name="_Toc526243320"/>
      <w:r>
        <w:rPr>
          <w:rStyle w:val="CharSectno"/>
        </w:rPr>
        <w:t>152W</w:t>
      </w:r>
      <w:r>
        <w:t>.</w:t>
      </w:r>
      <w:r>
        <w:tab/>
        <w:t>Applications generally</w:t>
      </w:r>
      <w:bookmarkEnd w:id="340"/>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No. 56 of 2010 s. 26.]</w:t>
      </w:r>
    </w:p>
    <w:p>
      <w:pPr>
        <w:pStyle w:val="Heading5"/>
      </w:pPr>
      <w:bookmarkStart w:id="341" w:name="_Toc526243321"/>
      <w:r>
        <w:rPr>
          <w:rStyle w:val="CharSectno"/>
        </w:rPr>
        <w:t>152X</w:t>
      </w:r>
      <w:r>
        <w:t>.</w:t>
      </w:r>
      <w:r>
        <w:tab/>
        <w:t>Decisions under Part 5B not subject to review under s. 25</w:t>
      </w:r>
      <w:bookmarkEnd w:id="341"/>
    </w:p>
    <w:p>
      <w:pPr>
        <w:pStyle w:val="Subsection"/>
      </w:pPr>
      <w:r>
        <w:tab/>
      </w:r>
      <w:r>
        <w:tab/>
        <w:t>A decision made by the Director under this Part is not subject to review under section 25.</w:t>
      </w:r>
    </w:p>
    <w:p>
      <w:pPr>
        <w:pStyle w:val="Footnotesection"/>
      </w:pPr>
      <w:r>
        <w:tab/>
        <w:t>[Section 152X inserted: No. 56 of 2010 s. 26.]</w:t>
      </w:r>
    </w:p>
    <w:p>
      <w:pPr>
        <w:pStyle w:val="Heading2"/>
      </w:pPr>
      <w:bookmarkStart w:id="342" w:name="_Toc525287893"/>
      <w:bookmarkStart w:id="343" w:name="_Toc526243322"/>
      <w:r>
        <w:rPr>
          <w:rStyle w:val="CharPartNo"/>
        </w:rPr>
        <w:t>Part 6</w:t>
      </w:r>
      <w:r>
        <w:rPr>
          <w:rStyle w:val="CharDivNo"/>
        </w:rPr>
        <w:t> </w:t>
      </w:r>
      <w:r>
        <w:t>—</w:t>
      </w:r>
      <w:r>
        <w:rPr>
          <w:rStyle w:val="CharDivText"/>
        </w:rPr>
        <w:t> </w:t>
      </w:r>
      <w:r>
        <w:rPr>
          <w:rStyle w:val="CharPartText"/>
        </w:rPr>
        <w:t>Enforcement</w:t>
      </w:r>
      <w:bookmarkEnd w:id="342"/>
      <w:bookmarkEnd w:id="343"/>
      <w:r>
        <w:rPr>
          <w:rStyle w:val="CharPartText"/>
        </w:rPr>
        <w:t xml:space="preserve"> </w:t>
      </w:r>
    </w:p>
    <w:p>
      <w:pPr>
        <w:pStyle w:val="Heading5"/>
        <w:rPr>
          <w:snapToGrid w:val="0"/>
        </w:rPr>
      </w:pPr>
      <w:bookmarkStart w:id="344" w:name="_Toc526243323"/>
      <w:r>
        <w:rPr>
          <w:rStyle w:val="CharSectno"/>
        </w:rPr>
        <w:t>153</w:t>
      </w:r>
      <w:r>
        <w:rPr>
          <w:snapToGrid w:val="0"/>
        </w:rPr>
        <w:t>.</w:t>
      </w:r>
      <w:r>
        <w:rPr>
          <w:snapToGrid w:val="0"/>
        </w:rPr>
        <w:tab/>
        <w:t>Authorised officers etc., functions and reports of</w:t>
      </w:r>
      <w:bookmarkEnd w:id="344"/>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No. 14 of 1996 s. 4; No. 73 of 2006 s. 106.] </w:t>
      </w:r>
    </w:p>
    <w:p>
      <w:pPr>
        <w:pStyle w:val="Heading5"/>
        <w:rPr>
          <w:snapToGrid w:val="0"/>
        </w:rPr>
      </w:pPr>
      <w:bookmarkStart w:id="345" w:name="_Toc526243324"/>
      <w:r>
        <w:rPr>
          <w:rStyle w:val="CharSectno"/>
        </w:rPr>
        <w:t>154</w:t>
      </w:r>
      <w:r>
        <w:rPr>
          <w:snapToGrid w:val="0"/>
        </w:rPr>
        <w:t>.</w:t>
      </w:r>
      <w:r>
        <w:rPr>
          <w:snapToGrid w:val="0"/>
        </w:rPr>
        <w:tab/>
        <w:t>Authorised officers, powers of entry etc., offences as to</w:t>
      </w:r>
      <w:bookmarkEnd w:id="345"/>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No. 56 of 1997 s. 47; No. 12 of 1998 s. 97(1) and (3); No. 73 of 2006 s. 110; No. 56 of 2010 s. 25 and 69.] </w:t>
      </w:r>
    </w:p>
    <w:p>
      <w:pPr>
        <w:pStyle w:val="Heading5"/>
        <w:rPr>
          <w:snapToGrid w:val="0"/>
        </w:rPr>
      </w:pPr>
      <w:bookmarkStart w:id="346" w:name="_Toc526243325"/>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346"/>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suspects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No. 70 of 2004 s. 82; No. 59 of 2006 s. 55; No. 73 of 2006 s. 98 and 109; No. 56 of 2010 s. 65; No. 35 of 2015 s. 24; No. 9 of 2018 s. 62(2).]</w:t>
      </w:r>
    </w:p>
    <w:p>
      <w:pPr>
        <w:pStyle w:val="Heading5"/>
        <w:rPr>
          <w:snapToGrid w:val="0"/>
        </w:rPr>
      </w:pPr>
      <w:bookmarkStart w:id="347" w:name="_Toc526243326"/>
      <w:r>
        <w:rPr>
          <w:rStyle w:val="CharSectno"/>
        </w:rPr>
        <w:t>156</w:t>
      </w:r>
      <w:r>
        <w:rPr>
          <w:snapToGrid w:val="0"/>
        </w:rPr>
        <w:t>.</w:t>
      </w:r>
      <w:r>
        <w:rPr>
          <w:snapToGrid w:val="0"/>
        </w:rPr>
        <w:tab/>
        <w:t>Local governments, functions of</w:t>
      </w:r>
      <w:bookmarkEnd w:id="347"/>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No. 14 of 1996 s. 4; No. 84 of 2004 s. 80.] </w:t>
      </w:r>
    </w:p>
    <w:p>
      <w:pPr>
        <w:pStyle w:val="Heading5"/>
        <w:rPr>
          <w:snapToGrid w:val="0"/>
        </w:rPr>
      </w:pPr>
      <w:bookmarkStart w:id="348" w:name="_Toc526243327"/>
      <w:r>
        <w:rPr>
          <w:rStyle w:val="CharSectno"/>
        </w:rPr>
        <w:t>157</w:t>
      </w:r>
      <w:r>
        <w:rPr>
          <w:snapToGrid w:val="0"/>
        </w:rPr>
        <w:t>.</w:t>
      </w:r>
      <w:r>
        <w:rPr>
          <w:snapToGrid w:val="0"/>
        </w:rPr>
        <w:tab/>
        <w:t>Evasion of fees due etc., offence</w:t>
      </w:r>
      <w:bookmarkEnd w:id="348"/>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No. 12 of 1998 s. 87; No. 84 of 2004 s. 80; No. 56 of 2010 s. 69.] </w:t>
      </w:r>
    </w:p>
    <w:p>
      <w:pPr>
        <w:pStyle w:val="Heading5"/>
        <w:rPr>
          <w:snapToGrid w:val="0"/>
        </w:rPr>
      </w:pPr>
      <w:bookmarkStart w:id="349" w:name="_Toc526243328"/>
      <w:r>
        <w:rPr>
          <w:rStyle w:val="CharSectno"/>
        </w:rPr>
        <w:t>158</w:t>
      </w:r>
      <w:r>
        <w:rPr>
          <w:snapToGrid w:val="0"/>
        </w:rPr>
        <w:t>.</w:t>
      </w:r>
      <w:r>
        <w:rPr>
          <w:snapToGrid w:val="0"/>
        </w:rPr>
        <w:tab/>
        <w:t>Failing to comply with licensing authority’s requirements etc., offence</w:t>
      </w:r>
      <w:bookmarkEnd w:id="34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No. 73 of 2006 s. 110; No. 56 of 2010 s. 69.]</w:t>
      </w:r>
    </w:p>
    <w:p>
      <w:pPr>
        <w:pStyle w:val="Heading5"/>
        <w:rPr>
          <w:snapToGrid w:val="0"/>
        </w:rPr>
      </w:pPr>
      <w:bookmarkStart w:id="350" w:name="_Toc526243329"/>
      <w:r>
        <w:rPr>
          <w:rStyle w:val="CharSectno"/>
        </w:rPr>
        <w:t>159</w:t>
      </w:r>
      <w:r>
        <w:rPr>
          <w:snapToGrid w:val="0"/>
        </w:rPr>
        <w:t>.</w:t>
      </w:r>
      <w:r>
        <w:rPr>
          <w:snapToGrid w:val="0"/>
        </w:rPr>
        <w:tab/>
        <w:t>False or misleading statements and records, offence</w:t>
      </w:r>
      <w:bookmarkEnd w:id="350"/>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No. 73 of 2006 s. 110; No. 56 of 2010 s. 69.]</w:t>
      </w:r>
    </w:p>
    <w:p>
      <w:pPr>
        <w:pStyle w:val="Heading5"/>
        <w:rPr>
          <w:snapToGrid w:val="0"/>
        </w:rPr>
      </w:pPr>
      <w:bookmarkStart w:id="351" w:name="_Toc526243330"/>
      <w:r>
        <w:rPr>
          <w:rStyle w:val="CharSectno"/>
        </w:rPr>
        <w:t>160</w:t>
      </w:r>
      <w:r>
        <w:rPr>
          <w:snapToGrid w:val="0"/>
        </w:rPr>
        <w:t>.</w:t>
      </w:r>
      <w:r>
        <w:rPr>
          <w:snapToGrid w:val="0"/>
        </w:rPr>
        <w:tab/>
        <w:t>Information about offences, power to obtain</w:t>
      </w:r>
      <w:bookmarkEnd w:id="351"/>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No. 12 of 1998 s. 88; No. 73 of 2006 s. 110; No. 56 of 2010 s. 69; No. 35 of 2015 s. 25.] </w:t>
      </w:r>
    </w:p>
    <w:p>
      <w:pPr>
        <w:pStyle w:val="Heading5"/>
        <w:spacing w:before="180"/>
        <w:rPr>
          <w:snapToGrid w:val="0"/>
        </w:rPr>
      </w:pPr>
      <w:bookmarkStart w:id="352" w:name="_Toc526243331"/>
      <w:r>
        <w:rPr>
          <w:rStyle w:val="CharSectno"/>
        </w:rPr>
        <w:t>161</w:t>
      </w:r>
      <w:r>
        <w:rPr>
          <w:snapToGrid w:val="0"/>
        </w:rPr>
        <w:t>.</w:t>
      </w:r>
      <w:r>
        <w:rPr>
          <w:snapToGrid w:val="0"/>
        </w:rPr>
        <w:tab/>
        <w:t>Search warrants, issue and execution of</w:t>
      </w:r>
      <w:bookmarkEnd w:id="352"/>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No. 56 of 1997 s. 48; No. 84 of 2004 s. 80; No. 73 of 2006 s. 109 and 110; No. 56 of 2010 s. 69.] </w:t>
      </w:r>
    </w:p>
    <w:p>
      <w:pPr>
        <w:pStyle w:val="Heading5"/>
        <w:rPr>
          <w:snapToGrid w:val="0"/>
        </w:rPr>
      </w:pPr>
      <w:bookmarkStart w:id="353" w:name="_Toc526243332"/>
      <w:r>
        <w:rPr>
          <w:rStyle w:val="CharSectno"/>
        </w:rPr>
        <w:t>162</w:t>
      </w:r>
      <w:r>
        <w:rPr>
          <w:snapToGrid w:val="0"/>
        </w:rPr>
        <w:t>.</w:t>
      </w:r>
      <w:r>
        <w:rPr>
          <w:snapToGrid w:val="0"/>
        </w:rPr>
        <w:tab/>
        <w:t>Separate offences and continuing offences</w:t>
      </w:r>
      <w:bookmarkEnd w:id="353"/>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No. 84 of 2004 s. 80.] </w:t>
      </w:r>
    </w:p>
    <w:p>
      <w:pPr>
        <w:pStyle w:val="Heading5"/>
        <w:rPr>
          <w:snapToGrid w:val="0"/>
        </w:rPr>
      </w:pPr>
      <w:bookmarkStart w:id="354" w:name="_Toc526243333"/>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354"/>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55" w:name="_Toc526243334"/>
      <w:r>
        <w:rPr>
          <w:rStyle w:val="CharSectno"/>
        </w:rPr>
        <w:t>164</w:t>
      </w:r>
      <w:r>
        <w:rPr>
          <w:snapToGrid w:val="0"/>
        </w:rPr>
        <w:t>.</w:t>
      </w:r>
      <w:r>
        <w:rPr>
          <w:snapToGrid w:val="0"/>
        </w:rPr>
        <w:tab/>
        <w:t>Bodies corporate and partnerships, offences by</w:t>
      </w:r>
      <w:bookmarkEnd w:id="355"/>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No. 12 of 1998 s. 89; No. 10 of 2001 s. 220; No. 84 of 2004 s. 80; No. 73 of 2006 s. 106; No. 56 of 2010 s. 20.] </w:t>
      </w:r>
    </w:p>
    <w:p>
      <w:pPr>
        <w:pStyle w:val="Heading5"/>
        <w:rPr>
          <w:snapToGrid w:val="0"/>
        </w:rPr>
      </w:pPr>
      <w:bookmarkStart w:id="356" w:name="_Toc526243335"/>
      <w:r>
        <w:rPr>
          <w:rStyle w:val="CharSectno"/>
        </w:rPr>
        <w:t>165</w:t>
      </w:r>
      <w:r>
        <w:rPr>
          <w:snapToGrid w:val="0"/>
        </w:rPr>
        <w:t>.</w:t>
      </w:r>
      <w:r>
        <w:rPr>
          <w:snapToGrid w:val="0"/>
        </w:rPr>
        <w:tab/>
        <w:t>Licensee liable for act of employee etc.</w:t>
      </w:r>
      <w:bookmarkEnd w:id="356"/>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No. 84 of 2004 s. 80; No. 73 of 2006 s. 99.] </w:t>
      </w:r>
    </w:p>
    <w:p>
      <w:pPr>
        <w:pStyle w:val="Heading5"/>
        <w:rPr>
          <w:snapToGrid w:val="0"/>
        </w:rPr>
      </w:pPr>
      <w:bookmarkStart w:id="357" w:name="_Toc526243336"/>
      <w:r>
        <w:rPr>
          <w:rStyle w:val="CharSectno"/>
        </w:rPr>
        <w:t>166</w:t>
      </w:r>
      <w:r>
        <w:rPr>
          <w:snapToGrid w:val="0"/>
        </w:rPr>
        <w:t>.</w:t>
      </w:r>
      <w:r>
        <w:rPr>
          <w:snapToGrid w:val="0"/>
        </w:rPr>
        <w:tab/>
        <w:t>General penalty</w:t>
      </w:r>
      <w:bookmarkEnd w:id="357"/>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No. 73 of 2006 s. 110; No. 56 of 2010 s. 66.]</w:t>
      </w:r>
    </w:p>
    <w:p>
      <w:pPr>
        <w:pStyle w:val="Heading5"/>
        <w:rPr>
          <w:snapToGrid w:val="0"/>
        </w:rPr>
      </w:pPr>
      <w:bookmarkStart w:id="358" w:name="_Toc526243337"/>
      <w:r>
        <w:rPr>
          <w:rStyle w:val="CharSectno"/>
        </w:rPr>
        <w:t>167</w:t>
      </w:r>
      <w:r>
        <w:rPr>
          <w:snapToGrid w:val="0"/>
        </w:rPr>
        <w:t>.</w:t>
      </w:r>
      <w:r>
        <w:rPr>
          <w:snapToGrid w:val="0"/>
        </w:rPr>
        <w:tab/>
        <w:t>Infringement notices</w:t>
      </w:r>
      <w:bookmarkEnd w:id="3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tab/>
      </w:r>
      <w:r>
        <w:rPr>
          <w:rStyle w:val="CharDefText"/>
        </w:rPr>
        <w:t>approved form</w:t>
      </w:r>
      <w:r>
        <w:t xml:space="preserve"> means the form approved by the Director;</w:t>
      </w:r>
    </w:p>
    <w:p>
      <w:pPr>
        <w:pStyle w:val="Defstart"/>
      </w:pPr>
      <w:r>
        <w:rPr>
          <w:b/>
        </w:rPr>
        <w:tab/>
      </w:r>
      <w:r>
        <w:rPr>
          <w:rStyle w:val="CharDefText"/>
        </w:rPr>
        <w:t>infringement notice</w:t>
      </w:r>
      <w:r>
        <w:t xml:space="preserve"> means an infringement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w:t>
      </w:r>
      <w:r>
        <w:t>an infringement notice.</w:t>
      </w:r>
    </w:p>
    <w:p>
      <w:pPr>
        <w:pStyle w:val="Subsection"/>
      </w:pPr>
      <w:r>
        <w:tab/>
        <w:t>(2A)</w:t>
      </w:r>
      <w:r>
        <w:tab/>
        <w:t xml:space="preserve">An infringement notice must be in the approved form and must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 xml:space="preserve">The Director may, whether or not the modified penalty has been paid, withdraw an infringement notice within 2 years after it was given by sending to the alleged offender a notice in the </w:t>
      </w:r>
      <w:r>
        <w:t>approved</w:t>
      </w:r>
      <w:r>
        <w:rPr>
          <w:snapToGrid w:val="0"/>
        </w:rPr>
        <w:t xml:space="preserve">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No. 84 of 2004 s. 80; No. 73 of 2006 s. 100; No. 9 of 2018 s. 63.] </w:t>
      </w:r>
    </w:p>
    <w:p>
      <w:pPr>
        <w:pStyle w:val="Heading5"/>
        <w:spacing w:before="180"/>
        <w:rPr>
          <w:snapToGrid w:val="0"/>
        </w:rPr>
      </w:pPr>
      <w:bookmarkStart w:id="359" w:name="_Toc526243338"/>
      <w:r>
        <w:rPr>
          <w:rStyle w:val="CharSectno"/>
        </w:rPr>
        <w:t>168</w:t>
      </w:r>
      <w:r>
        <w:rPr>
          <w:snapToGrid w:val="0"/>
        </w:rPr>
        <w:t>.</w:t>
      </w:r>
      <w:r>
        <w:rPr>
          <w:snapToGrid w:val="0"/>
        </w:rPr>
        <w:tab/>
        <w:t>Prosecutions, institution of</w:t>
      </w:r>
      <w:bookmarkEnd w:id="359"/>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No. 84 of 2004 s. 80.] </w:t>
      </w:r>
    </w:p>
    <w:p>
      <w:pPr>
        <w:pStyle w:val="Heading5"/>
        <w:spacing w:before="180"/>
        <w:rPr>
          <w:snapToGrid w:val="0"/>
        </w:rPr>
      </w:pPr>
      <w:bookmarkStart w:id="360" w:name="_Toc526243339"/>
      <w:r>
        <w:rPr>
          <w:rStyle w:val="CharSectno"/>
        </w:rPr>
        <w:t>169</w:t>
      </w:r>
      <w:r>
        <w:rPr>
          <w:snapToGrid w:val="0"/>
        </w:rPr>
        <w:t>.</w:t>
      </w:r>
      <w:r>
        <w:rPr>
          <w:snapToGrid w:val="0"/>
        </w:rPr>
        <w:tab/>
        <w:t>Prosecutions, hearing of and limitation periods for</w:t>
      </w:r>
      <w:bookmarkEnd w:id="360"/>
    </w:p>
    <w:p>
      <w:pPr>
        <w:pStyle w:val="Subsection"/>
        <w:keepNext/>
      </w:pPr>
      <w:r>
        <w:tab/>
        <w:t>(1)</w:t>
      </w:r>
      <w:r>
        <w:tab/>
        <w:t xml:space="preserve">A court of summary jurisdiction hearing and determining a charge of an offence under this Act is to be constituted by a magistrate if — </w:t>
      </w:r>
    </w:p>
    <w:p>
      <w:pPr>
        <w:pStyle w:val="Indenta"/>
        <w:keepNext/>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No. 56 of 1997 s. 26(4); No. 12 of 1998 s. 91; No. 59 of 2004 s. 141; No. 84 of 2004 s. 82; No. 56 of 2010 s. 67.] </w:t>
      </w:r>
    </w:p>
    <w:p>
      <w:pPr>
        <w:pStyle w:val="Heading5"/>
        <w:rPr>
          <w:snapToGrid w:val="0"/>
        </w:rPr>
      </w:pPr>
      <w:bookmarkStart w:id="361" w:name="_Toc526243340"/>
      <w:r>
        <w:rPr>
          <w:rStyle w:val="CharSectno"/>
        </w:rPr>
        <w:t>170</w:t>
      </w:r>
      <w:r>
        <w:rPr>
          <w:snapToGrid w:val="0"/>
        </w:rPr>
        <w:t>.</w:t>
      </w:r>
      <w:r>
        <w:rPr>
          <w:snapToGrid w:val="0"/>
        </w:rPr>
        <w:tab/>
        <w:t>Evidentiary provisions as to proof of certain facts</w:t>
      </w:r>
      <w:bookmarkEnd w:id="361"/>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No. 12 of 1998 s. 92; No. 84 of 2004 s. 82; No. 9 of 2018 s. 64.] </w:t>
      </w:r>
    </w:p>
    <w:p>
      <w:pPr>
        <w:pStyle w:val="Heading5"/>
        <w:rPr>
          <w:snapToGrid w:val="0"/>
        </w:rPr>
      </w:pPr>
      <w:bookmarkStart w:id="362" w:name="_Toc526243341"/>
      <w:r>
        <w:rPr>
          <w:rStyle w:val="CharSectno"/>
        </w:rPr>
        <w:t>171</w:t>
      </w:r>
      <w:r>
        <w:rPr>
          <w:snapToGrid w:val="0"/>
        </w:rPr>
        <w:t>.</w:t>
      </w:r>
      <w:r>
        <w:rPr>
          <w:snapToGrid w:val="0"/>
        </w:rPr>
        <w:tab/>
        <w:t>Accomplices, who are not, evidence of</w:t>
      </w:r>
      <w:bookmarkEnd w:id="362"/>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No. 84 of 2004 s. 80 and 82.] </w:t>
      </w:r>
    </w:p>
    <w:p>
      <w:pPr>
        <w:pStyle w:val="Heading5"/>
        <w:spacing w:before="260"/>
        <w:rPr>
          <w:snapToGrid w:val="0"/>
        </w:rPr>
      </w:pPr>
      <w:bookmarkStart w:id="363" w:name="_Toc526243342"/>
      <w:r>
        <w:rPr>
          <w:rStyle w:val="CharSectno"/>
        </w:rPr>
        <w:t>172</w:t>
      </w:r>
      <w:r>
        <w:rPr>
          <w:snapToGrid w:val="0"/>
        </w:rPr>
        <w:t>.</w:t>
      </w:r>
      <w:r>
        <w:rPr>
          <w:snapToGrid w:val="0"/>
        </w:rPr>
        <w:tab/>
        <w:t>Averments in charges, proof of certain documents and facts</w:t>
      </w:r>
      <w:bookmarkEnd w:id="363"/>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No. 56 of 1997 s. 49; No. 12 of 1998 s. 10(12) and 93; No. 84 of 2004 s. 80 and 82; No. 73 of 2006 s. 101 and 106; No. 56 of 2010 s. 21.] </w:t>
      </w:r>
    </w:p>
    <w:p>
      <w:pPr>
        <w:pStyle w:val="Heading5"/>
      </w:pPr>
      <w:bookmarkStart w:id="364" w:name="_Toc526243343"/>
      <w:r>
        <w:rPr>
          <w:rStyle w:val="CharSectno"/>
        </w:rPr>
        <w:t>172A</w:t>
      </w:r>
      <w:r>
        <w:t>.</w:t>
      </w:r>
      <w:r>
        <w:tab/>
        <w:t>Forfeiture of liquor etc. on conviction or payment of modified penalty</w:t>
      </w:r>
      <w:bookmarkEnd w:id="364"/>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No. 59 of 2006 s. 56.]</w:t>
      </w:r>
    </w:p>
    <w:p>
      <w:pPr>
        <w:pStyle w:val="Heading2"/>
      </w:pPr>
      <w:bookmarkStart w:id="365" w:name="_Toc525287915"/>
      <w:bookmarkStart w:id="366" w:name="_Toc526243344"/>
      <w:r>
        <w:rPr>
          <w:rStyle w:val="CharPartNo"/>
        </w:rPr>
        <w:t>Part 7</w:t>
      </w:r>
      <w:r>
        <w:rPr>
          <w:rStyle w:val="CharDivNo"/>
        </w:rPr>
        <w:t> </w:t>
      </w:r>
      <w:r>
        <w:t>—</w:t>
      </w:r>
      <w:r>
        <w:rPr>
          <w:rStyle w:val="CharDivText"/>
        </w:rPr>
        <w:t> </w:t>
      </w:r>
      <w:r>
        <w:rPr>
          <w:rStyle w:val="CharPartText"/>
        </w:rPr>
        <w:t>General</w:t>
      </w:r>
      <w:bookmarkEnd w:id="365"/>
      <w:bookmarkEnd w:id="366"/>
      <w:r>
        <w:rPr>
          <w:rStyle w:val="CharPartText"/>
        </w:rPr>
        <w:t xml:space="preserve"> </w:t>
      </w:r>
    </w:p>
    <w:p>
      <w:pPr>
        <w:pStyle w:val="Heading5"/>
        <w:rPr>
          <w:snapToGrid w:val="0"/>
        </w:rPr>
      </w:pPr>
      <w:bookmarkStart w:id="367" w:name="_Toc526243345"/>
      <w:r>
        <w:rPr>
          <w:rStyle w:val="CharSectno"/>
        </w:rPr>
        <w:t>173</w:t>
      </w:r>
      <w:r>
        <w:rPr>
          <w:snapToGrid w:val="0"/>
        </w:rPr>
        <w:t>.</w:t>
      </w:r>
      <w:r>
        <w:rPr>
          <w:snapToGrid w:val="0"/>
        </w:rPr>
        <w:tab/>
        <w:t>Pending review etc. not to affect liability</w:t>
      </w:r>
      <w:bookmarkEnd w:id="367"/>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68" w:name="_Toc526243346"/>
      <w:r>
        <w:rPr>
          <w:rStyle w:val="CharSectno"/>
        </w:rPr>
        <w:t>174</w:t>
      </w:r>
      <w:r>
        <w:rPr>
          <w:snapToGrid w:val="0"/>
        </w:rPr>
        <w:t>.</w:t>
      </w:r>
      <w:r>
        <w:rPr>
          <w:snapToGrid w:val="0"/>
        </w:rPr>
        <w:tab/>
        <w:t>Service of documents</w:t>
      </w:r>
      <w:bookmarkEnd w:id="368"/>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69" w:name="_Toc526243347"/>
      <w:r>
        <w:rPr>
          <w:rStyle w:val="CharSectno"/>
        </w:rPr>
        <w:t>174A</w:t>
      </w:r>
      <w:r>
        <w:t>.</w:t>
      </w:r>
      <w:r>
        <w:tab/>
      </w:r>
      <w:r>
        <w:rPr>
          <w:i/>
          <w:iCs/>
        </w:rPr>
        <w:t>Criminal and Found Property Disposal Act 2006</w:t>
      </w:r>
      <w:r>
        <w:rPr>
          <w:iCs/>
        </w:rPr>
        <w:t xml:space="preserve">, </w:t>
      </w:r>
      <w:r>
        <w:t>application of</w:t>
      </w:r>
      <w:bookmarkEnd w:id="369"/>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No. 59 of 2006 s. 57; amended: No. 56 of 2010 s. 68; No. 9 of 2018 s. 65.]</w:t>
      </w:r>
    </w:p>
    <w:p>
      <w:pPr>
        <w:pStyle w:val="Heading5"/>
      </w:pPr>
      <w:bookmarkStart w:id="370" w:name="_Toc526243348"/>
      <w:r>
        <w:rPr>
          <w:rStyle w:val="CharSectno"/>
        </w:rPr>
        <w:t>174B</w:t>
      </w:r>
      <w:r>
        <w:t>.</w:t>
      </w:r>
      <w:r>
        <w:tab/>
        <w:t xml:space="preserve">Liquor accords: authorisation for purposes of </w:t>
      </w:r>
      <w:r>
        <w:rPr>
          <w:i/>
        </w:rPr>
        <w:t>Competition and Consumer Act 2010</w:t>
      </w:r>
      <w:r>
        <w:t xml:space="preserve"> and Competition Code</w:t>
      </w:r>
      <w:bookmarkEnd w:id="370"/>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No. 9 of 2018 s. 66.]</w:t>
      </w:r>
    </w:p>
    <w:p>
      <w:pPr>
        <w:pStyle w:val="Heading5"/>
        <w:spacing w:before="180"/>
        <w:rPr>
          <w:snapToGrid w:val="0"/>
        </w:rPr>
      </w:pPr>
      <w:bookmarkStart w:id="371" w:name="_Toc526243349"/>
      <w:r>
        <w:rPr>
          <w:rStyle w:val="CharSectno"/>
        </w:rPr>
        <w:t>175</w:t>
      </w:r>
      <w:r>
        <w:rPr>
          <w:snapToGrid w:val="0"/>
        </w:rPr>
        <w:t>.</w:t>
      </w:r>
      <w:r>
        <w:rPr>
          <w:snapToGrid w:val="0"/>
        </w:rPr>
        <w:tab/>
        <w:t>Regulations</w:t>
      </w:r>
      <w:bookmarkEnd w:id="371"/>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372" w:name="_Toc526243350"/>
      <w:r>
        <w:rPr>
          <w:rStyle w:val="CharSectno"/>
        </w:rPr>
        <w:t>177</w:t>
      </w:r>
      <w:r>
        <w:rPr>
          <w:snapToGrid w:val="0"/>
        </w:rPr>
        <w:t>.</w:t>
      </w:r>
      <w:r>
        <w:rPr>
          <w:snapToGrid w:val="0"/>
        </w:rPr>
        <w:tab/>
        <w:t>Transitional provisions (Sch. 1)</w:t>
      </w:r>
      <w:bookmarkEnd w:id="372"/>
    </w:p>
    <w:p>
      <w:pPr>
        <w:pStyle w:val="Subsection"/>
        <w:rPr>
          <w:snapToGrid w:val="0"/>
        </w:rPr>
      </w:pPr>
      <w:r>
        <w:rPr>
          <w:snapToGrid w:val="0"/>
        </w:rPr>
        <w:tab/>
      </w:r>
      <w:r>
        <w:rPr>
          <w:snapToGrid w:val="0"/>
        </w:rPr>
        <w:tab/>
        <w:t>Schedule 1, which contains transitional provisions, has effect.</w:t>
      </w:r>
    </w:p>
    <w:p>
      <w:pPr>
        <w:pStyle w:val="Heading5"/>
      </w:pPr>
      <w:bookmarkStart w:id="373" w:name="_Toc526243351"/>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373"/>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No. 73 of 2006 s. 103.]</w:t>
      </w:r>
    </w:p>
    <w:p>
      <w:pPr>
        <w:pStyle w:val="Heading5"/>
      </w:pPr>
      <w:bookmarkStart w:id="374" w:name="_Toc526243352"/>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374"/>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No. 56 of 2010 s. 23.] </w:t>
      </w:r>
    </w:p>
    <w:p>
      <w:pPr>
        <w:pStyle w:val="Heading5"/>
      </w:pPr>
      <w:bookmarkStart w:id="375" w:name="_Toc526243353"/>
      <w:r>
        <w:rPr>
          <w:rStyle w:val="CharSectno"/>
        </w:rPr>
        <w:t>177C</w:t>
      </w:r>
      <w:r>
        <w:t>.</w:t>
      </w:r>
      <w:r>
        <w:tab/>
        <w:t xml:space="preserve">Transitional provisions for </w:t>
      </w:r>
      <w:r>
        <w:rPr>
          <w:i/>
        </w:rPr>
        <w:t>Liquor Control Amendment Act 2018</w:t>
      </w:r>
      <w:r>
        <w:t xml:space="preserve"> (Sch. 1C)</w:t>
      </w:r>
      <w:bookmarkEnd w:id="375"/>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No. 9 of 2018 s. 68.] </w:t>
      </w:r>
    </w:p>
    <w:p>
      <w:pPr>
        <w:pStyle w:val="Heading5"/>
        <w:rPr>
          <w:snapToGrid w:val="0"/>
        </w:rPr>
      </w:pPr>
      <w:bookmarkStart w:id="376" w:name="_Toc526243354"/>
      <w:r>
        <w:rPr>
          <w:rStyle w:val="CharSectno"/>
        </w:rPr>
        <w:t>178</w:t>
      </w:r>
      <w:r>
        <w:rPr>
          <w:snapToGrid w:val="0"/>
        </w:rPr>
        <w:t>.</w:t>
      </w:r>
      <w:r>
        <w:rPr>
          <w:snapToGrid w:val="0"/>
        </w:rPr>
        <w:tab/>
        <w:t>Review of Act</w:t>
      </w:r>
      <w:bookmarkEnd w:id="376"/>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No. 12 of 1998 s. 95; No. 9 of 2018 s. 69.]</w:t>
      </w:r>
    </w:p>
    <w:p>
      <w:pPr>
        <w:pStyle w:val="Footnotesection"/>
      </w:pPr>
    </w:p>
    <w:p>
      <w:pPr>
        <w:pStyle w:val="Footnotesection"/>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78" w:name="_Toc525287926"/>
      <w:bookmarkStart w:id="379" w:name="_Toc526243355"/>
      <w:r>
        <w:rPr>
          <w:rStyle w:val="CharSchNo"/>
        </w:rPr>
        <w:t>Schedule 1</w:t>
      </w:r>
      <w:r>
        <w:rPr>
          <w:rStyle w:val="CharSDivNo"/>
        </w:rPr>
        <w:t> </w:t>
      </w:r>
      <w:r>
        <w:t>—</w:t>
      </w:r>
      <w:r>
        <w:rPr>
          <w:rStyle w:val="CharSDivText"/>
        </w:rPr>
        <w:t> </w:t>
      </w:r>
      <w:r>
        <w:rPr>
          <w:rStyle w:val="CharSchText"/>
        </w:rPr>
        <w:t>Transitional provisions</w:t>
      </w:r>
      <w:bookmarkEnd w:id="378"/>
      <w:bookmarkEnd w:id="379"/>
    </w:p>
    <w:p>
      <w:pPr>
        <w:pStyle w:val="yShoulderClause"/>
        <w:rPr>
          <w:snapToGrid w:val="0"/>
        </w:rPr>
      </w:pPr>
      <w:r>
        <w:rPr>
          <w:snapToGrid w:val="0"/>
        </w:rPr>
        <w:t>[s. 177]</w:t>
      </w:r>
    </w:p>
    <w:p>
      <w:pPr>
        <w:pStyle w:val="yFootnoteheading"/>
      </w:pPr>
      <w:r>
        <w:tab/>
        <w:t>[Heading amended: No. 19 of 2010 s. 4.]</w:t>
      </w:r>
    </w:p>
    <w:p>
      <w:pPr>
        <w:pStyle w:val="yHeading5"/>
        <w:rPr>
          <w:snapToGrid w:val="0"/>
        </w:rPr>
      </w:pPr>
      <w:bookmarkStart w:id="380" w:name="_Toc526243356"/>
      <w:r>
        <w:rPr>
          <w:rStyle w:val="CharSClsNo"/>
        </w:rPr>
        <w:t>1</w:t>
      </w:r>
      <w:r>
        <w:rPr>
          <w:snapToGrid w:val="0"/>
        </w:rPr>
        <w:t>.</w:t>
      </w:r>
      <w:r>
        <w:rPr>
          <w:snapToGrid w:val="0"/>
        </w:rPr>
        <w:tab/>
        <w:t>Terms used</w:t>
      </w:r>
      <w:bookmarkEnd w:id="380"/>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81" w:name="_Toc526243357"/>
      <w:r>
        <w:rPr>
          <w:rStyle w:val="CharSClsNo"/>
        </w:rPr>
        <w:t>2</w:t>
      </w:r>
      <w:r>
        <w:rPr>
          <w:snapToGrid w:val="0"/>
        </w:rPr>
        <w:t>.</w:t>
      </w:r>
      <w:r>
        <w:rPr>
          <w:snapToGrid w:val="0"/>
        </w:rPr>
        <w:tab/>
        <w:t>Continuing effect of convictions, forfeitures etc.</w:t>
      </w:r>
      <w:bookmarkEnd w:id="381"/>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82" w:name="_Toc526243358"/>
      <w:r>
        <w:rPr>
          <w:rStyle w:val="CharSClsNo"/>
        </w:rPr>
        <w:t>3</w:t>
      </w:r>
      <w:r>
        <w:rPr>
          <w:snapToGrid w:val="0"/>
        </w:rPr>
        <w:t>.</w:t>
      </w:r>
      <w:r>
        <w:rPr>
          <w:snapToGrid w:val="0"/>
        </w:rPr>
        <w:tab/>
        <w:t>Proceedings part heard, rules of court, and appointments under repealed Act</w:t>
      </w:r>
      <w:bookmarkEnd w:id="382"/>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83" w:name="_Toc526243359"/>
      <w:r>
        <w:rPr>
          <w:rStyle w:val="CharSClsNo"/>
        </w:rPr>
        <w:t>4</w:t>
      </w:r>
      <w:r>
        <w:rPr>
          <w:snapToGrid w:val="0"/>
        </w:rPr>
        <w:t>.</w:t>
      </w:r>
      <w:r>
        <w:rPr>
          <w:snapToGrid w:val="0"/>
        </w:rPr>
        <w:tab/>
        <w:t>Fees</w:t>
      </w:r>
      <w:bookmarkEnd w:id="383"/>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84" w:name="_Toc526243360"/>
      <w:r>
        <w:rPr>
          <w:rStyle w:val="CharSClsNo"/>
        </w:rPr>
        <w:t>5</w:t>
      </w:r>
      <w:r>
        <w:rPr>
          <w:snapToGrid w:val="0"/>
        </w:rPr>
        <w:t>.</w:t>
      </w:r>
      <w:r>
        <w:rPr>
          <w:snapToGrid w:val="0"/>
        </w:rPr>
        <w:tab/>
        <w:t>Continuing effect of conditions, delineated or designated areas, approvals etc.</w:t>
      </w:r>
      <w:bookmarkEnd w:id="384"/>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85" w:name="_Toc526243361"/>
      <w:r>
        <w:rPr>
          <w:rStyle w:val="CharSClsNo"/>
        </w:rPr>
        <w:t>6</w:t>
      </w:r>
      <w:r>
        <w:rPr>
          <w:snapToGrid w:val="0"/>
        </w:rPr>
        <w:t>.</w:t>
      </w:r>
      <w:r>
        <w:rPr>
          <w:snapToGrid w:val="0"/>
        </w:rPr>
        <w:tab/>
        <w:t>Conversion of licences generally</w:t>
      </w:r>
      <w:bookmarkEnd w:id="385"/>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86" w:name="_Toc526243362"/>
      <w:r>
        <w:rPr>
          <w:rStyle w:val="CharSClsNo"/>
        </w:rPr>
        <w:t>7</w:t>
      </w:r>
      <w:r>
        <w:rPr>
          <w:snapToGrid w:val="0"/>
        </w:rPr>
        <w:t>.</w:t>
      </w:r>
      <w:r>
        <w:rPr>
          <w:snapToGrid w:val="0"/>
        </w:rPr>
        <w:tab/>
        <w:t>Hotel licences</w:t>
      </w:r>
      <w:bookmarkEnd w:id="386"/>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87" w:name="_Toc526243363"/>
      <w:r>
        <w:rPr>
          <w:rStyle w:val="CharSClsNo"/>
        </w:rPr>
        <w:t>8</w:t>
      </w:r>
      <w:r>
        <w:rPr>
          <w:snapToGrid w:val="0"/>
        </w:rPr>
        <w:t>.</w:t>
      </w:r>
      <w:r>
        <w:rPr>
          <w:snapToGrid w:val="0"/>
        </w:rPr>
        <w:tab/>
        <w:t>Limited hotel licences</w:t>
      </w:r>
      <w:bookmarkEnd w:id="387"/>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88" w:name="_Toc526243364"/>
      <w:r>
        <w:rPr>
          <w:rStyle w:val="CharSClsNo"/>
        </w:rPr>
        <w:t>9</w:t>
      </w:r>
      <w:r>
        <w:rPr>
          <w:snapToGrid w:val="0"/>
        </w:rPr>
        <w:t>.</w:t>
      </w:r>
      <w:r>
        <w:rPr>
          <w:snapToGrid w:val="0"/>
        </w:rPr>
        <w:tab/>
        <w:t>Tavern licences</w:t>
      </w:r>
      <w:bookmarkEnd w:id="388"/>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89" w:name="_Toc526243365"/>
      <w:r>
        <w:rPr>
          <w:rStyle w:val="CharSClsNo"/>
        </w:rPr>
        <w:t>10</w:t>
      </w:r>
      <w:r>
        <w:rPr>
          <w:snapToGrid w:val="0"/>
        </w:rPr>
        <w:t>.</w:t>
      </w:r>
      <w:r>
        <w:rPr>
          <w:snapToGrid w:val="0"/>
        </w:rPr>
        <w:tab/>
        <w:t>Obligatory trading hours relating to hotel licences</w:t>
      </w:r>
      <w:bookmarkEnd w:id="389"/>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90" w:name="_Toc526243366"/>
      <w:r>
        <w:rPr>
          <w:rStyle w:val="CharSClsNo"/>
        </w:rPr>
        <w:t>11</w:t>
      </w:r>
      <w:r>
        <w:rPr>
          <w:snapToGrid w:val="0"/>
        </w:rPr>
        <w:t>.</w:t>
      </w:r>
      <w:r>
        <w:rPr>
          <w:snapToGrid w:val="0"/>
        </w:rPr>
        <w:tab/>
        <w:t>Winehouse licences and Australian wine licences</w:t>
      </w:r>
      <w:bookmarkEnd w:id="390"/>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91" w:name="_Toc526243367"/>
      <w:r>
        <w:rPr>
          <w:rStyle w:val="CharSClsNo"/>
        </w:rPr>
        <w:t>12</w:t>
      </w:r>
      <w:r>
        <w:rPr>
          <w:snapToGrid w:val="0"/>
        </w:rPr>
        <w:t>.</w:t>
      </w:r>
      <w:r>
        <w:rPr>
          <w:snapToGrid w:val="0"/>
        </w:rPr>
        <w:tab/>
        <w:t>Casino liquor licences</w:t>
      </w:r>
      <w:bookmarkEnd w:id="391"/>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92" w:name="_Toc526243368"/>
      <w:r>
        <w:rPr>
          <w:rStyle w:val="CharSClsNo"/>
        </w:rPr>
        <w:t>13</w:t>
      </w:r>
      <w:r>
        <w:rPr>
          <w:snapToGrid w:val="0"/>
        </w:rPr>
        <w:t>.</w:t>
      </w:r>
      <w:r>
        <w:rPr>
          <w:snapToGrid w:val="0"/>
        </w:rPr>
        <w:tab/>
        <w:t>Cabaret licences</w:t>
      </w:r>
      <w:bookmarkEnd w:id="392"/>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93" w:name="_Toc526243369"/>
      <w:r>
        <w:rPr>
          <w:rStyle w:val="CharSClsNo"/>
        </w:rPr>
        <w:t>14</w:t>
      </w:r>
      <w:r>
        <w:rPr>
          <w:snapToGrid w:val="0"/>
        </w:rPr>
        <w:t>.</w:t>
      </w:r>
      <w:r>
        <w:rPr>
          <w:snapToGrid w:val="0"/>
        </w:rPr>
        <w:tab/>
        <w:t>Restaurant licences</w:t>
      </w:r>
      <w:bookmarkEnd w:id="393"/>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94" w:name="_Toc526243370"/>
      <w:r>
        <w:rPr>
          <w:rStyle w:val="CharSClsNo"/>
        </w:rPr>
        <w:t>15</w:t>
      </w:r>
      <w:r>
        <w:rPr>
          <w:snapToGrid w:val="0"/>
        </w:rPr>
        <w:t>.</w:t>
      </w:r>
      <w:r>
        <w:rPr>
          <w:snapToGrid w:val="0"/>
        </w:rPr>
        <w:tab/>
        <w:t>Restaurant facilities on premises formerly licensed as a hotel, tavern, limited hotel, or winehouse</w:t>
      </w:r>
      <w:bookmarkEnd w:id="394"/>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95" w:name="_Toc526243371"/>
      <w:r>
        <w:rPr>
          <w:rStyle w:val="CharSClsNo"/>
        </w:rPr>
        <w:t>16</w:t>
      </w:r>
      <w:r>
        <w:rPr>
          <w:snapToGrid w:val="0"/>
        </w:rPr>
        <w:t>.</w:t>
      </w:r>
      <w:r>
        <w:rPr>
          <w:snapToGrid w:val="0"/>
        </w:rPr>
        <w:tab/>
        <w:t>Store licences</w:t>
      </w:r>
      <w:bookmarkEnd w:id="395"/>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96" w:name="_Toc526243372"/>
      <w:r>
        <w:rPr>
          <w:rStyle w:val="CharSClsNo"/>
        </w:rPr>
        <w:t>17</w:t>
      </w:r>
      <w:r>
        <w:rPr>
          <w:snapToGrid w:val="0"/>
        </w:rPr>
        <w:t>.</w:t>
      </w:r>
      <w:r>
        <w:rPr>
          <w:snapToGrid w:val="0"/>
        </w:rPr>
        <w:tab/>
        <w:t>Vigneron’s licences and brewer’s licences</w:t>
      </w:r>
      <w:bookmarkEnd w:id="396"/>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97" w:name="_Toc526243373"/>
      <w:r>
        <w:rPr>
          <w:rStyle w:val="CharSClsNo"/>
        </w:rPr>
        <w:t>18</w:t>
      </w:r>
      <w:r>
        <w:rPr>
          <w:snapToGrid w:val="0"/>
        </w:rPr>
        <w:t>.</w:t>
      </w:r>
      <w:r>
        <w:rPr>
          <w:snapToGrid w:val="0"/>
        </w:rPr>
        <w:tab/>
        <w:t>Wholesale licences</w:t>
      </w:r>
      <w:bookmarkEnd w:id="397"/>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98" w:name="_Toc526243374"/>
      <w:r>
        <w:rPr>
          <w:rStyle w:val="CharSClsNo"/>
        </w:rPr>
        <w:t>19</w:t>
      </w:r>
      <w:r>
        <w:rPr>
          <w:snapToGrid w:val="0"/>
        </w:rPr>
        <w:t>.</w:t>
      </w:r>
      <w:r>
        <w:rPr>
          <w:snapToGrid w:val="0"/>
        </w:rPr>
        <w:tab/>
        <w:t>Club licences and unlicensed club permits</w:t>
      </w:r>
      <w:bookmarkEnd w:id="398"/>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99" w:name="_Toc526243375"/>
      <w:r>
        <w:rPr>
          <w:rStyle w:val="CharSClsNo"/>
        </w:rPr>
        <w:t>20</w:t>
      </w:r>
      <w:r>
        <w:rPr>
          <w:snapToGrid w:val="0"/>
        </w:rPr>
        <w:t>.</w:t>
      </w:r>
      <w:r>
        <w:rPr>
          <w:snapToGrid w:val="0"/>
        </w:rPr>
        <w:tab/>
        <w:t>Certain licences to become special facility licences</w:t>
      </w:r>
      <w:bookmarkEnd w:id="399"/>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00" w:name="_Toc526243376"/>
      <w:r>
        <w:rPr>
          <w:rStyle w:val="CharSClsNo"/>
        </w:rPr>
        <w:t>21</w:t>
      </w:r>
      <w:r>
        <w:rPr>
          <w:snapToGrid w:val="0"/>
        </w:rPr>
        <w:t>.</w:t>
      </w:r>
      <w:r>
        <w:rPr>
          <w:snapToGrid w:val="0"/>
        </w:rPr>
        <w:tab/>
        <w:t>Caterer’s permit</w:t>
      </w:r>
      <w:bookmarkEnd w:id="400"/>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01" w:name="_Toc526243377"/>
      <w:r>
        <w:rPr>
          <w:rStyle w:val="CharSClsNo"/>
        </w:rPr>
        <w:t>22</w:t>
      </w:r>
      <w:r>
        <w:rPr>
          <w:snapToGrid w:val="0"/>
        </w:rPr>
        <w:t>.</w:t>
      </w:r>
      <w:r>
        <w:rPr>
          <w:snapToGrid w:val="0"/>
        </w:rPr>
        <w:tab/>
        <w:t>Exempted producers etc.</w:t>
      </w:r>
      <w:bookmarkEnd w:id="401"/>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02" w:name="_Toc526243378"/>
      <w:r>
        <w:rPr>
          <w:rStyle w:val="CharSClsNo"/>
        </w:rPr>
        <w:t>23</w:t>
      </w:r>
      <w:r>
        <w:rPr>
          <w:snapToGrid w:val="0"/>
        </w:rPr>
        <w:t>.</w:t>
      </w:r>
      <w:r>
        <w:rPr>
          <w:snapToGrid w:val="0"/>
        </w:rPr>
        <w:tab/>
        <w:t>Certain licences may become special facility licences</w:t>
      </w:r>
      <w:bookmarkEnd w:id="402"/>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03" w:name="_Toc526243379"/>
      <w:r>
        <w:rPr>
          <w:rStyle w:val="CharSClsNo"/>
        </w:rPr>
        <w:t>24</w:t>
      </w:r>
      <w:r>
        <w:rPr>
          <w:snapToGrid w:val="0"/>
        </w:rPr>
        <w:t>.</w:t>
      </w:r>
      <w:r>
        <w:rPr>
          <w:snapToGrid w:val="0"/>
        </w:rPr>
        <w:tab/>
        <w:t>References in other written laws</w:t>
      </w:r>
      <w:bookmarkEnd w:id="403"/>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04" w:name="_Toc525287951"/>
      <w:bookmarkStart w:id="405" w:name="_Toc526243380"/>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04"/>
      <w:bookmarkEnd w:id="405"/>
    </w:p>
    <w:p>
      <w:pPr>
        <w:pStyle w:val="yShoulderClause"/>
      </w:pPr>
      <w:r>
        <w:t>[s. 177A]</w:t>
      </w:r>
    </w:p>
    <w:p>
      <w:pPr>
        <w:pStyle w:val="yFootnoteheading"/>
      </w:pPr>
      <w:r>
        <w:tab/>
        <w:t>[Heading inserted: No. 73 of 2006 s. 104.]</w:t>
      </w:r>
    </w:p>
    <w:p>
      <w:pPr>
        <w:pStyle w:val="yHeading5"/>
        <w:outlineLvl w:val="5"/>
      </w:pPr>
      <w:bookmarkStart w:id="406" w:name="_Toc526243381"/>
      <w:r>
        <w:rPr>
          <w:rStyle w:val="CharSClsNo"/>
        </w:rPr>
        <w:t>1</w:t>
      </w:r>
      <w:r>
        <w:t>.</w:t>
      </w:r>
      <w:r>
        <w:rPr>
          <w:b w:val="0"/>
        </w:rPr>
        <w:tab/>
      </w:r>
      <w:r>
        <w:t>Terms used</w:t>
      </w:r>
      <w:bookmarkEnd w:id="406"/>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No. 73 of 2006 s. 104.]</w:t>
      </w:r>
    </w:p>
    <w:p>
      <w:pPr>
        <w:pStyle w:val="yHeading5"/>
        <w:outlineLvl w:val="5"/>
      </w:pPr>
      <w:bookmarkStart w:id="407" w:name="_Toc526243382"/>
      <w:r>
        <w:rPr>
          <w:rStyle w:val="CharSClsNo"/>
        </w:rPr>
        <w:t>2</w:t>
      </w:r>
      <w:r>
        <w:t>.</w:t>
      </w:r>
      <w:r>
        <w:rPr>
          <w:b w:val="0"/>
        </w:rPr>
        <w:tab/>
      </w:r>
      <w:r>
        <w:t>Liquor Licensing Court</w:t>
      </w:r>
      <w:bookmarkEnd w:id="40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No. 73 of 2006 s. 104.]</w:t>
      </w:r>
    </w:p>
    <w:p>
      <w:pPr>
        <w:pStyle w:val="yHeading5"/>
        <w:outlineLvl w:val="5"/>
      </w:pPr>
      <w:bookmarkStart w:id="408" w:name="_Toc526243383"/>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408"/>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No. 73 of 2006 s. 104.]</w:t>
      </w:r>
    </w:p>
    <w:p>
      <w:pPr>
        <w:pStyle w:val="yHeading5"/>
        <w:outlineLvl w:val="5"/>
      </w:pPr>
      <w:bookmarkStart w:id="409" w:name="_Toc526243384"/>
      <w:r>
        <w:rPr>
          <w:rStyle w:val="CharSClsNo"/>
        </w:rPr>
        <w:t>4</w:t>
      </w:r>
      <w:r>
        <w:t>.</w:t>
      </w:r>
      <w:r>
        <w:rPr>
          <w:b w:val="0"/>
        </w:rPr>
        <w:tab/>
      </w:r>
      <w:r>
        <w:t>Pending cases stated and appeals to Supreme Court</w:t>
      </w:r>
      <w:bookmarkEnd w:id="409"/>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No. 73 of 2006 s. 104.]</w:t>
      </w:r>
    </w:p>
    <w:p>
      <w:pPr>
        <w:pStyle w:val="yHeading5"/>
        <w:outlineLvl w:val="5"/>
      </w:pPr>
      <w:bookmarkStart w:id="410" w:name="_Toc526243385"/>
      <w:r>
        <w:rPr>
          <w:rStyle w:val="CharSClsNo"/>
        </w:rPr>
        <w:t>5</w:t>
      </w:r>
      <w:r>
        <w:t>.</w:t>
      </w:r>
      <w:r>
        <w:rPr>
          <w:b w:val="0"/>
        </w:rPr>
        <w:tab/>
      </w:r>
      <w:r>
        <w:t>Pending applications and matters</w:t>
      </w:r>
      <w:bookmarkEnd w:id="41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No. 73 of 2006 s. 104.]</w:t>
      </w:r>
    </w:p>
    <w:p>
      <w:pPr>
        <w:pStyle w:val="yHeading5"/>
        <w:outlineLvl w:val="5"/>
      </w:pPr>
      <w:bookmarkStart w:id="411" w:name="_Toc526243386"/>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411"/>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No. 73 of 2006 s. 104.]</w:t>
      </w:r>
    </w:p>
    <w:p>
      <w:pPr>
        <w:pStyle w:val="yHeading5"/>
        <w:spacing w:before="180"/>
        <w:outlineLvl w:val="5"/>
      </w:pPr>
      <w:bookmarkStart w:id="412" w:name="_Toc526243387"/>
      <w:r>
        <w:rPr>
          <w:rStyle w:val="CharSClsNo"/>
        </w:rPr>
        <w:t>7</w:t>
      </w:r>
      <w:r>
        <w:t>.</w:t>
      </w:r>
      <w:r>
        <w:rPr>
          <w:b w:val="0"/>
        </w:rPr>
        <w:tab/>
      </w:r>
      <w:r>
        <w:t>Cabaret licences</w:t>
      </w:r>
      <w:bookmarkEnd w:id="41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No. 73 of 2006 s. 104.]</w:t>
      </w:r>
    </w:p>
    <w:p>
      <w:pPr>
        <w:pStyle w:val="yHeading5"/>
        <w:spacing w:before="180"/>
        <w:outlineLvl w:val="5"/>
      </w:pPr>
      <w:bookmarkStart w:id="413" w:name="_Toc526243388"/>
      <w:r>
        <w:rPr>
          <w:rStyle w:val="CharSClsNo"/>
        </w:rPr>
        <w:t>8</w:t>
      </w:r>
      <w:r>
        <w:t>.</w:t>
      </w:r>
      <w:r>
        <w:rPr>
          <w:b w:val="0"/>
        </w:rPr>
        <w:tab/>
      </w:r>
      <w:r>
        <w:t>Courses of training and assessments</w:t>
      </w:r>
      <w:bookmarkEnd w:id="413"/>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No. 73 of 2006 s. 104.]</w:t>
      </w:r>
    </w:p>
    <w:p>
      <w:pPr>
        <w:pStyle w:val="yHeading5"/>
        <w:outlineLvl w:val="5"/>
      </w:pPr>
      <w:bookmarkStart w:id="414" w:name="_Toc526243389"/>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414"/>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No. 73 of 2006 s. 104.]</w:t>
      </w:r>
    </w:p>
    <w:p>
      <w:pPr>
        <w:pStyle w:val="yHeading5"/>
        <w:outlineLvl w:val="5"/>
      </w:pPr>
      <w:bookmarkStart w:id="415" w:name="_Toc526243390"/>
      <w:r>
        <w:rPr>
          <w:rStyle w:val="CharSClsNo"/>
        </w:rPr>
        <w:t>10</w:t>
      </w:r>
      <w:r>
        <w:t>.</w:t>
      </w:r>
      <w:r>
        <w:rPr>
          <w:b w:val="0"/>
        </w:rPr>
        <w:tab/>
      </w:r>
      <w:r>
        <w:t>Transitional regulations</w:t>
      </w:r>
      <w:bookmarkEnd w:id="415"/>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No. 73 of 2006 s. 104.]</w:t>
      </w:r>
    </w:p>
    <w:p>
      <w:pPr>
        <w:pStyle w:val="yScheduleHeading"/>
      </w:pPr>
      <w:bookmarkStart w:id="416" w:name="_Toc525287962"/>
      <w:bookmarkStart w:id="417" w:name="_Toc526243391"/>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416"/>
      <w:bookmarkEnd w:id="417"/>
    </w:p>
    <w:p>
      <w:pPr>
        <w:pStyle w:val="yShoulderClause"/>
      </w:pPr>
      <w:r>
        <w:t>[s. 177B]</w:t>
      </w:r>
    </w:p>
    <w:p>
      <w:pPr>
        <w:pStyle w:val="yFootnoteheading"/>
      </w:pPr>
      <w:r>
        <w:tab/>
        <w:t>[Heading inserted: No. 56 of 2010 s. 24.]</w:t>
      </w:r>
    </w:p>
    <w:p>
      <w:pPr>
        <w:pStyle w:val="yHeading5"/>
      </w:pPr>
      <w:bookmarkStart w:id="418" w:name="_Toc526243392"/>
      <w:r>
        <w:rPr>
          <w:rStyle w:val="CharSClsNo"/>
        </w:rPr>
        <w:t>1</w:t>
      </w:r>
      <w:r>
        <w:t>.</w:t>
      </w:r>
      <w:r>
        <w:tab/>
        <w:t>Terms used</w:t>
      </w:r>
      <w:bookmarkEnd w:id="418"/>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No. 56 of 2010 s. 24.]</w:t>
      </w:r>
    </w:p>
    <w:p>
      <w:pPr>
        <w:pStyle w:val="yHeading5"/>
      </w:pPr>
      <w:bookmarkStart w:id="419" w:name="_Toc526243393"/>
      <w:r>
        <w:rPr>
          <w:rStyle w:val="CharSClsNo"/>
        </w:rPr>
        <w:t>2</w:t>
      </w:r>
      <w:r>
        <w:t>.</w:t>
      </w:r>
      <w:r>
        <w:tab/>
        <w:t>Current managers taken to be licensed</w:t>
      </w:r>
      <w:bookmarkEnd w:id="419"/>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No. 56 of 2010 s. 24.]</w:t>
      </w:r>
    </w:p>
    <w:p>
      <w:pPr>
        <w:pStyle w:val="yHeading5"/>
      </w:pPr>
      <w:bookmarkStart w:id="420" w:name="_Toc526243394"/>
      <w:r>
        <w:t>3.</w:t>
      </w:r>
      <w:r>
        <w:rPr>
          <w:b w:val="0"/>
        </w:rPr>
        <w:tab/>
      </w:r>
      <w:r>
        <w:t>Duration of transitioned approvals</w:t>
      </w:r>
      <w:bookmarkEnd w:id="420"/>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No. 56 of 2010 s. 24.]</w:t>
      </w:r>
    </w:p>
    <w:p>
      <w:pPr>
        <w:pStyle w:val="yHeading5"/>
      </w:pPr>
      <w:bookmarkStart w:id="421" w:name="_Toc526243395"/>
      <w:r>
        <w:rPr>
          <w:rStyle w:val="CharSClsNo"/>
        </w:rPr>
        <w:t>4</w:t>
      </w:r>
      <w:r>
        <w:t>.</w:t>
      </w:r>
      <w:r>
        <w:tab/>
        <w:t>Current applications</w:t>
      </w:r>
      <w:bookmarkEnd w:id="421"/>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No. 56 of 2010 s. 24.]</w:t>
      </w:r>
    </w:p>
    <w:p>
      <w:pPr>
        <w:pStyle w:val="yScheduleHeading"/>
      </w:pPr>
      <w:bookmarkStart w:id="422" w:name="_Toc525287967"/>
      <w:bookmarkStart w:id="423" w:name="_Toc526243396"/>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422"/>
      <w:bookmarkEnd w:id="423"/>
    </w:p>
    <w:p>
      <w:pPr>
        <w:pStyle w:val="yShoulderClause"/>
      </w:pPr>
      <w:r>
        <w:t>[s. 177C]</w:t>
      </w:r>
    </w:p>
    <w:p>
      <w:pPr>
        <w:pStyle w:val="yFootnoteheading"/>
      </w:pPr>
      <w:r>
        <w:tab/>
        <w:t>[Heading inserted: No. 9 of 2018 s. 70.]</w:t>
      </w:r>
    </w:p>
    <w:p>
      <w:pPr>
        <w:pStyle w:val="yHeading5"/>
      </w:pPr>
      <w:bookmarkStart w:id="424" w:name="_Toc526243397"/>
      <w:r>
        <w:rPr>
          <w:rStyle w:val="CharSClsNo"/>
        </w:rPr>
        <w:t>1</w:t>
      </w:r>
      <w:r>
        <w:t>.</w:t>
      </w:r>
      <w:r>
        <w:tab/>
        <w:t>Application of s. 36B to existing applications for grant or removal of licence</w:t>
      </w:r>
      <w:bookmarkEnd w:id="424"/>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No. 9 of 2018 s. 70.]</w:t>
      </w:r>
    </w:p>
    <w:p>
      <w:pPr>
        <w:pStyle w:val="yHeading5"/>
      </w:pPr>
      <w:bookmarkStart w:id="425" w:name="_Toc526243398"/>
      <w:r>
        <w:rPr>
          <w:rStyle w:val="CharSClsNo"/>
        </w:rPr>
        <w:t>2</w:t>
      </w:r>
      <w:r>
        <w:t>.</w:t>
      </w:r>
      <w:r>
        <w:tab/>
        <w:t>Small bar licences</w:t>
      </w:r>
      <w:bookmarkEnd w:id="425"/>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No. 9 of 2018 s. 70.]</w:t>
      </w:r>
    </w:p>
    <w:p>
      <w:pPr>
        <w:pStyle w:val="yHeading5"/>
      </w:pPr>
      <w:bookmarkStart w:id="426" w:name="_Toc526243399"/>
      <w:r>
        <w:rPr>
          <w:rStyle w:val="CharSClsNo"/>
        </w:rPr>
        <w:t>3</w:t>
      </w:r>
      <w:r>
        <w:t>.</w:t>
      </w:r>
      <w:r>
        <w:tab/>
        <w:t>Certain restaurant licences: no fee for application for extended trading permit under section 60(4)(ca)</w:t>
      </w:r>
      <w:bookmarkEnd w:id="42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No. 9 of 2018 s. 70.]</w:t>
      </w:r>
    </w:p>
    <w:p>
      <w:pPr>
        <w:pStyle w:val="yHeading5"/>
      </w:pPr>
      <w:bookmarkStart w:id="427" w:name="_Toc526243400"/>
      <w:r>
        <w:rPr>
          <w:rStyle w:val="CharSClsNo"/>
        </w:rPr>
        <w:t>4</w:t>
      </w:r>
      <w:r>
        <w:t>.</w:t>
      </w:r>
      <w:r>
        <w:tab/>
        <w:t>Application of s. 77A to existing applications for alteration or redefinition of licensed premises</w:t>
      </w:r>
      <w:bookmarkEnd w:id="427"/>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No. 9 of 2018 s. 70.]</w:t>
      </w:r>
    </w:p>
    <w:p>
      <w:pPr>
        <w:pStyle w:val="yScheduleHeading"/>
      </w:pPr>
      <w:bookmarkStart w:id="428" w:name="_Toc525287972"/>
      <w:bookmarkStart w:id="429" w:name="_Toc526243401"/>
      <w:r>
        <w:rPr>
          <w:rStyle w:val="CharSchNo"/>
        </w:rPr>
        <w:t>Schedule 2</w:t>
      </w:r>
      <w:r>
        <w:t> — </w:t>
      </w:r>
      <w:r>
        <w:rPr>
          <w:rStyle w:val="CharSchText"/>
        </w:rPr>
        <w:t>Unincorporated clubs</w:t>
      </w:r>
      <w:bookmarkEnd w:id="428"/>
      <w:bookmarkEnd w:id="429"/>
    </w:p>
    <w:p>
      <w:pPr>
        <w:pStyle w:val="yShoulderClause"/>
        <w:rPr>
          <w:snapToGrid w:val="0"/>
        </w:rPr>
      </w:pPr>
      <w:r>
        <w:rPr>
          <w:snapToGrid w:val="0"/>
        </w:rPr>
        <w:t>[s. 49(1)(a)]</w:t>
      </w:r>
    </w:p>
    <w:p>
      <w:pPr>
        <w:pStyle w:val="yFootnoteheading"/>
      </w:pPr>
      <w:r>
        <w:tab/>
        <w:t>[Heading amended: No. 19 of 2010 s. 4.]</w:t>
      </w:r>
    </w:p>
    <w:p>
      <w:pPr>
        <w:pStyle w:val="yHeading3"/>
      </w:pPr>
      <w:bookmarkStart w:id="430" w:name="_Toc525287973"/>
      <w:bookmarkStart w:id="431" w:name="_Toc526243402"/>
      <w:r>
        <w:rPr>
          <w:rStyle w:val="CharSDivNo"/>
        </w:rPr>
        <w:t>Division 1</w:t>
      </w:r>
      <w:r>
        <w:rPr>
          <w:snapToGrid w:val="0"/>
        </w:rPr>
        <w:t> — </w:t>
      </w:r>
      <w:r>
        <w:rPr>
          <w:rStyle w:val="CharSDivText"/>
        </w:rPr>
        <w:t>The Anzac Club</w:t>
      </w:r>
      <w:bookmarkEnd w:id="430"/>
      <w:bookmarkEnd w:id="431"/>
      <w:r>
        <w:rPr>
          <w:snapToGrid w:val="0"/>
        </w:rPr>
        <w:t xml:space="preserve"> </w:t>
      </w:r>
    </w:p>
    <w:p>
      <w:pPr>
        <w:pStyle w:val="yHeading5"/>
        <w:outlineLvl w:val="5"/>
        <w:rPr>
          <w:snapToGrid w:val="0"/>
        </w:rPr>
      </w:pPr>
      <w:bookmarkStart w:id="432" w:name="_Toc526243403"/>
      <w:r>
        <w:rPr>
          <w:rStyle w:val="CharSClsNo"/>
        </w:rPr>
        <w:t>1</w:t>
      </w:r>
      <w:r>
        <w:rPr>
          <w:snapToGrid w:val="0"/>
        </w:rPr>
        <w:t>.</w:t>
      </w:r>
      <w:r>
        <w:rPr>
          <w:snapToGrid w:val="0"/>
        </w:rPr>
        <w:tab/>
        <w:t>Terms used</w:t>
      </w:r>
      <w:bookmarkEnd w:id="432"/>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No. 14 of 1996 s. 4</w:t>
      </w:r>
      <w:r>
        <w:rPr>
          <w:spacing w:val="-4"/>
        </w:rPr>
        <w:t>; No. 47 of 2011 s.</w:t>
      </w:r>
      <w:r>
        <w:t> 17; No. 30 of 2015 s. 232.]</w:t>
      </w:r>
    </w:p>
    <w:p>
      <w:pPr>
        <w:pStyle w:val="yHeading5"/>
        <w:outlineLvl w:val="5"/>
        <w:rPr>
          <w:snapToGrid w:val="0"/>
        </w:rPr>
      </w:pPr>
      <w:bookmarkStart w:id="433" w:name="_Toc526243404"/>
      <w:r>
        <w:rPr>
          <w:rStyle w:val="CharSClsNo"/>
        </w:rPr>
        <w:t>2</w:t>
      </w:r>
      <w:r>
        <w:rPr>
          <w:snapToGrid w:val="0"/>
        </w:rPr>
        <w:t>.</w:t>
      </w:r>
      <w:r>
        <w:rPr>
          <w:snapToGrid w:val="0"/>
        </w:rPr>
        <w:tab/>
        <w:t>Anzac Club</w:t>
      </w:r>
      <w:bookmarkEnd w:id="433"/>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34" w:name="_Toc525287976"/>
      <w:bookmarkStart w:id="435" w:name="_Toc526243405"/>
      <w:r>
        <w:rPr>
          <w:rStyle w:val="CharSDivNo"/>
        </w:rPr>
        <w:t>Division 2</w:t>
      </w:r>
      <w:r>
        <w:rPr>
          <w:snapToGrid w:val="0"/>
        </w:rPr>
        <w:t> — </w:t>
      </w:r>
      <w:r>
        <w:rPr>
          <w:rStyle w:val="CharSDivText"/>
        </w:rPr>
        <w:t>The Air Force Association Club</w:t>
      </w:r>
      <w:bookmarkEnd w:id="434"/>
      <w:bookmarkEnd w:id="435"/>
      <w:r>
        <w:rPr>
          <w:snapToGrid w:val="0"/>
        </w:rPr>
        <w:t xml:space="preserve"> </w:t>
      </w:r>
    </w:p>
    <w:p>
      <w:pPr>
        <w:pStyle w:val="yHeading5"/>
        <w:outlineLvl w:val="5"/>
        <w:rPr>
          <w:snapToGrid w:val="0"/>
        </w:rPr>
      </w:pPr>
      <w:bookmarkStart w:id="436" w:name="_Toc526243406"/>
      <w:r>
        <w:rPr>
          <w:rStyle w:val="CharSClsNo"/>
        </w:rPr>
        <w:t>1</w:t>
      </w:r>
      <w:r>
        <w:rPr>
          <w:snapToGrid w:val="0"/>
        </w:rPr>
        <w:t>.</w:t>
      </w:r>
      <w:r>
        <w:rPr>
          <w:snapToGrid w:val="0"/>
        </w:rPr>
        <w:tab/>
        <w:t>Terms used</w:t>
      </w:r>
      <w:bookmarkEnd w:id="436"/>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No. 30 of 2015 s. 232.]</w:t>
      </w:r>
    </w:p>
    <w:p>
      <w:pPr>
        <w:pStyle w:val="yHeading5"/>
        <w:outlineLvl w:val="5"/>
        <w:rPr>
          <w:snapToGrid w:val="0"/>
        </w:rPr>
      </w:pPr>
      <w:bookmarkStart w:id="437" w:name="_Toc526243407"/>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437"/>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38" w:name="_Toc525287979"/>
      <w:bookmarkStart w:id="439" w:name="_Toc526243408"/>
      <w:r>
        <w:t>Notes</w:t>
      </w:r>
      <w:bookmarkEnd w:id="438"/>
      <w:bookmarkEnd w:id="439"/>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40" w:name="_Toc526243409"/>
      <w:r>
        <w:rPr>
          <w:snapToGrid w:val="0"/>
        </w:rPr>
        <w:t>Compilation table</w:t>
      </w:r>
      <w:bookmarkEnd w:id="440"/>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8"/>
        <w:gridCol w:w="14"/>
        <w:gridCol w:w="12"/>
        <w:gridCol w:w="2529"/>
        <w:gridCol w:w="16"/>
        <w:gridCol w:w="15"/>
      </w:tblGrid>
      <w:tr>
        <w:trPr>
          <w:gridAfter w:val="2"/>
          <w:wAfter w:w="26"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6"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5"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6"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5" w:type="dxa"/>
            <w:gridSpan w:val="3"/>
          </w:tcPr>
          <w:p>
            <w:pPr>
              <w:pStyle w:val="nTable"/>
              <w:spacing w:after="40"/>
            </w:pPr>
            <w:r>
              <w:t>1 Jul 1993 (see s. 2(1))</w:t>
            </w:r>
          </w:p>
        </w:tc>
      </w:tr>
      <w:tr>
        <w:trPr>
          <w:gridAfter w:val="2"/>
          <w:wAfter w:w="26"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5" w:type="dxa"/>
            <w:gridSpan w:val="3"/>
          </w:tcPr>
          <w:p>
            <w:pPr>
              <w:pStyle w:val="nTable"/>
              <w:spacing w:after="40"/>
            </w:pPr>
            <w:r>
              <w:t xml:space="preserve">1 Oct 1994 (see s. 2 and </w:t>
            </w:r>
            <w:r>
              <w:rPr>
                <w:i/>
              </w:rPr>
              <w:t>Gazette</w:t>
            </w:r>
            <w:r>
              <w:t xml:space="preserve"> 30 Sep 1994 p. 4948)</w:t>
            </w:r>
          </w:p>
        </w:tc>
      </w:tr>
      <w:tr>
        <w:trPr>
          <w:gridAfter w:val="2"/>
          <w:wAfter w:w="26"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5" w:type="dxa"/>
            <w:gridSpan w:val="3"/>
          </w:tcPr>
          <w:p>
            <w:pPr>
              <w:pStyle w:val="nTable"/>
              <w:spacing w:after="40"/>
            </w:pPr>
            <w:r>
              <w:t>9 Dec 1994 (see s. 2)</w:t>
            </w:r>
          </w:p>
        </w:tc>
      </w:tr>
      <w:tr>
        <w:trPr>
          <w:gridAfter w:val="2"/>
          <w:wAfter w:w="26"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5" w:type="dxa"/>
            <w:gridSpan w:val="3"/>
          </w:tcPr>
          <w:p>
            <w:pPr>
              <w:pStyle w:val="nTable"/>
              <w:spacing w:after="40"/>
            </w:pPr>
            <w:r>
              <w:t xml:space="preserve">1 Jan 1995 (see s. 2(1) and </w:t>
            </w:r>
            <w:r>
              <w:rPr>
                <w:i/>
              </w:rPr>
              <w:t>Gazette</w:t>
            </w:r>
            <w:r>
              <w:t xml:space="preserve"> 30 Dec 1994 p. 7211)</w:t>
            </w:r>
          </w:p>
        </w:tc>
      </w:tr>
      <w:tr>
        <w:trPr>
          <w:gridAfter w:val="2"/>
          <w:wAfter w:w="26"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5" w:type="dxa"/>
            <w:gridSpan w:val="3"/>
          </w:tcPr>
          <w:p>
            <w:pPr>
              <w:pStyle w:val="nTable"/>
              <w:spacing w:after="40"/>
            </w:pPr>
            <w:r>
              <w:t xml:space="preserve">4 Nov 1996 (see s. 2 and </w:t>
            </w:r>
            <w:r>
              <w:rPr>
                <w:i/>
              </w:rPr>
              <w:t xml:space="preserve">Gazette </w:t>
            </w:r>
            <w:r>
              <w:t>25 Oct 1996 p. 5632)</w:t>
            </w:r>
          </w:p>
        </w:tc>
      </w:tr>
      <w:tr>
        <w:trPr>
          <w:gridAfter w:val="2"/>
          <w:wAfter w:w="26"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5" w:type="dxa"/>
            <w:gridSpan w:val="3"/>
          </w:tcPr>
          <w:p>
            <w:pPr>
              <w:pStyle w:val="nTable"/>
              <w:keepNext/>
              <w:keepLines/>
              <w:spacing w:after="40"/>
            </w:pPr>
            <w:r>
              <w:t>1 Jul 1996 (see s. 2)</w:t>
            </w:r>
          </w:p>
        </w:tc>
      </w:tr>
      <w:tr>
        <w:trPr>
          <w:gridAfter w:val="2"/>
          <w:wAfter w:w="26"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5" w:type="dxa"/>
            <w:gridSpan w:val="3"/>
          </w:tcPr>
          <w:p>
            <w:pPr>
              <w:pStyle w:val="nTable"/>
              <w:spacing w:after="40"/>
            </w:pPr>
            <w:r>
              <w:t>25 Oct 1996 (see s. 2(1))</w:t>
            </w:r>
          </w:p>
        </w:tc>
      </w:tr>
      <w:tr>
        <w:trPr>
          <w:gridAfter w:val="2"/>
          <w:wAfter w:w="26"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5" w:type="dxa"/>
            <w:gridSpan w:val="3"/>
          </w:tcPr>
          <w:p>
            <w:pPr>
              <w:pStyle w:val="nTable"/>
              <w:spacing w:after="40"/>
            </w:pPr>
            <w:r>
              <w:t xml:space="preserve">31 Jan 1998 (see s. 2 and </w:t>
            </w:r>
            <w:r>
              <w:rPr>
                <w:i/>
              </w:rPr>
              <w:t>Gazette</w:t>
            </w:r>
            <w:r>
              <w:t xml:space="preserve"> 30 Jan 1998 p. 577)</w:t>
            </w:r>
          </w:p>
        </w:tc>
      </w:tr>
      <w:tr>
        <w:trPr>
          <w:gridAfter w:val="2"/>
          <w:wAfter w:w="26"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5"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6"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6"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5"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6"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5" w:type="dxa"/>
            <w:gridSpan w:val="3"/>
          </w:tcPr>
          <w:p>
            <w:pPr>
              <w:pStyle w:val="nTable"/>
              <w:spacing w:after="40"/>
            </w:pPr>
            <w:r>
              <w:t>6 Jul 2000 (see s. 2(1))</w:t>
            </w:r>
          </w:p>
        </w:tc>
      </w:tr>
      <w:tr>
        <w:trPr>
          <w:gridAfter w:val="2"/>
          <w:wAfter w:w="26"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6"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5"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6"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5"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6"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5" w:type="dxa"/>
            <w:gridSpan w:val="3"/>
          </w:tcPr>
          <w:p>
            <w:pPr>
              <w:pStyle w:val="nTable"/>
              <w:spacing w:after="40"/>
            </w:pPr>
            <w:r>
              <w:t xml:space="preserve">28 Sep 2002 (see s. 2 and </w:t>
            </w:r>
            <w:r>
              <w:rPr>
                <w:i/>
              </w:rPr>
              <w:t>Gazette</w:t>
            </w:r>
            <w:r>
              <w:t xml:space="preserve"> 27 Sep 2002 p. 4877)</w:t>
            </w:r>
          </w:p>
        </w:tc>
      </w:tr>
      <w:tr>
        <w:trPr>
          <w:gridAfter w:val="2"/>
          <w:wAfter w:w="26"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5" w:type="dxa"/>
            <w:gridSpan w:val="3"/>
          </w:tcPr>
          <w:p>
            <w:pPr>
              <w:pStyle w:val="nTable"/>
              <w:spacing w:after="40"/>
            </w:pPr>
            <w:r>
              <w:t xml:space="preserve">1 Jul 2003 (see s. 2 and </w:t>
            </w:r>
            <w:r>
              <w:rPr>
                <w:i/>
              </w:rPr>
              <w:t xml:space="preserve">Gazette </w:t>
            </w:r>
            <w:r>
              <w:t>30 Jun 2003 p. 2579)</w:t>
            </w:r>
          </w:p>
        </w:tc>
      </w:tr>
      <w:tr>
        <w:trPr>
          <w:gridAfter w:val="2"/>
          <w:wAfter w:w="26"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5" w:type="dxa"/>
            <w:gridSpan w:val="3"/>
          </w:tcPr>
          <w:p>
            <w:pPr>
              <w:pStyle w:val="nTable"/>
              <w:spacing w:after="40"/>
            </w:pPr>
            <w:r>
              <w:t xml:space="preserve">1 Jul 2003 (see s. 2(1) and </w:t>
            </w:r>
            <w:r>
              <w:rPr>
                <w:i/>
              </w:rPr>
              <w:t xml:space="preserve">Gazette </w:t>
            </w:r>
            <w:r>
              <w:t>27 Jun 2003 p. 2384)</w:t>
            </w:r>
          </w:p>
        </w:tc>
      </w:tr>
      <w:tr>
        <w:trPr>
          <w:gridAfter w:val="2"/>
          <w:wAfter w:w="26"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5"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6"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5" w:type="dxa"/>
            <w:gridSpan w:val="3"/>
          </w:tcPr>
          <w:p>
            <w:pPr>
              <w:pStyle w:val="nTable"/>
              <w:spacing w:after="40"/>
            </w:pPr>
            <w:r>
              <w:rPr>
                <w:spacing w:val="-2"/>
              </w:rPr>
              <w:t>15 Dec 2003 (see s. 2)</w:t>
            </w:r>
          </w:p>
        </w:tc>
      </w:tr>
      <w:tr>
        <w:trPr>
          <w:gridAfter w:val="2"/>
          <w:wAfter w:w="26" w:type="dxa"/>
          <w:cantSplit/>
        </w:trPr>
        <w:tc>
          <w:tcPr>
            <w:tcW w:w="7093"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6"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5"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6"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5"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6"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5"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6"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5"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6"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5"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6" w:type="dxa"/>
          <w:cantSplit/>
        </w:trPr>
        <w:tc>
          <w:tcPr>
            <w:tcW w:w="7093"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6"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5"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6"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5"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6"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5"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6" w:type="dxa"/>
          <w:cantSplit/>
        </w:trPr>
        <w:tc>
          <w:tcPr>
            <w:tcW w:w="7093"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6"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5"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6"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5"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6"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5" w:type="dxa"/>
            <w:gridSpan w:val="3"/>
          </w:tcPr>
          <w:p>
            <w:pPr>
              <w:pStyle w:val="nTable"/>
              <w:spacing w:after="40"/>
            </w:pPr>
            <w:r>
              <w:t>17 Sep 2009 (see s. 2(b))</w:t>
            </w:r>
          </w:p>
        </w:tc>
      </w:tr>
      <w:tr>
        <w:trPr>
          <w:gridAfter w:val="2"/>
          <w:wAfter w:w="26" w:type="dxa"/>
          <w:cantSplit/>
        </w:trPr>
        <w:tc>
          <w:tcPr>
            <w:tcW w:w="7093"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7"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7"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7"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7"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7"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7"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7" w:type="dxa"/>
            <w:gridSpan w:val="3"/>
            <w:shd w:val="clear" w:color="auto" w:fill="auto"/>
          </w:tcPr>
          <w:p>
            <w:pPr>
              <w:pStyle w:val="nTable"/>
              <w:spacing w:after="40"/>
              <w:rPr>
                <w:snapToGrid w:val="0"/>
              </w:rPr>
            </w:pPr>
            <w:r>
              <w:rPr>
                <w:snapToGrid w:val="0"/>
              </w:rPr>
              <w:t>26 Oct 2011 (see s. 2(b))</w:t>
            </w:r>
          </w:p>
        </w:tc>
      </w:tr>
      <w:tr>
        <w:trPr>
          <w:gridBefore w:val="1"/>
          <w:gridAfter w:val="1"/>
          <w:wBefore w:w="14" w:type="dxa"/>
          <w:wAfter w:w="10" w:type="dxa"/>
          <w:cantSplit/>
        </w:trPr>
        <w:tc>
          <w:tcPr>
            <w:tcW w:w="7095"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5"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7"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7"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0" w:type="dxa"/>
          <w:cantSplit/>
        </w:trPr>
        <w:tc>
          <w:tcPr>
            <w:tcW w:w="7095" w:type="dxa"/>
            <w:gridSpan w:val="12"/>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0" w:type="dxa"/>
          <w:cantSplit/>
        </w:trPr>
        <w:tc>
          <w:tcPr>
            <w:tcW w:w="2282" w:type="dxa"/>
            <w:gridSpan w:val="4"/>
            <w:shd w:val="clear" w:color="auto" w:fill="auto"/>
          </w:tcPr>
          <w:p>
            <w:pPr>
              <w:pStyle w:val="nTable"/>
              <w:spacing w:after="40"/>
              <w:rPr>
                <w:i/>
                <w:snapToGrid w:val="0"/>
                <w:szCs w:val="19"/>
              </w:rPr>
            </w:pPr>
            <w:r>
              <w:rPr>
                <w:i/>
                <w:snapToGrid w:val="0"/>
                <w:szCs w:val="19"/>
              </w:rPr>
              <w:t>Public Health (Consequential Provisions) Act 2016</w:t>
            </w:r>
            <w:r>
              <w:rPr>
                <w:snapToGrid w:val="0"/>
                <w:szCs w:val="19"/>
              </w:rPr>
              <w:t xml:space="preserve"> s. 101 and Pt. 3 Div. 17</w:t>
            </w:r>
          </w:p>
        </w:tc>
        <w:tc>
          <w:tcPr>
            <w:tcW w:w="1134" w:type="dxa"/>
            <w:gridSpan w:val="3"/>
            <w:shd w:val="clear" w:color="auto" w:fill="auto"/>
          </w:tcPr>
          <w:p>
            <w:pPr>
              <w:pStyle w:val="nTable"/>
              <w:spacing w:after="40"/>
            </w:pPr>
            <w:r>
              <w:t>19 of 2016</w:t>
            </w:r>
          </w:p>
        </w:tc>
        <w:tc>
          <w:tcPr>
            <w:tcW w:w="1134" w:type="dxa"/>
            <w:gridSpan w:val="3"/>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0" w:type="dxa"/>
          <w:cantSplit/>
        </w:trPr>
        <w:tc>
          <w:tcPr>
            <w:tcW w:w="2282" w:type="dxa"/>
            <w:gridSpan w:val="4"/>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20</w:t>
            </w:r>
          </w:p>
        </w:tc>
        <w:tc>
          <w:tcPr>
            <w:tcW w:w="1134" w:type="dxa"/>
            <w:gridSpan w:val="3"/>
            <w:shd w:val="clear" w:color="auto" w:fill="auto"/>
          </w:tcPr>
          <w:p>
            <w:pPr>
              <w:pStyle w:val="nTable"/>
              <w:spacing w:after="40"/>
              <w:rPr>
                <w:b/>
                <w:snapToGrid w:val="0"/>
              </w:rPr>
            </w:pPr>
            <w:r>
              <w:t>26 of 2016</w:t>
            </w:r>
          </w:p>
        </w:tc>
        <w:tc>
          <w:tcPr>
            <w:tcW w:w="1134" w:type="dxa"/>
            <w:gridSpan w:val="3"/>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5"/>
            <w:tcBorders>
              <w:top w:val="nil"/>
              <w:bottom w:val="single" w:sz="4" w:space="0" w:color="auto"/>
            </w:tcBorders>
          </w:tcPr>
          <w:p>
            <w:pPr>
              <w:pStyle w:val="nTable"/>
              <w:spacing w:after="40"/>
            </w:pPr>
            <w:r>
              <w:rPr>
                <w:i/>
              </w:rPr>
              <w:t>Liquor Control Amendment Act 2018</w:t>
            </w:r>
            <w:r>
              <w:t xml:space="preserve"> (other than s. 17, 18, 36, 45, 53, 62(1) and (3))</w:t>
            </w:r>
          </w:p>
        </w:tc>
        <w:tc>
          <w:tcPr>
            <w:tcW w:w="1134" w:type="dxa"/>
            <w:gridSpan w:val="3"/>
            <w:tcBorders>
              <w:top w:val="nil"/>
              <w:bottom w:val="single" w:sz="4" w:space="0" w:color="auto"/>
            </w:tcBorders>
          </w:tcPr>
          <w:p>
            <w:pPr>
              <w:pStyle w:val="nTable"/>
              <w:spacing w:after="40"/>
            </w:pPr>
            <w:r>
              <w:t>9 of 2018</w:t>
            </w:r>
          </w:p>
        </w:tc>
        <w:tc>
          <w:tcPr>
            <w:tcW w:w="1134" w:type="dxa"/>
            <w:gridSpan w:val="3"/>
            <w:tcBorders>
              <w:top w:val="nil"/>
              <w:bottom w:val="single" w:sz="4" w:space="0" w:color="auto"/>
            </w:tcBorders>
          </w:tcPr>
          <w:p>
            <w:pPr>
              <w:pStyle w:val="nTable"/>
              <w:spacing w:after="40"/>
            </w:pPr>
            <w:r>
              <w:t>13 Jul 2018</w:t>
            </w:r>
          </w:p>
        </w:tc>
        <w:tc>
          <w:tcPr>
            <w:tcW w:w="2524" w:type="dxa"/>
            <w:tcBorders>
              <w:top w:val="nil"/>
              <w:bottom w:val="single" w:sz="4" w:space="0" w:color="auto"/>
            </w:tcBorders>
          </w:tcPr>
          <w:p>
            <w:pPr>
              <w:pStyle w:val="nTable"/>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r>
              <w:br/>
              <w:t>s. 5, 8, 10, 12, 20</w:t>
            </w:r>
            <w:r>
              <w:noBreakHyphen/>
              <w:t xml:space="preserve">22, 25, 26, 32, 35, 38, 39, 46, 56, 60, 62(2) and 63: 3 Oct 2018 (see s. 2(b) and </w:t>
            </w:r>
            <w:r>
              <w:rPr>
                <w:i/>
              </w:rPr>
              <w:t>Gazette</w:t>
            </w:r>
            <w:r>
              <w:t xml:space="preserve"> 2 Oct 2018 p. 3779)</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41" w:name="_Toc526243410"/>
      <w:r>
        <w:rPr>
          <w:snapToGrid w:val="0"/>
        </w:rPr>
        <w:t>Provisions that have not come into operation</w:t>
      </w:r>
      <w:bookmarkEnd w:id="441"/>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Pt. 5 Div. 12</w:t>
            </w:r>
            <w:r>
              <w:rPr>
                <w:vertAlign w:val="superscript"/>
              </w:rPr>
              <w:t> 14</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pPr>
            <w:r>
              <w:rPr>
                <w:i/>
              </w:rPr>
              <w:t>Liquor Control Amendment Act 2018</w:t>
            </w:r>
            <w:r>
              <w:t xml:space="preserve"> s. 17, 18, 36, 45, 53, 62(1) and (3)</w:t>
            </w:r>
            <w:r>
              <w:rPr>
                <w:vertAlign w:val="superscript"/>
              </w:rPr>
              <w:t> 15</w:t>
            </w:r>
          </w:p>
        </w:tc>
        <w:tc>
          <w:tcPr>
            <w:tcW w:w="1134" w:type="dxa"/>
            <w:tcBorders>
              <w:top w:val="nil"/>
              <w:bottom w:val="nil"/>
            </w:tcBorders>
          </w:tcPr>
          <w:p>
            <w:pPr>
              <w:pStyle w:val="nTable"/>
              <w:spacing w:after="40"/>
            </w:pPr>
            <w:r>
              <w:t>9 of 2018</w:t>
            </w:r>
          </w:p>
        </w:tc>
        <w:tc>
          <w:tcPr>
            <w:tcW w:w="1134" w:type="dxa"/>
            <w:tcBorders>
              <w:top w:val="nil"/>
              <w:bottom w:val="nil"/>
            </w:tcBorders>
          </w:tcPr>
          <w:p>
            <w:pPr>
              <w:pStyle w:val="nTable"/>
              <w:spacing w:after="40"/>
            </w:pPr>
            <w:r>
              <w:t>13 Jul 2018</w:t>
            </w:r>
          </w:p>
        </w:tc>
        <w:tc>
          <w:tcPr>
            <w:tcW w:w="252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rPr>
                <w:vertAlign w:val="superscript"/>
              </w:rPr>
            </w:pPr>
            <w:r>
              <w:rPr>
                <w:i/>
              </w:rPr>
              <w:t>Heritage Act 2018</w:t>
            </w:r>
            <w:r>
              <w:t xml:space="preserve"> s. 185 </w:t>
            </w:r>
            <w:r>
              <w:rPr>
                <w:vertAlign w:val="superscript"/>
              </w:rPr>
              <w:t>16</w:t>
            </w:r>
          </w:p>
        </w:tc>
        <w:tc>
          <w:tcPr>
            <w:tcW w:w="1134" w:type="dxa"/>
            <w:tcBorders>
              <w:top w:val="nil"/>
              <w:bottom w:val="single" w:sz="4" w:space="0" w:color="auto"/>
            </w:tcBorders>
          </w:tcPr>
          <w:p>
            <w:pPr>
              <w:pStyle w:val="nTable"/>
              <w:spacing w:after="40"/>
            </w:pPr>
            <w:r>
              <w:t>22 of 2018</w:t>
            </w:r>
          </w:p>
        </w:tc>
        <w:tc>
          <w:tcPr>
            <w:tcW w:w="1134" w:type="dxa"/>
            <w:tcBorders>
              <w:top w:val="nil"/>
              <w:bottom w:val="single" w:sz="4" w:space="0" w:color="auto"/>
            </w:tcBorders>
          </w:tcPr>
          <w:p>
            <w:pPr>
              <w:pStyle w:val="nTable"/>
              <w:spacing w:after="40"/>
            </w:pPr>
            <w:r>
              <w:t>18 Sep 2018</w:t>
            </w:r>
          </w:p>
        </w:tc>
        <w:tc>
          <w:tcPr>
            <w:tcW w:w="2524"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rPr>
        <w:tab/>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Pt. 5 Div. 12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12</w:t>
      </w:r>
      <w:r>
        <w:t> — </w:t>
      </w:r>
      <w:r>
        <w:rPr>
          <w:rStyle w:val="CharDivText"/>
          <w:i/>
        </w:rPr>
        <w:t>Liquor Control Act 1988</w:t>
      </w:r>
      <w:r>
        <w:rPr>
          <w:rStyle w:val="CharDivText"/>
        </w:rPr>
        <w:t xml:space="preserve"> amended</w:t>
      </w:r>
    </w:p>
    <w:p>
      <w:pPr>
        <w:pStyle w:val="nzHeading5"/>
      </w:pPr>
      <w:r>
        <w:rPr>
          <w:rStyle w:val="CharSectno"/>
        </w:rPr>
        <w:t>300</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301</w:t>
      </w:r>
      <w:r>
        <w:t>.</w:t>
      </w:r>
      <w:r>
        <w:tab/>
        <w:t>Section 39 amended</w:t>
      </w:r>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r>
        <w:rPr>
          <w:rStyle w:val="CharSectno"/>
        </w:rPr>
        <w:t>302</w:t>
      </w:r>
      <w:r>
        <w:t>.</w:t>
      </w:r>
      <w:r>
        <w:tab/>
        <w:t>Section 69 amended</w:t>
      </w:r>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r>
        <w:rPr>
          <w:rStyle w:val="CharSectno"/>
        </w:rPr>
        <w:t>303</w:t>
      </w:r>
      <w:r>
        <w:t>.</w:t>
      </w:r>
      <w:r>
        <w:tab/>
        <w:t>Section 95 amended</w:t>
      </w:r>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nSubsection"/>
        <w:rPr>
          <w:snapToGrid w:val="0"/>
        </w:rPr>
      </w:pPr>
      <w:r>
        <w:rPr>
          <w:snapToGrid w:val="0"/>
          <w:vertAlign w:val="superscript"/>
        </w:rPr>
        <w:t>15</w:t>
      </w:r>
      <w:r>
        <w:rPr>
          <w:snapToGrid w:val="0"/>
        </w:rPr>
        <w:tab/>
        <w:t xml:space="preserve">On the date as at which this compilation was prepared, the </w:t>
      </w:r>
      <w:r>
        <w:rPr>
          <w:i/>
        </w:rPr>
        <w:t>Liquor Control Amendment Act 2018</w:t>
      </w:r>
      <w:r>
        <w:t xml:space="preserve"> s. 17, 18, 36, 45, 56, 62(1) and (3) </w:t>
      </w:r>
      <w:r>
        <w:rPr>
          <w:snapToGrid w:val="0"/>
        </w:rPr>
        <w:t>had not come into operation.  They read as follows:</w:t>
      </w:r>
    </w:p>
    <w:p>
      <w:pPr>
        <w:pStyle w:val="BlankOpen"/>
      </w:pPr>
    </w:p>
    <w:p>
      <w:pPr>
        <w:pStyle w:val="nzHeading5"/>
      </w:pPr>
      <w:r>
        <w:rPr>
          <w:rStyle w:val="CharSectno"/>
        </w:rPr>
        <w:t>17</w:t>
      </w:r>
      <w:r>
        <w:t>.</w:t>
      </w:r>
      <w:r>
        <w:tab/>
        <w:t>Section 36A amended</w:t>
      </w:r>
    </w:p>
    <w:p>
      <w:pPr>
        <w:pStyle w:val="nzSubsection"/>
      </w:pPr>
      <w:r>
        <w:tab/>
      </w:r>
      <w:r>
        <w:tab/>
        <w:t>In section 36A(2) delete “shall not approve” and insert:</w:t>
      </w:r>
    </w:p>
    <w:p>
      <w:pPr>
        <w:pStyle w:val="BlankOpen"/>
      </w:pPr>
    </w:p>
    <w:p>
      <w:pPr>
        <w:pStyle w:val="nzSubsection"/>
      </w:pPr>
      <w:r>
        <w:tab/>
      </w:r>
      <w:r>
        <w:tab/>
        <w:t xml:space="preserve">must not grant an application for </w:t>
      </w:r>
    </w:p>
    <w:p>
      <w:pPr>
        <w:pStyle w:val="BlankClose"/>
      </w:pPr>
    </w:p>
    <w:p>
      <w:pPr>
        <w:pStyle w:val="nzHeading5"/>
      </w:pPr>
      <w:r>
        <w:rPr>
          <w:rStyle w:val="CharSectno"/>
        </w:rPr>
        <w:t>18</w:t>
      </w:r>
      <w:r>
        <w:t>.</w:t>
      </w:r>
      <w:r>
        <w:tab/>
        <w:t>Section 36B inserted</w:t>
      </w:r>
    </w:p>
    <w:p>
      <w:pPr>
        <w:pStyle w:val="nzSubsection"/>
      </w:pPr>
      <w:r>
        <w:tab/>
      </w:r>
      <w:r>
        <w:tab/>
        <w:t>After section 36A insert:</w:t>
      </w:r>
    </w:p>
    <w:p>
      <w:pPr>
        <w:pStyle w:val="BlankOpen"/>
      </w:pPr>
    </w:p>
    <w:p>
      <w:pPr>
        <w:pStyle w:val="nzHeading5"/>
      </w:pPr>
      <w:r>
        <w:t>36B.</w:t>
      </w:r>
      <w:r>
        <w:tab/>
        <w:t>Restrictions on grant or removal of certain licences authorising sale of packaged liquor</w:t>
      </w:r>
    </w:p>
    <w:p>
      <w:pPr>
        <w:pStyle w:val="nzSubsection"/>
      </w:pPr>
      <w:r>
        <w:tab/>
        <w:t>(1)</w:t>
      </w:r>
      <w:r>
        <w:tab/>
        <w:t xml:space="preserve">In this section — </w:t>
      </w:r>
    </w:p>
    <w:p>
      <w:pPr>
        <w:pStyle w:val="nz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nzDefstart"/>
      </w:pPr>
      <w:r>
        <w:tab/>
      </w:r>
      <w:r>
        <w:rPr>
          <w:rStyle w:val="CharDefText"/>
        </w:rPr>
        <w:t>packaged liquor premises</w:t>
      </w:r>
      <w:r>
        <w:t xml:space="preserve"> means premises to which a licence referred to in subsection (2) relates;</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 xml:space="preserve">prescribed distance </w:t>
      </w:r>
      <w:r>
        <w:t>means the distance prescribed for the purposes of this section;</w:t>
      </w:r>
    </w:p>
    <w:p>
      <w:pPr>
        <w:pStyle w:val="nzDefstart"/>
      </w:pPr>
      <w:r>
        <w:tab/>
      </w:r>
      <w:r>
        <w:rPr>
          <w:rStyle w:val="CharDefText"/>
        </w:rPr>
        <w:t>proposed licensed premises</w:t>
      </w:r>
      <w:r>
        <w:t xml:space="preserve">, in relation to an application to which this section applies, means — </w:t>
      </w:r>
    </w:p>
    <w:p>
      <w:pPr>
        <w:pStyle w:val="nzDefpara"/>
      </w:pPr>
      <w:r>
        <w:tab/>
        <w:t>(a)</w:t>
      </w:r>
      <w:r>
        <w:tab/>
        <w:t>if the application is for the grant of a licence — the premises to which the application relates; or</w:t>
      </w:r>
    </w:p>
    <w:p>
      <w:pPr>
        <w:pStyle w:val="nzDefpara"/>
      </w:pPr>
      <w:r>
        <w:tab/>
        <w:t>(b)</w:t>
      </w:r>
      <w:r>
        <w:tab/>
        <w:t>if the application is for the removal of a licence — the premises to which the licence is sought to be removed;</w:t>
      </w:r>
    </w:p>
    <w:p>
      <w:pPr>
        <w:pStyle w:val="nzDefstart"/>
        <w:rPr>
          <w:rStyle w:val="CharDefText"/>
          <w:b w:val="0"/>
          <w:i w:val="0"/>
        </w:rPr>
      </w:pPr>
      <w:r>
        <w:tab/>
      </w:r>
      <w:r>
        <w:rPr>
          <w:rStyle w:val="CharDefText"/>
        </w:rPr>
        <w:t xml:space="preserve">retail section — </w:t>
      </w:r>
    </w:p>
    <w:p>
      <w:pPr>
        <w:pStyle w:val="nzDefpara"/>
      </w:pPr>
      <w:r>
        <w:tab/>
        <w:t>(a)</w:t>
      </w:r>
      <w:r>
        <w:tab/>
        <w:t>in relation to packaged liquor premises — means the part or parts of the premises on which packaged liquor is displayed for the purposes of sale or sold; and</w:t>
      </w:r>
    </w:p>
    <w:p>
      <w:pPr>
        <w:pStyle w:val="nzDefpara"/>
      </w:pPr>
      <w:r>
        <w:tab/>
        <w:t>(b)</w:t>
      </w:r>
      <w:r>
        <w:tab/>
        <w:t>in relation to proposed licensed premises — means the part or parts of the premises on which packaged liquor is to be displayed for the purposes of sale or sold.</w:t>
      </w:r>
    </w:p>
    <w:p>
      <w:pPr>
        <w:pStyle w:val="nzSubsection"/>
      </w:pPr>
      <w:r>
        <w:tab/>
        <w:t>(2)</w:t>
      </w:r>
      <w:r>
        <w:tab/>
        <w:t xml:space="preserve">This section applies to an application for the grant or removal of any of the following licences — </w:t>
      </w:r>
    </w:p>
    <w:p>
      <w:pPr>
        <w:pStyle w:val="nzIndenta"/>
      </w:pPr>
      <w:r>
        <w:tab/>
        <w:t>(a)</w:t>
      </w:r>
      <w:r>
        <w:tab/>
        <w:t>a hotel licence without restriction;</w:t>
      </w:r>
    </w:p>
    <w:p>
      <w:pPr>
        <w:pStyle w:val="nzIndenta"/>
      </w:pPr>
      <w:r>
        <w:tab/>
        <w:t>(b)</w:t>
      </w:r>
      <w:r>
        <w:tab/>
        <w:t>a tavern licence;</w:t>
      </w:r>
    </w:p>
    <w:p>
      <w:pPr>
        <w:pStyle w:val="nzIndenta"/>
      </w:pPr>
      <w:r>
        <w:tab/>
        <w:t>(c)</w:t>
      </w:r>
      <w:r>
        <w:tab/>
        <w:t>a liquor store licence;</w:t>
      </w:r>
    </w:p>
    <w:p>
      <w:pPr>
        <w:pStyle w:val="nzIndenta"/>
      </w:pPr>
      <w:r>
        <w:tab/>
        <w:t>(d)</w:t>
      </w:r>
      <w:r>
        <w:tab/>
        <w:t>a special facility licence of a prescribed type.</w:t>
      </w:r>
    </w:p>
    <w:p>
      <w:pPr>
        <w:pStyle w:val="nzSubsection"/>
      </w:pPr>
      <w:r>
        <w:tab/>
        <w:t>(3)</w:t>
      </w:r>
      <w:r>
        <w:tab/>
        <w:t xml:space="preserve">The licensing authority must not hear or determine an application to which this section applies if — </w:t>
      </w:r>
    </w:p>
    <w:p>
      <w:pPr>
        <w:pStyle w:val="nzIndenta"/>
      </w:pPr>
      <w:r>
        <w:tab/>
        <w:t>(a)</w:t>
      </w:r>
      <w:r>
        <w:tab/>
        <w:t>packaged liquor premises are situated less than the prescribed distance from the proposed licensed premises; and</w:t>
      </w:r>
    </w:p>
    <w:p>
      <w:pPr>
        <w:pStyle w:val="nzIndenta"/>
      </w:pPr>
      <w:r>
        <w:tab/>
        <w:t>(b)</w:t>
      </w:r>
      <w:r>
        <w:tab/>
        <w:t>the area of the retail section of those packaged liquor premises exceeds the prescribed area; and</w:t>
      </w:r>
    </w:p>
    <w:p>
      <w:pPr>
        <w:pStyle w:val="nzIndenta"/>
      </w:pPr>
      <w:r>
        <w:tab/>
        <w:t>(c)</w:t>
      </w:r>
      <w:r>
        <w:tab/>
        <w:t>the area of the retail section of the proposed licensed premises exceeds the prescribed area.</w:t>
      </w:r>
    </w:p>
    <w:p>
      <w:pPr>
        <w:pStyle w:val="nz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nz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pPr>
      <w:r>
        <w:rPr>
          <w:rStyle w:val="CharSectno"/>
        </w:rPr>
        <w:t>36</w:t>
      </w:r>
      <w:r>
        <w:t>.</w:t>
      </w:r>
      <w:r>
        <w:tab/>
        <w:t>Section 65 amended</w:t>
      </w:r>
    </w:p>
    <w:p>
      <w:pPr>
        <w:pStyle w:val="nzSubsection"/>
      </w:pPr>
      <w:r>
        <w:tab/>
      </w:r>
      <w:r>
        <w:tab/>
        <w:t>Delete section 65(1) and insert:</w:t>
      </w:r>
    </w:p>
    <w:p>
      <w:pPr>
        <w:pStyle w:val="BlankOpen"/>
      </w:pPr>
    </w:p>
    <w:p>
      <w:pPr>
        <w:pStyle w:val="nzSubsection"/>
      </w:pPr>
      <w:r>
        <w:tab/>
        <w:t>(1)</w:t>
      </w:r>
      <w:r>
        <w:tab/>
        <w:t xml:space="preserve">Subject to subsection (3), a licence or permit that authorises the sale of packaged liquor or of liquor for consumption off the licensed premises is subject to the following conditions — </w:t>
      </w:r>
    </w:p>
    <w:p>
      <w:pPr>
        <w:pStyle w:val="nzIndenta"/>
      </w:pPr>
      <w:r>
        <w:tab/>
        <w:t>(a)</w:t>
      </w:r>
      <w:r>
        <w:tab/>
        <w:t xml:space="preserve">that the liquor sold — </w:t>
      </w:r>
    </w:p>
    <w:p>
      <w:pPr>
        <w:pStyle w:val="nzIndenti"/>
      </w:pPr>
      <w:r>
        <w:tab/>
        <w:t>(i)</w:t>
      </w:r>
      <w:r>
        <w:tab/>
        <w:t>must be consigned to the purchaser at, and delivered on or from, the licensed premises, unless the Director otherwise approves; and</w:t>
      </w:r>
    </w:p>
    <w:p>
      <w:pPr>
        <w:pStyle w:val="nzIndenti"/>
        <w:rPr>
          <w:szCs w:val="24"/>
        </w:rPr>
      </w:pPr>
      <w:r>
        <w:tab/>
        <w:t>(ii)</w:t>
      </w:r>
      <w:r>
        <w:tab/>
        <w:t>must be delivered in sealed containers; and</w:t>
      </w:r>
    </w:p>
    <w:p>
      <w:pPr>
        <w:pStyle w:val="nz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nzIndenta"/>
      </w:pPr>
      <w:r>
        <w:tab/>
        <w:t>(b)</w:t>
      </w:r>
      <w:r>
        <w:tab/>
        <w:t>that the prescribed requirements relating to sale and delivery must be complied with.</w:t>
      </w:r>
    </w:p>
    <w:p>
      <w:pPr>
        <w:pStyle w:val="nzSubsection"/>
      </w:pPr>
      <w:r>
        <w:tab/>
        <w:t>(1A)</w:t>
      </w:r>
      <w:r>
        <w:tab/>
        <w:t>A person who contravenes a condition referred to in subsection (1) commits an offence.</w:t>
      </w:r>
    </w:p>
    <w:p>
      <w:pPr>
        <w:pStyle w:val="nzPenstart"/>
      </w:pPr>
      <w:r>
        <w:tab/>
        <w:t>Penalty for this subsection: a fine of $2 000.</w:t>
      </w:r>
    </w:p>
    <w:p>
      <w:pPr>
        <w:pStyle w:val="BlankClose"/>
      </w:pPr>
    </w:p>
    <w:p>
      <w:pPr>
        <w:pStyle w:val="nzSectAltNote"/>
      </w:pPr>
      <w:r>
        <w:tab/>
        <w:t>Note:</w:t>
      </w:r>
      <w:r>
        <w:tab/>
        <w:t>The heading to amended section 65 is to read:</w:t>
      </w:r>
    </w:p>
    <w:p>
      <w:pPr>
        <w:pStyle w:val="nzSectAltHeading"/>
      </w:pPr>
      <w:r>
        <w:rPr>
          <w:b w:val="0"/>
        </w:rPr>
        <w:tab/>
      </w:r>
      <w:r>
        <w:rPr>
          <w:b w:val="0"/>
        </w:rPr>
        <w:tab/>
      </w:r>
      <w:r>
        <w:t>Conditions relating to sale and delivery of packaged liquor or liquor for consumption off licensed premises</w:t>
      </w:r>
    </w:p>
    <w:p>
      <w:pPr>
        <w:pStyle w:val="nzHeading5"/>
      </w:pPr>
      <w:r>
        <w:rPr>
          <w:rStyle w:val="CharSectno"/>
        </w:rPr>
        <w:t>45</w:t>
      </w:r>
      <w:r>
        <w:t>.</w:t>
      </w:r>
      <w:r>
        <w:tab/>
        <w:t>Section 77A inserted</w:t>
      </w:r>
    </w:p>
    <w:p>
      <w:pPr>
        <w:pStyle w:val="nzSubsection"/>
      </w:pPr>
      <w:r>
        <w:tab/>
      </w:r>
      <w:r>
        <w:tab/>
        <w:t>At the end of Part 3 Division 7 insert:</w:t>
      </w:r>
    </w:p>
    <w:p>
      <w:pPr>
        <w:pStyle w:val="BlankOpen"/>
      </w:pPr>
    </w:p>
    <w:p>
      <w:pPr>
        <w:pStyle w:val="nzHeading5"/>
      </w:pPr>
      <w:r>
        <w:t>77A.</w:t>
      </w:r>
      <w:r>
        <w:tab/>
        <w:t>Restrictions on alteration or redefinition of certain packaged liquor premises</w:t>
      </w:r>
    </w:p>
    <w:p>
      <w:pPr>
        <w:pStyle w:val="nzSubsection"/>
      </w:pPr>
      <w:r>
        <w:tab/>
        <w:t>(1)</w:t>
      </w:r>
      <w:r>
        <w:tab/>
        <w:t xml:space="preserve">In this section — </w:t>
      </w:r>
    </w:p>
    <w:p>
      <w:pPr>
        <w:pStyle w:val="nzDefstart"/>
      </w:pPr>
      <w:r>
        <w:tab/>
      </w:r>
      <w:r>
        <w:rPr>
          <w:rStyle w:val="CharDefText"/>
        </w:rPr>
        <w:t>packaged liquor premises</w:t>
      </w:r>
      <w:r>
        <w:t xml:space="preserve"> has the meaning given in section 36B(1);</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prescribed distance</w:t>
      </w:r>
      <w:r>
        <w:t xml:space="preserve"> means the distance prescribed for the purposes of this section;</w:t>
      </w:r>
    </w:p>
    <w:p>
      <w:pPr>
        <w:pStyle w:val="nzDefstart"/>
      </w:pPr>
      <w:r>
        <w:tab/>
      </w:r>
      <w:r>
        <w:rPr>
          <w:rStyle w:val="CharDefText"/>
        </w:rPr>
        <w:t>retail section</w:t>
      </w:r>
      <w:r>
        <w:t>, in relation to packaged liquor premises, means the part or parts of the premises on which packaged liquor is displayed for the purposes of sale or sold.</w:t>
      </w:r>
    </w:p>
    <w:p>
      <w:pPr>
        <w:pStyle w:val="nzSubsection"/>
      </w:pPr>
      <w:r>
        <w:tab/>
        <w:t>(2)</w:t>
      </w:r>
      <w:r>
        <w:tab/>
        <w:t xml:space="preserve">Subsection (3) applies to packaged liquor premises if — </w:t>
      </w:r>
    </w:p>
    <w:p>
      <w:pPr>
        <w:pStyle w:val="nzIndenta"/>
      </w:pPr>
      <w:r>
        <w:tab/>
        <w:t>(a)</w:t>
      </w:r>
      <w:r>
        <w:tab/>
        <w:t>the premises are situated less than the prescribed distance from other packaged liquor premises; and</w:t>
      </w:r>
    </w:p>
    <w:p>
      <w:pPr>
        <w:pStyle w:val="nzIndenta"/>
      </w:pPr>
      <w:r>
        <w:tab/>
        <w:t>(b)</w:t>
      </w:r>
      <w:r>
        <w:tab/>
        <w:t>the area of the retail section of the other packaged liquor premises exceeds the prescribed area.</w:t>
      </w:r>
    </w:p>
    <w:p>
      <w:pPr>
        <w:pStyle w:val="nzSubsection"/>
      </w:pPr>
      <w:r>
        <w:tab/>
        <w:t>(3)</w:t>
      </w:r>
      <w:r>
        <w:tab/>
        <w:t xml:space="preserve">The licensing authority must not hear or determine an application made under section 77(4) in respect of packaged liquor premises to which this subsection applies — </w:t>
      </w:r>
    </w:p>
    <w:p>
      <w:pPr>
        <w:pStyle w:val="nzIndenta"/>
      </w:pPr>
      <w:r>
        <w:tab/>
        <w:t>(a)</w:t>
      </w:r>
      <w:r>
        <w:tab/>
        <w:t xml:space="preserve">if — </w:t>
      </w:r>
    </w:p>
    <w:p>
      <w:pPr>
        <w:pStyle w:val="nzIndenti"/>
      </w:pPr>
      <w:r>
        <w:tab/>
        <w:t>(i)</w:t>
      </w:r>
      <w:r>
        <w:tab/>
        <w:t>the area of the retail section of the premises does not exceed the prescribed area; and</w:t>
      </w:r>
    </w:p>
    <w:p>
      <w:pPr>
        <w:pStyle w:val="nzIndenti"/>
      </w:pPr>
      <w:r>
        <w:tab/>
        <w:t>(ii)</w:t>
      </w:r>
      <w:r>
        <w:tab/>
        <w:t>the proposed alteration or redefinition of the premises would increase the area of the retail section of the premises so that it exceeds the prescribed area;</w:t>
      </w:r>
    </w:p>
    <w:p>
      <w:pPr>
        <w:pStyle w:val="nzIndenta"/>
      </w:pPr>
      <w:r>
        <w:tab/>
      </w:r>
      <w:r>
        <w:tab/>
        <w:t>or</w:t>
      </w:r>
    </w:p>
    <w:p>
      <w:pPr>
        <w:pStyle w:val="nzIndenta"/>
      </w:pPr>
      <w:r>
        <w:tab/>
        <w:t>(b)</w:t>
      </w:r>
      <w:r>
        <w:tab/>
        <w:t xml:space="preserve">if — </w:t>
      </w:r>
    </w:p>
    <w:p>
      <w:pPr>
        <w:pStyle w:val="nzIndenti"/>
      </w:pPr>
      <w:r>
        <w:tab/>
        <w:t>(i)</w:t>
      </w:r>
      <w:r>
        <w:tab/>
        <w:t>the area of the retail section of the premises exceeds the prescribed area; and</w:t>
      </w:r>
    </w:p>
    <w:p>
      <w:pPr>
        <w:pStyle w:val="nzIndenti"/>
      </w:pPr>
      <w:r>
        <w:tab/>
        <w:t>(ii)</w:t>
      </w:r>
      <w:r>
        <w:tab/>
        <w:t>the proposed alteration or redefinition of the premises would increase the area of the retail section of the premises.</w:t>
      </w:r>
    </w:p>
    <w:p>
      <w:pPr>
        <w:pStyle w:val="nz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pPr>
      <w:r>
        <w:rPr>
          <w:rStyle w:val="CharSectno"/>
        </w:rPr>
        <w:t>53</w:t>
      </w:r>
      <w:r>
        <w:t>.</w:t>
      </w:r>
      <w:r>
        <w:tab/>
        <w:t>Section 109A inserted</w:t>
      </w:r>
    </w:p>
    <w:p>
      <w:pPr>
        <w:pStyle w:val="nzSubsection"/>
      </w:pPr>
      <w:r>
        <w:tab/>
      </w:r>
      <w:r>
        <w:tab/>
        <w:t>After section 109 insert:</w:t>
      </w:r>
    </w:p>
    <w:p>
      <w:pPr>
        <w:pStyle w:val="BlankOpen"/>
      </w:pPr>
    </w:p>
    <w:p>
      <w:pPr>
        <w:pStyle w:val="nzHeading5"/>
      </w:pPr>
      <w:r>
        <w:t>109A.</w:t>
      </w:r>
      <w:r>
        <w:tab/>
        <w:t>Offence to carry liquor in excess of prescribed quantity in prescribed area of State</w:t>
      </w:r>
    </w:p>
    <w:p>
      <w:pPr>
        <w:pStyle w:val="nzSubsection"/>
      </w:pPr>
      <w:r>
        <w:tab/>
        <w:t>(1)</w:t>
      </w:r>
      <w:r>
        <w:tab/>
        <w:t xml:space="preserve">In this section — </w:t>
      </w:r>
    </w:p>
    <w:p>
      <w:pPr>
        <w:pStyle w:val="nzDefstart"/>
      </w:pPr>
      <w:r>
        <w:tab/>
      </w:r>
      <w:r>
        <w:rPr>
          <w:rStyle w:val="CharDefText"/>
        </w:rPr>
        <w:t>driver</w:t>
      </w:r>
      <w:r>
        <w:t>, in relation to a vehicle, means a person who has control over the steering, movement or propulsion of the vehicle;</w:t>
      </w:r>
    </w:p>
    <w:p>
      <w:pPr>
        <w:pStyle w:val="nzDefstart"/>
      </w:pPr>
      <w:r>
        <w:tab/>
      </w:r>
      <w:r>
        <w:rPr>
          <w:rStyle w:val="CharDefText"/>
        </w:rPr>
        <w:t>vehicle</w:t>
      </w:r>
      <w:r>
        <w:t>, without limiting the definition of that term in section 3(1), includes a trailer, semi</w:t>
      </w:r>
      <w:r>
        <w:noBreakHyphen/>
        <w:t>trailer or caravan attached to another vehicle.</w:t>
      </w:r>
    </w:p>
    <w:p>
      <w:pPr>
        <w:pStyle w:val="nzSubsection"/>
      </w:pPr>
      <w:r>
        <w:tab/>
        <w:t>(2)</w:t>
      </w:r>
      <w:r>
        <w:tab/>
        <w:t>A person who, in a prescribed area of the State, carries a kind of liquor in a quantity that exceeds the quantity prescribed for that kind of liquor commits an offence.</w:t>
      </w:r>
    </w:p>
    <w:p>
      <w:pPr>
        <w:pStyle w:val="nzPenstart"/>
      </w:pPr>
      <w:r>
        <w:tab/>
        <w:t>Penalty for this subsection: a fine of $10 000.</w:t>
      </w:r>
    </w:p>
    <w:p>
      <w:pPr>
        <w:pStyle w:val="nzSubsection"/>
      </w:pPr>
      <w:r>
        <w:tab/>
        <w:t>(3)</w:t>
      </w:r>
      <w:r>
        <w:tab/>
        <w:t>For the purposes of subsection (2), if liquor is carried in or on a vehicle the driver of the vehicle is taken to be the person who carries the liquor.</w:t>
      </w:r>
    </w:p>
    <w:p>
      <w:pPr>
        <w:pStyle w:val="nzSubsection"/>
      </w:pPr>
      <w:r>
        <w:tab/>
        <w:t>(4)</w:t>
      </w:r>
      <w:r>
        <w:tab/>
        <w:t xml:space="preserve">It is a defence to a charge of an offence under subsection (2) to prove that the liquor was carried — </w:t>
      </w:r>
    </w:p>
    <w:p>
      <w:pPr>
        <w:pStyle w:val="nzIndenta"/>
      </w:pPr>
      <w:r>
        <w:tab/>
        <w:t>(a)</w:t>
      </w:r>
      <w:r>
        <w:tab/>
        <w:t>for the purpose of a sale that may lawfully be made; or</w:t>
      </w:r>
    </w:p>
    <w:p>
      <w:pPr>
        <w:pStyle w:val="nzIndenta"/>
      </w:pPr>
      <w:r>
        <w:tab/>
        <w:t>(b)</w:t>
      </w:r>
      <w:r>
        <w:tab/>
        <w:t>by a person of a prescribed class; or</w:t>
      </w:r>
    </w:p>
    <w:p>
      <w:pPr>
        <w:pStyle w:val="nzIndenta"/>
      </w:pPr>
      <w:r>
        <w:tab/>
        <w:t>(c)</w:t>
      </w:r>
      <w:r>
        <w:tab/>
        <w:t>in or on a vehicle of a prescribed class; or</w:t>
      </w:r>
    </w:p>
    <w:p>
      <w:pPr>
        <w:pStyle w:val="nzIndenta"/>
      </w:pPr>
      <w:r>
        <w:tab/>
        <w:t>(d)</w:t>
      </w:r>
      <w:r>
        <w:tab/>
        <w:t>in prescribed circumstances.</w:t>
      </w:r>
    </w:p>
    <w:p>
      <w:pPr>
        <w:pStyle w:val="nzSubsection"/>
      </w:pPr>
      <w:r>
        <w:tab/>
        <w:t>(5)</w:t>
      </w:r>
      <w:r>
        <w:tab/>
        <w:t>Regulations made for the purposes of subsection (2) may prescribe different quantities for different areas of the State.</w:t>
      </w:r>
    </w:p>
    <w:p>
      <w:pPr>
        <w:pStyle w:val="BlankClose"/>
      </w:pPr>
    </w:p>
    <w:p>
      <w:pPr>
        <w:pStyle w:val="nzHeading5"/>
      </w:pPr>
      <w:r>
        <w:rPr>
          <w:rStyle w:val="CharSectno"/>
        </w:rPr>
        <w:t>62</w:t>
      </w:r>
      <w:r>
        <w:t>.</w:t>
      </w:r>
      <w:r>
        <w:tab/>
        <w:t>Section 155 amended</w:t>
      </w:r>
    </w:p>
    <w:p>
      <w:pPr>
        <w:pStyle w:val="nzSubsection"/>
      </w:pPr>
      <w:r>
        <w:tab/>
        <w:t>(1)</w:t>
      </w:r>
      <w:r>
        <w:tab/>
        <w:t>After section 155(5) insert:</w:t>
      </w:r>
    </w:p>
    <w:p>
      <w:pPr>
        <w:pStyle w:val="BlankOpen"/>
      </w:pPr>
    </w:p>
    <w:p>
      <w:pPr>
        <w:pStyle w:val="nzSubsection"/>
      </w:pPr>
      <w:r>
        <w:tab/>
        <w:t>(5A)</w:t>
      </w:r>
      <w:r>
        <w:tab/>
        <w:t>If a person is contravening section 109A(2) a member of the Police Force may, subject to subsection (5B), seize an opened or unopened container of liquor involved in the contravention.</w:t>
      </w:r>
    </w:p>
    <w:p>
      <w:pPr>
        <w:pStyle w:val="nzSubsection"/>
      </w:pPr>
      <w:r>
        <w:tab/>
        <w:t>(5B)</w:t>
      </w:r>
      <w:r>
        <w:tab/>
        <w:t>The total quantity of a kind of liquor in any containers seized under subsection (5A) must not exceed the seizable quantity for that kind of liquor.</w:t>
      </w:r>
    </w:p>
    <w:p>
      <w:pPr>
        <w:pStyle w:val="nzSubsection"/>
      </w:pPr>
      <w:r>
        <w:tab/>
        <w:t>(5C)</w:t>
      </w:r>
      <w:r>
        <w:tab/>
        <w:t xml:space="preserve">In subsection (5B) — </w:t>
      </w:r>
    </w:p>
    <w:p>
      <w:pPr>
        <w:pStyle w:val="nz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BlankClose"/>
      </w:pPr>
    </w:p>
    <w:p>
      <w:pPr>
        <w:pStyle w:val="nzSubsection"/>
      </w:pPr>
      <w:r>
        <w:tab/>
        <w:t>(3)</w:t>
      </w:r>
      <w:r>
        <w:tab/>
        <w:t>In section 155(9) after “subsection” (2</w:t>
      </w:r>
      <w:r>
        <w:rPr>
          <w:vertAlign w:val="superscript"/>
        </w:rPr>
        <w:t>nd</w:t>
      </w:r>
      <w:r>
        <w:t xml:space="preserve"> occurrence) insert:</w:t>
      </w:r>
    </w:p>
    <w:p>
      <w:pPr>
        <w:pStyle w:val="BlankOpen"/>
      </w:pPr>
    </w:p>
    <w:p>
      <w:pPr>
        <w:pStyle w:val="nzSubsection"/>
      </w:pPr>
      <w:r>
        <w:tab/>
      </w:r>
      <w:r>
        <w:tab/>
        <w:t>(5A),</w:t>
      </w:r>
    </w:p>
    <w:p>
      <w:pPr>
        <w:pStyle w:val="BlankClose"/>
      </w:pPr>
    </w:p>
    <w:p>
      <w:pPr>
        <w:pStyle w:val="BlankClose"/>
      </w:pPr>
    </w:p>
    <w:p>
      <w:pPr>
        <w:pStyle w:val="nSubsection"/>
      </w:pPr>
      <w:r>
        <w:rPr>
          <w:vertAlign w:val="superscript"/>
        </w:rPr>
        <w:t>16</w:t>
      </w:r>
      <w:r>
        <w:tab/>
        <w:t xml:space="preserve">On the date as at which this compilation was prepared, the </w:t>
      </w:r>
      <w:r>
        <w:rPr>
          <w:i/>
        </w:rPr>
        <w:t xml:space="preserve">Heritage Act 2018 </w:t>
      </w:r>
      <w:r>
        <w:t>s. 185 had not come into operation.  It reads as follows:</w:t>
      </w:r>
    </w:p>
    <w:p>
      <w:pPr>
        <w:pStyle w:val="BlankOpen"/>
      </w:pPr>
    </w:p>
    <w:p>
      <w:pPr>
        <w:pStyle w:val="nzHeading5"/>
      </w:pPr>
      <w:r>
        <w:rPr>
          <w:rStyle w:val="CharSectno"/>
        </w:rPr>
        <w:t>185</w:t>
      </w:r>
      <w:r>
        <w:t>.</w:t>
      </w:r>
      <w:r>
        <w:tab/>
      </w:r>
      <w:r>
        <w:rPr>
          <w:i/>
        </w:rPr>
        <w:t>Liquor Control Act 1988</w:t>
      </w:r>
      <w:r>
        <w:t xml:space="preserve"> amended</w:t>
      </w:r>
    </w:p>
    <w:p>
      <w:pPr>
        <w:pStyle w:val="nzSubsection"/>
      </w:pPr>
      <w:r>
        <w:tab/>
        <w:t>(1)</w:t>
      </w:r>
      <w:r>
        <w:tab/>
        <w:t xml:space="preserve">This section amends the </w:t>
      </w:r>
      <w:r>
        <w:rPr>
          <w:i/>
        </w:rPr>
        <w:t>Liquor Control Act 1988</w:t>
      </w:r>
      <w:r>
        <w:t>.</w:t>
      </w:r>
    </w:p>
    <w:p>
      <w:pPr>
        <w:pStyle w:val="nz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nzSubsection"/>
      </w:pPr>
      <w:r>
        <w:tab/>
      </w:r>
      <w:r>
        <w:tab/>
        <w:t xml:space="preserve">State Register of Heritage Places established and maintained under the </w:t>
      </w:r>
      <w:r>
        <w:rPr>
          <w:i/>
        </w:rPr>
        <w:t>Heritage Act 2018</w:t>
      </w:r>
      <w:r>
        <w:t>; or</w:t>
      </w:r>
    </w:p>
    <w:p>
      <w:pPr>
        <w:pStyle w:val="BlankClose"/>
      </w:pPr>
    </w:p>
    <w:p>
      <w:pPr>
        <w:pStyle w:val="BlankOpen"/>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443" w:name="_Toc526243411"/>
      <w:r>
        <w:rPr>
          <w:sz w:val="28"/>
        </w:rPr>
        <w:t>Defined terms</w:t>
      </w:r>
      <w:bookmarkEnd w:id="4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form</w:t>
      </w:r>
      <w:r>
        <w:tab/>
        <w:t>167(1)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Chief Health Officer</w:t>
      </w:r>
      <w:r>
        <w:tab/>
        <w:t>3(1)</w:t>
      </w:r>
    </w:p>
    <w:p>
      <w:pPr>
        <w:pStyle w:val="DefinedTerms"/>
      </w:pPr>
      <w:r>
        <w:t>club</w:t>
      </w:r>
      <w:r>
        <w:tab/>
        <w:t>49(1),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 Sch. 1C cl. 2(1), 3(1)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Department</w:t>
      </w:r>
      <w:r>
        <w:tab/>
        <w:t>3(1)</w:t>
      </w:r>
    </w:p>
    <w:p>
      <w:pPr>
        <w:pStyle w:val="DefinedTerms"/>
      </w:pPr>
      <w:r>
        <w:t>Department’s website</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95(1A), 165(4)</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interstate supplier</w:t>
      </w:r>
      <w:r>
        <w:tab/>
        <w:t>59A(1)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 174B(1)</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 xml:space="preserve">old licence </w:t>
      </w:r>
      <w:r>
        <w:tab/>
        <w:t>Sch. 1C cl. 2(1)</w:t>
      </w:r>
    </w:p>
    <w:p>
      <w:pPr>
        <w:pStyle w:val="DefinedTerms"/>
      </w:pPr>
      <w:r>
        <w:t>old section 35B</w:t>
      </w:r>
      <w:r>
        <w:tab/>
        <w:t>Sch. 1B cl. 1</w:t>
      </w:r>
    </w:p>
    <w:p>
      <w:pPr>
        <w:pStyle w:val="DefinedTerms"/>
      </w:pPr>
      <w:r>
        <w:t>owner</w:t>
      </w:r>
      <w:r>
        <w:tab/>
        <w:t>3(1)</w:t>
      </w:r>
    </w:p>
    <w:p>
      <w:pPr>
        <w:pStyle w:val="DefinedTerms"/>
      </w:pPr>
      <w:r>
        <w:t>packaged liquor</w:t>
      </w:r>
      <w:r>
        <w:tab/>
        <w:t>3(1), 59A(1)</w:t>
      </w:r>
    </w:p>
    <w:p>
      <w:pPr>
        <w:pStyle w:val="DefinedTerms"/>
      </w:pPr>
      <w:r>
        <w:t>packaged liquor licence</w:t>
      </w:r>
      <w:r>
        <w:tab/>
        <w:t>59A(1)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purchaser</w:t>
      </w:r>
      <w:r>
        <w:tab/>
        <w:t>110(6A)</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small restaurant licence</w:t>
      </w:r>
      <w:r>
        <w:tab/>
        <w:t>Sch. 1C cl. 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submission</w:t>
      </w:r>
      <w:r>
        <w:tab/>
        <w:t>72A(1)</w:t>
      </w:r>
    </w:p>
    <w:p>
      <w:pPr>
        <w:pStyle w:val="DefinedTerms"/>
      </w:pPr>
      <w:r>
        <w:t>subsidy</w:t>
      </w:r>
      <w:r>
        <w:tab/>
        <w:t>3(1)</w:t>
      </w:r>
    </w:p>
    <w:p>
      <w:pPr>
        <w:pStyle w:val="DefinedTerms"/>
      </w:pPr>
      <w:r>
        <w:t>substance</w:t>
      </w:r>
      <w:r>
        <w:tab/>
        <w:t>3(1)</w:t>
      </w:r>
    </w:p>
    <w:p>
      <w:pPr>
        <w:pStyle w:val="DefinedTerms"/>
      </w:pPr>
      <w:r>
        <w:t>supplier</w:t>
      </w:r>
      <w:r>
        <w:tab/>
        <w:t>59A(2)</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Tribunal</w:t>
      </w:r>
      <w:r>
        <w:tab/>
        <w:t>25A(1)</w:t>
      </w:r>
    </w:p>
    <w:p>
      <w:pPr>
        <w:pStyle w:val="DefinedTerms"/>
      </w:pPr>
      <w:r>
        <w:t>trustee</w:t>
      </w:r>
      <w:r>
        <w:tab/>
        <w:t>3(1)</w:t>
      </w:r>
    </w:p>
    <w:p>
      <w:pPr>
        <w:pStyle w:val="DefinedTerms"/>
      </w:pPr>
      <w:r>
        <w:t>vehicle</w:t>
      </w:r>
      <w:r>
        <w:tab/>
        <w:t>3(1)</w:t>
      </w:r>
    </w:p>
    <w:p>
      <w:pPr>
        <w:pStyle w:val="DefinedTerms"/>
      </w:pPr>
      <w:r>
        <w:t>visitor</w:t>
      </w:r>
      <w:r>
        <w:tab/>
        <w:t>48(2B)</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2" w:name="Compilation"/>
    <w:bookmarkEnd w:id="4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4" w:name="DefinedTerms"/>
    <w:bookmarkEnd w:id="44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5" w:name="Coversheet"/>
    <w:bookmarkEnd w:id="4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377" w:name="Schedule"/>
    <w:bookmarkEnd w:id="3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41"/>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 w:name="WAFER_20180920150641" w:val="RemoveTocBookmarks,RemoveUnusedBookmarks,RemoveLanguageTags,UsedStyles,ResetPageSize"/>
    <w:docVar w:name="WAFER_20180920150641_GUID" w:val="543c4eab-d763-417b-9a78-9c19e133e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208E8-0757-465D-A8F6-12254692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363</Pages>
  <Words>94579</Words>
  <Characters>447361</Characters>
  <Application>Microsoft Office Word</Application>
  <DocSecurity>0</DocSecurity>
  <Lines>11772</Lines>
  <Paragraphs>6609</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535331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1988 - 08-j0-02</dc:title>
  <dc:subject/>
  <dc:creator/>
  <cp:keywords/>
  <dc:description/>
  <cp:lastModifiedBy>svcMRProcess</cp:lastModifiedBy>
  <cp:revision>4</cp:revision>
  <cp:lastPrinted>2018-08-17T03:42:00Z</cp:lastPrinted>
  <dcterms:created xsi:type="dcterms:W3CDTF">2019-01-24T02:48:00Z</dcterms:created>
  <dcterms:modified xsi:type="dcterms:W3CDTF">2019-01-24T02:48:00Z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03 Oct 2018</vt:lpwstr>
  </property>
  <property fmtid="{D5CDD505-2E9C-101B-9397-08002B2CF9AE}" pid="9" name="Suffix">
    <vt:lpwstr>08-j0-02</vt:lpwstr>
  </property>
  <property fmtid="{D5CDD505-2E9C-101B-9397-08002B2CF9AE}" pid="10" name="CommencementDate">
    <vt:lpwstr>20181003</vt:lpwstr>
  </property>
</Properties>
</file>