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Rights in Water and Irrigation Act 1914</w:t>
      </w:r>
      <w:r>
        <w:fldChar w:fldCharType="end"/>
      </w:r>
    </w:p>
    <w:p>
      <w:pPr>
        <w:pStyle w:val="NameofActRegPage1"/>
        <w:spacing w:before="1800" w:after="4200"/>
        <w:ind w:left="567" w:right="576"/>
        <w:outlineLvl w:val="0"/>
      </w:pPr>
      <w:r>
        <w:fldChar w:fldCharType="begin"/>
      </w:r>
      <w:r>
        <w:instrText xml:space="preserve"> STYLEREF "Name Of Act/Reg"</w:instrText>
      </w:r>
      <w:r>
        <w:fldChar w:fldCharType="separate"/>
      </w:r>
      <w:r>
        <w:rPr>
          <w:noProof/>
        </w:rPr>
        <w:t>Rights in Water and Irrigation Regulations 2000</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Rights in Water and Irrigation Regulations 2000</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_Toc528669788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_Toc528669789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_Toc528669790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Permits</w:t>
      </w:r>
    </w:p>
    <w:p>
      <w:pPr>
        <w:pStyle w:val="TOC8"/>
        <w:rPr>
          <w:rFonts w:asciiTheme="minorHAnsi" w:eastAsiaTheme="minorEastAsia" w:hAnsiTheme="minorHAnsi" w:cstheme="minorBidi"/>
          <w:szCs w:val="22"/>
        </w:rPr>
      </w:pPr>
      <w:r>
        <w:t>4.</w:t>
      </w:r>
      <w:r>
        <w:tab/>
        <w:t>Applications for permits</w:t>
      </w:r>
      <w:r>
        <w:tab/>
      </w:r>
      <w:r>
        <w:fldChar w:fldCharType="begin"/>
      </w:r>
      <w:r>
        <w:instrText xml:space="preserve"> PAGEREF _Toc528669792 \h </w:instrText>
      </w:r>
      <w:r>
        <w:fldChar w:fldCharType="separate"/>
      </w:r>
      <w:r>
        <w:t>3</w:t>
      </w:r>
      <w:r>
        <w:fldChar w:fldCharType="end"/>
      </w:r>
    </w:p>
    <w:p>
      <w:pPr>
        <w:pStyle w:val="TOC8"/>
        <w:rPr>
          <w:rFonts w:asciiTheme="minorHAnsi" w:eastAsiaTheme="minorEastAsia" w:hAnsiTheme="minorHAnsi" w:cstheme="minorBidi"/>
          <w:szCs w:val="22"/>
        </w:rPr>
      </w:pPr>
      <w:r>
        <w:t>5.</w:t>
      </w:r>
      <w:r>
        <w:tab/>
        <w:t>Advertising of applications</w:t>
      </w:r>
      <w:r>
        <w:tab/>
      </w:r>
      <w:r>
        <w:fldChar w:fldCharType="begin"/>
      </w:r>
      <w:r>
        <w:instrText xml:space="preserve"> PAGEREF _Toc528669793 \h </w:instrText>
      </w:r>
      <w:r>
        <w:fldChar w:fldCharType="separate"/>
      </w:r>
      <w:r>
        <w:t>3</w:t>
      </w:r>
      <w:r>
        <w:fldChar w:fldCharType="end"/>
      </w:r>
    </w:p>
    <w:p>
      <w:pPr>
        <w:pStyle w:val="TOC8"/>
        <w:rPr>
          <w:rFonts w:asciiTheme="minorHAnsi" w:eastAsiaTheme="minorEastAsia" w:hAnsiTheme="minorHAnsi" w:cstheme="minorBidi"/>
          <w:szCs w:val="22"/>
        </w:rPr>
      </w:pPr>
      <w:r>
        <w:t>6.</w:t>
      </w:r>
      <w:r>
        <w:tab/>
        <w:t>Applicant may make representations to Minister in some cases</w:t>
      </w:r>
      <w:r>
        <w:tab/>
      </w:r>
      <w:r>
        <w:fldChar w:fldCharType="begin"/>
      </w:r>
      <w:r>
        <w:instrText xml:space="preserve"> PAGEREF _Toc528669794 \h </w:instrText>
      </w:r>
      <w:r>
        <w:fldChar w:fldCharType="separate"/>
      </w:r>
      <w:r>
        <w:t>4</w:t>
      </w:r>
      <w:r>
        <w:fldChar w:fldCharType="end"/>
      </w:r>
    </w:p>
    <w:p>
      <w:pPr>
        <w:pStyle w:val="TOC8"/>
        <w:rPr>
          <w:rFonts w:asciiTheme="minorHAnsi" w:eastAsiaTheme="minorEastAsia" w:hAnsiTheme="minorHAnsi" w:cstheme="minorBidi"/>
          <w:szCs w:val="22"/>
        </w:rPr>
      </w:pPr>
      <w:r>
        <w:t>7.</w:t>
      </w:r>
      <w:r>
        <w:tab/>
        <w:t>Deciding applications</w:t>
      </w:r>
      <w:r>
        <w:tab/>
      </w:r>
      <w:r>
        <w:fldChar w:fldCharType="begin"/>
      </w:r>
      <w:r>
        <w:instrText xml:space="preserve"> PAGEREF _Toc528669795 \h </w:instrText>
      </w:r>
      <w:r>
        <w:fldChar w:fldCharType="separate"/>
      </w:r>
      <w:r>
        <w:t>4</w:t>
      </w:r>
      <w:r>
        <w:fldChar w:fldCharType="end"/>
      </w:r>
    </w:p>
    <w:p>
      <w:pPr>
        <w:pStyle w:val="TOC8"/>
        <w:rPr>
          <w:rFonts w:asciiTheme="minorHAnsi" w:eastAsiaTheme="minorEastAsia" w:hAnsiTheme="minorHAnsi" w:cstheme="minorBidi"/>
          <w:szCs w:val="22"/>
        </w:rPr>
      </w:pPr>
      <w:r>
        <w:t>8.</w:t>
      </w:r>
      <w:r>
        <w:tab/>
        <w:t>When Minister must refuse permit; Minister may undertake to grant permit in some cases</w:t>
      </w:r>
      <w:r>
        <w:tab/>
      </w:r>
      <w:r>
        <w:fldChar w:fldCharType="begin"/>
      </w:r>
      <w:r>
        <w:instrText xml:space="preserve"> PAGEREF _Toc528669796 \h </w:instrText>
      </w:r>
      <w:r>
        <w:fldChar w:fldCharType="separate"/>
      </w:r>
      <w:r>
        <w:t>6</w:t>
      </w:r>
      <w:r>
        <w:fldChar w:fldCharType="end"/>
      </w:r>
    </w:p>
    <w:p>
      <w:pPr>
        <w:pStyle w:val="TOC8"/>
        <w:rPr>
          <w:rFonts w:asciiTheme="minorHAnsi" w:eastAsiaTheme="minorEastAsia" w:hAnsiTheme="minorHAnsi" w:cstheme="minorBidi"/>
          <w:szCs w:val="22"/>
        </w:rPr>
      </w:pPr>
      <w:r>
        <w:t>9.</w:t>
      </w:r>
      <w:r>
        <w:tab/>
        <w:t>Minister to notify applicant of decision etc.</w:t>
      </w:r>
      <w:r>
        <w:tab/>
      </w:r>
      <w:r>
        <w:fldChar w:fldCharType="begin"/>
      </w:r>
      <w:r>
        <w:instrText xml:space="preserve"> PAGEREF _Toc528669797 \h </w:instrText>
      </w:r>
      <w:r>
        <w:fldChar w:fldCharType="separate"/>
      </w:r>
      <w:r>
        <w:t>6</w:t>
      </w:r>
      <w:r>
        <w:fldChar w:fldCharType="end"/>
      </w:r>
    </w:p>
    <w:p>
      <w:pPr>
        <w:pStyle w:val="TOC8"/>
        <w:rPr>
          <w:rFonts w:asciiTheme="minorHAnsi" w:eastAsiaTheme="minorEastAsia" w:hAnsiTheme="minorHAnsi" w:cstheme="minorBidi"/>
          <w:szCs w:val="22"/>
        </w:rPr>
      </w:pPr>
      <w:r>
        <w:t>10.</w:t>
      </w:r>
      <w:r>
        <w:tab/>
        <w:t>Duration of permits</w:t>
      </w:r>
      <w:r>
        <w:tab/>
      </w:r>
      <w:r>
        <w:fldChar w:fldCharType="begin"/>
      </w:r>
      <w:r>
        <w:instrText xml:space="preserve"> PAGEREF _Toc528669798 \h </w:instrText>
      </w:r>
      <w:r>
        <w:fldChar w:fldCharType="separate"/>
      </w:r>
      <w:r>
        <w:t>7</w:t>
      </w:r>
      <w:r>
        <w:fldChar w:fldCharType="end"/>
      </w:r>
    </w:p>
    <w:p>
      <w:pPr>
        <w:pStyle w:val="TOC8"/>
        <w:rPr>
          <w:rFonts w:asciiTheme="minorHAnsi" w:eastAsiaTheme="minorEastAsia" w:hAnsiTheme="minorHAnsi" w:cstheme="minorBidi"/>
          <w:szCs w:val="22"/>
        </w:rPr>
      </w:pPr>
      <w:r>
        <w:t>11.</w:t>
      </w:r>
      <w:r>
        <w:tab/>
        <w:t>Applications for amendment of permits</w:t>
      </w:r>
      <w:r>
        <w:tab/>
      </w:r>
      <w:r>
        <w:fldChar w:fldCharType="begin"/>
      </w:r>
      <w:r>
        <w:instrText xml:space="preserve"> PAGEREF _Toc528669799 \h </w:instrText>
      </w:r>
      <w:r>
        <w:fldChar w:fldCharType="separate"/>
      </w:r>
      <w:r>
        <w:t>7</w:t>
      </w:r>
      <w:r>
        <w:fldChar w:fldCharType="end"/>
      </w:r>
    </w:p>
    <w:p>
      <w:pPr>
        <w:pStyle w:val="TOC8"/>
        <w:rPr>
          <w:rFonts w:asciiTheme="minorHAnsi" w:eastAsiaTheme="minorEastAsia" w:hAnsiTheme="minorHAnsi" w:cstheme="minorBidi"/>
          <w:szCs w:val="22"/>
        </w:rPr>
      </w:pPr>
      <w:r>
        <w:t>12.</w:t>
      </w:r>
      <w:r>
        <w:tab/>
        <w:t>Minister may amend permit</w:t>
      </w:r>
      <w:r>
        <w:tab/>
      </w:r>
      <w:r>
        <w:fldChar w:fldCharType="begin"/>
      </w:r>
      <w:r>
        <w:instrText xml:space="preserve"> PAGEREF _Toc528669800 \h </w:instrText>
      </w:r>
      <w:r>
        <w:fldChar w:fldCharType="separate"/>
      </w:r>
      <w:r>
        <w:t>8</w:t>
      </w:r>
      <w:r>
        <w:fldChar w:fldCharType="end"/>
      </w:r>
    </w:p>
    <w:p>
      <w:pPr>
        <w:pStyle w:val="TOC8"/>
        <w:rPr>
          <w:rFonts w:asciiTheme="minorHAnsi" w:eastAsiaTheme="minorEastAsia" w:hAnsiTheme="minorHAnsi" w:cstheme="minorBidi"/>
          <w:szCs w:val="22"/>
        </w:rPr>
      </w:pPr>
      <w:r>
        <w:t>13.</w:t>
      </w:r>
      <w:r>
        <w:tab/>
        <w:t>Minister may suspend or cancel permit</w:t>
      </w:r>
      <w:r>
        <w:tab/>
      </w:r>
      <w:r>
        <w:fldChar w:fldCharType="begin"/>
      </w:r>
      <w:r>
        <w:instrText xml:space="preserve"> PAGEREF _Toc528669801 \h </w:instrText>
      </w:r>
      <w:r>
        <w:fldChar w:fldCharType="separate"/>
      </w:r>
      <w:r>
        <w:t>9</w:t>
      </w:r>
      <w:r>
        <w:fldChar w:fldCharType="end"/>
      </w:r>
    </w:p>
    <w:p>
      <w:pPr>
        <w:pStyle w:val="TOC8"/>
        <w:rPr>
          <w:rFonts w:asciiTheme="minorHAnsi" w:eastAsiaTheme="minorEastAsia" w:hAnsiTheme="minorHAnsi" w:cstheme="minorBidi"/>
          <w:szCs w:val="22"/>
        </w:rPr>
      </w:pPr>
      <w:r>
        <w:t>14.</w:t>
      </w:r>
      <w:r>
        <w:tab/>
        <w:t>Permit holder’s rights before permit amended, suspended or cancelled</w:t>
      </w:r>
      <w:r>
        <w:tab/>
      </w:r>
      <w:r>
        <w:fldChar w:fldCharType="begin"/>
      </w:r>
      <w:r>
        <w:instrText xml:space="preserve"> PAGEREF _Toc528669802 \h </w:instrText>
      </w:r>
      <w:r>
        <w:fldChar w:fldCharType="separate"/>
      </w:r>
      <w:r>
        <w:t>11</w:t>
      </w:r>
      <w:r>
        <w:fldChar w:fldCharType="end"/>
      </w:r>
    </w:p>
    <w:p>
      <w:pPr>
        <w:pStyle w:val="TOC8"/>
        <w:rPr>
          <w:rFonts w:asciiTheme="minorHAnsi" w:eastAsiaTheme="minorEastAsia" w:hAnsiTheme="minorHAnsi" w:cstheme="minorBidi"/>
          <w:szCs w:val="22"/>
        </w:rPr>
      </w:pPr>
      <w:r>
        <w:t>15.</w:t>
      </w:r>
      <w:r>
        <w:tab/>
        <w:t>Surrender of permits</w:t>
      </w:r>
      <w:r>
        <w:tab/>
      </w:r>
      <w:r>
        <w:fldChar w:fldCharType="begin"/>
      </w:r>
      <w:r>
        <w:instrText xml:space="preserve"> PAGEREF _Toc528669803 \h </w:instrText>
      </w:r>
      <w:r>
        <w:fldChar w:fldCharType="separate"/>
      </w:r>
      <w:r>
        <w:t>12</w:t>
      </w:r>
      <w:r>
        <w:fldChar w:fldCharType="end"/>
      </w:r>
    </w:p>
    <w:p>
      <w:pPr>
        <w:pStyle w:val="TOC8"/>
        <w:rPr>
          <w:rFonts w:asciiTheme="minorHAnsi" w:eastAsiaTheme="minorEastAsia" w:hAnsiTheme="minorHAnsi" w:cstheme="minorBidi"/>
          <w:szCs w:val="22"/>
        </w:rPr>
      </w:pPr>
      <w:r>
        <w:t>16.</w:t>
      </w:r>
      <w:r>
        <w:tab/>
        <w:t>Minister to be notified of change of ownership</w:t>
      </w:r>
      <w:r>
        <w:tab/>
      </w:r>
      <w:r>
        <w:fldChar w:fldCharType="begin"/>
      </w:r>
      <w:r>
        <w:instrText xml:space="preserve"> PAGEREF _Toc528669804 \h </w:instrText>
      </w:r>
      <w:r>
        <w:fldChar w:fldCharType="separate"/>
      </w:r>
      <w:r>
        <w:t>12</w:t>
      </w:r>
      <w:r>
        <w:fldChar w:fldCharType="end"/>
      </w:r>
    </w:p>
    <w:p>
      <w:pPr>
        <w:pStyle w:val="TOC8"/>
        <w:rPr>
          <w:rFonts w:asciiTheme="minorHAnsi" w:eastAsiaTheme="minorEastAsia" w:hAnsiTheme="minorHAnsi" w:cstheme="minorBidi"/>
          <w:szCs w:val="22"/>
        </w:rPr>
      </w:pPr>
      <w:r>
        <w:t>17.</w:t>
      </w:r>
      <w:r>
        <w:tab/>
        <w:t>Terms, conditions and restrictions</w:t>
      </w:r>
      <w:r>
        <w:tab/>
      </w:r>
      <w:r>
        <w:fldChar w:fldCharType="begin"/>
      </w:r>
      <w:r>
        <w:instrText xml:space="preserve"> PAGEREF _Toc528669805 \h </w:instrText>
      </w:r>
      <w:r>
        <w:fldChar w:fldCharType="separate"/>
      </w:r>
      <w:r>
        <w:t>13</w:t>
      </w:r>
      <w:r>
        <w:fldChar w:fldCharType="end"/>
      </w:r>
    </w:p>
    <w:p>
      <w:pPr>
        <w:pStyle w:val="TOC8"/>
        <w:rPr>
          <w:rFonts w:asciiTheme="minorHAnsi" w:eastAsiaTheme="minorEastAsia" w:hAnsiTheme="minorHAnsi" w:cstheme="minorBidi"/>
          <w:szCs w:val="22"/>
        </w:rPr>
      </w:pPr>
      <w:r>
        <w:t>18.</w:t>
      </w:r>
      <w:r>
        <w:tab/>
        <w:t>Minister may direct compliance with permit condition</w:t>
      </w:r>
      <w:r>
        <w:tab/>
      </w:r>
      <w:r>
        <w:fldChar w:fldCharType="begin"/>
      </w:r>
      <w:r>
        <w:instrText xml:space="preserve"> PAGEREF _Toc528669806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3 — Licences under section 5C</w:t>
      </w:r>
    </w:p>
    <w:p>
      <w:pPr>
        <w:pStyle w:val="TOC8"/>
        <w:rPr>
          <w:rFonts w:asciiTheme="minorHAnsi" w:eastAsiaTheme="minorEastAsia" w:hAnsiTheme="minorHAnsi" w:cstheme="minorBidi"/>
          <w:szCs w:val="22"/>
        </w:rPr>
      </w:pPr>
      <w:r>
        <w:t>21.</w:t>
      </w:r>
      <w:r>
        <w:tab/>
        <w:t>Renewal of licence</w:t>
      </w:r>
      <w:r>
        <w:tab/>
      </w:r>
      <w:r>
        <w:fldChar w:fldCharType="begin"/>
      </w:r>
      <w:r>
        <w:instrText xml:space="preserve"> PAGEREF _Toc528669808 \h </w:instrText>
      </w:r>
      <w:r>
        <w:fldChar w:fldCharType="separate"/>
      </w:r>
      <w:r>
        <w:t>15</w:t>
      </w:r>
      <w:r>
        <w:fldChar w:fldCharType="end"/>
      </w:r>
    </w:p>
    <w:p>
      <w:pPr>
        <w:pStyle w:val="TOC8"/>
        <w:rPr>
          <w:rFonts w:asciiTheme="minorHAnsi" w:eastAsiaTheme="minorEastAsia" w:hAnsiTheme="minorHAnsi" w:cstheme="minorBidi"/>
          <w:szCs w:val="22"/>
        </w:rPr>
      </w:pPr>
      <w:r>
        <w:t>22.</w:t>
      </w:r>
      <w:r>
        <w:tab/>
        <w:t>Fee for certified copy of licence</w:t>
      </w:r>
      <w:r>
        <w:tab/>
      </w:r>
      <w:r>
        <w:fldChar w:fldCharType="begin"/>
      </w:r>
      <w:r>
        <w:instrText xml:space="preserve"> PAGEREF _Toc528669809 \h </w:instrText>
      </w:r>
      <w:r>
        <w:fldChar w:fldCharType="separate"/>
      </w:r>
      <w:r>
        <w:t>15</w:t>
      </w:r>
      <w:r>
        <w:fldChar w:fldCharType="end"/>
      </w:r>
    </w:p>
    <w:p>
      <w:pPr>
        <w:pStyle w:val="TOC8"/>
        <w:rPr>
          <w:rFonts w:asciiTheme="minorHAnsi" w:eastAsiaTheme="minorEastAsia" w:hAnsiTheme="minorHAnsi" w:cstheme="minorBidi"/>
          <w:szCs w:val="22"/>
        </w:rPr>
      </w:pPr>
      <w:r>
        <w:t>23.</w:t>
      </w:r>
      <w:r>
        <w:tab/>
        <w:t>Advertising applications (Act Sch. 1 cl. 5)</w:t>
      </w:r>
      <w:r>
        <w:tab/>
      </w:r>
      <w:r>
        <w:fldChar w:fldCharType="begin"/>
      </w:r>
      <w:r>
        <w:instrText xml:space="preserve"> PAGEREF _Toc528669810 \h </w:instrText>
      </w:r>
      <w:r>
        <w:fldChar w:fldCharType="separate"/>
      </w:r>
      <w:r>
        <w:t>15</w:t>
      </w:r>
      <w:r>
        <w:fldChar w:fldCharType="end"/>
      </w:r>
    </w:p>
    <w:p>
      <w:pPr>
        <w:pStyle w:val="TOC8"/>
        <w:rPr>
          <w:rFonts w:asciiTheme="minorHAnsi" w:eastAsiaTheme="minorEastAsia" w:hAnsiTheme="minorHAnsi" w:cstheme="minorBidi"/>
          <w:szCs w:val="22"/>
        </w:rPr>
      </w:pPr>
      <w:r>
        <w:t>24.</w:t>
      </w:r>
      <w:r>
        <w:tab/>
        <w:t>Security interest holders may make submissions on application</w:t>
      </w:r>
      <w:r>
        <w:tab/>
      </w:r>
      <w:r>
        <w:fldChar w:fldCharType="begin"/>
      </w:r>
      <w:r>
        <w:instrText xml:space="preserve"> PAGEREF _Toc528669811 \h </w:instrText>
      </w:r>
      <w:r>
        <w:fldChar w:fldCharType="separate"/>
      </w:r>
      <w:r>
        <w:t>17</w:t>
      </w:r>
      <w:r>
        <w:fldChar w:fldCharType="end"/>
      </w:r>
    </w:p>
    <w:p>
      <w:pPr>
        <w:pStyle w:val="TOC8"/>
        <w:rPr>
          <w:rFonts w:asciiTheme="minorHAnsi" w:eastAsiaTheme="minorEastAsia" w:hAnsiTheme="minorHAnsi" w:cstheme="minorBidi"/>
          <w:szCs w:val="22"/>
        </w:rPr>
      </w:pPr>
      <w:r>
        <w:t>25.</w:t>
      </w:r>
      <w:r>
        <w:tab/>
        <w:t>Licensee no longer eligible to hold licence to inform  Minister</w:t>
      </w:r>
      <w:r>
        <w:tab/>
      </w:r>
      <w:r>
        <w:fldChar w:fldCharType="begin"/>
      </w:r>
      <w:r>
        <w:instrText xml:space="preserve"> PAGEREF _Toc528669812 \h </w:instrText>
      </w:r>
      <w:r>
        <w:fldChar w:fldCharType="separate"/>
      </w:r>
      <w:r>
        <w:t>18</w:t>
      </w:r>
      <w:r>
        <w:fldChar w:fldCharType="end"/>
      </w:r>
    </w:p>
    <w:p>
      <w:pPr>
        <w:pStyle w:val="TOC8"/>
        <w:rPr>
          <w:rFonts w:asciiTheme="minorHAnsi" w:eastAsiaTheme="minorEastAsia" w:hAnsiTheme="minorHAnsi" w:cstheme="minorBidi"/>
          <w:szCs w:val="22"/>
        </w:rPr>
      </w:pPr>
      <w:r>
        <w:t>26.</w:t>
      </w:r>
      <w:r>
        <w:tab/>
        <w:t>Removal of endorsement that licence is subject to Act Sch. 1 cl. 20</w:t>
      </w:r>
      <w:r>
        <w:tab/>
      </w:r>
      <w:r>
        <w:fldChar w:fldCharType="begin"/>
      </w:r>
      <w:r>
        <w:instrText xml:space="preserve"> PAGEREF _Toc528669813 \h </w:instrText>
      </w:r>
      <w:r>
        <w:fldChar w:fldCharType="separate"/>
      </w:r>
      <w:r>
        <w:t>18</w:t>
      </w:r>
      <w:r>
        <w:fldChar w:fldCharType="end"/>
      </w:r>
    </w:p>
    <w:p>
      <w:pPr>
        <w:pStyle w:val="TOC8"/>
        <w:rPr>
          <w:rFonts w:asciiTheme="minorHAnsi" w:eastAsiaTheme="minorEastAsia" w:hAnsiTheme="minorHAnsi" w:cstheme="minorBidi"/>
          <w:szCs w:val="22"/>
        </w:rPr>
      </w:pPr>
      <w:r>
        <w:t>27.</w:t>
      </w:r>
      <w:r>
        <w:tab/>
        <w:t>Prescribed circumstances where Minister may suspend or cancel a licence (Act Sch. 1 cl. 25)</w:t>
      </w:r>
      <w:r>
        <w:tab/>
      </w:r>
      <w:r>
        <w:fldChar w:fldCharType="begin"/>
      </w:r>
      <w:r>
        <w:instrText xml:space="preserve"> PAGEREF _Toc528669814 \h </w:instrText>
      </w:r>
      <w:r>
        <w:fldChar w:fldCharType="separate"/>
      </w:r>
      <w:r>
        <w:t>19</w:t>
      </w:r>
      <w:r>
        <w:fldChar w:fldCharType="end"/>
      </w:r>
    </w:p>
    <w:p>
      <w:pPr>
        <w:pStyle w:val="TOC8"/>
        <w:rPr>
          <w:rFonts w:asciiTheme="minorHAnsi" w:eastAsiaTheme="minorEastAsia" w:hAnsiTheme="minorHAnsi" w:cstheme="minorBidi"/>
          <w:szCs w:val="22"/>
        </w:rPr>
      </w:pPr>
      <w:r>
        <w:t>28.</w:t>
      </w:r>
      <w:r>
        <w:tab/>
        <w:t>Application for approval to transfer licence, water entitlement or agreement, submissions and responses about (Act Sch. 1 cl. 35)</w:t>
      </w:r>
      <w:r>
        <w:tab/>
      </w:r>
      <w:r>
        <w:fldChar w:fldCharType="begin"/>
      </w:r>
      <w:r>
        <w:instrText xml:space="preserve"> PAGEREF _Toc528669815 \h </w:instrText>
      </w:r>
      <w:r>
        <w:fldChar w:fldCharType="separate"/>
      </w:r>
      <w:r>
        <w:t>19</w:t>
      </w:r>
      <w:r>
        <w:fldChar w:fldCharType="end"/>
      </w:r>
    </w:p>
    <w:p>
      <w:pPr>
        <w:pStyle w:val="TOC8"/>
        <w:rPr>
          <w:rFonts w:asciiTheme="minorHAnsi" w:eastAsiaTheme="minorEastAsia" w:hAnsiTheme="minorHAnsi" w:cstheme="minorBidi"/>
          <w:szCs w:val="22"/>
        </w:rPr>
      </w:pPr>
      <w:r>
        <w:t>29.</w:t>
      </w:r>
      <w:r>
        <w:tab/>
        <w:t>Licensee to return licence on suspension and cancellation</w:t>
      </w:r>
      <w:r>
        <w:tab/>
      </w:r>
      <w:r>
        <w:fldChar w:fldCharType="begin"/>
      </w:r>
      <w:r>
        <w:instrText xml:space="preserve"> PAGEREF _Toc528669816 \h </w:instrText>
      </w:r>
      <w:r>
        <w:fldChar w:fldCharType="separate"/>
      </w:r>
      <w:r>
        <w:t>20</w:t>
      </w:r>
      <w:r>
        <w:fldChar w:fldCharType="end"/>
      </w:r>
    </w:p>
    <w:p>
      <w:pPr>
        <w:pStyle w:val="TOC8"/>
        <w:rPr>
          <w:rFonts w:asciiTheme="minorHAnsi" w:eastAsiaTheme="minorEastAsia" w:hAnsiTheme="minorHAnsi" w:cstheme="minorBidi"/>
          <w:szCs w:val="22"/>
        </w:rPr>
      </w:pPr>
      <w:r>
        <w:t>30.</w:t>
      </w:r>
      <w:r>
        <w:tab/>
        <w:t>Licence to be provided to Minister in certain cases (Act Sch. 1 cl. 23, 24 and 32)</w:t>
      </w:r>
      <w:r>
        <w:tab/>
      </w:r>
      <w:r>
        <w:fldChar w:fldCharType="begin"/>
      </w:r>
      <w:r>
        <w:instrText xml:space="preserve"> PAGEREF _Toc528669817 \h </w:instrText>
      </w:r>
      <w:r>
        <w:fldChar w:fldCharType="separate"/>
      </w:r>
      <w:r>
        <w:t>20</w:t>
      </w:r>
      <w:r>
        <w:fldChar w:fldCharType="end"/>
      </w:r>
    </w:p>
    <w:p>
      <w:pPr>
        <w:pStyle w:val="TOC8"/>
        <w:rPr>
          <w:rFonts w:asciiTheme="minorHAnsi" w:eastAsiaTheme="minorEastAsia" w:hAnsiTheme="minorHAnsi" w:cstheme="minorBidi"/>
          <w:szCs w:val="22"/>
        </w:rPr>
      </w:pPr>
      <w:r>
        <w:t>31.</w:t>
      </w:r>
      <w:r>
        <w:tab/>
        <w:t>Evidence</w:t>
      </w:r>
      <w:r>
        <w:tab/>
      </w:r>
      <w:r>
        <w:fldChar w:fldCharType="begin"/>
      </w:r>
      <w:r>
        <w:instrText xml:space="preserve"> PAGEREF _Toc528669818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Part 4 — Licences under section 26D regarding wells</w:t>
      </w:r>
    </w:p>
    <w:p>
      <w:pPr>
        <w:pStyle w:val="TOC8"/>
        <w:rPr>
          <w:rFonts w:asciiTheme="minorHAnsi" w:eastAsiaTheme="minorEastAsia" w:hAnsiTheme="minorHAnsi" w:cstheme="minorBidi"/>
          <w:szCs w:val="22"/>
        </w:rPr>
      </w:pPr>
      <w:r>
        <w:t>32.</w:t>
      </w:r>
      <w:r>
        <w:tab/>
        <w:t>Terms used</w:t>
      </w:r>
      <w:r>
        <w:tab/>
      </w:r>
      <w:r>
        <w:fldChar w:fldCharType="begin"/>
      </w:r>
      <w:r>
        <w:instrText xml:space="preserve"> PAGEREF _Toc528669820 \h </w:instrText>
      </w:r>
      <w:r>
        <w:fldChar w:fldCharType="separate"/>
      </w:r>
      <w:r>
        <w:t>22</w:t>
      </w:r>
      <w:r>
        <w:fldChar w:fldCharType="end"/>
      </w:r>
    </w:p>
    <w:p>
      <w:pPr>
        <w:pStyle w:val="TOC8"/>
        <w:rPr>
          <w:rFonts w:asciiTheme="minorHAnsi" w:eastAsiaTheme="minorEastAsia" w:hAnsiTheme="minorHAnsi" w:cstheme="minorBidi"/>
          <w:szCs w:val="22"/>
        </w:rPr>
      </w:pPr>
      <w:r>
        <w:t>33.</w:t>
      </w:r>
      <w:r>
        <w:tab/>
        <w:t>Applications for licences</w:t>
      </w:r>
      <w:r>
        <w:tab/>
      </w:r>
      <w:r>
        <w:fldChar w:fldCharType="begin"/>
      </w:r>
      <w:r>
        <w:instrText xml:space="preserve"> PAGEREF _Toc528669821 \h </w:instrText>
      </w:r>
      <w:r>
        <w:fldChar w:fldCharType="separate"/>
      </w:r>
      <w:r>
        <w:t>22</w:t>
      </w:r>
      <w:r>
        <w:fldChar w:fldCharType="end"/>
      </w:r>
    </w:p>
    <w:p>
      <w:pPr>
        <w:pStyle w:val="TOC8"/>
        <w:rPr>
          <w:rFonts w:asciiTheme="minorHAnsi" w:eastAsiaTheme="minorEastAsia" w:hAnsiTheme="minorHAnsi" w:cstheme="minorBidi"/>
          <w:szCs w:val="22"/>
        </w:rPr>
      </w:pPr>
      <w:r>
        <w:t>34.</w:t>
      </w:r>
      <w:r>
        <w:tab/>
        <w:t>Applicant may make representations to Minister in some cases</w:t>
      </w:r>
      <w:r>
        <w:tab/>
      </w:r>
      <w:r>
        <w:fldChar w:fldCharType="begin"/>
      </w:r>
      <w:r>
        <w:instrText xml:space="preserve"> PAGEREF _Toc528669822 \h </w:instrText>
      </w:r>
      <w:r>
        <w:fldChar w:fldCharType="separate"/>
      </w:r>
      <w:r>
        <w:t>23</w:t>
      </w:r>
      <w:r>
        <w:fldChar w:fldCharType="end"/>
      </w:r>
    </w:p>
    <w:p>
      <w:pPr>
        <w:pStyle w:val="TOC8"/>
        <w:rPr>
          <w:rFonts w:asciiTheme="minorHAnsi" w:eastAsiaTheme="minorEastAsia" w:hAnsiTheme="minorHAnsi" w:cstheme="minorBidi"/>
          <w:szCs w:val="22"/>
        </w:rPr>
      </w:pPr>
      <w:r>
        <w:t>35.</w:t>
      </w:r>
      <w:r>
        <w:tab/>
        <w:t>Deciding applications</w:t>
      </w:r>
      <w:r>
        <w:tab/>
      </w:r>
      <w:r>
        <w:fldChar w:fldCharType="begin"/>
      </w:r>
      <w:r>
        <w:instrText xml:space="preserve"> PAGEREF _Toc528669823 \h </w:instrText>
      </w:r>
      <w:r>
        <w:fldChar w:fldCharType="separate"/>
      </w:r>
      <w:r>
        <w:t>23</w:t>
      </w:r>
      <w:r>
        <w:fldChar w:fldCharType="end"/>
      </w:r>
    </w:p>
    <w:p>
      <w:pPr>
        <w:pStyle w:val="TOC8"/>
        <w:rPr>
          <w:rFonts w:asciiTheme="minorHAnsi" w:eastAsiaTheme="minorEastAsia" w:hAnsiTheme="minorHAnsi" w:cstheme="minorBidi"/>
          <w:szCs w:val="22"/>
        </w:rPr>
      </w:pPr>
      <w:r>
        <w:t>36.</w:t>
      </w:r>
      <w:r>
        <w:tab/>
        <w:t>When Minister must refuse licence; Minister may undertake to grant licence in some cases</w:t>
      </w:r>
      <w:r>
        <w:tab/>
      </w:r>
      <w:r>
        <w:fldChar w:fldCharType="begin"/>
      </w:r>
      <w:r>
        <w:instrText xml:space="preserve"> PAGEREF _Toc528669824 \h </w:instrText>
      </w:r>
      <w:r>
        <w:fldChar w:fldCharType="separate"/>
      </w:r>
      <w:r>
        <w:t>25</w:t>
      </w:r>
      <w:r>
        <w:fldChar w:fldCharType="end"/>
      </w:r>
    </w:p>
    <w:p>
      <w:pPr>
        <w:pStyle w:val="TOC8"/>
        <w:rPr>
          <w:rFonts w:asciiTheme="minorHAnsi" w:eastAsiaTheme="minorEastAsia" w:hAnsiTheme="minorHAnsi" w:cstheme="minorBidi"/>
          <w:szCs w:val="22"/>
        </w:rPr>
      </w:pPr>
      <w:r>
        <w:t>37.</w:t>
      </w:r>
      <w:r>
        <w:tab/>
        <w:t>Minister to notify applicant of decision etc.</w:t>
      </w:r>
      <w:r>
        <w:tab/>
      </w:r>
      <w:r>
        <w:fldChar w:fldCharType="begin"/>
      </w:r>
      <w:r>
        <w:instrText xml:space="preserve"> PAGEREF _Toc528669825 \h </w:instrText>
      </w:r>
      <w:r>
        <w:fldChar w:fldCharType="separate"/>
      </w:r>
      <w:r>
        <w:t>25</w:t>
      </w:r>
      <w:r>
        <w:fldChar w:fldCharType="end"/>
      </w:r>
    </w:p>
    <w:p>
      <w:pPr>
        <w:pStyle w:val="TOC8"/>
        <w:rPr>
          <w:rFonts w:asciiTheme="minorHAnsi" w:eastAsiaTheme="minorEastAsia" w:hAnsiTheme="minorHAnsi" w:cstheme="minorBidi"/>
          <w:szCs w:val="22"/>
        </w:rPr>
      </w:pPr>
      <w:r>
        <w:t>38.</w:t>
      </w:r>
      <w:r>
        <w:tab/>
        <w:t>Information on work on artesian wells to be provided at certain times</w:t>
      </w:r>
      <w:r>
        <w:tab/>
      </w:r>
      <w:r>
        <w:fldChar w:fldCharType="begin"/>
      </w:r>
      <w:r>
        <w:instrText xml:space="preserve"> PAGEREF _Toc528669826 \h </w:instrText>
      </w:r>
      <w:r>
        <w:fldChar w:fldCharType="separate"/>
      </w:r>
      <w:r>
        <w:t>26</w:t>
      </w:r>
      <w:r>
        <w:fldChar w:fldCharType="end"/>
      </w:r>
    </w:p>
    <w:p>
      <w:pPr>
        <w:pStyle w:val="TOC8"/>
        <w:rPr>
          <w:rFonts w:asciiTheme="minorHAnsi" w:eastAsiaTheme="minorEastAsia" w:hAnsiTheme="minorHAnsi" w:cstheme="minorBidi"/>
          <w:szCs w:val="22"/>
        </w:rPr>
      </w:pPr>
      <w:r>
        <w:t>39.</w:t>
      </w:r>
      <w:r>
        <w:tab/>
        <w:t>Information on non</w:t>
      </w:r>
      <w:r>
        <w:noBreakHyphen/>
        <w:t>artesian wells prescribed (Act s. 26E)</w:t>
      </w:r>
      <w:r>
        <w:tab/>
      </w:r>
      <w:r>
        <w:fldChar w:fldCharType="begin"/>
      </w:r>
      <w:r>
        <w:instrText xml:space="preserve"> PAGEREF _Toc528669827 \h </w:instrText>
      </w:r>
      <w:r>
        <w:fldChar w:fldCharType="separate"/>
      </w:r>
      <w:r>
        <w:t>26</w:t>
      </w:r>
      <w:r>
        <w:fldChar w:fldCharType="end"/>
      </w:r>
    </w:p>
    <w:p>
      <w:pPr>
        <w:pStyle w:val="TOC8"/>
        <w:rPr>
          <w:rFonts w:asciiTheme="minorHAnsi" w:eastAsiaTheme="minorEastAsia" w:hAnsiTheme="minorHAnsi" w:cstheme="minorBidi"/>
          <w:szCs w:val="22"/>
        </w:rPr>
      </w:pPr>
      <w:r>
        <w:t>40.</w:t>
      </w:r>
      <w:r>
        <w:tab/>
        <w:t>Application for an amended licence (Act s. 26F(3))</w:t>
      </w:r>
      <w:r>
        <w:tab/>
      </w:r>
      <w:r>
        <w:fldChar w:fldCharType="begin"/>
      </w:r>
      <w:r>
        <w:instrText xml:space="preserve"> PAGEREF _Toc528669828 \h </w:instrText>
      </w:r>
      <w:r>
        <w:fldChar w:fldCharType="separate"/>
      </w:r>
      <w:r>
        <w:t>26</w:t>
      </w:r>
      <w:r>
        <w:fldChar w:fldCharType="end"/>
      </w:r>
    </w:p>
    <w:p>
      <w:pPr>
        <w:pStyle w:val="TOC8"/>
        <w:rPr>
          <w:rFonts w:asciiTheme="minorHAnsi" w:eastAsiaTheme="minorEastAsia" w:hAnsiTheme="minorHAnsi" w:cstheme="minorBidi"/>
          <w:szCs w:val="22"/>
        </w:rPr>
      </w:pPr>
      <w:r>
        <w:t>41.</w:t>
      </w:r>
      <w:r>
        <w:tab/>
        <w:t>Cancelled licence to be given to Minister</w:t>
      </w:r>
      <w:r>
        <w:tab/>
      </w:r>
      <w:r>
        <w:fldChar w:fldCharType="begin"/>
      </w:r>
      <w:r>
        <w:instrText xml:space="preserve"> PAGEREF _Toc528669829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t>Part 4A</w:t>
      </w:r>
      <w:r>
        <w:rPr>
          <w:b w:val="0"/>
        </w:rPr>
        <w:t> </w:t>
      </w:r>
      <w:r>
        <w:t>—</w:t>
      </w:r>
      <w:r>
        <w:rPr>
          <w:b w:val="0"/>
        </w:rPr>
        <w:t> </w:t>
      </w:r>
      <w:r>
        <w:t>Meters</w:t>
      </w:r>
    </w:p>
    <w:p>
      <w:pPr>
        <w:pStyle w:val="TOC8"/>
        <w:rPr>
          <w:rFonts w:asciiTheme="minorHAnsi" w:eastAsiaTheme="minorEastAsia" w:hAnsiTheme="minorHAnsi" w:cstheme="minorBidi"/>
          <w:szCs w:val="22"/>
        </w:rPr>
      </w:pPr>
      <w:r>
        <w:t>41A.</w:t>
      </w:r>
      <w:r>
        <w:tab/>
        <w:t>Terms used</w:t>
      </w:r>
      <w:r>
        <w:tab/>
      </w:r>
      <w:r>
        <w:fldChar w:fldCharType="begin"/>
      </w:r>
      <w:r>
        <w:instrText xml:space="preserve"> PAGEREF _Toc528669831 \h </w:instrText>
      </w:r>
      <w:r>
        <w:fldChar w:fldCharType="separate"/>
      </w:r>
      <w:r>
        <w:t>28</w:t>
      </w:r>
      <w:r>
        <w:fldChar w:fldCharType="end"/>
      </w:r>
    </w:p>
    <w:p>
      <w:pPr>
        <w:pStyle w:val="TOC8"/>
        <w:rPr>
          <w:rFonts w:asciiTheme="minorHAnsi" w:eastAsiaTheme="minorEastAsia" w:hAnsiTheme="minorHAnsi" w:cstheme="minorBidi"/>
          <w:szCs w:val="22"/>
        </w:rPr>
      </w:pPr>
      <w:r>
        <w:t>41B.</w:t>
      </w:r>
      <w:r>
        <w:tab/>
        <w:t>Application of regulation 41C</w:t>
      </w:r>
      <w:r>
        <w:tab/>
      </w:r>
      <w:r>
        <w:fldChar w:fldCharType="begin"/>
      </w:r>
      <w:r>
        <w:instrText xml:space="preserve"> PAGEREF _Toc528669832 \h </w:instrText>
      </w:r>
      <w:r>
        <w:fldChar w:fldCharType="separate"/>
      </w:r>
      <w:r>
        <w:t>28</w:t>
      </w:r>
      <w:r>
        <w:fldChar w:fldCharType="end"/>
      </w:r>
    </w:p>
    <w:p>
      <w:pPr>
        <w:pStyle w:val="TOC8"/>
        <w:rPr>
          <w:rFonts w:asciiTheme="minorHAnsi" w:eastAsiaTheme="minorEastAsia" w:hAnsiTheme="minorHAnsi" w:cstheme="minorBidi"/>
          <w:szCs w:val="22"/>
        </w:rPr>
      </w:pPr>
      <w:r>
        <w:t>41C.</w:t>
      </w:r>
      <w:r>
        <w:tab/>
        <w:t>Licence subject to metering conditions</w:t>
      </w:r>
      <w:r>
        <w:tab/>
      </w:r>
      <w:r>
        <w:fldChar w:fldCharType="begin"/>
      </w:r>
      <w:r>
        <w:instrText xml:space="preserve"> PAGEREF _Toc528669833 \h </w:instrText>
      </w:r>
      <w:r>
        <w:fldChar w:fldCharType="separate"/>
      </w:r>
      <w:r>
        <w:t>30</w:t>
      </w:r>
      <w:r>
        <w:fldChar w:fldCharType="end"/>
      </w:r>
    </w:p>
    <w:p>
      <w:pPr>
        <w:pStyle w:val="TOC8"/>
        <w:rPr>
          <w:rFonts w:asciiTheme="minorHAnsi" w:eastAsiaTheme="minorEastAsia" w:hAnsiTheme="minorHAnsi" w:cstheme="minorBidi"/>
          <w:szCs w:val="22"/>
        </w:rPr>
      </w:pPr>
      <w:r>
        <w:t>41D.</w:t>
      </w:r>
      <w:r>
        <w:tab/>
        <w:t>Minister may direct compliance with metering conditions</w:t>
      </w:r>
      <w:r>
        <w:tab/>
      </w:r>
      <w:r>
        <w:fldChar w:fldCharType="begin"/>
      </w:r>
      <w:r>
        <w:instrText xml:space="preserve"> PAGEREF _Toc528669834 \h </w:instrText>
      </w:r>
      <w:r>
        <w:fldChar w:fldCharType="separate"/>
      </w:r>
      <w:r>
        <w:t>31</w:t>
      </w:r>
      <w:r>
        <w:fldChar w:fldCharType="end"/>
      </w:r>
    </w:p>
    <w:p>
      <w:pPr>
        <w:pStyle w:val="TOC8"/>
        <w:rPr>
          <w:rFonts w:asciiTheme="minorHAnsi" w:eastAsiaTheme="minorEastAsia" w:hAnsiTheme="minorHAnsi" w:cstheme="minorBidi"/>
          <w:szCs w:val="22"/>
        </w:rPr>
      </w:pPr>
      <w:r>
        <w:t>41E.</w:t>
      </w:r>
      <w:r>
        <w:tab/>
        <w:t>Minister may approve alternative measurement method</w:t>
      </w:r>
      <w:r>
        <w:tab/>
      </w:r>
      <w:r>
        <w:fldChar w:fldCharType="begin"/>
      </w:r>
      <w:r>
        <w:instrText xml:space="preserve"> PAGEREF _Toc528669835 \h </w:instrText>
      </w:r>
      <w:r>
        <w:fldChar w:fldCharType="separate"/>
      </w:r>
      <w:r>
        <w:t>32</w:t>
      </w:r>
      <w:r>
        <w:fldChar w:fldCharType="end"/>
      </w:r>
    </w:p>
    <w:p>
      <w:pPr>
        <w:pStyle w:val="TOC8"/>
        <w:rPr>
          <w:rFonts w:asciiTheme="minorHAnsi" w:eastAsiaTheme="minorEastAsia" w:hAnsiTheme="minorHAnsi" w:cstheme="minorBidi"/>
          <w:szCs w:val="22"/>
        </w:rPr>
      </w:pPr>
      <w:r>
        <w:t>41F.</w:t>
      </w:r>
      <w:r>
        <w:tab/>
        <w:t>Exemption from requirement to measure quantity of water taken under licence</w:t>
      </w:r>
      <w:r>
        <w:tab/>
      </w:r>
      <w:r>
        <w:fldChar w:fldCharType="begin"/>
      </w:r>
      <w:r>
        <w:instrText xml:space="preserve"> PAGEREF _Toc528669836 \h </w:instrText>
      </w:r>
      <w:r>
        <w:fldChar w:fldCharType="separate"/>
      </w:r>
      <w:r>
        <w:t>32</w:t>
      </w:r>
      <w:r>
        <w:fldChar w:fldCharType="end"/>
      </w:r>
    </w:p>
    <w:p>
      <w:pPr>
        <w:pStyle w:val="TOC8"/>
        <w:rPr>
          <w:rFonts w:asciiTheme="minorHAnsi" w:eastAsiaTheme="minorEastAsia" w:hAnsiTheme="minorHAnsi" w:cstheme="minorBidi"/>
          <w:szCs w:val="22"/>
        </w:rPr>
      </w:pPr>
      <w:r>
        <w:t>42.</w:t>
      </w:r>
      <w:r>
        <w:tab/>
        <w:t>Damage to meters</w:t>
      </w:r>
      <w:r>
        <w:tab/>
      </w:r>
      <w:r>
        <w:fldChar w:fldCharType="begin"/>
      </w:r>
      <w:r>
        <w:instrText xml:space="preserve"> PAGEREF _Toc528669837 \h </w:instrText>
      </w:r>
      <w:r>
        <w:fldChar w:fldCharType="separate"/>
      </w:r>
      <w:r>
        <w:t>33</w:t>
      </w:r>
      <w:r>
        <w:fldChar w:fldCharType="end"/>
      </w:r>
    </w:p>
    <w:p>
      <w:pPr>
        <w:pStyle w:val="TOC8"/>
        <w:rPr>
          <w:rFonts w:asciiTheme="minorHAnsi" w:eastAsiaTheme="minorEastAsia" w:hAnsiTheme="minorHAnsi" w:cstheme="minorBidi"/>
          <w:szCs w:val="22"/>
        </w:rPr>
      </w:pPr>
      <w:r>
        <w:t>43.</w:t>
      </w:r>
      <w:r>
        <w:tab/>
        <w:t>Interfering with meters</w:t>
      </w:r>
      <w:r>
        <w:tab/>
      </w:r>
      <w:r>
        <w:fldChar w:fldCharType="begin"/>
      </w:r>
      <w:r>
        <w:instrText xml:space="preserve"> PAGEREF _Toc528669838 \h </w:instrText>
      </w:r>
      <w:r>
        <w:fldChar w:fldCharType="separate"/>
      </w:r>
      <w:r>
        <w:t>33</w:t>
      </w:r>
      <w:r>
        <w:fldChar w:fldCharType="end"/>
      </w:r>
    </w:p>
    <w:p>
      <w:pPr>
        <w:pStyle w:val="TOC8"/>
        <w:rPr>
          <w:rFonts w:asciiTheme="minorHAnsi" w:eastAsiaTheme="minorEastAsia" w:hAnsiTheme="minorHAnsi" w:cstheme="minorBidi"/>
          <w:szCs w:val="22"/>
        </w:rPr>
      </w:pPr>
      <w:r>
        <w:t>44.</w:t>
      </w:r>
      <w:r>
        <w:tab/>
        <w:t>Testing meters</w:t>
      </w:r>
      <w:r>
        <w:tab/>
      </w:r>
      <w:r>
        <w:fldChar w:fldCharType="begin"/>
      </w:r>
      <w:r>
        <w:instrText xml:space="preserve"> PAGEREF _Toc528669839 \h </w:instrText>
      </w:r>
      <w:r>
        <w:fldChar w:fldCharType="separate"/>
      </w:r>
      <w:r>
        <w:t>33</w:t>
      </w:r>
      <w:r>
        <w:fldChar w:fldCharType="end"/>
      </w:r>
    </w:p>
    <w:p>
      <w:pPr>
        <w:pStyle w:val="TOC8"/>
        <w:rPr>
          <w:rFonts w:asciiTheme="minorHAnsi" w:eastAsiaTheme="minorEastAsia" w:hAnsiTheme="minorHAnsi" w:cstheme="minorBidi"/>
          <w:szCs w:val="22"/>
        </w:rPr>
      </w:pPr>
      <w:r>
        <w:t>45.</w:t>
      </w:r>
      <w:r>
        <w:tab/>
        <w:t>Estimating water used where meter out of order or inaccurate</w:t>
      </w:r>
      <w:r>
        <w:tab/>
      </w:r>
      <w:r>
        <w:fldChar w:fldCharType="begin"/>
      </w:r>
      <w:r>
        <w:instrText xml:space="preserve"> PAGEREF _Toc528669840 \h </w:instrText>
      </w:r>
      <w:r>
        <w:fldChar w:fldCharType="separate"/>
      </w:r>
      <w:r>
        <w:t>34</w:t>
      </w:r>
      <w:r>
        <w:fldChar w:fldCharType="end"/>
      </w:r>
    </w:p>
    <w:p>
      <w:pPr>
        <w:pStyle w:val="TOC8"/>
        <w:rPr>
          <w:rFonts w:asciiTheme="minorHAnsi" w:eastAsiaTheme="minorEastAsia" w:hAnsiTheme="minorHAnsi" w:cstheme="minorBidi"/>
          <w:szCs w:val="22"/>
        </w:rPr>
      </w:pPr>
      <w:r>
        <w:t>46.</w:t>
      </w:r>
      <w:r>
        <w:tab/>
        <w:t>Evidence of water taken from well</w:t>
      </w:r>
      <w:r>
        <w:tab/>
      </w:r>
      <w:r>
        <w:fldChar w:fldCharType="begin"/>
      </w:r>
      <w:r>
        <w:instrText xml:space="preserve"> PAGEREF _Toc528669841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sz w:val="22"/>
          <w:szCs w:val="22"/>
        </w:rPr>
      </w:pPr>
      <w:r>
        <w:t>Part 5 — Registration of instruments</w:t>
      </w:r>
    </w:p>
    <w:p>
      <w:pPr>
        <w:pStyle w:val="TOC8"/>
        <w:rPr>
          <w:rFonts w:asciiTheme="minorHAnsi" w:eastAsiaTheme="minorEastAsia" w:hAnsiTheme="minorHAnsi" w:cstheme="minorBidi"/>
          <w:szCs w:val="22"/>
        </w:rPr>
      </w:pPr>
      <w:r>
        <w:t>47.</w:t>
      </w:r>
      <w:r>
        <w:tab/>
        <w:t>Terms used</w:t>
      </w:r>
      <w:r>
        <w:tab/>
      </w:r>
      <w:r>
        <w:fldChar w:fldCharType="begin"/>
      </w:r>
      <w:r>
        <w:instrText xml:space="preserve"> PAGEREF _Toc528669843 \h </w:instrText>
      </w:r>
      <w:r>
        <w:fldChar w:fldCharType="separate"/>
      </w:r>
      <w:r>
        <w:t>36</w:t>
      </w:r>
      <w:r>
        <w:fldChar w:fldCharType="end"/>
      </w:r>
    </w:p>
    <w:p>
      <w:pPr>
        <w:pStyle w:val="TOC8"/>
        <w:rPr>
          <w:rFonts w:asciiTheme="minorHAnsi" w:eastAsiaTheme="minorEastAsia" w:hAnsiTheme="minorHAnsi" w:cstheme="minorBidi"/>
          <w:szCs w:val="22"/>
        </w:rPr>
      </w:pPr>
      <w:r>
        <w:t>48.</w:t>
      </w:r>
      <w:r>
        <w:tab/>
        <w:t>Prescribed details for register (Act s. 26GZJ)</w:t>
      </w:r>
      <w:r>
        <w:tab/>
      </w:r>
      <w:r>
        <w:fldChar w:fldCharType="begin"/>
      </w:r>
      <w:r>
        <w:instrText xml:space="preserve"> PAGEREF _Toc528669844 \h </w:instrText>
      </w:r>
      <w:r>
        <w:fldChar w:fldCharType="separate"/>
      </w:r>
      <w:r>
        <w:t>36</w:t>
      </w:r>
      <w:r>
        <w:fldChar w:fldCharType="end"/>
      </w:r>
    </w:p>
    <w:p>
      <w:pPr>
        <w:pStyle w:val="TOC8"/>
        <w:rPr>
          <w:rFonts w:asciiTheme="minorHAnsi" w:eastAsiaTheme="minorEastAsia" w:hAnsiTheme="minorHAnsi" w:cstheme="minorBidi"/>
          <w:szCs w:val="22"/>
        </w:rPr>
      </w:pPr>
      <w:r>
        <w:t>49.</w:t>
      </w:r>
      <w:r>
        <w:tab/>
        <w:t>Fees in relation to the register (Sch. 1 Part 2)</w:t>
      </w:r>
      <w:r>
        <w:tab/>
      </w:r>
      <w:r>
        <w:fldChar w:fldCharType="begin"/>
      </w:r>
      <w:r>
        <w:instrText xml:space="preserve"> PAGEREF _Toc528669845 \h </w:instrText>
      </w:r>
      <w:r>
        <w:fldChar w:fldCharType="separate"/>
      </w:r>
      <w:r>
        <w:t>37</w:t>
      </w:r>
      <w:r>
        <w:fldChar w:fldCharType="end"/>
      </w:r>
    </w:p>
    <w:p>
      <w:pPr>
        <w:pStyle w:val="TOC2"/>
        <w:tabs>
          <w:tab w:val="right" w:leader="dot" w:pos="7077"/>
        </w:tabs>
        <w:rPr>
          <w:rFonts w:asciiTheme="minorHAnsi" w:eastAsiaTheme="minorEastAsia" w:hAnsiTheme="minorHAnsi" w:cstheme="minorBidi"/>
          <w:b w:val="0"/>
          <w:sz w:val="22"/>
          <w:szCs w:val="22"/>
        </w:rPr>
      </w:pPr>
      <w:r>
        <w:t>Part 6 — Miscellaneous</w:t>
      </w:r>
    </w:p>
    <w:p>
      <w:pPr>
        <w:pStyle w:val="TOC8"/>
        <w:rPr>
          <w:rFonts w:asciiTheme="minorHAnsi" w:eastAsiaTheme="minorEastAsia" w:hAnsiTheme="minorHAnsi" w:cstheme="minorBidi"/>
          <w:szCs w:val="22"/>
        </w:rPr>
      </w:pPr>
      <w:r>
        <w:t>50.</w:t>
      </w:r>
      <w:r>
        <w:tab/>
        <w:t>Prescribed offences</w:t>
      </w:r>
      <w:r>
        <w:tab/>
      </w:r>
      <w:r>
        <w:fldChar w:fldCharType="begin"/>
      </w:r>
      <w:r>
        <w:instrText xml:space="preserve"> PAGEREF _Toc528669847 \h </w:instrText>
      </w:r>
      <w:r>
        <w:fldChar w:fldCharType="separate"/>
      </w:r>
      <w:r>
        <w:t>38</w:t>
      </w:r>
      <w:r>
        <w:fldChar w:fldCharType="end"/>
      </w:r>
    </w:p>
    <w:p>
      <w:pPr>
        <w:pStyle w:val="TOC8"/>
        <w:rPr>
          <w:rFonts w:asciiTheme="minorHAnsi" w:eastAsiaTheme="minorEastAsia" w:hAnsiTheme="minorHAnsi" w:cstheme="minorBidi"/>
          <w:szCs w:val="22"/>
        </w:rPr>
      </w:pPr>
      <w:r>
        <w:t>51.</w:t>
      </w:r>
      <w:r>
        <w:tab/>
        <w:t>Modified penalties</w:t>
      </w:r>
      <w:r>
        <w:tab/>
      </w:r>
      <w:r>
        <w:fldChar w:fldCharType="begin"/>
      </w:r>
      <w:r>
        <w:instrText xml:space="preserve"> PAGEREF _Toc528669848 \h </w:instrText>
      </w:r>
      <w:r>
        <w:fldChar w:fldCharType="separate"/>
      </w:r>
      <w:r>
        <w:t>38</w:t>
      </w:r>
      <w:r>
        <w:fldChar w:fldCharType="end"/>
      </w:r>
    </w:p>
    <w:p>
      <w:pPr>
        <w:pStyle w:val="TOC8"/>
        <w:rPr>
          <w:rFonts w:asciiTheme="minorHAnsi" w:eastAsiaTheme="minorEastAsia" w:hAnsiTheme="minorHAnsi" w:cstheme="minorBidi"/>
          <w:szCs w:val="22"/>
        </w:rPr>
      </w:pPr>
      <w:r>
        <w:t>52A.</w:t>
      </w:r>
      <w:r>
        <w:tab/>
        <w:t>Persons authorised to give infringement notices</w:t>
      </w:r>
      <w:r>
        <w:tab/>
      </w:r>
      <w:r>
        <w:fldChar w:fldCharType="begin"/>
      </w:r>
      <w:r>
        <w:instrText xml:space="preserve"> PAGEREF _Toc528669849 \h </w:instrText>
      </w:r>
      <w:r>
        <w:fldChar w:fldCharType="separate"/>
      </w:r>
      <w:r>
        <w:t>38</w:t>
      </w:r>
      <w:r>
        <w:fldChar w:fldCharType="end"/>
      </w:r>
    </w:p>
    <w:p>
      <w:pPr>
        <w:pStyle w:val="TOC8"/>
        <w:rPr>
          <w:rFonts w:asciiTheme="minorHAnsi" w:eastAsiaTheme="minorEastAsia" w:hAnsiTheme="minorHAnsi" w:cstheme="minorBidi"/>
          <w:szCs w:val="22"/>
        </w:rPr>
      </w:pPr>
      <w:r>
        <w:t>52B.</w:t>
      </w:r>
      <w:r>
        <w:tab/>
        <w:t>Prescribed persons for infringement notices</w:t>
      </w:r>
      <w:r>
        <w:tab/>
      </w:r>
      <w:r>
        <w:fldChar w:fldCharType="begin"/>
      </w:r>
      <w:r>
        <w:instrText xml:space="preserve"> PAGEREF _Toc528669850 \h </w:instrText>
      </w:r>
      <w:r>
        <w:fldChar w:fldCharType="separate"/>
      </w:r>
      <w:r>
        <w:t>38</w:t>
      </w:r>
      <w:r>
        <w:fldChar w:fldCharType="end"/>
      </w:r>
    </w:p>
    <w:p>
      <w:pPr>
        <w:pStyle w:val="TOC8"/>
        <w:rPr>
          <w:rFonts w:asciiTheme="minorHAnsi" w:eastAsiaTheme="minorEastAsia" w:hAnsiTheme="minorHAnsi" w:cstheme="minorBidi"/>
          <w:szCs w:val="22"/>
        </w:rPr>
      </w:pPr>
      <w:r>
        <w:t>52.</w:t>
      </w:r>
      <w:r>
        <w:tab/>
        <w:t>Designated person for infringement notices</w:t>
      </w:r>
      <w:r>
        <w:tab/>
      </w:r>
      <w:r>
        <w:fldChar w:fldCharType="begin"/>
      </w:r>
      <w:r>
        <w:instrText xml:space="preserve"> PAGEREF _Toc528669851 \h </w:instrText>
      </w:r>
      <w:r>
        <w:fldChar w:fldCharType="separate"/>
      </w:r>
      <w:r>
        <w:t>39</w:t>
      </w:r>
      <w:r>
        <w:fldChar w:fldCharType="end"/>
      </w:r>
    </w:p>
    <w:p>
      <w:pPr>
        <w:pStyle w:val="TOC8"/>
        <w:rPr>
          <w:rFonts w:asciiTheme="minorHAnsi" w:eastAsiaTheme="minorEastAsia" w:hAnsiTheme="minorHAnsi" w:cstheme="minorBidi"/>
          <w:szCs w:val="22"/>
        </w:rPr>
      </w:pPr>
      <w:r>
        <w:t>53.</w:t>
      </w:r>
      <w:r>
        <w:tab/>
        <w:t>Form of infringement notice</w:t>
      </w:r>
      <w:r>
        <w:tab/>
      </w:r>
      <w:r>
        <w:fldChar w:fldCharType="begin"/>
      </w:r>
      <w:r>
        <w:instrText xml:space="preserve"> PAGEREF _Toc528669852 \h </w:instrText>
      </w:r>
      <w:r>
        <w:fldChar w:fldCharType="separate"/>
      </w:r>
      <w:r>
        <w:t>39</w:t>
      </w:r>
      <w:r>
        <w:fldChar w:fldCharType="end"/>
      </w:r>
    </w:p>
    <w:p>
      <w:pPr>
        <w:pStyle w:val="TOC8"/>
        <w:rPr>
          <w:rFonts w:asciiTheme="minorHAnsi" w:eastAsiaTheme="minorEastAsia" w:hAnsiTheme="minorHAnsi" w:cstheme="minorBidi"/>
          <w:szCs w:val="22"/>
        </w:rPr>
      </w:pPr>
      <w:r>
        <w:t>54.</w:t>
      </w:r>
      <w:r>
        <w:tab/>
        <w:t>Form of notice of withdrawal of infringement notice</w:t>
      </w:r>
      <w:r>
        <w:tab/>
      </w:r>
      <w:r>
        <w:fldChar w:fldCharType="begin"/>
      </w:r>
      <w:r>
        <w:instrText xml:space="preserve"> PAGEREF _Toc528669853 \h </w:instrText>
      </w:r>
      <w:r>
        <w:fldChar w:fldCharType="separate"/>
      </w:r>
      <w:r>
        <w:t>39</w:t>
      </w:r>
      <w:r>
        <w:fldChar w:fldCharType="end"/>
      </w:r>
    </w:p>
    <w:p>
      <w:pPr>
        <w:pStyle w:val="TOC8"/>
        <w:rPr>
          <w:rFonts w:asciiTheme="minorHAnsi" w:eastAsiaTheme="minorEastAsia" w:hAnsiTheme="minorHAnsi" w:cstheme="minorBidi"/>
          <w:szCs w:val="22"/>
        </w:rPr>
      </w:pPr>
      <w:r>
        <w:t>55A.</w:t>
      </w:r>
      <w:r>
        <w:tab/>
        <w:t>Form of certificate for authorised person</w:t>
      </w:r>
      <w:r>
        <w:tab/>
      </w:r>
      <w:r>
        <w:fldChar w:fldCharType="begin"/>
      </w:r>
      <w:r>
        <w:instrText xml:space="preserve"> PAGEREF _Toc528669854 \h </w:instrText>
      </w:r>
      <w:r>
        <w:fldChar w:fldCharType="separate"/>
      </w:r>
      <w:r>
        <w:t>39</w:t>
      </w:r>
      <w:r>
        <w:fldChar w:fldCharType="end"/>
      </w:r>
    </w:p>
    <w:p>
      <w:pPr>
        <w:pStyle w:val="TOC8"/>
        <w:rPr>
          <w:rFonts w:asciiTheme="minorHAnsi" w:eastAsiaTheme="minorEastAsia" w:hAnsiTheme="minorHAnsi" w:cstheme="minorBidi"/>
          <w:szCs w:val="22"/>
        </w:rPr>
      </w:pPr>
      <w:r>
        <w:t>55.</w:t>
      </w:r>
      <w:r>
        <w:tab/>
        <w:t>Unauthorised alteration of infringement notices</w:t>
      </w:r>
      <w:r>
        <w:tab/>
      </w:r>
      <w:r>
        <w:fldChar w:fldCharType="begin"/>
      </w:r>
      <w:r>
        <w:instrText xml:space="preserve"> PAGEREF _Toc528669855 \h </w:instrText>
      </w:r>
      <w:r>
        <w:fldChar w:fldCharType="separate"/>
      </w:r>
      <w:r>
        <w:t>39</w:t>
      </w:r>
      <w:r>
        <w:fldChar w:fldCharType="end"/>
      </w:r>
    </w:p>
    <w:p>
      <w:pPr>
        <w:pStyle w:val="TOC8"/>
        <w:rPr>
          <w:rFonts w:asciiTheme="minorHAnsi" w:eastAsiaTheme="minorEastAsia" w:hAnsiTheme="minorHAnsi" w:cstheme="minorBidi"/>
          <w:szCs w:val="22"/>
        </w:rPr>
      </w:pPr>
      <w:r>
        <w:t>57.</w:t>
      </w:r>
      <w:r>
        <w:tab/>
        <w:t>False or misleading information in respect of applications</w:t>
      </w:r>
      <w:r>
        <w:tab/>
      </w:r>
      <w:r>
        <w:fldChar w:fldCharType="begin"/>
      </w:r>
      <w:r>
        <w:instrText xml:space="preserve"> PAGEREF _Toc528669856 \h </w:instrText>
      </w:r>
      <w:r>
        <w:fldChar w:fldCharType="separate"/>
      </w:r>
      <w:r>
        <w:t>40</w:t>
      </w:r>
      <w:r>
        <w:fldChar w:fldCharType="end"/>
      </w:r>
    </w:p>
    <w:p>
      <w:pPr>
        <w:pStyle w:val="TOC2"/>
        <w:tabs>
          <w:tab w:val="right" w:leader="dot" w:pos="7077"/>
        </w:tabs>
        <w:rPr>
          <w:rFonts w:asciiTheme="minorHAnsi" w:eastAsiaTheme="minorEastAsia" w:hAnsiTheme="minorHAnsi" w:cstheme="minorBidi"/>
          <w:b w:val="0"/>
          <w:sz w:val="22"/>
          <w:szCs w:val="22"/>
        </w:rPr>
      </w:pPr>
      <w:r>
        <w:t>Schedule 1 — Fees</w:t>
      </w:r>
    </w:p>
    <w:p>
      <w:pPr>
        <w:pStyle w:val="TOC2"/>
        <w:tabs>
          <w:tab w:val="right" w:leader="dot" w:pos="7077"/>
        </w:tabs>
        <w:rPr>
          <w:rFonts w:asciiTheme="minorHAnsi" w:eastAsiaTheme="minorEastAsia" w:hAnsiTheme="minorHAnsi" w:cstheme="minorBidi"/>
          <w:b w:val="0"/>
          <w:sz w:val="22"/>
          <w:szCs w:val="22"/>
        </w:rPr>
      </w:pPr>
      <w:r>
        <w:t>Part 1 — Fees relating to licences and permits</w:t>
      </w:r>
    </w:p>
    <w:p>
      <w:pPr>
        <w:pStyle w:val="TOC2"/>
        <w:tabs>
          <w:tab w:val="right" w:leader="dot" w:pos="7077"/>
        </w:tabs>
        <w:rPr>
          <w:rFonts w:asciiTheme="minorHAnsi" w:eastAsiaTheme="minorEastAsia" w:hAnsiTheme="minorHAnsi" w:cstheme="minorBidi"/>
          <w:b w:val="0"/>
          <w:sz w:val="22"/>
          <w:szCs w:val="22"/>
        </w:rPr>
      </w:pPr>
      <w:r>
        <w:t>Part 2 — Registration of instruments in the register and access to the register</w:t>
      </w:r>
    </w:p>
    <w:p>
      <w:pPr>
        <w:pStyle w:val="TOC2"/>
        <w:tabs>
          <w:tab w:val="right" w:leader="dot" w:pos="7077"/>
        </w:tabs>
        <w:rPr>
          <w:rFonts w:asciiTheme="minorHAnsi" w:eastAsiaTheme="minorEastAsia" w:hAnsiTheme="minorHAnsi" w:cstheme="minorBidi"/>
          <w:b w:val="0"/>
          <w:sz w:val="22"/>
          <w:szCs w:val="22"/>
        </w:rPr>
      </w:pPr>
      <w:r>
        <w:t>Schedule 2 — Prescribed offences and modified penalties</w:t>
      </w:r>
    </w:p>
    <w:p>
      <w:pPr>
        <w:pStyle w:val="TOC2"/>
        <w:tabs>
          <w:tab w:val="right" w:leader="dot" w:pos="7077"/>
        </w:tabs>
        <w:rPr>
          <w:rFonts w:asciiTheme="minorHAnsi" w:eastAsiaTheme="minorEastAsia" w:hAnsiTheme="minorHAnsi" w:cstheme="minorBidi"/>
          <w:b w:val="0"/>
          <w:sz w:val="22"/>
          <w:szCs w:val="22"/>
        </w:rPr>
      </w:pPr>
      <w:r>
        <w:t>Schedule 3 — Forms</w:t>
      </w:r>
    </w:p>
    <w:p>
      <w:pPr>
        <w:pStyle w:val="TOC2"/>
        <w:tabs>
          <w:tab w:val="right" w:leader="dot" w:pos="7077"/>
        </w:tabs>
        <w:rPr>
          <w:rFonts w:asciiTheme="minorHAnsi" w:eastAsiaTheme="minorEastAsia" w:hAnsiTheme="minorHAnsi" w:cstheme="minorBidi"/>
          <w:b w:val="0"/>
          <w:sz w:val="22"/>
          <w:szCs w:val="22"/>
        </w:rPr>
      </w:pPr>
      <w:r>
        <w:t>Schedule 4 — Gnangara groundwater plan area</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_Toc528669864 \h </w:instrText>
      </w:r>
      <w:r>
        <w:fldChar w:fldCharType="separate"/>
      </w:r>
      <w:r>
        <w:t>57</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_Toc528669865 \h </w:instrText>
      </w:r>
      <w:r>
        <w:fldChar w:fldCharType="separate"/>
      </w:r>
      <w:r>
        <w:t>58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pPr>
      <w:r>
        <w:t>Rights in Water and Irrigation Act 1914</w:t>
      </w:r>
    </w:p>
    <w:p>
      <w:pPr>
        <w:pStyle w:val="NameofActReg"/>
      </w:pPr>
      <w:r>
        <w:t>Rights in Water and Irrigation Regulations 2000</w:t>
      </w:r>
    </w:p>
    <w:p>
      <w:pPr>
        <w:pStyle w:val="Heading2"/>
        <w:pageBreakBefore w:val="0"/>
        <w:spacing w:before="240"/>
      </w:pPr>
      <w:bookmarkStart w:id="3" w:name="_Toc493168617"/>
      <w:bookmarkStart w:id="4" w:name="_Toc493233767"/>
      <w:bookmarkStart w:id="5" w:name="_Toc506886822"/>
      <w:bookmarkStart w:id="6" w:name="_Toc528669054"/>
      <w:bookmarkStart w:id="7" w:name="_Toc528669787"/>
      <w:r>
        <w:rPr>
          <w:rStyle w:val="CharPartNo"/>
        </w:rPr>
        <w:t>Part 1</w:t>
      </w:r>
      <w:r>
        <w:rPr>
          <w:rStyle w:val="CharDivNo"/>
        </w:rPr>
        <w:t xml:space="preserve"> </w:t>
      </w:r>
      <w:r>
        <w:t>—</w:t>
      </w:r>
      <w:r>
        <w:rPr>
          <w:rStyle w:val="CharDivText"/>
        </w:rPr>
        <w:t xml:space="preserve"> </w:t>
      </w:r>
      <w:r>
        <w:rPr>
          <w:rStyle w:val="CharPartText"/>
        </w:rPr>
        <w:t>Preliminary</w:t>
      </w:r>
      <w:bookmarkEnd w:id="3"/>
      <w:bookmarkEnd w:id="4"/>
      <w:bookmarkEnd w:id="5"/>
      <w:bookmarkEnd w:id="6"/>
      <w:bookmarkEnd w:id="7"/>
    </w:p>
    <w:p>
      <w:pPr>
        <w:pStyle w:val="Heading5"/>
      </w:pPr>
      <w:bookmarkStart w:id="8" w:name="_Toc528669788"/>
      <w:r>
        <w:rPr>
          <w:rStyle w:val="CharSectno"/>
        </w:rPr>
        <w:t>1</w:t>
      </w:r>
      <w:r>
        <w:t>.</w:t>
      </w:r>
      <w:r>
        <w:tab/>
        <w:t>Citation</w:t>
      </w:r>
      <w:bookmarkEnd w:id="8"/>
    </w:p>
    <w:p>
      <w:pPr>
        <w:pStyle w:val="Subsection"/>
        <w:rPr>
          <w:i/>
        </w:rPr>
      </w:pPr>
      <w:r>
        <w:tab/>
      </w:r>
      <w:r>
        <w:tab/>
      </w:r>
      <w:r>
        <w:rPr>
          <w:spacing w:val="-2"/>
        </w:rPr>
        <w:t>These</w:t>
      </w:r>
      <w:r>
        <w:t xml:space="preserve"> </w:t>
      </w:r>
      <w:r>
        <w:rPr>
          <w:spacing w:val="-2"/>
        </w:rPr>
        <w:t>regulations</w:t>
      </w:r>
      <w:r>
        <w:t xml:space="preserve"> may be cited as the </w:t>
      </w:r>
      <w:r>
        <w:rPr>
          <w:i/>
        </w:rPr>
        <w:t>Rights in Water and Irrigation Regulations 2000</w:t>
      </w:r>
      <w:r>
        <w:rPr>
          <w:vertAlign w:val="superscript"/>
        </w:rPr>
        <w:t> 1, 2</w:t>
      </w:r>
      <w:r>
        <w:t>.</w:t>
      </w:r>
    </w:p>
    <w:p>
      <w:pPr>
        <w:pStyle w:val="Heading5"/>
        <w:rPr>
          <w:spacing w:val="-2"/>
        </w:rPr>
      </w:pPr>
      <w:bookmarkStart w:id="9" w:name="_Toc528669789"/>
      <w:r>
        <w:rPr>
          <w:rStyle w:val="CharSectno"/>
        </w:rPr>
        <w:t>2</w:t>
      </w:r>
      <w:r>
        <w:rPr>
          <w:spacing w:val="-2"/>
        </w:rPr>
        <w:t>.</w:t>
      </w:r>
      <w:r>
        <w:rPr>
          <w:spacing w:val="-2"/>
        </w:rPr>
        <w:tab/>
        <w:t>Commencement</w:t>
      </w:r>
      <w:bookmarkEnd w:id="9"/>
    </w:p>
    <w:p>
      <w:pPr>
        <w:pStyle w:val="Subsection"/>
        <w:rPr>
          <w:spacing w:val="-2"/>
        </w:rPr>
      </w:pPr>
      <w:r>
        <w:rPr>
          <w:spacing w:val="-2"/>
        </w:rPr>
        <w:tab/>
      </w:r>
      <w:r>
        <w:rPr>
          <w:spacing w:val="-2"/>
        </w:rPr>
        <w:tab/>
        <w:t xml:space="preserve">These regulations come into operation on the same day as the </w:t>
      </w:r>
      <w:r>
        <w:rPr>
          <w:i/>
          <w:spacing w:val="-2"/>
        </w:rPr>
        <w:t>Rights in Water and Irrigation Amendment Act 2000</w:t>
      </w:r>
      <w:r>
        <w:rPr>
          <w:spacing w:val="-2"/>
        </w:rPr>
        <w:t xml:space="preserve"> comes into operation</w:t>
      </w:r>
      <w:r>
        <w:rPr>
          <w:spacing w:val="-2"/>
          <w:vertAlign w:val="superscript"/>
        </w:rPr>
        <w:t> 1</w:t>
      </w:r>
      <w:r>
        <w:rPr>
          <w:spacing w:val="-2"/>
        </w:rPr>
        <w:t>.</w:t>
      </w:r>
    </w:p>
    <w:p>
      <w:pPr>
        <w:pStyle w:val="Heading5"/>
        <w:rPr>
          <w:snapToGrid w:val="0"/>
        </w:rPr>
      </w:pPr>
      <w:bookmarkStart w:id="10" w:name="_Toc528669790"/>
      <w:r>
        <w:rPr>
          <w:rStyle w:val="CharSectno"/>
        </w:rPr>
        <w:t>3</w:t>
      </w:r>
      <w:r>
        <w:rPr>
          <w:snapToGrid w:val="0"/>
        </w:rPr>
        <w:t>.</w:t>
      </w:r>
      <w:r>
        <w:rPr>
          <w:snapToGrid w:val="0"/>
        </w:rPr>
        <w:tab/>
        <w:t>Terms used</w:t>
      </w:r>
      <w:bookmarkEnd w:id="10"/>
    </w:p>
    <w:p>
      <w:pPr>
        <w:pStyle w:val="Subsection"/>
      </w:pPr>
      <w:r>
        <w:tab/>
      </w:r>
      <w:r>
        <w:tab/>
        <w:t xml:space="preserve">In these regulations, unless the contrary intention appears — </w:t>
      </w:r>
    </w:p>
    <w:p>
      <w:pPr>
        <w:pStyle w:val="Defstart"/>
      </w:pPr>
      <w:r>
        <w:tab/>
      </w:r>
      <w:r>
        <w:rPr>
          <w:rStyle w:val="CharDefText"/>
        </w:rPr>
        <w:t>Act</w:t>
      </w:r>
      <w:r>
        <w:t xml:space="preserve"> means the </w:t>
      </w:r>
      <w:r>
        <w:rPr>
          <w:i/>
        </w:rPr>
        <w:t>Rights in Water and Irrigation Act 1914</w:t>
      </w:r>
      <w:r>
        <w:t>;</w:t>
      </w:r>
    </w:p>
    <w:p>
      <w:pPr>
        <w:pStyle w:val="Defstart"/>
      </w:pPr>
      <w:r>
        <w:tab/>
      </w:r>
      <w:r>
        <w:rPr>
          <w:rStyle w:val="CharDefText"/>
        </w:rPr>
        <w:t>approved</w:t>
      </w:r>
      <w:r>
        <w:t xml:space="preserve"> means approved in writing by the Minister;</w:t>
      </w:r>
    </w:p>
    <w:p>
      <w:pPr>
        <w:pStyle w:val="Defstart"/>
      </w:pPr>
      <w:r>
        <w:rPr>
          <w:b/>
        </w:rPr>
        <w:tab/>
      </w:r>
      <w:r>
        <w:rPr>
          <w:rStyle w:val="CharDefText"/>
        </w:rPr>
        <w:t>Department</w:t>
      </w:r>
      <w:r>
        <w:t xml:space="preserve"> means the department of the Public Service assisting in the administration of the Act;</w:t>
      </w:r>
    </w:p>
    <w:p>
      <w:pPr>
        <w:pStyle w:val="Defstart"/>
      </w:pPr>
      <w:r>
        <w:tab/>
      </w:r>
      <w:r>
        <w:rPr>
          <w:rStyle w:val="CharDefText"/>
        </w:rPr>
        <w:t>form</w:t>
      </w:r>
      <w:r>
        <w:t xml:space="preserve"> means a form set out in Schedule 3;</w:t>
      </w:r>
    </w:p>
    <w:p>
      <w:pPr>
        <w:pStyle w:val="Defstart"/>
      </w:pPr>
      <w:r>
        <w:tab/>
      </w:r>
      <w:r>
        <w:rPr>
          <w:rStyle w:val="CharDefText"/>
        </w:rPr>
        <w:t>licence</w:t>
      </w:r>
      <w:r>
        <w:t xml:space="preserve"> means a licence under section 5C;</w:t>
      </w:r>
    </w:p>
    <w:p>
      <w:pPr>
        <w:pStyle w:val="Defstart"/>
      </w:pPr>
      <w:r>
        <w:tab/>
      </w:r>
      <w:r>
        <w:rPr>
          <w:rStyle w:val="CharDefText"/>
        </w:rPr>
        <w:t>permit</w:t>
      </w:r>
      <w:r>
        <w:t xml:space="preserve"> means a permit referred to in section 11(2), 17(1) or (3) or 21A(1)(a);</w:t>
      </w:r>
    </w:p>
    <w:p>
      <w:pPr>
        <w:pStyle w:val="Defstart"/>
      </w:pPr>
      <w:r>
        <w:tab/>
      </w:r>
      <w:r>
        <w:rPr>
          <w:rStyle w:val="CharDefText"/>
        </w:rPr>
        <w:t>section</w:t>
      </w:r>
      <w:r>
        <w:t xml:space="preserve"> means a section of the Act.</w:t>
      </w:r>
    </w:p>
    <w:p>
      <w:pPr>
        <w:pStyle w:val="Footnotesection"/>
      </w:pPr>
      <w:r>
        <w:tab/>
        <w:t>[Regulation 3 amended by Gazette 5 Sep 2006 p. 3623; 22 Jun 2007 p. 2878 (disallowed, see Gazette 27 Nov 2007 p. 5910); 28 Dec 2007 p. 6425 (disallowed, see Gazette 11 Apr 2008 p. 1396); 23 Jun 2009 p. 2495.]</w:t>
      </w:r>
    </w:p>
    <w:p>
      <w:pPr>
        <w:pStyle w:val="Heading2"/>
      </w:pPr>
      <w:bookmarkStart w:id="11" w:name="_Toc493168621"/>
      <w:bookmarkStart w:id="12" w:name="_Toc493233771"/>
      <w:bookmarkStart w:id="13" w:name="_Toc506886826"/>
      <w:bookmarkStart w:id="14" w:name="_Toc528669058"/>
      <w:bookmarkStart w:id="15" w:name="_Toc528669791"/>
      <w:r>
        <w:rPr>
          <w:rStyle w:val="CharPartNo"/>
        </w:rPr>
        <w:t>Part 2</w:t>
      </w:r>
      <w:r>
        <w:rPr>
          <w:rStyle w:val="CharDivNo"/>
        </w:rPr>
        <w:t xml:space="preserve"> </w:t>
      </w:r>
      <w:r>
        <w:t>—</w:t>
      </w:r>
      <w:r>
        <w:rPr>
          <w:rStyle w:val="CharDivText"/>
        </w:rPr>
        <w:t xml:space="preserve"> </w:t>
      </w:r>
      <w:r>
        <w:rPr>
          <w:rStyle w:val="CharPartText"/>
        </w:rPr>
        <w:t>Permits</w:t>
      </w:r>
      <w:bookmarkEnd w:id="11"/>
      <w:bookmarkEnd w:id="12"/>
      <w:bookmarkEnd w:id="13"/>
      <w:bookmarkEnd w:id="14"/>
      <w:bookmarkEnd w:id="15"/>
    </w:p>
    <w:p>
      <w:pPr>
        <w:pStyle w:val="Heading5"/>
      </w:pPr>
      <w:bookmarkStart w:id="16" w:name="_Toc528669792"/>
      <w:r>
        <w:rPr>
          <w:rStyle w:val="CharSectno"/>
        </w:rPr>
        <w:t>4</w:t>
      </w:r>
      <w:r>
        <w:t>.</w:t>
      </w:r>
      <w:r>
        <w:tab/>
        <w:t>Applications for permits</w:t>
      </w:r>
      <w:bookmarkEnd w:id="16"/>
    </w:p>
    <w:p>
      <w:pPr>
        <w:pStyle w:val="Subsection"/>
      </w:pPr>
      <w:r>
        <w:tab/>
        <w:t>(1)</w:t>
      </w:r>
      <w:r>
        <w:tab/>
        <w:t xml:space="preserve">An application for a permit must be — </w:t>
      </w:r>
    </w:p>
    <w:p>
      <w:pPr>
        <w:pStyle w:val="Indenta"/>
      </w:pPr>
      <w:r>
        <w:tab/>
        <w:t>(a)</w:t>
      </w:r>
      <w:r>
        <w:tab/>
        <w:t>made to the Minister in a form specified for that purpose by the Minister; and</w:t>
      </w:r>
    </w:p>
    <w:p>
      <w:pPr>
        <w:pStyle w:val="Indenta"/>
      </w:pPr>
      <w:r>
        <w:tab/>
        <w:t>(b)</w:t>
      </w:r>
      <w:r>
        <w:tab/>
        <w:t>accompanied by, or include, those plans or other information that are stated in the form to be required.</w:t>
      </w:r>
    </w:p>
    <w:p>
      <w:pPr>
        <w:pStyle w:val="Subsection"/>
      </w:pPr>
      <w:r>
        <w:tab/>
        <w:t>(2)</w:t>
      </w:r>
      <w:r>
        <w:tab/>
        <w:t>An applicant for a permit must provide the Minister with any further information that the Minister may require.</w:t>
      </w:r>
    </w:p>
    <w:p>
      <w:pPr>
        <w:pStyle w:val="Footnotesection"/>
      </w:pPr>
      <w:r>
        <w:tab/>
        <w:t>[Regulation 4 amended by Gazette 22 Jun 2007 p. 2878 (disallowed, see Gazette 27 Nov 2007 p. 5910); 28 Dec 2007 p. 6425 (disallowed, see Gazette 11 Apr 2008 p. 1396); 23 Jun 2009 p. 2495.]</w:t>
      </w:r>
    </w:p>
    <w:p>
      <w:pPr>
        <w:pStyle w:val="Heading5"/>
      </w:pPr>
      <w:bookmarkStart w:id="17" w:name="_Toc528669793"/>
      <w:r>
        <w:rPr>
          <w:rStyle w:val="CharSectno"/>
        </w:rPr>
        <w:t>5</w:t>
      </w:r>
      <w:r>
        <w:t>.</w:t>
      </w:r>
      <w:r>
        <w:tab/>
        <w:t>Advertising of applications</w:t>
      </w:r>
      <w:bookmarkEnd w:id="17"/>
    </w:p>
    <w:p>
      <w:pPr>
        <w:pStyle w:val="Subsection"/>
      </w:pPr>
      <w:r>
        <w:tab/>
        <w:t>(1)</w:t>
      </w:r>
      <w:r>
        <w:tab/>
        <w:t>The Minister may determine that an application, if granted, will be of sufficient impact on a water resource that it is desirable that it be publicly notified.</w:t>
      </w:r>
    </w:p>
    <w:p>
      <w:pPr>
        <w:pStyle w:val="Subsection"/>
      </w:pPr>
      <w:r>
        <w:tab/>
        <w:t>(2)</w:t>
      </w:r>
      <w:r>
        <w:tab/>
        <w:t xml:space="preserve">Where the Minister makes such a determination, the Minister is, by written notice given to the applicant, to inform the applicant of the determination and that the applicant is to arrange for there to be published in either or both of the following — </w:t>
      </w:r>
    </w:p>
    <w:p>
      <w:pPr>
        <w:pStyle w:val="Indenta"/>
      </w:pPr>
      <w:r>
        <w:tab/>
        <w:t>(a)</w:t>
      </w:r>
      <w:r>
        <w:tab/>
        <w:t>a newspaper circulating daily in the State;</w:t>
      </w:r>
    </w:p>
    <w:p>
      <w:pPr>
        <w:pStyle w:val="Indenta"/>
      </w:pPr>
      <w:r>
        <w:tab/>
        <w:t>(b)</w:t>
      </w:r>
      <w:r>
        <w:tab/>
        <w:t>a newspaper circulating in the locality to which the application relates,</w:t>
      </w:r>
    </w:p>
    <w:p>
      <w:pPr>
        <w:pStyle w:val="Subsection"/>
      </w:pPr>
      <w:r>
        <w:tab/>
      </w:r>
      <w:r>
        <w:tab/>
        <w:t>notice in accordance with subregulation (3).</w:t>
      </w:r>
    </w:p>
    <w:p>
      <w:pPr>
        <w:pStyle w:val="Subsection"/>
      </w:pPr>
      <w:r>
        <w:tab/>
        <w:t>(3)</w:t>
      </w:r>
      <w:r>
        <w:tab/>
        <w:t xml:space="preserve">A notice is to be in a form approved and is to state — </w:t>
      </w:r>
    </w:p>
    <w:p>
      <w:pPr>
        <w:pStyle w:val="Indenta"/>
      </w:pPr>
      <w:r>
        <w:tab/>
        <w:t>(a)</w:t>
      </w:r>
      <w:r>
        <w:tab/>
        <w:t>that an application for a permit has been made;</w:t>
      </w:r>
    </w:p>
    <w:p>
      <w:pPr>
        <w:pStyle w:val="Indenta"/>
      </w:pPr>
      <w:r>
        <w:tab/>
        <w:t>(b)</w:t>
      </w:r>
      <w:r>
        <w:tab/>
        <w:t>the section to which the permit relates;</w:t>
      </w:r>
    </w:p>
    <w:p>
      <w:pPr>
        <w:pStyle w:val="Indenta"/>
      </w:pPr>
      <w:r>
        <w:tab/>
        <w:t>(c)</w:t>
      </w:r>
      <w:r>
        <w:tab/>
        <w:t>such details of the application as are necessary to identify the relevant water resource;</w:t>
      </w:r>
    </w:p>
    <w:p>
      <w:pPr>
        <w:pStyle w:val="Indenta"/>
        <w:keepNext/>
      </w:pPr>
      <w:r>
        <w:tab/>
        <w:t>(d)</w:t>
      </w:r>
      <w:r>
        <w:tab/>
        <w:t>a brief description of the ambit of the permit applied for; and</w:t>
      </w:r>
    </w:p>
    <w:p>
      <w:pPr>
        <w:pStyle w:val="Indenta"/>
      </w:pPr>
      <w:r>
        <w:tab/>
        <w:t>(e)</w:t>
      </w:r>
      <w:r>
        <w:tab/>
        <w:t>that interested persons may within the time specified in the notice (which is to be not less than 14 days after the publication of the notice) make written submissions to the Minister regarding the application.</w:t>
      </w:r>
    </w:p>
    <w:p>
      <w:pPr>
        <w:pStyle w:val="Footnotesection"/>
      </w:pPr>
      <w:r>
        <w:tab/>
        <w:t>[Regulation 5 amended by Gazette 23 Jun 2009 p. 2495.]</w:t>
      </w:r>
    </w:p>
    <w:p>
      <w:pPr>
        <w:pStyle w:val="Heading5"/>
      </w:pPr>
      <w:bookmarkStart w:id="18" w:name="_Toc528669794"/>
      <w:r>
        <w:rPr>
          <w:rStyle w:val="CharSectno"/>
        </w:rPr>
        <w:t>6</w:t>
      </w:r>
      <w:r>
        <w:t>.</w:t>
      </w:r>
      <w:r>
        <w:tab/>
        <w:t>Applicant may make representations to Minister in some cases</w:t>
      </w:r>
      <w:bookmarkEnd w:id="18"/>
    </w:p>
    <w:p>
      <w:pPr>
        <w:pStyle w:val="Subsection"/>
      </w:pPr>
      <w:r>
        <w:tab/>
        <w:t>(1)</w:t>
      </w:r>
      <w:r>
        <w:tab/>
        <w:t xml:space="preserve">This regulation applies where the Minister proposes — </w:t>
      </w:r>
    </w:p>
    <w:p>
      <w:pPr>
        <w:pStyle w:val="Indenta"/>
      </w:pPr>
      <w:r>
        <w:tab/>
        <w:t>(a)</w:t>
      </w:r>
      <w:r>
        <w:tab/>
        <w:t>to refuse an application for a permit; or</w:t>
      </w:r>
    </w:p>
    <w:p>
      <w:pPr>
        <w:pStyle w:val="Indenta"/>
      </w:pPr>
      <w:r>
        <w:tab/>
        <w:t>(b)</w:t>
      </w:r>
      <w:r>
        <w:tab/>
        <w:t>to grant, or to undertake to grant, a permit subject to the inclusion of a term, condition or restriction that the Minister considers is inconsistent with the terms of the application.</w:t>
      </w:r>
    </w:p>
    <w:p>
      <w:pPr>
        <w:pStyle w:val="Subsection"/>
      </w:pPr>
      <w:r>
        <w:tab/>
        <w:t>(2)</w:t>
      </w:r>
      <w:r>
        <w:tab/>
        <w:t xml:space="preserve">The Minister is to notify the applicant — </w:t>
      </w:r>
    </w:p>
    <w:p>
      <w:pPr>
        <w:pStyle w:val="Indenta"/>
      </w:pPr>
      <w:r>
        <w:tab/>
        <w:t>(a)</w:t>
      </w:r>
      <w:r>
        <w:tab/>
        <w:t>of the proposal; and</w:t>
      </w:r>
    </w:p>
    <w:p>
      <w:pPr>
        <w:pStyle w:val="Indenta"/>
      </w:pPr>
      <w:r>
        <w:tab/>
        <w:t>(b)</w:t>
      </w:r>
      <w:r>
        <w:tab/>
        <w:t>that the applicant has a right to be heard by, or to make written submissions to, the Minister before the Minister makes a decision on the application.</w:t>
      </w:r>
    </w:p>
    <w:p>
      <w:pPr>
        <w:pStyle w:val="Subsection"/>
      </w:pPr>
      <w:r>
        <w:tab/>
        <w:t>(3)</w:t>
      </w:r>
      <w:r>
        <w:tab/>
        <w:t>Written submissions may be made by the applicant, as mentioned in subregulation (2)(b), within 30 days after the applicant is given notice under that subregulation.</w:t>
      </w:r>
    </w:p>
    <w:p>
      <w:pPr>
        <w:pStyle w:val="Footnotesection"/>
      </w:pPr>
      <w:r>
        <w:tab/>
        <w:t>[Regulation 6 amended by Gazette 23 Jun 2009 p. 2495 and 2497.]</w:t>
      </w:r>
    </w:p>
    <w:p>
      <w:pPr>
        <w:pStyle w:val="Heading5"/>
      </w:pPr>
      <w:bookmarkStart w:id="19" w:name="_Toc528669795"/>
      <w:r>
        <w:rPr>
          <w:rStyle w:val="CharSectno"/>
        </w:rPr>
        <w:t>7</w:t>
      </w:r>
      <w:r>
        <w:t>.</w:t>
      </w:r>
      <w:r>
        <w:tab/>
        <w:t>Deciding applications</w:t>
      </w:r>
      <w:bookmarkEnd w:id="19"/>
    </w:p>
    <w:p>
      <w:pPr>
        <w:pStyle w:val="Subsection"/>
      </w:pPr>
      <w:r>
        <w:tab/>
        <w:t>(1)</w:t>
      </w:r>
      <w:r>
        <w:tab/>
        <w:t>The grant or refusal of an application for a permit and the terms, conditions and restrictions to be included in the permit are, subject to regulation 8, at the discretion of the Minister.</w:t>
      </w:r>
    </w:p>
    <w:p>
      <w:pPr>
        <w:pStyle w:val="Subsection"/>
      </w:pPr>
      <w:r>
        <w:tab/>
        <w:t>(2)</w:t>
      </w:r>
      <w:r>
        <w:tab/>
        <w:t xml:space="preserve">In exercising that discretion the Minister is to have regard to all matters that the Minister considers relevant, including whether the proposal for which the permit is sought — </w:t>
      </w:r>
    </w:p>
    <w:p>
      <w:pPr>
        <w:pStyle w:val="Indenta"/>
      </w:pPr>
      <w:r>
        <w:tab/>
        <w:t>(a)</w:t>
      </w:r>
      <w:r>
        <w:tab/>
        <w:t>is in the public interest;</w:t>
      </w:r>
    </w:p>
    <w:p>
      <w:pPr>
        <w:pStyle w:val="Indenta"/>
        <w:keepNext/>
      </w:pPr>
      <w:r>
        <w:tab/>
        <w:t>(b)</w:t>
      </w:r>
      <w:r>
        <w:tab/>
        <w:t>is ecologically sustainable;</w:t>
      </w:r>
    </w:p>
    <w:p>
      <w:pPr>
        <w:pStyle w:val="Indenta"/>
      </w:pPr>
      <w:r>
        <w:tab/>
        <w:t>(c)</w:t>
      </w:r>
      <w:r>
        <w:tab/>
        <w:t>is environmentally acceptable;</w:t>
      </w:r>
    </w:p>
    <w:p>
      <w:pPr>
        <w:pStyle w:val="Indenta"/>
      </w:pPr>
      <w:r>
        <w:tab/>
        <w:t>(d)</w:t>
      </w:r>
      <w:r>
        <w:tab/>
        <w:t>may prejudice current and future needs for water;</w:t>
      </w:r>
    </w:p>
    <w:p>
      <w:pPr>
        <w:pStyle w:val="Indenta"/>
      </w:pPr>
      <w:r>
        <w:tab/>
        <w:t>(e)</w:t>
      </w:r>
      <w:r>
        <w:tab/>
        <w:t>would, in the opinion of the Minister, have a detrimental effect on another person;</w:t>
      </w:r>
    </w:p>
    <w:p>
      <w:pPr>
        <w:pStyle w:val="Indenta"/>
      </w:pPr>
      <w:r>
        <w:tab/>
        <w:t>(f)</w:t>
      </w:r>
      <w:r>
        <w:tab/>
        <w:t>could be undertaken in another way;</w:t>
      </w:r>
    </w:p>
    <w:p>
      <w:pPr>
        <w:pStyle w:val="Indenta"/>
      </w:pPr>
      <w:r>
        <w:tab/>
        <w:t>(g)</w:t>
      </w:r>
      <w:r>
        <w:tab/>
        <w:t xml:space="preserve">is in keeping with — </w:t>
      </w:r>
    </w:p>
    <w:p>
      <w:pPr>
        <w:pStyle w:val="Indenti"/>
      </w:pPr>
      <w:r>
        <w:tab/>
        <w:t>(i)</w:t>
      </w:r>
      <w:r>
        <w:tab/>
        <w:t>local practices;</w:t>
      </w:r>
    </w:p>
    <w:p>
      <w:pPr>
        <w:pStyle w:val="Indenti"/>
      </w:pPr>
      <w:r>
        <w:tab/>
        <w:t>(ii)</w:t>
      </w:r>
      <w:r>
        <w:tab/>
        <w:t>a relevant local by</w:t>
      </w:r>
      <w:r>
        <w:noBreakHyphen/>
        <w:t>law;</w:t>
      </w:r>
    </w:p>
    <w:p>
      <w:pPr>
        <w:pStyle w:val="Indenti"/>
      </w:pPr>
      <w:r>
        <w:tab/>
        <w:t>(iii)</w:t>
      </w:r>
      <w:r>
        <w:tab/>
        <w:t>a plan approved under Part III Division 3D Subdivision 2 of the Act; or</w:t>
      </w:r>
    </w:p>
    <w:p>
      <w:pPr>
        <w:pStyle w:val="Indenti"/>
      </w:pPr>
      <w:r>
        <w:tab/>
        <w:t>(iv)</w:t>
      </w:r>
      <w:r>
        <w:tab/>
        <w:t>relevant previous decisions in relation to such applications;</w:t>
      </w:r>
    </w:p>
    <w:p>
      <w:pPr>
        <w:pStyle w:val="Indenta"/>
      </w:pPr>
      <w:r>
        <w:tab/>
      </w:r>
      <w:r>
        <w:tab/>
        <w:t>or</w:t>
      </w:r>
    </w:p>
    <w:p>
      <w:pPr>
        <w:pStyle w:val="Indenta"/>
      </w:pPr>
      <w:r>
        <w:tab/>
        <w:t>(h)</w:t>
      </w:r>
      <w:r>
        <w:tab/>
        <w:t xml:space="preserve">is consistent with — </w:t>
      </w:r>
    </w:p>
    <w:p>
      <w:pPr>
        <w:pStyle w:val="Indenti"/>
      </w:pPr>
      <w:r>
        <w:tab/>
        <w:t>(i)</w:t>
      </w:r>
      <w:r>
        <w:tab/>
        <w:t>land use planning instruments;</w:t>
      </w:r>
    </w:p>
    <w:p>
      <w:pPr>
        <w:pStyle w:val="Indenti"/>
      </w:pPr>
      <w:r>
        <w:tab/>
        <w:t>(ii)</w:t>
      </w:r>
      <w:r>
        <w:tab/>
        <w:t>the requirements and policies of other government agencies; or</w:t>
      </w:r>
    </w:p>
    <w:p>
      <w:pPr>
        <w:pStyle w:val="Indenti"/>
      </w:pPr>
      <w:r>
        <w:tab/>
        <w:t>(iii)</w:t>
      </w:r>
      <w:r>
        <w:tab/>
        <w:t>any intergovernmental agreement or arrangement.</w:t>
      </w:r>
    </w:p>
    <w:p>
      <w:pPr>
        <w:pStyle w:val="Subsection"/>
      </w:pPr>
      <w:r>
        <w:tab/>
        <w:t>(3)</w:t>
      </w:r>
      <w:r>
        <w:tab/>
        <w:t xml:space="preserve">The Minister is not to have regard to the safety of — </w:t>
      </w:r>
    </w:p>
    <w:p>
      <w:pPr>
        <w:pStyle w:val="Indenta"/>
      </w:pPr>
      <w:r>
        <w:tab/>
        <w:t>(a)</w:t>
      </w:r>
      <w:r>
        <w:tab/>
        <w:t xml:space="preserve">the design; or </w:t>
      </w:r>
    </w:p>
    <w:p>
      <w:pPr>
        <w:pStyle w:val="Indenta"/>
      </w:pPr>
      <w:r>
        <w:tab/>
        <w:t>(b)</w:t>
      </w:r>
      <w:r>
        <w:tab/>
        <w:t>the method of construction, or operation,</w:t>
      </w:r>
    </w:p>
    <w:p>
      <w:pPr>
        <w:pStyle w:val="Subsection"/>
      </w:pPr>
      <w:r>
        <w:tab/>
      </w:r>
      <w:r>
        <w:tab/>
        <w:t>of the works, or action, that would be authorised by the permit.</w:t>
      </w:r>
    </w:p>
    <w:p>
      <w:pPr>
        <w:pStyle w:val="Subsection"/>
      </w:pPr>
      <w:r>
        <w:tab/>
        <w:t>(4)</w:t>
      </w:r>
      <w:r>
        <w:tab/>
        <w:t>The Minister is to have regard to any submissions under regulations 5(3)(e) and 6(3) before making the final decision.</w:t>
      </w:r>
    </w:p>
    <w:p>
      <w:pPr>
        <w:pStyle w:val="Subsection"/>
      </w:pPr>
      <w:r>
        <w:tab/>
        <w:t>(5)</w:t>
      </w:r>
      <w:r>
        <w:tab/>
        <w:t>The Minister may refuse to grant a permit to a person on the ground that the person has been convicted of an offence against a relevant Act.</w:t>
      </w:r>
    </w:p>
    <w:p>
      <w:pPr>
        <w:pStyle w:val="Subsection"/>
        <w:keepLines/>
      </w:pPr>
      <w:r>
        <w:tab/>
        <w:t>(6)</w:t>
      </w:r>
      <w:r>
        <w:tab/>
        <w:t>The Minister may refuse to grant a permit to a person if not satisfied that the person has the resources, including the financial resources, to carry out the activities to which the permit relates.</w:t>
      </w:r>
    </w:p>
    <w:p>
      <w:pPr>
        <w:pStyle w:val="Footnotesection"/>
      </w:pPr>
      <w:r>
        <w:tab/>
        <w:t>[Regulation 7 amended by Gazette 23 Jun 2009 p. 2495-6 and 2497.]</w:t>
      </w:r>
    </w:p>
    <w:p>
      <w:pPr>
        <w:pStyle w:val="Heading5"/>
      </w:pPr>
      <w:bookmarkStart w:id="20" w:name="_Toc528669796"/>
      <w:r>
        <w:rPr>
          <w:rStyle w:val="CharSectno"/>
        </w:rPr>
        <w:t>8</w:t>
      </w:r>
      <w:r>
        <w:t>.</w:t>
      </w:r>
      <w:r>
        <w:tab/>
        <w:t>When Minister must refuse permit; Minister may undertake to grant permit in some cases</w:t>
      </w:r>
      <w:bookmarkEnd w:id="20"/>
    </w:p>
    <w:p>
      <w:pPr>
        <w:pStyle w:val="Subsection"/>
      </w:pPr>
      <w:r>
        <w:tab/>
        <w:t>(1)</w:t>
      </w:r>
      <w:r>
        <w:tab/>
        <w:t>The Minister must refuse to grant a permit to a person if the Minister considers that the person would not be willing or able to comply with the terms, conditions and restrictions that would be included in the permit.</w:t>
      </w:r>
    </w:p>
    <w:p>
      <w:pPr>
        <w:pStyle w:val="Subsection"/>
      </w:pPr>
      <w:r>
        <w:tab/>
        <w:t>(2)</w:t>
      </w:r>
      <w:r>
        <w:tab/>
        <w:t>If the Minister would grant a permit to an applicant if the applicant satisfies the Minister as to a matter, relevant to the grant of a permit under this Part, specified by the Minister, the Minister may undertake to grant the permit to the person if the person so satisfies the Minister within the term specified in the undertaking.</w:t>
      </w:r>
    </w:p>
    <w:p>
      <w:pPr>
        <w:pStyle w:val="Footnotesection"/>
      </w:pPr>
      <w:r>
        <w:tab/>
        <w:t>[Regulation 8 amended by Gazette 23 Jun 2009 p. 2495</w:t>
      </w:r>
      <w:r>
        <w:noBreakHyphen/>
        <w:t>6 and 2497.]</w:t>
      </w:r>
    </w:p>
    <w:p>
      <w:pPr>
        <w:pStyle w:val="Heading5"/>
      </w:pPr>
      <w:bookmarkStart w:id="21" w:name="_Toc528669797"/>
      <w:r>
        <w:rPr>
          <w:rStyle w:val="CharSectno"/>
        </w:rPr>
        <w:t>9</w:t>
      </w:r>
      <w:r>
        <w:t>.</w:t>
      </w:r>
      <w:r>
        <w:tab/>
        <w:t>Minister to notify applicant of decision etc.</w:t>
      </w:r>
      <w:bookmarkEnd w:id="21"/>
    </w:p>
    <w:p>
      <w:pPr>
        <w:pStyle w:val="Subsection"/>
      </w:pPr>
      <w:r>
        <w:tab/>
        <w:t>(1)</w:t>
      </w:r>
      <w:r>
        <w:tab/>
        <w:t xml:space="preserve">The Minister is to notify the outcome of the application and the terms, conditions and restrictions to be included in the permit to — </w:t>
      </w:r>
    </w:p>
    <w:p>
      <w:pPr>
        <w:pStyle w:val="Indenta"/>
      </w:pPr>
      <w:r>
        <w:tab/>
        <w:t>(a)</w:t>
      </w:r>
      <w:r>
        <w:tab/>
        <w:t>the applicant; and</w:t>
      </w:r>
    </w:p>
    <w:p>
      <w:pPr>
        <w:pStyle w:val="Indenta"/>
      </w:pPr>
      <w:r>
        <w:tab/>
        <w:t>(b)</w:t>
      </w:r>
      <w:r>
        <w:tab/>
        <w:t>if the application was publicly notified under regulation 5, to any person who made a submission under that regulation.</w:t>
      </w:r>
    </w:p>
    <w:p>
      <w:pPr>
        <w:pStyle w:val="Subsection"/>
      </w:pPr>
      <w:r>
        <w:tab/>
        <w:t>(2)</w:t>
      </w:r>
      <w:r>
        <w:tab/>
        <w:t xml:space="preserve">If the Minister — </w:t>
      </w:r>
    </w:p>
    <w:p>
      <w:pPr>
        <w:pStyle w:val="Indenta"/>
      </w:pPr>
      <w:r>
        <w:tab/>
        <w:t>(a)</w:t>
      </w:r>
      <w:r>
        <w:tab/>
        <w:t>refuses the application; or</w:t>
      </w:r>
    </w:p>
    <w:p>
      <w:pPr>
        <w:pStyle w:val="Indenta"/>
      </w:pPr>
      <w:r>
        <w:tab/>
        <w:t>(b)</w:t>
      </w:r>
      <w:r>
        <w:tab/>
        <w:t>grants, or undertakes to grant, the application subject to the inclusion of a term, condition or restriction that the Minister considers is inconsistent with the terms of the application,</w:t>
      </w:r>
    </w:p>
    <w:p>
      <w:pPr>
        <w:pStyle w:val="Subsection"/>
      </w:pPr>
      <w:r>
        <w:tab/>
      </w:r>
      <w:r>
        <w:tab/>
        <w:t>the Minister is to notify the applicant of the reasons for the decision.</w:t>
      </w:r>
    </w:p>
    <w:p>
      <w:pPr>
        <w:pStyle w:val="Footnotesection"/>
      </w:pPr>
      <w:r>
        <w:tab/>
        <w:t>[Regulation 9 amended by Gazette 23 Jun 2009 p. 2495</w:t>
      </w:r>
      <w:r>
        <w:noBreakHyphen/>
        <w:t>6.]</w:t>
      </w:r>
    </w:p>
    <w:p>
      <w:pPr>
        <w:pStyle w:val="Heading5"/>
      </w:pPr>
      <w:bookmarkStart w:id="22" w:name="_Toc528669798"/>
      <w:r>
        <w:rPr>
          <w:rStyle w:val="CharSectno"/>
        </w:rPr>
        <w:t>10</w:t>
      </w:r>
      <w:r>
        <w:t>.</w:t>
      </w:r>
      <w:r>
        <w:tab/>
        <w:t>Duration of permits</w:t>
      </w:r>
      <w:bookmarkEnd w:id="22"/>
    </w:p>
    <w:p>
      <w:pPr>
        <w:pStyle w:val="Subsection"/>
        <w:keepNext/>
      </w:pPr>
      <w:r>
        <w:tab/>
        <w:t>(1)</w:t>
      </w:r>
      <w:r>
        <w:tab/>
        <w:t xml:space="preserve">A permit may be granted for — </w:t>
      </w:r>
    </w:p>
    <w:p>
      <w:pPr>
        <w:pStyle w:val="Indenta"/>
      </w:pPr>
      <w:r>
        <w:tab/>
        <w:t>(a)</w:t>
      </w:r>
      <w:r>
        <w:tab/>
        <w:t>a fixed period of time; or</w:t>
      </w:r>
    </w:p>
    <w:p>
      <w:pPr>
        <w:pStyle w:val="Indenta"/>
      </w:pPr>
      <w:r>
        <w:tab/>
        <w:t>(b)</w:t>
      </w:r>
      <w:r>
        <w:tab/>
        <w:t>an indefinite duration,</w:t>
      </w:r>
    </w:p>
    <w:p>
      <w:pPr>
        <w:pStyle w:val="Subsection"/>
      </w:pPr>
      <w:r>
        <w:tab/>
      </w:r>
      <w:r>
        <w:tab/>
        <w:t>as stated in the permit.</w:t>
      </w:r>
    </w:p>
    <w:p>
      <w:pPr>
        <w:pStyle w:val="Subsection"/>
      </w:pPr>
      <w:r>
        <w:tab/>
        <w:t>(2)</w:t>
      </w:r>
      <w:r>
        <w:tab/>
        <w:t xml:space="preserve">A permit for an indefinite duration continues in force until it is — </w:t>
      </w:r>
    </w:p>
    <w:p>
      <w:pPr>
        <w:pStyle w:val="Indenta"/>
      </w:pPr>
      <w:r>
        <w:tab/>
        <w:t>(a)</w:t>
      </w:r>
      <w:r>
        <w:tab/>
        <w:t>suspended or cancelled under regulation 13; or</w:t>
      </w:r>
    </w:p>
    <w:p>
      <w:pPr>
        <w:pStyle w:val="Indenta"/>
      </w:pPr>
      <w:r>
        <w:tab/>
        <w:t>(b)</w:t>
      </w:r>
      <w:r>
        <w:tab/>
        <w:t>surrendered under regulation 15.</w:t>
      </w:r>
    </w:p>
    <w:p>
      <w:pPr>
        <w:pStyle w:val="Heading5"/>
      </w:pPr>
      <w:bookmarkStart w:id="23" w:name="_Toc528669799"/>
      <w:r>
        <w:rPr>
          <w:rStyle w:val="CharSectno"/>
        </w:rPr>
        <w:t>11</w:t>
      </w:r>
      <w:r>
        <w:t>.</w:t>
      </w:r>
      <w:r>
        <w:tab/>
        <w:t>Applications for amendment of permits</w:t>
      </w:r>
      <w:bookmarkEnd w:id="23"/>
    </w:p>
    <w:p>
      <w:pPr>
        <w:pStyle w:val="Subsection"/>
      </w:pPr>
      <w:r>
        <w:tab/>
        <w:t>(1)</w:t>
      </w:r>
      <w:r>
        <w:tab/>
        <w:t>The holder of a permit may apply to the Minister at any time for amendment of the permit.</w:t>
      </w:r>
    </w:p>
    <w:p>
      <w:pPr>
        <w:pStyle w:val="Subsection"/>
      </w:pPr>
      <w:r>
        <w:tab/>
        <w:t>(2)</w:t>
      </w:r>
      <w:r>
        <w:tab/>
        <w:t>Regulations 4, 6, 7, 9, 10, 17, and 18 apply, with all necessary modifications, to an application under subregulation (1) as if it were an application for the grant of a permit.</w:t>
      </w:r>
    </w:p>
    <w:p>
      <w:pPr>
        <w:pStyle w:val="Subsection"/>
      </w:pPr>
      <w:r>
        <w:tab/>
        <w:t>(3)</w:t>
      </w:r>
      <w:r>
        <w:tab/>
        <w:t>An application under subregulation (1) is to be accompanied by the permit.</w:t>
      </w:r>
    </w:p>
    <w:p>
      <w:pPr>
        <w:pStyle w:val="Footnotesection"/>
      </w:pPr>
      <w:r>
        <w:tab/>
        <w:t>[Regulation 11 amended by Gazette 23 Jun 2009 p. 2495</w:t>
      </w:r>
      <w:r>
        <w:noBreakHyphen/>
        <w:t>6.]</w:t>
      </w:r>
    </w:p>
    <w:p>
      <w:pPr>
        <w:pStyle w:val="Heading5"/>
      </w:pPr>
      <w:bookmarkStart w:id="24" w:name="_Toc528669800"/>
      <w:r>
        <w:rPr>
          <w:rStyle w:val="CharSectno"/>
        </w:rPr>
        <w:t>12</w:t>
      </w:r>
      <w:r>
        <w:t>.</w:t>
      </w:r>
      <w:r>
        <w:tab/>
        <w:t>Minister may amend permit</w:t>
      </w:r>
      <w:bookmarkEnd w:id="24"/>
    </w:p>
    <w:p>
      <w:pPr>
        <w:pStyle w:val="Subsection"/>
      </w:pPr>
      <w:r>
        <w:tab/>
        <w:t>(1)</w:t>
      </w:r>
      <w:r>
        <w:tab/>
        <w:t xml:space="preserve">The Minister may, subject to this regulation and regulation 14, by notice in writing given to a permit holder — </w:t>
      </w:r>
    </w:p>
    <w:p>
      <w:pPr>
        <w:pStyle w:val="Indenta"/>
      </w:pPr>
      <w:r>
        <w:tab/>
        <w:t>(a)</w:t>
      </w:r>
      <w:r>
        <w:tab/>
        <w:t>vary the duration of the permit;</w:t>
      </w:r>
    </w:p>
    <w:p>
      <w:pPr>
        <w:pStyle w:val="Indenta"/>
      </w:pPr>
      <w:r>
        <w:tab/>
        <w:t>(b)</w:t>
      </w:r>
      <w:r>
        <w:tab/>
        <w:t>vary or remove any term, condition or restriction included in the permit; or</w:t>
      </w:r>
    </w:p>
    <w:p>
      <w:pPr>
        <w:pStyle w:val="Indenta"/>
      </w:pPr>
      <w:r>
        <w:tab/>
        <w:t>(c)</w:t>
      </w:r>
      <w:r>
        <w:tab/>
        <w:t>include any new term, condition or restriction in the permit.</w:t>
      </w:r>
    </w:p>
    <w:p>
      <w:pPr>
        <w:pStyle w:val="Subsection"/>
      </w:pPr>
      <w:r>
        <w:tab/>
        <w:t>(2)</w:t>
      </w:r>
      <w:r>
        <w:tab/>
        <w:t xml:space="preserve">The Minister may only exercise a power described in subregulation (1) in relation to a permit if — </w:t>
      </w:r>
    </w:p>
    <w:p>
      <w:pPr>
        <w:pStyle w:val="Indenta"/>
      </w:pPr>
      <w:r>
        <w:tab/>
        <w:t>(a)</w:t>
      </w:r>
      <w:r>
        <w:tab/>
        <w:t>the permit holder consents to the Minister doing so;</w:t>
      </w:r>
    </w:p>
    <w:p>
      <w:pPr>
        <w:pStyle w:val="Indenta"/>
      </w:pPr>
      <w:r>
        <w:tab/>
        <w:t>(b)</w:t>
      </w:r>
      <w:r>
        <w:tab/>
        <w:t xml:space="preserve">in the opinion of the Minister, the exercise of the power is necessary or desirable — </w:t>
      </w:r>
    </w:p>
    <w:p>
      <w:pPr>
        <w:pStyle w:val="Indenti"/>
      </w:pPr>
      <w:r>
        <w:tab/>
        <w:t>(i)</w:t>
      </w:r>
      <w:r>
        <w:tab/>
        <w:t>due to the detrimental effect of actions authorised by the permit on another person;</w:t>
      </w:r>
    </w:p>
    <w:p>
      <w:pPr>
        <w:pStyle w:val="Indenti"/>
      </w:pPr>
      <w:r>
        <w:tab/>
        <w:t>(ii)</w:t>
      </w:r>
      <w:r>
        <w:tab/>
        <w:t>to protect the water resource to which the permit relates from unacceptable damage; or</w:t>
      </w:r>
    </w:p>
    <w:p>
      <w:pPr>
        <w:pStyle w:val="Indenti"/>
      </w:pPr>
      <w:r>
        <w:tab/>
        <w:t>(iii)</w:t>
      </w:r>
      <w:r>
        <w:tab/>
        <w:t>to protect the associated environment from unacceptable damage;</w:t>
      </w:r>
    </w:p>
    <w:p>
      <w:pPr>
        <w:pStyle w:val="Ednotepara"/>
        <w:spacing w:before="80"/>
        <w:ind w:left="1610" w:hanging="1610"/>
      </w:pPr>
      <w:r>
        <w:tab/>
        <w:t>[(c)</w:t>
      </w:r>
      <w:r>
        <w:tab/>
        <w:t>deleted]</w:t>
      </w:r>
    </w:p>
    <w:p>
      <w:pPr>
        <w:pStyle w:val="Indenta"/>
      </w:pPr>
      <w:r>
        <w:tab/>
        <w:t>(d)</w:t>
      </w:r>
      <w:r>
        <w:tab/>
        <w:t xml:space="preserve">in the opinion of the Minister, the exercise of the power is necessary or desirable — </w:t>
      </w:r>
    </w:p>
    <w:p>
      <w:pPr>
        <w:pStyle w:val="Indenti"/>
      </w:pPr>
      <w:r>
        <w:tab/>
        <w:t>(i)</w:t>
      </w:r>
      <w:r>
        <w:tab/>
        <w:t>in the public interest; or</w:t>
      </w:r>
    </w:p>
    <w:p>
      <w:pPr>
        <w:pStyle w:val="Indenti"/>
      </w:pPr>
      <w:r>
        <w:tab/>
        <w:t>(ii)</w:t>
      </w:r>
      <w:r>
        <w:tab/>
        <w:t>to more effectively manage the use of the water resource;</w:t>
      </w:r>
    </w:p>
    <w:p>
      <w:pPr>
        <w:pStyle w:val="Indenta"/>
      </w:pPr>
      <w:r>
        <w:tab/>
        <w:t>(e)</w:t>
      </w:r>
      <w:r>
        <w:tab/>
        <w:t xml:space="preserve">in the opinion of the Minister, the exercise of the power is necessary to prevent a serious inconsistency arising as a result of — </w:t>
      </w:r>
    </w:p>
    <w:p>
      <w:pPr>
        <w:pStyle w:val="Indenti"/>
      </w:pPr>
      <w:r>
        <w:tab/>
        <w:t>(i)</w:t>
      </w:r>
      <w:r>
        <w:tab/>
        <w:t>the approval of a plan, or the alteration, revocation or substitution of a plan, under Part III Division 3D Subdivision 2 of the Act; or</w:t>
      </w:r>
    </w:p>
    <w:p>
      <w:pPr>
        <w:pStyle w:val="Indenti"/>
      </w:pPr>
      <w:r>
        <w:tab/>
        <w:t>(ii)</w:t>
      </w:r>
      <w:r>
        <w:tab/>
        <w:t>the making, amendment or repeal of relevant local by</w:t>
      </w:r>
      <w:r>
        <w:noBreakHyphen/>
        <w:t>laws;</w:t>
      </w:r>
    </w:p>
    <w:p>
      <w:pPr>
        <w:pStyle w:val="Indenta"/>
      </w:pPr>
      <w:r>
        <w:tab/>
        <w:t>(f)</w:t>
      </w:r>
      <w:r>
        <w:tab/>
        <w:t>the permit holder is convicted of an offence against a relevant Act;</w:t>
      </w:r>
    </w:p>
    <w:p>
      <w:pPr>
        <w:pStyle w:val="Indenta"/>
      </w:pPr>
      <w:r>
        <w:tab/>
        <w:t>(g)</w:t>
      </w:r>
      <w:r>
        <w:tab/>
        <w:t>in the opinion of the Minister, the exercise of the power is necessary to comply with another written law of the State or a law of the Commonwealth; or</w:t>
      </w:r>
    </w:p>
    <w:p>
      <w:pPr>
        <w:pStyle w:val="Indenta"/>
        <w:rPr>
          <w:spacing w:val="-4"/>
        </w:rPr>
      </w:pPr>
      <w:r>
        <w:tab/>
        <w:t>(h)</w:t>
      </w:r>
      <w:r>
        <w:tab/>
      </w:r>
      <w:r>
        <w:rPr>
          <w:spacing w:val="-4"/>
        </w:rPr>
        <w:t xml:space="preserve">the permit confers authority for the </w:t>
      </w:r>
      <w:r>
        <w:t>Minister</w:t>
      </w:r>
      <w:r>
        <w:rPr>
          <w:spacing w:val="-4"/>
        </w:rPr>
        <w:t xml:space="preserve"> to do so.</w:t>
      </w:r>
    </w:p>
    <w:p>
      <w:pPr>
        <w:pStyle w:val="Subsection"/>
        <w:spacing w:before="120"/>
      </w:pPr>
      <w:r>
        <w:tab/>
        <w:t>(3)</w:t>
      </w:r>
      <w:r>
        <w:tab/>
        <w:t>At the written request of the Minister, the permit holder is to give the permit to the Minister for amendment.</w:t>
      </w:r>
    </w:p>
    <w:p>
      <w:pPr>
        <w:pStyle w:val="Footnotesection"/>
      </w:pPr>
      <w:r>
        <w:tab/>
        <w:t>[Regulation 12 amended by Gazette 17 Dec 2002 p. 5912; 23 Jun 2009 p. 2495</w:t>
      </w:r>
      <w:r>
        <w:noBreakHyphen/>
        <w:t>6.]</w:t>
      </w:r>
    </w:p>
    <w:p>
      <w:pPr>
        <w:pStyle w:val="Heading5"/>
        <w:spacing w:before="180"/>
      </w:pPr>
      <w:bookmarkStart w:id="25" w:name="_Toc528669801"/>
      <w:r>
        <w:rPr>
          <w:rStyle w:val="CharSectno"/>
        </w:rPr>
        <w:t>13</w:t>
      </w:r>
      <w:r>
        <w:t>.</w:t>
      </w:r>
      <w:r>
        <w:tab/>
        <w:t>Minister may suspend or cancel permit</w:t>
      </w:r>
      <w:bookmarkEnd w:id="25"/>
    </w:p>
    <w:p>
      <w:pPr>
        <w:pStyle w:val="Subsection"/>
      </w:pPr>
      <w:r>
        <w:tab/>
        <w:t>(1)</w:t>
      </w:r>
      <w:r>
        <w:tab/>
        <w:t xml:space="preserve">The Minister may, subject to this regulation and regulation 14, by notice in writing given to a permit holder — </w:t>
      </w:r>
    </w:p>
    <w:p>
      <w:pPr>
        <w:pStyle w:val="Indenta"/>
      </w:pPr>
      <w:r>
        <w:tab/>
        <w:t>(a)</w:t>
      </w:r>
      <w:r>
        <w:tab/>
        <w:t xml:space="preserve">suspend a permit — </w:t>
      </w:r>
    </w:p>
    <w:p>
      <w:pPr>
        <w:pStyle w:val="Indenti"/>
      </w:pPr>
      <w:r>
        <w:tab/>
        <w:t>(i)</w:t>
      </w:r>
      <w:r>
        <w:tab/>
        <w:t>for a fixed period specified in the notice; or</w:t>
      </w:r>
    </w:p>
    <w:p>
      <w:pPr>
        <w:pStyle w:val="Indenti"/>
      </w:pPr>
      <w:r>
        <w:tab/>
        <w:t>(ii)</w:t>
      </w:r>
      <w:r>
        <w:tab/>
        <w:t>until such time as the permit holder is notified by the Minister that the suspension no longer applies;</w:t>
      </w:r>
    </w:p>
    <w:p>
      <w:pPr>
        <w:pStyle w:val="Indenta"/>
      </w:pPr>
      <w:r>
        <w:tab/>
      </w:r>
      <w:r>
        <w:tab/>
        <w:t>or</w:t>
      </w:r>
    </w:p>
    <w:p>
      <w:pPr>
        <w:pStyle w:val="Indenta"/>
      </w:pPr>
      <w:r>
        <w:tab/>
        <w:t>(b)</w:t>
      </w:r>
      <w:r>
        <w:tab/>
        <w:t>cancel a permit.</w:t>
      </w:r>
    </w:p>
    <w:p>
      <w:pPr>
        <w:pStyle w:val="Subsection"/>
      </w:pPr>
      <w:r>
        <w:tab/>
        <w:t>(2)</w:t>
      </w:r>
      <w:r>
        <w:tab/>
        <w:t xml:space="preserve">The Minister may only exercise a power described in subregulation (1) in relation to a permit if — </w:t>
      </w:r>
    </w:p>
    <w:p>
      <w:pPr>
        <w:pStyle w:val="Indenta"/>
      </w:pPr>
      <w:r>
        <w:tab/>
        <w:t>(a)</w:t>
      </w:r>
      <w:r>
        <w:tab/>
        <w:t xml:space="preserve">in the opinion of the Minister, the exercise of the power is necessary or desirable — </w:t>
      </w:r>
    </w:p>
    <w:p>
      <w:pPr>
        <w:pStyle w:val="Indenti"/>
      </w:pPr>
      <w:r>
        <w:tab/>
        <w:t>(i)</w:t>
      </w:r>
      <w:r>
        <w:tab/>
        <w:t>due to the detrimental effect of actions authorised by the permit on another person;</w:t>
      </w:r>
    </w:p>
    <w:p>
      <w:pPr>
        <w:pStyle w:val="Indenti"/>
      </w:pPr>
      <w:r>
        <w:tab/>
        <w:t>(ii)</w:t>
      </w:r>
      <w:r>
        <w:tab/>
        <w:t>to protect the water resource to which the permit relates from unacceptable damage; or</w:t>
      </w:r>
    </w:p>
    <w:p>
      <w:pPr>
        <w:pStyle w:val="Indenti"/>
      </w:pPr>
      <w:r>
        <w:tab/>
        <w:t>(iii)</w:t>
      </w:r>
      <w:r>
        <w:tab/>
        <w:t>to protect the associated environment from unacceptable damage;</w:t>
      </w:r>
    </w:p>
    <w:p>
      <w:pPr>
        <w:pStyle w:val="Indenta"/>
      </w:pPr>
      <w:r>
        <w:tab/>
        <w:t>(b)</w:t>
      </w:r>
      <w:r>
        <w:tab/>
        <w:t xml:space="preserve">in the opinion of the Minister, the exercise of the power is necessary due to a serious inconsistency, which cannot be resolved by an amendment under regulation 12, arising as a result of — </w:t>
      </w:r>
    </w:p>
    <w:p>
      <w:pPr>
        <w:pStyle w:val="Indenti"/>
      </w:pPr>
      <w:r>
        <w:tab/>
        <w:t>(i)</w:t>
      </w:r>
      <w:r>
        <w:tab/>
        <w:t>the approval of a plan, or the alteration, revocation or substitution of a plan, under Part III Division 3D Subdivision 2 of the Act; or</w:t>
      </w:r>
    </w:p>
    <w:p>
      <w:pPr>
        <w:pStyle w:val="Indenti"/>
      </w:pPr>
      <w:r>
        <w:tab/>
        <w:t>(ii)</w:t>
      </w:r>
      <w:r>
        <w:tab/>
        <w:t>the making, amendment or repeal of relevant local by</w:t>
      </w:r>
      <w:r>
        <w:noBreakHyphen/>
        <w:t>laws;</w:t>
      </w:r>
    </w:p>
    <w:p>
      <w:pPr>
        <w:pStyle w:val="Indenta"/>
        <w:keepNext/>
      </w:pPr>
      <w:r>
        <w:tab/>
        <w:t>(c)</w:t>
      </w:r>
      <w:r>
        <w:tab/>
        <w:t xml:space="preserve">the permit holder — </w:t>
      </w:r>
    </w:p>
    <w:p>
      <w:pPr>
        <w:pStyle w:val="Indenti"/>
      </w:pPr>
      <w:r>
        <w:tab/>
        <w:t>(i)</w:t>
      </w:r>
      <w:r>
        <w:tab/>
        <w:t>is convicted of an offence against a relevant Act; or</w:t>
      </w:r>
    </w:p>
    <w:p>
      <w:pPr>
        <w:pStyle w:val="Indenti"/>
      </w:pPr>
      <w:r>
        <w:tab/>
        <w:t>(ii)</w:t>
      </w:r>
      <w:r>
        <w:tab/>
        <w:t>has contravened or failed to comply with any term, condition or restriction included in the permit;</w:t>
      </w:r>
    </w:p>
    <w:p>
      <w:pPr>
        <w:pStyle w:val="Indenta"/>
      </w:pPr>
      <w:r>
        <w:tab/>
        <w:t>(d)</w:t>
      </w:r>
      <w:r>
        <w:tab/>
        <w:t>in the opinion of the Minister, the exercise of the power is necessary to comply with another written law of the State or a law of the Commonwealth;</w:t>
      </w:r>
    </w:p>
    <w:p>
      <w:pPr>
        <w:pStyle w:val="Indenta"/>
      </w:pPr>
      <w:r>
        <w:tab/>
        <w:t>(e)</w:t>
      </w:r>
      <w:r>
        <w:tab/>
        <w:t>in the opinion of the Minister, the exercise of the power is necessary or desirable in the public interest; or</w:t>
      </w:r>
    </w:p>
    <w:p>
      <w:pPr>
        <w:pStyle w:val="Indenta"/>
      </w:pPr>
      <w:r>
        <w:tab/>
        <w:t>(f)</w:t>
      </w:r>
      <w:r>
        <w:tab/>
      </w:r>
      <w:r>
        <w:rPr>
          <w:spacing w:val="-4"/>
        </w:rPr>
        <w:t xml:space="preserve">the permit confers authority for the </w:t>
      </w:r>
      <w:r>
        <w:t>Minister</w:t>
      </w:r>
      <w:r>
        <w:rPr>
          <w:spacing w:val="-4"/>
        </w:rPr>
        <w:t xml:space="preserve"> to do so.</w:t>
      </w:r>
    </w:p>
    <w:p>
      <w:pPr>
        <w:pStyle w:val="Subsection"/>
      </w:pPr>
      <w:r>
        <w:tab/>
        <w:t>(3)</w:t>
      </w:r>
      <w:r>
        <w:tab/>
        <w:t>The suspension or cancellation of a permit has effect to suspend or cancel the rights and privileges conferred by the permit but does not affect the duties imposed by the permit.</w:t>
      </w:r>
    </w:p>
    <w:p>
      <w:pPr>
        <w:pStyle w:val="Subsection"/>
      </w:pPr>
      <w:r>
        <w:tab/>
        <w:t>(4)</w:t>
      </w:r>
      <w:r>
        <w:tab/>
        <w:t xml:space="preserve">A permit holder must, within 7 days of receiving notice under subregulation (1) that the permit is suspended or cancelled give the permit to the Minister — </w:t>
      </w:r>
    </w:p>
    <w:p>
      <w:pPr>
        <w:pStyle w:val="Indenta"/>
      </w:pPr>
      <w:r>
        <w:tab/>
        <w:t>(a)</w:t>
      </w:r>
      <w:r>
        <w:tab/>
        <w:t>to be annotated in accordance with subregulation (3) if any duties are imposed by the permit; or</w:t>
      </w:r>
    </w:p>
    <w:p>
      <w:pPr>
        <w:pStyle w:val="Indenta"/>
        <w:keepNext/>
      </w:pPr>
      <w:r>
        <w:tab/>
        <w:t>(b)</w:t>
      </w:r>
      <w:r>
        <w:tab/>
        <w:t xml:space="preserve">if no duties are imposed by the permit and the permit is — </w:t>
      </w:r>
    </w:p>
    <w:p>
      <w:pPr>
        <w:pStyle w:val="Indenti"/>
      </w:pPr>
      <w:r>
        <w:tab/>
        <w:t>(i)</w:t>
      </w:r>
      <w:r>
        <w:tab/>
        <w:t>suspended, to be retained by the Minister until the suspension no longer applies; or</w:t>
      </w:r>
    </w:p>
    <w:p>
      <w:pPr>
        <w:pStyle w:val="Indenti"/>
      </w:pPr>
      <w:r>
        <w:tab/>
        <w:t>(ii)</w:t>
      </w:r>
      <w:r>
        <w:tab/>
        <w:t>cancelled, to be retained by the Minister.</w:t>
      </w:r>
    </w:p>
    <w:p>
      <w:pPr>
        <w:pStyle w:val="Penstart"/>
      </w:pPr>
      <w:r>
        <w:tab/>
        <w:t>Penalty: $2 000.</w:t>
      </w:r>
    </w:p>
    <w:p>
      <w:pPr>
        <w:pStyle w:val="Footnotesection"/>
      </w:pPr>
      <w:r>
        <w:tab/>
        <w:t>[Regulation 13 amended by Gazette 23 Jun 2009 p. 2495</w:t>
      </w:r>
      <w:r>
        <w:noBreakHyphen/>
        <w:t>6.]</w:t>
      </w:r>
    </w:p>
    <w:p>
      <w:pPr>
        <w:pStyle w:val="Heading5"/>
      </w:pPr>
      <w:bookmarkStart w:id="26" w:name="_Toc528669802"/>
      <w:r>
        <w:rPr>
          <w:rStyle w:val="CharSectno"/>
        </w:rPr>
        <w:t>14</w:t>
      </w:r>
      <w:r>
        <w:t>.</w:t>
      </w:r>
      <w:r>
        <w:tab/>
        <w:t>Permit holder’s rights before permit amended, suspended or cancelled</w:t>
      </w:r>
      <w:bookmarkEnd w:id="26"/>
    </w:p>
    <w:p>
      <w:pPr>
        <w:pStyle w:val="Subsection"/>
      </w:pPr>
      <w:r>
        <w:tab/>
        <w:t>(1)</w:t>
      </w:r>
      <w:r>
        <w:tab/>
        <w:t>Except as provided by subregulations (2) and (3), this regulation applies where the Minister proposes to exercise a power conferred by regulation 12 or 13.</w:t>
      </w:r>
    </w:p>
    <w:p>
      <w:pPr>
        <w:pStyle w:val="Subsection"/>
      </w:pPr>
      <w:r>
        <w:tab/>
        <w:t>(2)</w:t>
      </w:r>
      <w:r>
        <w:tab/>
        <w:t>This regulation does not apply to the proposed exercise of a power conferred by regulation 12 or 13 if the Minister is of the opinion that the exercise of the power is necessary to prevent loss of life or property or serious injury to persons or property.</w:t>
      </w:r>
    </w:p>
    <w:p>
      <w:pPr>
        <w:pStyle w:val="Subsection"/>
      </w:pPr>
      <w:r>
        <w:tab/>
        <w:t>(3)</w:t>
      </w:r>
      <w:r>
        <w:tab/>
        <w:t xml:space="preserve">This regulation does not apply to the proposed exercise of a power conferred by — </w:t>
      </w:r>
    </w:p>
    <w:p>
      <w:pPr>
        <w:pStyle w:val="Indenta"/>
      </w:pPr>
      <w:r>
        <w:tab/>
        <w:t>(a)</w:t>
      </w:r>
      <w:r>
        <w:tab/>
        <w:t>regulation 12 in the circumstances mentioned in subregulation (2)(a) or (g) of that regulation; or</w:t>
      </w:r>
    </w:p>
    <w:p>
      <w:pPr>
        <w:pStyle w:val="Indenta"/>
      </w:pPr>
      <w:r>
        <w:tab/>
        <w:t>(b)</w:t>
      </w:r>
      <w:r>
        <w:tab/>
        <w:t>regulation 13 in the circumstances mentioned in subregulation (2)(c)(i) of that regulation.</w:t>
      </w:r>
    </w:p>
    <w:p>
      <w:pPr>
        <w:pStyle w:val="Subsection"/>
      </w:pPr>
      <w:r>
        <w:tab/>
        <w:t>(4)</w:t>
      </w:r>
      <w:r>
        <w:tab/>
        <w:t xml:space="preserve">Where this regulation applies, the Minister is to notify the permit holder — </w:t>
      </w:r>
    </w:p>
    <w:p>
      <w:pPr>
        <w:pStyle w:val="Indenta"/>
      </w:pPr>
      <w:r>
        <w:tab/>
        <w:t>(a)</w:t>
      </w:r>
      <w:r>
        <w:tab/>
        <w:t>of the proposal; and</w:t>
      </w:r>
    </w:p>
    <w:p>
      <w:pPr>
        <w:pStyle w:val="Indenta"/>
      </w:pPr>
      <w:r>
        <w:tab/>
        <w:t>(b)</w:t>
      </w:r>
      <w:r>
        <w:tab/>
        <w:t>that the applicant has a right to be heard by, or to make written submissions to, the Minister before the Minister makes a decision to exercise the power.</w:t>
      </w:r>
    </w:p>
    <w:p>
      <w:pPr>
        <w:pStyle w:val="Subsection"/>
      </w:pPr>
      <w:r>
        <w:tab/>
        <w:t>(5)</w:t>
      </w:r>
      <w:r>
        <w:tab/>
        <w:t>Written submissions may be made by the permit holder, as mentioned in subregulation (4)(b), within such period after the applicant is given notice under that subregulation as is specified in the notice.</w:t>
      </w:r>
    </w:p>
    <w:p>
      <w:pPr>
        <w:pStyle w:val="Subsection"/>
      </w:pPr>
      <w:r>
        <w:tab/>
        <w:t>(6)</w:t>
      </w:r>
      <w:r>
        <w:tab/>
        <w:t>The Minister is to have regard to any submissions made by the permit holder under subregulation (5) before making the final decision.</w:t>
      </w:r>
    </w:p>
    <w:p>
      <w:pPr>
        <w:pStyle w:val="Footnotesection"/>
      </w:pPr>
      <w:r>
        <w:tab/>
        <w:t>[Regulation 14 amended by Gazette 23 Jun 2009 p. 2495</w:t>
      </w:r>
      <w:r>
        <w:noBreakHyphen/>
        <w:t>6 and 2497.]</w:t>
      </w:r>
    </w:p>
    <w:p>
      <w:pPr>
        <w:pStyle w:val="Heading5"/>
      </w:pPr>
      <w:bookmarkStart w:id="27" w:name="_Toc528669803"/>
      <w:r>
        <w:rPr>
          <w:rStyle w:val="CharSectno"/>
        </w:rPr>
        <w:t>15</w:t>
      </w:r>
      <w:r>
        <w:t>.</w:t>
      </w:r>
      <w:r>
        <w:tab/>
        <w:t>Surrender of permits</w:t>
      </w:r>
      <w:bookmarkEnd w:id="27"/>
    </w:p>
    <w:p>
      <w:pPr>
        <w:pStyle w:val="Subsection"/>
      </w:pPr>
      <w:r>
        <w:tab/>
      </w:r>
      <w:r>
        <w:tab/>
        <w:t>A permit may be surrendered at any time to the Minister if the permit holder has complied with any terms, conditions or restrictions included in the permit relating to its surrender.</w:t>
      </w:r>
    </w:p>
    <w:p>
      <w:pPr>
        <w:pStyle w:val="Footnotesection"/>
      </w:pPr>
      <w:r>
        <w:tab/>
        <w:t>[Regulation 15 amended by Gazette 23 Jun 2009 p. 2495</w:t>
      </w:r>
      <w:r>
        <w:noBreakHyphen/>
        <w:t>6.]</w:t>
      </w:r>
    </w:p>
    <w:p>
      <w:pPr>
        <w:pStyle w:val="Heading5"/>
        <w:keepNext w:val="0"/>
        <w:keepLines w:val="0"/>
      </w:pPr>
      <w:bookmarkStart w:id="28" w:name="_Toc528669804"/>
      <w:r>
        <w:rPr>
          <w:rStyle w:val="CharSectno"/>
        </w:rPr>
        <w:t>16</w:t>
      </w:r>
      <w:r>
        <w:t>.</w:t>
      </w:r>
      <w:r>
        <w:tab/>
        <w:t>Minister to be notified of change of ownership</w:t>
      </w:r>
      <w:bookmarkEnd w:id="28"/>
    </w:p>
    <w:p>
      <w:pPr>
        <w:pStyle w:val="Subsection"/>
      </w:pPr>
      <w:r>
        <w:tab/>
        <w:t>(1)</w:t>
      </w:r>
      <w:r>
        <w:tab/>
        <w:t xml:space="preserve">Where — </w:t>
      </w:r>
    </w:p>
    <w:p>
      <w:pPr>
        <w:pStyle w:val="Indenta"/>
      </w:pPr>
      <w:r>
        <w:tab/>
        <w:t>(a)</w:t>
      </w:r>
      <w:r>
        <w:tab/>
        <w:t>a permit holder is the owner of all the land to which the permit relates; and</w:t>
      </w:r>
    </w:p>
    <w:p>
      <w:pPr>
        <w:pStyle w:val="Indenta"/>
      </w:pPr>
      <w:r>
        <w:tab/>
        <w:t>(b)</w:t>
      </w:r>
      <w:r>
        <w:tab/>
        <w:t xml:space="preserve">another person becomes the owner of that land in place of that permit holder (the </w:t>
      </w:r>
      <w:r>
        <w:rPr>
          <w:rStyle w:val="CharDefText"/>
        </w:rPr>
        <w:t>new owner</w:t>
      </w:r>
      <w:r>
        <w:t>),</w:t>
      </w:r>
    </w:p>
    <w:p>
      <w:pPr>
        <w:pStyle w:val="Subsection"/>
      </w:pPr>
      <w:r>
        <w:tab/>
      </w:r>
      <w:r>
        <w:tab/>
        <w:t>the permit holder and the new owner must give notice in writing of the change of ownership to the Minister within the period of 30 days after the day of the change of ownership.</w:t>
      </w:r>
    </w:p>
    <w:p>
      <w:pPr>
        <w:pStyle w:val="Penstart"/>
      </w:pPr>
      <w:r>
        <w:tab/>
        <w:t>Penalty: $250.</w:t>
      </w:r>
    </w:p>
    <w:p>
      <w:pPr>
        <w:pStyle w:val="Subsection"/>
      </w:pPr>
      <w:r>
        <w:tab/>
        <w:t>(2)</w:t>
      </w:r>
      <w:r>
        <w:tab/>
        <w:t>Whether or not notice of change of ownership of land is given to the Minister under subregulation (1), the new owner is to be taken to be the permit holder.</w:t>
      </w:r>
    </w:p>
    <w:p>
      <w:pPr>
        <w:pStyle w:val="Footnotesection"/>
      </w:pPr>
      <w:r>
        <w:tab/>
        <w:t>[Regulation 16 amended by Gazette 23 Jun 2009 p. 2495</w:t>
      </w:r>
      <w:r>
        <w:noBreakHyphen/>
        <w:t>6.]</w:t>
      </w:r>
    </w:p>
    <w:p>
      <w:pPr>
        <w:pStyle w:val="Heading5"/>
        <w:spacing w:before="180"/>
      </w:pPr>
      <w:bookmarkStart w:id="29" w:name="_Toc528669805"/>
      <w:r>
        <w:rPr>
          <w:rStyle w:val="CharSectno"/>
        </w:rPr>
        <w:t>17</w:t>
      </w:r>
      <w:r>
        <w:t>.</w:t>
      </w:r>
      <w:r>
        <w:tab/>
        <w:t>Terms, conditions and restrictions</w:t>
      </w:r>
      <w:bookmarkEnd w:id="29"/>
    </w:p>
    <w:p>
      <w:pPr>
        <w:pStyle w:val="Subsection"/>
        <w:keepNext/>
      </w:pPr>
      <w:r>
        <w:tab/>
        <w:t>(1)</w:t>
      </w:r>
      <w:r>
        <w:tab/>
        <w:t xml:space="preserve">A permit is subject to the following conditions — </w:t>
      </w:r>
    </w:p>
    <w:p>
      <w:pPr>
        <w:pStyle w:val="Indenta"/>
      </w:pPr>
      <w:r>
        <w:tab/>
        <w:t>(a)</w:t>
      </w:r>
      <w:r>
        <w:tab/>
        <w:t>that the permit holder ensures that all other written laws regarding the work or action authorised by the permit are complied with;</w:t>
      </w:r>
    </w:p>
    <w:p>
      <w:pPr>
        <w:pStyle w:val="Indenta"/>
      </w:pPr>
      <w:r>
        <w:tab/>
        <w:t>(b)</w:t>
      </w:r>
      <w:r>
        <w:tab/>
        <w:t>that where a condition attached to a permit relating to an alteration in work authorised under the permit has not been complied with within the time specified in the condition and after written notice to that effect has been given by the Minister, the Minister may take such action as is necessary to ensure the condition is complied with and may recover the cost of doing so from the permit holder as a debt due in a court of competent jurisdiction.</w:t>
      </w:r>
    </w:p>
    <w:p>
      <w:pPr>
        <w:pStyle w:val="Subsection"/>
      </w:pPr>
      <w:r>
        <w:tab/>
        <w:t>(2)</w:t>
      </w:r>
      <w:r>
        <w:tab/>
        <w:t>The Minister may, at his or her discretion, include in a permit any other term, condition or restriction but regulation 7(2) and (3) applies to the exercise of that discretion.</w:t>
      </w:r>
    </w:p>
    <w:p>
      <w:pPr>
        <w:pStyle w:val="Footnotesection"/>
      </w:pPr>
      <w:r>
        <w:tab/>
        <w:t>[Regulation 17 amended by Gazette 23 Jun 2009 p. 2495</w:t>
      </w:r>
      <w:r>
        <w:noBreakHyphen/>
        <w:t>6 and 2497.]</w:t>
      </w:r>
    </w:p>
    <w:p>
      <w:pPr>
        <w:pStyle w:val="Heading5"/>
        <w:spacing w:before="180"/>
      </w:pPr>
      <w:bookmarkStart w:id="30" w:name="_Toc528669806"/>
      <w:r>
        <w:rPr>
          <w:rStyle w:val="CharSectno"/>
        </w:rPr>
        <w:t>18</w:t>
      </w:r>
      <w:r>
        <w:t>.</w:t>
      </w:r>
      <w:r>
        <w:tab/>
        <w:t>Minister may direct compliance with permit condition</w:t>
      </w:r>
      <w:bookmarkEnd w:id="30"/>
    </w:p>
    <w:p>
      <w:pPr>
        <w:pStyle w:val="Subsection"/>
      </w:pPr>
      <w:r>
        <w:tab/>
        <w:t>(1)</w:t>
      </w:r>
      <w:r>
        <w:tab/>
        <w:t>If a permit holder fails to comply with any term, condition or restriction included in a permit, the Minister may direct that person to comply with that term, condition or restriction.</w:t>
      </w:r>
    </w:p>
    <w:p>
      <w:pPr>
        <w:pStyle w:val="Subsection"/>
        <w:keepNext/>
      </w:pPr>
      <w:r>
        <w:tab/>
        <w:t>(2)</w:t>
      </w:r>
      <w:r>
        <w:tab/>
        <w:t xml:space="preserve">A direction under subregulation (1) must — </w:t>
      </w:r>
    </w:p>
    <w:p>
      <w:pPr>
        <w:pStyle w:val="Indenta"/>
      </w:pPr>
      <w:r>
        <w:tab/>
        <w:t>(a)</w:t>
      </w:r>
      <w:r>
        <w:tab/>
        <w:t>be given by written notice served on the permit holder; and</w:t>
      </w:r>
    </w:p>
    <w:p>
      <w:pPr>
        <w:pStyle w:val="Indenta"/>
      </w:pPr>
      <w:r>
        <w:tab/>
        <w:t>(b)</w:t>
      </w:r>
      <w:r>
        <w:tab/>
        <w:t>specify the time within which the direction is to be complied with.</w:t>
      </w:r>
    </w:p>
    <w:p>
      <w:pPr>
        <w:pStyle w:val="Subsection"/>
      </w:pPr>
      <w:r>
        <w:tab/>
        <w:t>(3)</w:t>
      </w:r>
      <w:r>
        <w:tab/>
        <w:t xml:space="preserve">If a permit holder to whom a direction has been given does not comply with the direction within the specified time, or any additional time allowed by the Minister — </w:t>
      </w:r>
    </w:p>
    <w:p>
      <w:pPr>
        <w:pStyle w:val="Indenta"/>
      </w:pPr>
      <w:r>
        <w:tab/>
        <w:t>(a)</w:t>
      </w:r>
      <w:r>
        <w:tab/>
        <w:t xml:space="preserve">the person commits an offence; and </w:t>
      </w:r>
    </w:p>
    <w:p>
      <w:pPr>
        <w:pStyle w:val="Indenta"/>
      </w:pPr>
      <w:r>
        <w:tab/>
        <w:t>(b)</w:t>
      </w:r>
      <w:r>
        <w:tab/>
        <w:t xml:space="preserve">the Minister may — </w:t>
      </w:r>
    </w:p>
    <w:p>
      <w:pPr>
        <w:pStyle w:val="Indenti"/>
      </w:pPr>
      <w:r>
        <w:tab/>
        <w:t>(i)</w:t>
      </w:r>
      <w:r>
        <w:tab/>
        <w:t>do all or part of whatever the direction requires to be done; and</w:t>
      </w:r>
    </w:p>
    <w:p>
      <w:pPr>
        <w:pStyle w:val="Indenti"/>
      </w:pPr>
      <w:r>
        <w:tab/>
        <w:t>(ii)</w:t>
      </w:r>
      <w:r>
        <w:tab/>
        <w:t>recover the costs and expenses incurred in doing so as a debt due to the State by the person.</w:t>
      </w:r>
    </w:p>
    <w:p>
      <w:pPr>
        <w:pStyle w:val="Penstart"/>
      </w:pPr>
      <w:r>
        <w:tab/>
        <w:t>Penalty: $2 000 and daily penalty of $200.</w:t>
      </w:r>
    </w:p>
    <w:p>
      <w:pPr>
        <w:pStyle w:val="Footnotesection"/>
      </w:pPr>
      <w:r>
        <w:tab/>
        <w:t>[Regulation 18 amended by Gazette 23 Jun 2009 p. 2495</w:t>
      </w:r>
      <w:r>
        <w:noBreakHyphen/>
        <w:t>6 and 2498.]</w:t>
      </w:r>
    </w:p>
    <w:p>
      <w:pPr>
        <w:pStyle w:val="Heading2"/>
      </w:pPr>
      <w:bookmarkStart w:id="31" w:name="_Toc493168637"/>
      <w:bookmarkStart w:id="32" w:name="_Toc493233787"/>
      <w:bookmarkStart w:id="33" w:name="_Toc506886842"/>
      <w:bookmarkStart w:id="34" w:name="_Toc528669074"/>
      <w:bookmarkStart w:id="35" w:name="_Toc528669807"/>
      <w:r>
        <w:rPr>
          <w:rStyle w:val="CharPartNo"/>
        </w:rPr>
        <w:t>Part 3</w:t>
      </w:r>
      <w:r>
        <w:rPr>
          <w:rStyle w:val="CharDivNo"/>
        </w:rPr>
        <w:t xml:space="preserve"> </w:t>
      </w:r>
      <w:r>
        <w:t>—</w:t>
      </w:r>
      <w:r>
        <w:rPr>
          <w:rStyle w:val="CharDivText"/>
        </w:rPr>
        <w:t xml:space="preserve"> </w:t>
      </w:r>
      <w:r>
        <w:rPr>
          <w:rStyle w:val="CharPartText"/>
        </w:rPr>
        <w:t>Licences under section 5C</w:t>
      </w:r>
      <w:bookmarkEnd w:id="31"/>
      <w:bookmarkEnd w:id="32"/>
      <w:bookmarkEnd w:id="33"/>
      <w:bookmarkEnd w:id="34"/>
      <w:bookmarkEnd w:id="35"/>
    </w:p>
    <w:p>
      <w:pPr>
        <w:pStyle w:val="Ednotesection"/>
      </w:pPr>
      <w:r>
        <w:t>[</w:t>
      </w:r>
      <w:r>
        <w:rPr>
          <w:b/>
          <w:bCs/>
        </w:rPr>
        <w:t>19A.</w:t>
      </w:r>
      <w:r>
        <w:tab/>
        <w:t>Inserted by Gazette 28 Dec 2007 p. 6426 (disallowed, see Gazette 11 Apr 2008 p. 1396).]</w:t>
      </w:r>
    </w:p>
    <w:p>
      <w:pPr>
        <w:pStyle w:val="Ednotesection"/>
      </w:pPr>
      <w:r>
        <w:t>[</w:t>
      </w:r>
      <w:r>
        <w:rPr>
          <w:b/>
        </w:rPr>
        <w:t>19, 20.</w:t>
      </w:r>
      <w:r>
        <w:rPr>
          <w:b/>
        </w:rPr>
        <w:tab/>
      </w:r>
      <w:r>
        <w:t>Deleted by Gazette 16 Dec 2014 p. 4766.]</w:t>
      </w:r>
    </w:p>
    <w:p>
      <w:pPr>
        <w:pStyle w:val="Heading5"/>
        <w:spacing w:before="240"/>
      </w:pPr>
      <w:bookmarkStart w:id="36" w:name="_Toc528669808"/>
      <w:r>
        <w:rPr>
          <w:rStyle w:val="CharSectno"/>
        </w:rPr>
        <w:t>21</w:t>
      </w:r>
      <w:r>
        <w:t>.</w:t>
      </w:r>
      <w:r>
        <w:tab/>
        <w:t>Renewal of licence</w:t>
      </w:r>
      <w:bookmarkEnd w:id="36"/>
    </w:p>
    <w:p>
      <w:pPr>
        <w:pStyle w:val="Subsection"/>
        <w:spacing w:before="180"/>
      </w:pPr>
      <w:r>
        <w:tab/>
        <w:t>(1)</w:t>
      </w:r>
      <w:r>
        <w:tab/>
        <w:t>An application for the renewal of a licence that is in force for a fixed period must be made before the expiry of the licence.</w:t>
      </w:r>
    </w:p>
    <w:p>
      <w:pPr>
        <w:pStyle w:val="Subsection"/>
        <w:spacing w:before="180"/>
      </w:pPr>
      <w:r>
        <w:tab/>
        <w:t>(2)</w:t>
      </w:r>
      <w:r>
        <w:tab/>
        <w:t>An application for a renewal that is made after the expiry of the licence may be taken by the Minister to be an application for a licence under clause 4(1) of Schedule 1 to the Act.</w:t>
      </w:r>
    </w:p>
    <w:p>
      <w:pPr>
        <w:pStyle w:val="Footnotesection"/>
      </w:pPr>
      <w:r>
        <w:tab/>
        <w:t>[Regulation 21 amended by Gazette 23 Jun 2009 p. 2495</w:t>
      </w:r>
      <w:r>
        <w:noBreakHyphen/>
        <w:t>6.]</w:t>
      </w:r>
    </w:p>
    <w:p>
      <w:pPr>
        <w:pStyle w:val="Heading5"/>
        <w:spacing w:before="240"/>
        <w:rPr>
          <w:rStyle w:val="CharSectno"/>
        </w:rPr>
      </w:pPr>
      <w:bookmarkStart w:id="37" w:name="_Toc528669809"/>
      <w:r>
        <w:rPr>
          <w:rStyle w:val="CharSectno"/>
        </w:rPr>
        <w:t>22.</w:t>
      </w:r>
      <w:r>
        <w:rPr>
          <w:rStyle w:val="CharSectno"/>
        </w:rPr>
        <w:tab/>
        <w:t>Fee for certified copy of licence</w:t>
      </w:r>
      <w:bookmarkEnd w:id="37"/>
    </w:p>
    <w:p>
      <w:pPr>
        <w:pStyle w:val="Subsection"/>
        <w:spacing w:before="180"/>
      </w:pPr>
      <w:r>
        <w:tab/>
        <w:t>(1)</w:t>
      </w:r>
      <w:r>
        <w:tab/>
        <w:t>The fee payable for a duplicate licence is the fee specified in item 4 of Schedule 1 Part 1.</w:t>
      </w:r>
    </w:p>
    <w:p>
      <w:pPr>
        <w:pStyle w:val="Subsection"/>
        <w:spacing w:before="180"/>
      </w:pPr>
      <w:r>
        <w:tab/>
        <w:t>(2)</w:t>
      </w:r>
      <w:r>
        <w:tab/>
        <w:t>A duplicate licence is to be a copy of the licence certified as a correct copy by the Minister.</w:t>
      </w:r>
    </w:p>
    <w:p>
      <w:pPr>
        <w:pStyle w:val="Footnotesection"/>
      </w:pPr>
      <w:r>
        <w:tab/>
        <w:t>[Regulation 22 amended by Gazette 22 Jun 2007 p. 2880 (disallowed, see Gazette 27 Nov 2007 p. 5910); 28 Dec 2007 p. 6428 (disallowed, see Gazette 11 Apr 2008 p. 1396); 23 Jun 2009 p. 2495</w:t>
      </w:r>
      <w:r>
        <w:noBreakHyphen/>
        <w:t>6.]</w:t>
      </w:r>
    </w:p>
    <w:p>
      <w:pPr>
        <w:pStyle w:val="Heading5"/>
        <w:spacing w:before="240"/>
      </w:pPr>
      <w:bookmarkStart w:id="38" w:name="_Toc528669810"/>
      <w:r>
        <w:rPr>
          <w:rStyle w:val="CharSectno"/>
        </w:rPr>
        <w:t>23</w:t>
      </w:r>
      <w:r>
        <w:t>.</w:t>
      </w:r>
      <w:r>
        <w:tab/>
        <w:t>Advertising applications (Act Sch. 1 cl. 5)</w:t>
      </w:r>
      <w:bookmarkEnd w:id="38"/>
    </w:p>
    <w:p>
      <w:pPr>
        <w:pStyle w:val="Subsection"/>
        <w:spacing w:before="180"/>
      </w:pPr>
      <w:r>
        <w:tab/>
        <w:t>(1)</w:t>
      </w:r>
      <w:r>
        <w:tab/>
        <w:t xml:space="preserve">In this regulation — </w:t>
      </w:r>
    </w:p>
    <w:p>
      <w:pPr>
        <w:pStyle w:val="Defstart"/>
      </w:pPr>
      <w:r>
        <w:tab/>
      </w:r>
      <w:r>
        <w:rPr>
          <w:rStyle w:val="CharDefText"/>
        </w:rPr>
        <w:t>water entitlement</w:t>
      </w:r>
      <w:r>
        <w:t xml:space="preserve"> has the same meaning as in clause 28 of Schedule 1 to the Act.</w:t>
      </w:r>
    </w:p>
    <w:p>
      <w:pPr>
        <w:pStyle w:val="Subsection"/>
      </w:pPr>
      <w:r>
        <w:tab/>
        <w:t>(2)</w:t>
      </w:r>
      <w:r>
        <w:tab/>
        <w:t xml:space="preserve">The Minister is to notify a person who has made an application referred to in subregulation (3) by written notice given to that person that the person is to arrange for there to be published in — </w:t>
      </w:r>
    </w:p>
    <w:p>
      <w:pPr>
        <w:pStyle w:val="Indenta"/>
      </w:pPr>
      <w:r>
        <w:tab/>
        <w:t>(a)</w:t>
      </w:r>
      <w:r>
        <w:tab/>
        <w:t>a newspaper circulating daily in the State; and</w:t>
      </w:r>
    </w:p>
    <w:p>
      <w:pPr>
        <w:pStyle w:val="Indenta"/>
      </w:pPr>
      <w:r>
        <w:tab/>
        <w:t>(b)</w:t>
      </w:r>
      <w:r>
        <w:tab/>
        <w:t>a newspaper circulating in the locality to which the application relates,</w:t>
      </w:r>
    </w:p>
    <w:p>
      <w:pPr>
        <w:pStyle w:val="Subsection"/>
        <w:spacing w:before="180"/>
      </w:pPr>
      <w:r>
        <w:tab/>
      </w:r>
      <w:r>
        <w:tab/>
        <w:t>notice in accordance with subregulation (4).</w:t>
      </w:r>
    </w:p>
    <w:p>
      <w:pPr>
        <w:pStyle w:val="Subsection"/>
        <w:keepNext/>
      </w:pPr>
      <w:r>
        <w:tab/>
        <w:t>(3)</w:t>
      </w:r>
      <w:r>
        <w:tab/>
        <w:t xml:space="preserve">An application referred to in subregulation (2) is an application for a licence or, to amend a licence to increase a water entitlement under that licence, where — </w:t>
      </w:r>
    </w:p>
    <w:p>
      <w:pPr>
        <w:pStyle w:val="Indenta"/>
      </w:pPr>
      <w:r>
        <w:tab/>
        <w:t>(a)</w:t>
      </w:r>
      <w:r>
        <w:tab/>
        <w:t xml:space="preserve">the application relates to an underground water source and — </w:t>
      </w:r>
    </w:p>
    <w:p>
      <w:pPr>
        <w:pStyle w:val="Indenti"/>
      </w:pPr>
      <w:r>
        <w:tab/>
        <w:t>(i)</w:t>
      </w:r>
      <w:r>
        <w:tab/>
        <w:t>the water proposed to be taken under the licence is more than 100 000 kilolitres per year, or if the application is to amend the licence, an increase in the water to be taken under the licence by more than that amount; or</w:t>
      </w:r>
    </w:p>
    <w:p>
      <w:pPr>
        <w:pStyle w:val="Indenti"/>
      </w:pPr>
      <w:r>
        <w:tab/>
        <w:t>(ii)</w:t>
      </w:r>
      <w:r>
        <w:tab/>
        <w:t>the Minister is of the opinion that an application, if granted, will be of sufficient impact on a water resource that it is desirable that it be publicly notified;</w:t>
      </w:r>
    </w:p>
    <w:p>
      <w:pPr>
        <w:pStyle w:val="Indenta"/>
      </w:pPr>
      <w:r>
        <w:tab/>
      </w:r>
      <w:r>
        <w:tab/>
        <w:t>or</w:t>
      </w:r>
    </w:p>
    <w:p>
      <w:pPr>
        <w:pStyle w:val="Indenta"/>
      </w:pPr>
      <w:r>
        <w:tab/>
        <w:t>(b)</w:t>
      </w:r>
      <w:r>
        <w:tab/>
        <w:t xml:space="preserve">the application relates to a water course or wetland unless — </w:t>
      </w:r>
    </w:p>
    <w:p>
      <w:pPr>
        <w:pStyle w:val="Indenti"/>
      </w:pPr>
      <w:r>
        <w:tab/>
        <w:t>(i)</w:t>
      </w:r>
      <w:r>
        <w:tab/>
        <w:t>any relevant plan approved under Part III Division 3D Subdivision 2 of the Act</w:t>
      </w:r>
      <w:r>
        <w:rPr>
          <w:i/>
        </w:rPr>
        <w:t xml:space="preserve"> </w:t>
      </w:r>
      <w:r>
        <w:t>specifies that advertising of licences of this description is not required; or</w:t>
      </w:r>
    </w:p>
    <w:p>
      <w:pPr>
        <w:pStyle w:val="Indenti"/>
      </w:pPr>
      <w:r>
        <w:tab/>
        <w:t>(ii)</w:t>
      </w:r>
      <w:r>
        <w:tab/>
        <w:t>the Minister is of the opinion that an application, if granted, will not be of sufficient impact on a water resource that it is desirable that it be publicly notified.</w:t>
      </w:r>
    </w:p>
    <w:p>
      <w:pPr>
        <w:pStyle w:val="Subsection"/>
        <w:spacing w:before="120"/>
      </w:pPr>
      <w:r>
        <w:tab/>
        <w:t>(4)</w:t>
      </w:r>
      <w:r>
        <w:tab/>
        <w:t xml:space="preserve">A notice is to be in a form approved and is to state — </w:t>
      </w:r>
    </w:p>
    <w:p>
      <w:pPr>
        <w:pStyle w:val="Indenta"/>
      </w:pPr>
      <w:r>
        <w:tab/>
        <w:t>(a)</w:t>
      </w:r>
      <w:r>
        <w:tab/>
        <w:t>that an application for a licence under section 5C has been made;</w:t>
      </w:r>
    </w:p>
    <w:p>
      <w:pPr>
        <w:pStyle w:val="Indenta"/>
      </w:pPr>
      <w:r>
        <w:tab/>
        <w:t>(b)</w:t>
      </w:r>
      <w:r>
        <w:tab/>
        <w:t>such details of the application as are necessary to identify the relevant water resource;</w:t>
      </w:r>
    </w:p>
    <w:p>
      <w:pPr>
        <w:pStyle w:val="Indenta"/>
      </w:pPr>
      <w:r>
        <w:tab/>
        <w:t>(c)</w:t>
      </w:r>
      <w:r>
        <w:tab/>
        <w:t>a brief description of the ambit of the licence applied for;</w:t>
      </w:r>
    </w:p>
    <w:p>
      <w:pPr>
        <w:pStyle w:val="Indenta"/>
      </w:pPr>
      <w:r>
        <w:tab/>
        <w:t>(d)</w:t>
      </w:r>
      <w:r>
        <w:tab/>
        <w:t>that interested persons may within the time specified in the notice (which is to be not less than 14 days after the publication of the notice) make written submissions to the Minister regarding the application; and</w:t>
      </w:r>
    </w:p>
    <w:p>
      <w:pPr>
        <w:pStyle w:val="Indenta"/>
      </w:pPr>
      <w:r>
        <w:tab/>
        <w:t>(e)</w:t>
      </w:r>
      <w:r>
        <w:tab/>
        <w:t>that if a submission made under paragraph (d) contains an objection, that the person making the submission is to specify what action, if any, the person considers would overcome the objection.</w:t>
      </w:r>
    </w:p>
    <w:p>
      <w:pPr>
        <w:pStyle w:val="Subsection"/>
      </w:pPr>
      <w:r>
        <w:tab/>
        <w:t>(5)</w:t>
      </w:r>
      <w:r>
        <w:tab/>
        <w:t>The Minister is to have regard to any submission made by a person under subregulation (4)(d) within the time specified in the notice before making the final decision.</w:t>
      </w:r>
    </w:p>
    <w:p>
      <w:pPr>
        <w:pStyle w:val="Footnotesection"/>
      </w:pPr>
      <w:r>
        <w:tab/>
        <w:t>[Regulation 23 amended by Gazette 17 Dec 2002 p. 5912; 23 Jun 2009 p. 2495</w:t>
      </w:r>
      <w:r>
        <w:noBreakHyphen/>
        <w:t>6 and 2497.]</w:t>
      </w:r>
    </w:p>
    <w:p>
      <w:pPr>
        <w:pStyle w:val="Heading5"/>
      </w:pPr>
      <w:bookmarkStart w:id="39" w:name="_Toc528669811"/>
      <w:r>
        <w:rPr>
          <w:rStyle w:val="CharSectno"/>
        </w:rPr>
        <w:t>24</w:t>
      </w:r>
      <w:r>
        <w:t>.</w:t>
      </w:r>
      <w:r>
        <w:tab/>
        <w:t>Security interest holders may make submissions on application</w:t>
      </w:r>
      <w:bookmarkEnd w:id="39"/>
    </w:p>
    <w:p>
      <w:pPr>
        <w:pStyle w:val="Subsection"/>
      </w:pPr>
      <w:r>
        <w:tab/>
        <w:t>(1)</w:t>
      </w:r>
      <w:r>
        <w:tab/>
        <w:t>A person who has been given written details of an application under section 26GZO(b) may within the time specified by written notice given by the Minister (which is to be not less than 14 days after the notice is given) make written submissions to the Minister regarding the application.</w:t>
      </w:r>
    </w:p>
    <w:p>
      <w:pPr>
        <w:pStyle w:val="Subsection"/>
        <w:spacing w:before="120"/>
      </w:pPr>
      <w:r>
        <w:tab/>
        <w:t>(2)</w:t>
      </w:r>
      <w:r>
        <w:tab/>
        <w:t>The Minister is to have regard to any submission made under subregulation (1) within the time specified in the notice before making the final decision with respect to an application under section 26GZO.</w:t>
      </w:r>
    </w:p>
    <w:p>
      <w:pPr>
        <w:pStyle w:val="Footnotesection"/>
      </w:pPr>
      <w:r>
        <w:tab/>
        <w:t>[Regulation 24 amended by Gazette 23 Jun 2009 p. 2495</w:t>
      </w:r>
      <w:r>
        <w:noBreakHyphen/>
        <w:t>6 and 2497.]</w:t>
      </w:r>
    </w:p>
    <w:p>
      <w:pPr>
        <w:pStyle w:val="Heading5"/>
        <w:spacing w:before="120"/>
      </w:pPr>
      <w:bookmarkStart w:id="40" w:name="_Toc528669812"/>
      <w:r>
        <w:rPr>
          <w:rStyle w:val="CharSectno"/>
        </w:rPr>
        <w:t>25</w:t>
      </w:r>
      <w:r>
        <w:t>.</w:t>
      </w:r>
      <w:r>
        <w:tab/>
        <w:t>Licensee no longer eligible to hold licence to inform  Minister</w:t>
      </w:r>
      <w:bookmarkEnd w:id="40"/>
    </w:p>
    <w:p>
      <w:pPr>
        <w:pStyle w:val="Subsection"/>
        <w:spacing w:before="120"/>
      </w:pPr>
      <w:r>
        <w:tab/>
        <w:t>(1)</w:t>
      </w:r>
      <w:r>
        <w:tab/>
        <w:t>A licensee who ceases, or who has reason to suspect that he or she may have ceased, to be eligible in terms of clause 3 of Schedule 1 to the Act to hold a licence is to inform the Minister in writing of that fact within 30 days of the licensee ceasing to be eligible.</w:t>
      </w:r>
    </w:p>
    <w:p>
      <w:pPr>
        <w:pStyle w:val="Penstart"/>
      </w:pPr>
      <w:r>
        <w:tab/>
        <w:t>Penalty: $1 000.</w:t>
      </w:r>
    </w:p>
    <w:p>
      <w:pPr>
        <w:pStyle w:val="Subsection"/>
        <w:spacing w:before="120"/>
      </w:pPr>
      <w:r>
        <w:tab/>
        <w:t>(2)</w:t>
      </w:r>
      <w:r>
        <w:tab/>
        <w:t>On receiving notice under subregulation (1) the Minister is to inform the licensee in writing of the time when the licence will be terminated.</w:t>
      </w:r>
    </w:p>
    <w:p>
      <w:pPr>
        <w:pStyle w:val="Subsection"/>
        <w:spacing w:before="120"/>
      </w:pPr>
      <w:r>
        <w:tab/>
        <w:t>(3)</w:t>
      </w:r>
      <w:r>
        <w:tab/>
        <w:t>At the request of a licensee referred to in subregulation (1), the Minister may agree in writing that the licence is to be terminated at the end of a period, not exceeding 6 months from the time the Minister received notice under subregulation (1).</w:t>
      </w:r>
    </w:p>
    <w:p>
      <w:pPr>
        <w:pStyle w:val="Footnotesection"/>
      </w:pPr>
      <w:r>
        <w:tab/>
        <w:t>[Regulation 25 amended by Gazette 23 Jun 2009 p. 2495-6.]</w:t>
      </w:r>
    </w:p>
    <w:p>
      <w:pPr>
        <w:pStyle w:val="Heading5"/>
      </w:pPr>
      <w:bookmarkStart w:id="41" w:name="_Toc528669813"/>
      <w:r>
        <w:rPr>
          <w:rStyle w:val="CharSectno"/>
        </w:rPr>
        <w:t>26</w:t>
      </w:r>
      <w:r>
        <w:t>.</w:t>
      </w:r>
      <w:r>
        <w:tab/>
        <w:t>Removal of endorsement that licence is subject to Act Sch. 1 cl. 20</w:t>
      </w:r>
      <w:bookmarkEnd w:id="41"/>
    </w:p>
    <w:p>
      <w:pPr>
        <w:pStyle w:val="Subsection"/>
        <w:spacing w:before="120"/>
      </w:pPr>
      <w:r>
        <w:tab/>
        <w:t>(1)</w:t>
      </w:r>
      <w:r>
        <w:tab/>
        <w:t>If the Minister is satisfied that a licensee is no longer obliged by an agreement with another person referred to in clause 19 of Schedule 1 to the Act, or that it is no longer appropriate for the Minister to recognise such an obligation, the Minister may remove an endorsement from a licence under that clause.</w:t>
      </w:r>
    </w:p>
    <w:p>
      <w:pPr>
        <w:pStyle w:val="Subsection"/>
      </w:pPr>
      <w:r>
        <w:tab/>
        <w:t>(2)</w:t>
      </w:r>
      <w:r>
        <w:tab/>
        <w:t>Before removing an endorsement from a licence, the Minister is to give written notice to the third party (within the meaning of clause 19 of Schedule 1 to the Act) and to the licensee.</w:t>
      </w:r>
    </w:p>
    <w:p>
      <w:pPr>
        <w:pStyle w:val="Subsection"/>
      </w:pPr>
      <w:r>
        <w:tab/>
        <w:t>(3)</w:t>
      </w:r>
      <w:r>
        <w:tab/>
        <w:t>A person who has been given written notice under subregulation (2) may within the time specified in that notice (which is to be not less than 14 days after the notice is given) make written submissions to the Minister regarding the removal of the endorsement.</w:t>
      </w:r>
    </w:p>
    <w:p>
      <w:pPr>
        <w:pStyle w:val="Subsection"/>
      </w:pPr>
      <w:r>
        <w:tab/>
        <w:t>(4)</w:t>
      </w:r>
      <w:r>
        <w:tab/>
        <w:t>The Minister is to have regard to any submission made under subregulation (3) within the time specified in the notice before making the final decision with respect to the removal of the endorsement.</w:t>
      </w:r>
    </w:p>
    <w:p>
      <w:pPr>
        <w:pStyle w:val="Footnotesection"/>
        <w:rPr>
          <w:b/>
          <w:i w:val="0"/>
        </w:rPr>
      </w:pPr>
      <w:r>
        <w:tab/>
        <w:t>[Regulation 26 amended by Gazette 23 Jun 2009 p. 2495-6 and 2497.]</w:t>
      </w:r>
    </w:p>
    <w:p>
      <w:pPr>
        <w:pStyle w:val="Heading5"/>
      </w:pPr>
      <w:bookmarkStart w:id="42" w:name="_Toc528669814"/>
      <w:r>
        <w:rPr>
          <w:rStyle w:val="CharSectno"/>
        </w:rPr>
        <w:t>27</w:t>
      </w:r>
      <w:r>
        <w:t>.</w:t>
      </w:r>
      <w:r>
        <w:tab/>
        <w:t>Prescribed circumstances where Minister may suspend or cancel a licence (Act Sch. 1 cl. 25)</w:t>
      </w:r>
      <w:bookmarkEnd w:id="42"/>
    </w:p>
    <w:p>
      <w:pPr>
        <w:pStyle w:val="Subsection"/>
      </w:pPr>
      <w:r>
        <w:tab/>
        <w:t>(1)</w:t>
      </w:r>
      <w:r>
        <w:tab/>
        <w:t>For the purpose of clause 25(2)(g) of Schedule 1 to the Act, the circumstances to which subregulation (2) applies are circumstances where the Minister may suspend or cancel a licence under clause 25(1) of that Schedule.</w:t>
      </w:r>
    </w:p>
    <w:p>
      <w:pPr>
        <w:pStyle w:val="Subsection"/>
      </w:pPr>
      <w:r>
        <w:tab/>
        <w:t>(2)</w:t>
      </w:r>
      <w:r>
        <w:tab/>
        <w:t xml:space="preserve">This subregulation applies to the circumstances that, in the opinion of the Minister, in making a decision to grant a licence to the licensee, the Minister has relied on information that the licensee supplied to the Minister — </w:t>
      </w:r>
    </w:p>
    <w:p>
      <w:pPr>
        <w:pStyle w:val="Indenta"/>
      </w:pPr>
      <w:r>
        <w:tab/>
        <w:t>(a)</w:t>
      </w:r>
      <w:r>
        <w:tab/>
        <w:t>that the licensee knew to be false or misleading in a material particular;</w:t>
      </w:r>
    </w:p>
    <w:p>
      <w:pPr>
        <w:pStyle w:val="Indenta"/>
      </w:pPr>
      <w:r>
        <w:tab/>
        <w:t>(b)</w:t>
      </w:r>
      <w:r>
        <w:tab/>
        <w:t>that was false in a material particular and was supplied with reckless disregard as to whether the information was false or misleading in a material particular; or</w:t>
      </w:r>
    </w:p>
    <w:p>
      <w:pPr>
        <w:pStyle w:val="Indenta"/>
      </w:pPr>
      <w:r>
        <w:tab/>
        <w:t>(c)</w:t>
      </w:r>
      <w:r>
        <w:tab/>
        <w:t>that omitted some information without which the information supplied was, to the licensee’s knowledge, misleading in a material particular.</w:t>
      </w:r>
    </w:p>
    <w:p>
      <w:pPr>
        <w:pStyle w:val="Footnotesection"/>
      </w:pPr>
      <w:r>
        <w:tab/>
        <w:t>[Regulation 27 amended by Gazette 23 Jun 2009 p. 2495</w:t>
      </w:r>
      <w:r>
        <w:noBreakHyphen/>
        <w:t>6.]</w:t>
      </w:r>
    </w:p>
    <w:p>
      <w:pPr>
        <w:pStyle w:val="Heading5"/>
      </w:pPr>
      <w:bookmarkStart w:id="43" w:name="_Toc528669815"/>
      <w:r>
        <w:rPr>
          <w:rStyle w:val="CharSectno"/>
        </w:rPr>
        <w:t>28</w:t>
      </w:r>
      <w:r>
        <w:t>.</w:t>
      </w:r>
      <w:r>
        <w:tab/>
        <w:t>Application for approval to transfer licence, water entitlement or agreement, submissions and responses about (Act Sch. 1 cl. 35)</w:t>
      </w:r>
      <w:bookmarkEnd w:id="43"/>
    </w:p>
    <w:p>
      <w:pPr>
        <w:pStyle w:val="Subsection"/>
      </w:pPr>
      <w:r>
        <w:tab/>
        <w:t>(1)</w:t>
      </w:r>
      <w:r>
        <w:tab/>
        <w:t>A submission under clause 35(3) of Schedule 1 to the Act must be made within 30 days after the person making the submission received notice of the application under that clause.</w:t>
      </w:r>
    </w:p>
    <w:p>
      <w:pPr>
        <w:pStyle w:val="Subsection"/>
      </w:pPr>
      <w:r>
        <w:tab/>
        <w:t>(2)</w:t>
      </w:r>
      <w:r>
        <w:tab/>
        <w:t>For the purpose of clause 35(5) of Schedule 1 to the Act, a response under clause 35(4) of that Schedule must be made within 14 days after the relevant material is given to the applicant.</w:t>
      </w:r>
    </w:p>
    <w:p>
      <w:pPr>
        <w:pStyle w:val="Footnotesection"/>
      </w:pPr>
      <w:r>
        <w:tab/>
        <w:t>[Regulation 28 amended by Gazette 22 Jun 2007 p. 2880 (disallowed, see Gazette 27 Nov 2007 p. 5910); 28 Dec 2007 p. 6428 (disallowed, see Gazette 11 Apr 2008 p. 1396).]</w:t>
      </w:r>
    </w:p>
    <w:p>
      <w:pPr>
        <w:pStyle w:val="Heading5"/>
      </w:pPr>
      <w:bookmarkStart w:id="44" w:name="_Toc528669816"/>
      <w:r>
        <w:rPr>
          <w:rStyle w:val="CharSectno"/>
        </w:rPr>
        <w:t>29</w:t>
      </w:r>
      <w:r>
        <w:t>.</w:t>
      </w:r>
      <w:r>
        <w:tab/>
        <w:t>Licensee to return licence on suspension and cancellation</w:t>
      </w:r>
      <w:bookmarkEnd w:id="44"/>
    </w:p>
    <w:p>
      <w:pPr>
        <w:pStyle w:val="Subsection"/>
      </w:pPr>
      <w:r>
        <w:tab/>
      </w:r>
      <w:r>
        <w:tab/>
        <w:t xml:space="preserve">A licensee must, within 7 days of receiving notice from the Minister that a licence held by the licensee is suspended or cancelled under clause 25 of Schedule 1 to the Act, give the licence to the Minister — </w:t>
      </w:r>
    </w:p>
    <w:p>
      <w:pPr>
        <w:pStyle w:val="Indenta"/>
      </w:pPr>
      <w:r>
        <w:tab/>
        <w:t>(a)</w:t>
      </w:r>
      <w:r>
        <w:tab/>
        <w:t>to be annotated in accordance with clause 25(3) of that Schedule if any duties are imposed by the licence; or</w:t>
      </w:r>
    </w:p>
    <w:p>
      <w:pPr>
        <w:pStyle w:val="Indenta"/>
        <w:keepNext/>
      </w:pPr>
      <w:r>
        <w:tab/>
        <w:t>(b)</w:t>
      </w:r>
      <w:r>
        <w:tab/>
        <w:t xml:space="preserve">if no duties are imposed by the licence and the licence is — </w:t>
      </w:r>
    </w:p>
    <w:p>
      <w:pPr>
        <w:pStyle w:val="Indenti"/>
      </w:pPr>
      <w:r>
        <w:tab/>
        <w:t>(i)</w:t>
      </w:r>
      <w:r>
        <w:tab/>
        <w:t>suspended, to be retained by the Minister until the suspension no longer applies; and</w:t>
      </w:r>
    </w:p>
    <w:p>
      <w:pPr>
        <w:pStyle w:val="Indenti"/>
      </w:pPr>
      <w:r>
        <w:tab/>
        <w:t>(ii)</w:t>
      </w:r>
      <w:r>
        <w:tab/>
        <w:t>cancelled, to be retained by the Minister.</w:t>
      </w:r>
    </w:p>
    <w:p>
      <w:pPr>
        <w:pStyle w:val="Penstart"/>
      </w:pPr>
      <w:r>
        <w:tab/>
        <w:t>Penalty: $2 000.</w:t>
      </w:r>
    </w:p>
    <w:p>
      <w:pPr>
        <w:pStyle w:val="Footnotesection"/>
      </w:pPr>
      <w:r>
        <w:tab/>
        <w:t>[Regulation 29 amended by Gazette 23 Jun 2009 p. 2495</w:t>
      </w:r>
      <w:r>
        <w:noBreakHyphen/>
        <w:t>6.]</w:t>
      </w:r>
    </w:p>
    <w:p>
      <w:pPr>
        <w:pStyle w:val="Heading5"/>
      </w:pPr>
      <w:bookmarkStart w:id="45" w:name="_Toc528669817"/>
      <w:r>
        <w:rPr>
          <w:rStyle w:val="CharSectno"/>
        </w:rPr>
        <w:t>30</w:t>
      </w:r>
      <w:r>
        <w:t>.</w:t>
      </w:r>
      <w:r>
        <w:tab/>
        <w:t>Licence to be provided to Minister in certain cases (Act Sch. 1 cl. 23, 24 and 32)</w:t>
      </w:r>
      <w:bookmarkEnd w:id="45"/>
    </w:p>
    <w:p>
      <w:pPr>
        <w:pStyle w:val="Subsection"/>
      </w:pPr>
      <w:r>
        <w:tab/>
        <w:t>(1)</w:t>
      </w:r>
      <w:r>
        <w:tab/>
        <w:t>An application for approval of a transfer a licence, water entitlement or agreement referred to in clause 30 of Schedule 1 to the Act under clause 32 of that Schedule, is to be accompanied by each licence relevant to the transfer.</w:t>
      </w:r>
    </w:p>
    <w:p>
      <w:pPr>
        <w:pStyle w:val="Subsection"/>
      </w:pPr>
      <w:r>
        <w:tab/>
        <w:t>(2)</w:t>
      </w:r>
      <w:r>
        <w:tab/>
        <w:t>An application for the amendment of a licence under clause 23 of Schedule 1 to the Act is to be accompanied by the licence.</w:t>
      </w:r>
    </w:p>
    <w:p>
      <w:pPr>
        <w:pStyle w:val="Subsection"/>
      </w:pPr>
      <w:r>
        <w:tab/>
        <w:t>(3)</w:t>
      </w:r>
      <w:r>
        <w:tab/>
        <w:t>A licensee must, within 7 days of receiving notice from the Minister that a licence held by the licensee is to be amended under clause 24 of Schedule 1 to the Act give that licence to the Minister for the endorsement of the amendment.</w:t>
      </w:r>
    </w:p>
    <w:p>
      <w:pPr>
        <w:pStyle w:val="Footnotesection"/>
      </w:pPr>
      <w:r>
        <w:tab/>
        <w:t>[Regulation 30 amended by Gazette 23 Jun 2009 p. 2495</w:t>
      </w:r>
      <w:r>
        <w:noBreakHyphen/>
        <w:t>6.]</w:t>
      </w:r>
    </w:p>
    <w:p>
      <w:pPr>
        <w:pStyle w:val="Heading5"/>
      </w:pPr>
      <w:bookmarkStart w:id="46" w:name="_Toc528669818"/>
      <w:r>
        <w:rPr>
          <w:rStyle w:val="CharSectno"/>
        </w:rPr>
        <w:t>31</w:t>
      </w:r>
      <w:r>
        <w:t>.</w:t>
      </w:r>
      <w:r>
        <w:tab/>
        <w:t>Evidence</w:t>
      </w:r>
      <w:bookmarkEnd w:id="46"/>
    </w:p>
    <w:p>
      <w:pPr>
        <w:pStyle w:val="Subsection"/>
      </w:pPr>
      <w:r>
        <w:tab/>
      </w:r>
      <w:r>
        <w:tab/>
        <w:t xml:space="preserve">In proceedings for an offence under the Act, an averment that — </w:t>
      </w:r>
    </w:p>
    <w:p>
      <w:pPr>
        <w:pStyle w:val="Indenta"/>
      </w:pPr>
      <w:r>
        <w:tab/>
        <w:t>(a)</w:t>
      </w:r>
      <w:r>
        <w:tab/>
        <w:t>a licence under this Act was given, or was given to a specified person or at a specified time;</w:t>
      </w:r>
    </w:p>
    <w:p>
      <w:pPr>
        <w:pStyle w:val="Indenta"/>
      </w:pPr>
      <w:r>
        <w:tab/>
        <w:t>(b)</w:t>
      </w:r>
      <w:r>
        <w:tab/>
        <w:t>that a specified person is the licence holder of a particular licence or permit; or</w:t>
      </w:r>
    </w:p>
    <w:p>
      <w:pPr>
        <w:pStyle w:val="Indenta"/>
      </w:pPr>
      <w:r>
        <w:tab/>
        <w:t>(c)</w:t>
      </w:r>
      <w:r>
        <w:tab/>
        <w:t>an instrument, within the meaning of section 26GZH, is registered under Part III Division 3E of the Act or was registered at a specified time,</w:t>
      </w:r>
    </w:p>
    <w:p>
      <w:pPr>
        <w:pStyle w:val="Subsection"/>
      </w:pPr>
      <w:r>
        <w:tab/>
      </w:r>
      <w:r>
        <w:tab/>
        <w:t>is to be taken to have been proved unless the contrary is shown.</w:t>
      </w:r>
    </w:p>
    <w:p>
      <w:pPr>
        <w:pStyle w:val="Heading2"/>
      </w:pPr>
      <w:bookmarkStart w:id="47" w:name="_Toc493168649"/>
      <w:bookmarkStart w:id="48" w:name="_Toc493233799"/>
      <w:bookmarkStart w:id="49" w:name="_Toc506886854"/>
      <w:bookmarkStart w:id="50" w:name="_Toc528669086"/>
      <w:bookmarkStart w:id="51" w:name="_Toc528669819"/>
      <w:r>
        <w:rPr>
          <w:rStyle w:val="CharPartNo"/>
        </w:rPr>
        <w:t>Part 4</w:t>
      </w:r>
      <w:r>
        <w:rPr>
          <w:rStyle w:val="CharDivNo"/>
        </w:rPr>
        <w:t xml:space="preserve"> </w:t>
      </w:r>
      <w:r>
        <w:t>—</w:t>
      </w:r>
      <w:r>
        <w:rPr>
          <w:rStyle w:val="CharDivText"/>
        </w:rPr>
        <w:t xml:space="preserve"> </w:t>
      </w:r>
      <w:r>
        <w:rPr>
          <w:rStyle w:val="CharPartText"/>
        </w:rPr>
        <w:t>Licences under section 26D regarding wells</w:t>
      </w:r>
      <w:bookmarkEnd w:id="47"/>
      <w:bookmarkEnd w:id="48"/>
      <w:bookmarkEnd w:id="49"/>
      <w:bookmarkEnd w:id="50"/>
      <w:bookmarkEnd w:id="51"/>
    </w:p>
    <w:p>
      <w:pPr>
        <w:pStyle w:val="Heading5"/>
      </w:pPr>
      <w:bookmarkStart w:id="52" w:name="_Toc528669820"/>
      <w:r>
        <w:rPr>
          <w:rStyle w:val="CharSectno"/>
        </w:rPr>
        <w:t>32</w:t>
      </w:r>
      <w:r>
        <w:t>.</w:t>
      </w:r>
      <w:r>
        <w:tab/>
        <w:t>Terms used</w:t>
      </w:r>
      <w:bookmarkEnd w:id="52"/>
    </w:p>
    <w:p>
      <w:pPr>
        <w:pStyle w:val="Subsection"/>
      </w:pPr>
      <w:r>
        <w:tab/>
      </w:r>
      <w:r>
        <w:tab/>
        <w:t xml:space="preserve">In this Part, unless the context otherwise requires — </w:t>
      </w:r>
    </w:p>
    <w:p>
      <w:pPr>
        <w:pStyle w:val="Defstart"/>
      </w:pPr>
      <w:r>
        <w:tab/>
      </w:r>
      <w:r>
        <w:rPr>
          <w:rStyle w:val="CharDefText"/>
        </w:rPr>
        <w:t>licence</w:t>
      </w:r>
      <w:r>
        <w:t xml:space="preserve"> means a licence under section 26D;</w:t>
      </w:r>
    </w:p>
    <w:p>
      <w:pPr>
        <w:pStyle w:val="Defstart"/>
      </w:pPr>
      <w:r>
        <w:tab/>
      </w:r>
      <w:r>
        <w:rPr>
          <w:rStyle w:val="CharDefText"/>
        </w:rPr>
        <w:t>well</w:t>
      </w:r>
      <w:r>
        <w:t xml:space="preserve"> means  — </w:t>
      </w:r>
    </w:p>
    <w:p>
      <w:pPr>
        <w:pStyle w:val="Defpara"/>
      </w:pPr>
      <w:r>
        <w:tab/>
        <w:t>(a)</w:t>
      </w:r>
      <w:r>
        <w:tab/>
        <w:t>an artesian well; and</w:t>
      </w:r>
    </w:p>
    <w:p>
      <w:pPr>
        <w:pStyle w:val="Defpara"/>
      </w:pPr>
      <w:r>
        <w:tab/>
        <w:t>(b)</w:t>
      </w:r>
      <w:r>
        <w:tab/>
        <w:t>a non</w:t>
      </w:r>
      <w:r>
        <w:noBreakHyphen/>
        <w:t>artesian well for which a licence is required under section 26B(3)(c).</w:t>
      </w:r>
    </w:p>
    <w:p>
      <w:pPr>
        <w:pStyle w:val="Heading5"/>
      </w:pPr>
      <w:bookmarkStart w:id="53" w:name="_Toc528669821"/>
      <w:r>
        <w:rPr>
          <w:rStyle w:val="CharSectno"/>
        </w:rPr>
        <w:t>33</w:t>
      </w:r>
      <w:r>
        <w:t>.</w:t>
      </w:r>
      <w:r>
        <w:tab/>
        <w:t>Applications for licences</w:t>
      </w:r>
      <w:bookmarkEnd w:id="53"/>
    </w:p>
    <w:p>
      <w:pPr>
        <w:pStyle w:val="Subsection"/>
      </w:pPr>
      <w:r>
        <w:tab/>
        <w:t>(1)</w:t>
      </w:r>
      <w:r>
        <w:tab/>
        <w:t>An application for a licence is to be in the form of Form 1.</w:t>
      </w:r>
    </w:p>
    <w:p>
      <w:pPr>
        <w:pStyle w:val="Subsection"/>
      </w:pPr>
      <w:r>
        <w:tab/>
        <w:t>(2)</w:t>
      </w:r>
      <w:r>
        <w:tab/>
        <w:t xml:space="preserve">An application is to be accompanied by — </w:t>
      </w:r>
    </w:p>
    <w:p>
      <w:pPr>
        <w:pStyle w:val="Indenta"/>
      </w:pPr>
      <w:r>
        <w:tab/>
        <w:t>(a)</w:t>
      </w:r>
      <w:r>
        <w:tab/>
        <w:t>a plan or tracing of a plan, drawn to scale, and having bearings, distances, measurements or Australian mapping grid co</w:t>
      </w:r>
      <w:r>
        <w:noBreakHyphen/>
        <w:t>ordinates marked on it so that the geographical location of the well, or proposed well, can be accurately ascertained;</w:t>
      </w:r>
    </w:p>
    <w:p>
      <w:pPr>
        <w:pStyle w:val="Indenta"/>
      </w:pPr>
      <w:r>
        <w:tab/>
        <w:t>(b)</w:t>
      </w:r>
      <w:r>
        <w:tab/>
        <w:t>the specifications of the construction of the well; and</w:t>
      </w:r>
    </w:p>
    <w:p>
      <w:pPr>
        <w:pStyle w:val="Indenta"/>
      </w:pPr>
      <w:r>
        <w:tab/>
        <w:t>(c)</w:t>
      </w:r>
      <w:r>
        <w:tab/>
        <w:t>a statement setting out the purposes for which it is proposed to construct the well, with particulars of the types of use to which any water taken from the well is proposed to be put.</w:t>
      </w:r>
    </w:p>
    <w:p>
      <w:pPr>
        <w:pStyle w:val="Subsection"/>
      </w:pPr>
      <w:r>
        <w:tab/>
        <w:t>(3)</w:t>
      </w:r>
      <w:r>
        <w:tab/>
        <w:t>The plan, specification and statement accompanying an application are to be signed by the applicant and are to be dated.</w:t>
      </w:r>
    </w:p>
    <w:p>
      <w:pPr>
        <w:pStyle w:val="Footnotesection"/>
      </w:pPr>
      <w:r>
        <w:tab/>
        <w:t>[Regulation 33 amended by Gazette 22 Jun 2007 p. 2881 (disallowed, see Gazette 27 Nov 2007 p. 5910); 28 Dec 2007 p. 6428 (disallowed, see Gazette 11 Apr 2008 p. 1396).]</w:t>
      </w:r>
    </w:p>
    <w:p>
      <w:pPr>
        <w:pStyle w:val="Heading5"/>
      </w:pPr>
      <w:bookmarkStart w:id="54" w:name="_Toc528669822"/>
      <w:r>
        <w:rPr>
          <w:rStyle w:val="CharSectno"/>
        </w:rPr>
        <w:t>34</w:t>
      </w:r>
      <w:r>
        <w:t>.</w:t>
      </w:r>
      <w:r>
        <w:tab/>
        <w:t>Applicant may make representations to Minister in some cases</w:t>
      </w:r>
      <w:bookmarkEnd w:id="54"/>
    </w:p>
    <w:p>
      <w:pPr>
        <w:pStyle w:val="Subsection"/>
        <w:keepNext/>
      </w:pPr>
      <w:r>
        <w:tab/>
        <w:t>(1)</w:t>
      </w:r>
      <w:r>
        <w:tab/>
        <w:t xml:space="preserve">This regulation applies where the Minister proposes — </w:t>
      </w:r>
    </w:p>
    <w:p>
      <w:pPr>
        <w:pStyle w:val="Indenta"/>
      </w:pPr>
      <w:r>
        <w:tab/>
        <w:t>(a)</w:t>
      </w:r>
      <w:r>
        <w:tab/>
        <w:t>to refuse an application for a licence;</w:t>
      </w:r>
    </w:p>
    <w:p>
      <w:pPr>
        <w:pStyle w:val="Indenta"/>
      </w:pPr>
      <w:r>
        <w:tab/>
        <w:t>(b)</w:t>
      </w:r>
      <w:r>
        <w:tab/>
        <w:t>to grant, or undertake to grant, a licence subject to the inclusion of a term, limitation or condition that the Minister considers is inconsistent with the terms of the application; or</w:t>
      </w:r>
    </w:p>
    <w:p>
      <w:pPr>
        <w:pStyle w:val="Indenta"/>
      </w:pPr>
      <w:r>
        <w:tab/>
        <w:t>(c)</w:t>
      </w:r>
      <w:r>
        <w:tab/>
        <w:t>to grant, or undertake to grant, a licence subject to an alteration to, or in connection with, the proposed work or the plans or specifications.</w:t>
      </w:r>
    </w:p>
    <w:p>
      <w:pPr>
        <w:pStyle w:val="Subsection"/>
      </w:pPr>
      <w:r>
        <w:tab/>
        <w:t>(2)</w:t>
      </w:r>
      <w:r>
        <w:tab/>
        <w:t xml:space="preserve">The Minister is to notify the applicant — </w:t>
      </w:r>
    </w:p>
    <w:p>
      <w:pPr>
        <w:pStyle w:val="Indenta"/>
      </w:pPr>
      <w:r>
        <w:tab/>
        <w:t>(a)</w:t>
      </w:r>
      <w:r>
        <w:tab/>
        <w:t>of the proposal; and</w:t>
      </w:r>
    </w:p>
    <w:p>
      <w:pPr>
        <w:pStyle w:val="Indenta"/>
      </w:pPr>
      <w:r>
        <w:tab/>
        <w:t>(b)</w:t>
      </w:r>
      <w:r>
        <w:tab/>
        <w:t>that the applicant has a right to be heard by, or to make written submissions to, the Minister before the Minister makes a decision on the application.</w:t>
      </w:r>
    </w:p>
    <w:p>
      <w:pPr>
        <w:pStyle w:val="Subsection"/>
      </w:pPr>
      <w:r>
        <w:tab/>
        <w:t>(3)</w:t>
      </w:r>
      <w:r>
        <w:tab/>
        <w:t>Written submissions may be made by the applicant, as mentioned in subregulation (2)(b), within 30 days after the applicant is given notice under that subregulation.</w:t>
      </w:r>
    </w:p>
    <w:p>
      <w:pPr>
        <w:pStyle w:val="Footnotesection"/>
      </w:pPr>
      <w:r>
        <w:tab/>
        <w:t>[Regulation 34 amended by Gazette 23 Jun 2009 p. 2495</w:t>
      </w:r>
      <w:r>
        <w:noBreakHyphen/>
        <w:t>6 and 2497-8.]</w:t>
      </w:r>
    </w:p>
    <w:p>
      <w:pPr>
        <w:pStyle w:val="Heading5"/>
      </w:pPr>
      <w:bookmarkStart w:id="55" w:name="_Toc528669823"/>
      <w:r>
        <w:rPr>
          <w:rStyle w:val="CharSectno"/>
        </w:rPr>
        <w:t>35</w:t>
      </w:r>
      <w:r>
        <w:t>.</w:t>
      </w:r>
      <w:r>
        <w:tab/>
        <w:t>Deciding applications</w:t>
      </w:r>
      <w:bookmarkEnd w:id="55"/>
    </w:p>
    <w:p>
      <w:pPr>
        <w:pStyle w:val="Subsection"/>
      </w:pPr>
      <w:r>
        <w:tab/>
        <w:t>(1)</w:t>
      </w:r>
      <w:r>
        <w:tab/>
        <w:t>The grant or refusal of an application for a licence and the terms, limitations and conditions to be included in the licence are, subject to regulation 36, at the discretion of the Minister.</w:t>
      </w:r>
    </w:p>
    <w:p>
      <w:pPr>
        <w:pStyle w:val="Subsection"/>
      </w:pPr>
      <w:r>
        <w:tab/>
        <w:t>(2)</w:t>
      </w:r>
      <w:r>
        <w:tab/>
        <w:t xml:space="preserve">In exercising that discretion the Minister is to have regard to all matters that the Minister considers relevant, including whether the construction or action proposed in the application — </w:t>
      </w:r>
    </w:p>
    <w:p>
      <w:pPr>
        <w:pStyle w:val="Indenta"/>
      </w:pPr>
      <w:r>
        <w:tab/>
        <w:t>(a)</w:t>
      </w:r>
      <w:r>
        <w:tab/>
        <w:t>is in the public interest;</w:t>
      </w:r>
    </w:p>
    <w:p>
      <w:pPr>
        <w:pStyle w:val="Indenta"/>
      </w:pPr>
      <w:r>
        <w:tab/>
        <w:t>(b)</w:t>
      </w:r>
      <w:r>
        <w:tab/>
        <w:t>is ecologically sustainable;</w:t>
      </w:r>
    </w:p>
    <w:p>
      <w:pPr>
        <w:pStyle w:val="Indenta"/>
      </w:pPr>
      <w:r>
        <w:tab/>
        <w:t>(c)</w:t>
      </w:r>
      <w:r>
        <w:tab/>
        <w:t>is environmentally acceptable;</w:t>
      </w:r>
    </w:p>
    <w:p>
      <w:pPr>
        <w:pStyle w:val="Indenta"/>
      </w:pPr>
      <w:r>
        <w:tab/>
        <w:t>(d)</w:t>
      </w:r>
      <w:r>
        <w:tab/>
        <w:t>may prejudice other current and future needs for water;</w:t>
      </w:r>
    </w:p>
    <w:p>
      <w:pPr>
        <w:pStyle w:val="Indenta"/>
      </w:pPr>
      <w:r>
        <w:tab/>
        <w:t>(e)</w:t>
      </w:r>
      <w:r>
        <w:tab/>
        <w:t>would, in the opinion of the Minister, have a detrimental effect on another person;</w:t>
      </w:r>
    </w:p>
    <w:p>
      <w:pPr>
        <w:pStyle w:val="Indenta"/>
      </w:pPr>
      <w:r>
        <w:tab/>
        <w:t>(f)</w:t>
      </w:r>
      <w:r>
        <w:tab/>
        <w:t xml:space="preserve">is in keeping with — </w:t>
      </w:r>
    </w:p>
    <w:p>
      <w:pPr>
        <w:pStyle w:val="Indenti"/>
      </w:pPr>
      <w:r>
        <w:tab/>
        <w:t>(i)</w:t>
      </w:r>
      <w:r>
        <w:tab/>
        <w:t>local practices;</w:t>
      </w:r>
    </w:p>
    <w:p>
      <w:pPr>
        <w:pStyle w:val="Indenti"/>
      </w:pPr>
      <w:r>
        <w:tab/>
        <w:t>(ii)</w:t>
      </w:r>
      <w:r>
        <w:tab/>
        <w:t>a relevant local by</w:t>
      </w:r>
      <w:r>
        <w:noBreakHyphen/>
        <w:t>law;</w:t>
      </w:r>
    </w:p>
    <w:p>
      <w:pPr>
        <w:pStyle w:val="Indenti"/>
      </w:pPr>
      <w:r>
        <w:tab/>
        <w:t>(iii)</w:t>
      </w:r>
      <w:r>
        <w:tab/>
        <w:t>a plan approved under Part III Division 3D Subdivision 2 of the Act; or</w:t>
      </w:r>
    </w:p>
    <w:p>
      <w:pPr>
        <w:pStyle w:val="Indenti"/>
      </w:pPr>
      <w:r>
        <w:tab/>
        <w:t>(iv)</w:t>
      </w:r>
      <w:r>
        <w:tab/>
        <w:t>relevant previous decisions in relation to such applications;</w:t>
      </w:r>
    </w:p>
    <w:p>
      <w:pPr>
        <w:pStyle w:val="Indenta"/>
      </w:pPr>
      <w:r>
        <w:tab/>
      </w:r>
      <w:r>
        <w:tab/>
        <w:t>or</w:t>
      </w:r>
    </w:p>
    <w:p>
      <w:pPr>
        <w:pStyle w:val="Indenta"/>
      </w:pPr>
      <w:r>
        <w:tab/>
        <w:t>(g)</w:t>
      </w:r>
      <w:r>
        <w:tab/>
        <w:t xml:space="preserve">is consistent with — </w:t>
      </w:r>
    </w:p>
    <w:p>
      <w:pPr>
        <w:pStyle w:val="Indenti"/>
      </w:pPr>
      <w:r>
        <w:tab/>
        <w:t>(i)</w:t>
      </w:r>
      <w:r>
        <w:tab/>
        <w:t>land use planning instruments;</w:t>
      </w:r>
    </w:p>
    <w:p>
      <w:pPr>
        <w:pStyle w:val="Indenti"/>
      </w:pPr>
      <w:r>
        <w:tab/>
        <w:t>(ii)</w:t>
      </w:r>
      <w:r>
        <w:tab/>
        <w:t>the requirements and policies of other government agencies; or</w:t>
      </w:r>
    </w:p>
    <w:p>
      <w:pPr>
        <w:pStyle w:val="Indenti"/>
      </w:pPr>
      <w:r>
        <w:tab/>
        <w:t>(iii)</w:t>
      </w:r>
      <w:r>
        <w:tab/>
        <w:t>any intergovernmental agreement or arrangement.</w:t>
      </w:r>
    </w:p>
    <w:p>
      <w:pPr>
        <w:pStyle w:val="Subsection"/>
      </w:pPr>
      <w:r>
        <w:tab/>
        <w:t>(3)</w:t>
      </w:r>
      <w:r>
        <w:tab/>
        <w:t xml:space="preserve">The Minister is not to have regard to the safety of — </w:t>
      </w:r>
    </w:p>
    <w:p>
      <w:pPr>
        <w:pStyle w:val="Indenta"/>
      </w:pPr>
      <w:r>
        <w:tab/>
        <w:t>(a)</w:t>
      </w:r>
      <w:r>
        <w:tab/>
        <w:t xml:space="preserve">the design; or </w:t>
      </w:r>
    </w:p>
    <w:p>
      <w:pPr>
        <w:pStyle w:val="Indenta"/>
      </w:pPr>
      <w:r>
        <w:tab/>
        <w:t>(b)</w:t>
      </w:r>
      <w:r>
        <w:tab/>
        <w:t>the method of construction, or operation,</w:t>
      </w:r>
    </w:p>
    <w:p>
      <w:pPr>
        <w:pStyle w:val="Subsection"/>
      </w:pPr>
      <w:r>
        <w:tab/>
      </w:r>
      <w:r>
        <w:tab/>
        <w:t>of the well or works to the well that would be authorised by the licence.</w:t>
      </w:r>
    </w:p>
    <w:p>
      <w:pPr>
        <w:pStyle w:val="Subsection"/>
      </w:pPr>
      <w:r>
        <w:tab/>
        <w:t>(4)</w:t>
      </w:r>
      <w:r>
        <w:tab/>
        <w:t>The Minister is to have regard to any submissions made by the applicant under regulation 34(3) before making the final decision.</w:t>
      </w:r>
    </w:p>
    <w:p>
      <w:pPr>
        <w:pStyle w:val="Subsection"/>
      </w:pPr>
      <w:r>
        <w:tab/>
        <w:t>(5)</w:t>
      </w:r>
      <w:r>
        <w:tab/>
        <w:t>The Minister may refuse to grant a licence to a person on the ground that the person has been convicted of an offence against a relevant Act.</w:t>
      </w:r>
    </w:p>
    <w:p>
      <w:pPr>
        <w:pStyle w:val="Subsection"/>
        <w:keepNext/>
        <w:keepLines/>
      </w:pPr>
      <w:r>
        <w:tab/>
        <w:t>(6)</w:t>
      </w:r>
      <w:r>
        <w:tab/>
        <w:t>The Minister may refuse to grant a licence to a person if not satisfied that the person has the resources, including the financial resources, to carry out the activities to which the licence relates.</w:t>
      </w:r>
    </w:p>
    <w:p>
      <w:pPr>
        <w:pStyle w:val="Footnotesection"/>
      </w:pPr>
      <w:r>
        <w:tab/>
        <w:t>[Regulation 35 amended by Gazette 23 Jun 2009 p. 2495-7 and 2497</w:t>
      </w:r>
      <w:r>
        <w:noBreakHyphen/>
        <w:t>8.]</w:t>
      </w:r>
    </w:p>
    <w:p>
      <w:pPr>
        <w:pStyle w:val="Heading5"/>
      </w:pPr>
      <w:bookmarkStart w:id="56" w:name="_Toc528669824"/>
      <w:r>
        <w:rPr>
          <w:rStyle w:val="CharSectno"/>
        </w:rPr>
        <w:t>36</w:t>
      </w:r>
      <w:r>
        <w:t>.</w:t>
      </w:r>
      <w:r>
        <w:tab/>
        <w:t>When Minister must refuse licence; Minister may undertake to grant licence in some cases</w:t>
      </w:r>
      <w:bookmarkEnd w:id="56"/>
    </w:p>
    <w:p>
      <w:pPr>
        <w:pStyle w:val="Subsection"/>
      </w:pPr>
      <w:r>
        <w:tab/>
        <w:t>(1)</w:t>
      </w:r>
      <w:r>
        <w:tab/>
        <w:t>The Minister must refuse to grant a licence to a person if the Minister considers that the person would not be willing or able to comply with the terms, limitations and conditions that would be included in the licence.</w:t>
      </w:r>
    </w:p>
    <w:p>
      <w:pPr>
        <w:pStyle w:val="Subsection"/>
      </w:pPr>
      <w:r>
        <w:tab/>
        <w:t>(2)</w:t>
      </w:r>
      <w:r>
        <w:tab/>
        <w:t>If the Minister would grant a licence to an applicant if the applicant satisfies the Minister as to a matter, relevant to the grant of a licence under this Part, specified by the Minister, the Minister may undertake to grant the licence to the person if the person so satisfies the Minister within the term specified in the undertaking.</w:t>
      </w:r>
    </w:p>
    <w:p>
      <w:pPr>
        <w:pStyle w:val="Footnotesection"/>
      </w:pPr>
      <w:r>
        <w:tab/>
        <w:t>[Regulation 36 amended by Gazette 23 Jun 2009 p. 2495</w:t>
      </w:r>
      <w:r>
        <w:noBreakHyphen/>
        <w:t>7 and 2497</w:t>
      </w:r>
      <w:r>
        <w:noBreakHyphen/>
        <w:t>8.]</w:t>
      </w:r>
    </w:p>
    <w:p>
      <w:pPr>
        <w:pStyle w:val="Heading5"/>
      </w:pPr>
      <w:bookmarkStart w:id="57" w:name="_Toc528669825"/>
      <w:r>
        <w:rPr>
          <w:rStyle w:val="CharSectno"/>
        </w:rPr>
        <w:t>37</w:t>
      </w:r>
      <w:r>
        <w:t>.</w:t>
      </w:r>
      <w:r>
        <w:tab/>
        <w:t>Minister to notify applicant of decision etc.</w:t>
      </w:r>
      <w:bookmarkEnd w:id="57"/>
    </w:p>
    <w:p>
      <w:pPr>
        <w:pStyle w:val="Subsection"/>
      </w:pPr>
      <w:r>
        <w:tab/>
        <w:t>(1)</w:t>
      </w:r>
      <w:r>
        <w:tab/>
        <w:t>The Minister is to notify the outcome of the application and the terms, limitations and conditions to be included in the licence to the applicant.</w:t>
      </w:r>
    </w:p>
    <w:p>
      <w:pPr>
        <w:pStyle w:val="Subsection"/>
      </w:pPr>
      <w:r>
        <w:tab/>
        <w:t>(2)</w:t>
      </w:r>
      <w:r>
        <w:tab/>
        <w:t xml:space="preserve">If the Minister — </w:t>
      </w:r>
    </w:p>
    <w:p>
      <w:pPr>
        <w:pStyle w:val="Indenta"/>
      </w:pPr>
      <w:r>
        <w:tab/>
        <w:t>(a)</w:t>
      </w:r>
      <w:r>
        <w:tab/>
        <w:t>refuses the application;</w:t>
      </w:r>
    </w:p>
    <w:p>
      <w:pPr>
        <w:pStyle w:val="Indenta"/>
      </w:pPr>
      <w:r>
        <w:tab/>
        <w:t>(b)</w:t>
      </w:r>
      <w:r>
        <w:tab/>
        <w:t>grants, or undertakes to grant, the application subject to the inclusion of a term, limitation or condition that the Minister considers is inconsistent with the terms of the application; or</w:t>
      </w:r>
    </w:p>
    <w:p>
      <w:pPr>
        <w:pStyle w:val="Indenta"/>
      </w:pPr>
      <w:r>
        <w:tab/>
        <w:t>(c)</w:t>
      </w:r>
      <w:r>
        <w:tab/>
        <w:t>grants, or undertakes to grant, a licence subject to an alteration to, or in connection with, the proposed work or the plans or specifications,</w:t>
      </w:r>
    </w:p>
    <w:p>
      <w:pPr>
        <w:pStyle w:val="Subsection"/>
      </w:pPr>
      <w:r>
        <w:tab/>
      </w:r>
      <w:r>
        <w:tab/>
        <w:t>the Minister is to notify the applicant of the reasons for the decision.</w:t>
      </w:r>
    </w:p>
    <w:p>
      <w:pPr>
        <w:pStyle w:val="Footnotesection"/>
      </w:pPr>
      <w:r>
        <w:tab/>
        <w:t>[Regulation 37 amended by Gazette 23 Jun 2009 p. 2495</w:t>
      </w:r>
      <w:r>
        <w:noBreakHyphen/>
        <w:t>7.]</w:t>
      </w:r>
    </w:p>
    <w:p>
      <w:pPr>
        <w:pStyle w:val="Heading5"/>
      </w:pPr>
      <w:bookmarkStart w:id="58" w:name="_Toc528669826"/>
      <w:r>
        <w:rPr>
          <w:rStyle w:val="CharSectno"/>
        </w:rPr>
        <w:t>38</w:t>
      </w:r>
      <w:r>
        <w:t>.</w:t>
      </w:r>
      <w:r>
        <w:tab/>
        <w:t>Information on work on artesian wells to be provided at certain times</w:t>
      </w:r>
      <w:bookmarkEnd w:id="58"/>
    </w:p>
    <w:p>
      <w:pPr>
        <w:pStyle w:val="Subsection"/>
      </w:pPr>
      <w:r>
        <w:tab/>
      </w:r>
      <w:r>
        <w:tab/>
        <w:t xml:space="preserve">A person who holds a licence in respect of an artesian well must give to the Minister information regarding the work to which the licence relates in the form approved — </w:t>
      </w:r>
    </w:p>
    <w:p>
      <w:pPr>
        <w:pStyle w:val="Indenta"/>
      </w:pPr>
      <w:r>
        <w:tab/>
        <w:t>(a)</w:t>
      </w:r>
      <w:r>
        <w:tab/>
        <w:t>within 5 days after the end of each month during which that work is being undertaken; and</w:t>
      </w:r>
    </w:p>
    <w:p>
      <w:pPr>
        <w:pStyle w:val="Indenta"/>
      </w:pPr>
      <w:r>
        <w:tab/>
        <w:t>(b)</w:t>
      </w:r>
      <w:r>
        <w:tab/>
        <w:t>within one month after the completion of that work.</w:t>
      </w:r>
    </w:p>
    <w:p>
      <w:pPr>
        <w:pStyle w:val="Footnotesection"/>
      </w:pPr>
      <w:r>
        <w:tab/>
        <w:t>[Regulation 38 amended by Gazette 23 Jun 2009 p. 2495</w:t>
      </w:r>
      <w:r>
        <w:noBreakHyphen/>
        <w:t>7.]</w:t>
      </w:r>
    </w:p>
    <w:p>
      <w:pPr>
        <w:pStyle w:val="Heading5"/>
        <w:spacing w:before="200"/>
      </w:pPr>
      <w:bookmarkStart w:id="59" w:name="_Toc528669827"/>
      <w:r>
        <w:rPr>
          <w:rStyle w:val="CharSectno"/>
        </w:rPr>
        <w:t>39</w:t>
      </w:r>
      <w:r>
        <w:t>.</w:t>
      </w:r>
      <w:r>
        <w:tab/>
        <w:t>Information on non</w:t>
      </w:r>
      <w:r>
        <w:noBreakHyphen/>
        <w:t>artesian wells prescribed (Act s. 26E)</w:t>
      </w:r>
      <w:bookmarkEnd w:id="59"/>
    </w:p>
    <w:p>
      <w:pPr>
        <w:pStyle w:val="Subsection"/>
      </w:pPr>
      <w:r>
        <w:tab/>
      </w:r>
      <w:r>
        <w:tab/>
        <w:t>Form 2 is prescribed for the purposes of section 26E and the information to be prescribed under that section is the information required to be provided in accordance with that form.</w:t>
      </w:r>
    </w:p>
    <w:p>
      <w:pPr>
        <w:pStyle w:val="Heading5"/>
        <w:spacing w:before="200"/>
      </w:pPr>
      <w:bookmarkStart w:id="60" w:name="_Toc528669828"/>
      <w:r>
        <w:rPr>
          <w:rStyle w:val="CharSectno"/>
        </w:rPr>
        <w:t>40</w:t>
      </w:r>
      <w:r>
        <w:t>.</w:t>
      </w:r>
      <w:r>
        <w:tab/>
        <w:t>Application for an amended licence (Act s. 26F(3))</w:t>
      </w:r>
      <w:bookmarkEnd w:id="60"/>
    </w:p>
    <w:p>
      <w:pPr>
        <w:pStyle w:val="Subsection"/>
      </w:pPr>
      <w:r>
        <w:tab/>
      </w:r>
      <w:r>
        <w:tab/>
        <w:t xml:space="preserve">An application for an amended licence under section 26F(3) is to be accompanied by  — </w:t>
      </w:r>
    </w:p>
    <w:p>
      <w:pPr>
        <w:pStyle w:val="Indenta"/>
      </w:pPr>
      <w:r>
        <w:tab/>
        <w:t>(a)</w:t>
      </w:r>
      <w:r>
        <w:tab/>
        <w:t>the licence;</w:t>
      </w:r>
    </w:p>
    <w:p>
      <w:pPr>
        <w:pStyle w:val="Indenta"/>
      </w:pPr>
      <w:r>
        <w:tab/>
        <w:t>(b)</w:t>
      </w:r>
      <w:r>
        <w:tab/>
        <w:t>a statement setting out the amendments required to the licence;</w:t>
      </w:r>
    </w:p>
    <w:p>
      <w:pPr>
        <w:pStyle w:val="Indenta"/>
      </w:pPr>
      <w:r>
        <w:tab/>
        <w:t>(c)</w:t>
      </w:r>
      <w:r>
        <w:tab/>
        <w:t>a statement setting out why the amendment is required.</w:t>
      </w:r>
    </w:p>
    <w:p>
      <w:pPr>
        <w:pStyle w:val="Footnotesection"/>
      </w:pPr>
      <w:r>
        <w:tab/>
        <w:t>[Regulation 40 amended by Gazette 22 Jun 2007 p. 2881 (disallowed, see Gazette 27 Nov 2007 p. 5910); 28 Dec 2007 p. 6428-9 (disallowed, see Gazette 11 Apr 2008 p. 1396).]</w:t>
      </w:r>
    </w:p>
    <w:p>
      <w:pPr>
        <w:pStyle w:val="Heading5"/>
        <w:spacing w:before="200"/>
      </w:pPr>
      <w:bookmarkStart w:id="61" w:name="_Toc528669829"/>
      <w:r>
        <w:rPr>
          <w:rStyle w:val="CharSectno"/>
        </w:rPr>
        <w:t>41</w:t>
      </w:r>
      <w:r>
        <w:t>.</w:t>
      </w:r>
      <w:r>
        <w:tab/>
        <w:t>Cancelled licence to be given to Minister</w:t>
      </w:r>
      <w:bookmarkEnd w:id="61"/>
    </w:p>
    <w:p>
      <w:pPr>
        <w:pStyle w:val="Subsection"/>
      </w:pPr>
      <w:r>
        <w:tab/>
      </w:r>
      <w:r>
        <w:tab/>
        <w:t>A licensee must, within 7 days of receiving notice from the Minister that a licence held by the licensee is cancelled under the Act, give the licence to the Minister.</w:t>
      </w:r>
    </w:p>
    <w:p>
      <w:pPr>
        <w:pStyle w:val="Penstart"/>
      </w:pPr>
      <w:r>
        <w:tab/>
        <w:t>Penalty: $2 000.</w:t>
      </w:r>
    </w:p>
    <w:p>
      <w:pPr>
        <w:pStyle w:val="Footnotesection"/>
      </w:pPr>
      <w:r>
        <w:tab/>
        <w:t>[Regulation 41 amended by Gazette 23 Jun 2009 p. 2495</w:t>
      </w:r>
      <w:r>
        <w:noBreakHyphen/>
        <w:t>7.]</w:t>
      </w:r>
    </w:p>
    <w:p>
      <w:pPr>
        <w:pStyle w:val="Heading2"/>
      </w:pPr>
      <w:bookmarkStart w:id="62" w:name="_Toc493168660"/>
      <w:bookmarkStart w:id="63" w:name="_Toc493233810"/>
      <w:bookmarkStart w:id="64" w:name="_Toc506886865"/>
      <w:bookmarkStart w:id="65" w:name="_Toc528669097"/>
      <w:bookmarkStart w:id="66" w:name="_Toc528669830"/>
      <w:r>
        <w:rPr>
          <w:rStyle w:val="CharPartNo"/>
        </w:rPr>
        <w:t>Part 4A</w:t>
      </w:r>
      <w:r>
        <w:rPr>
          <w:b w:val="0"/>
        </w:rPr>
        <w:t> </w:t>
      </w:r>
      <w:r>
        <w:t>—</w:t>
      </w:r>
      <w:r>
        <w:rPr>
          <w:b w:val="0"/>
        </w:rPr>
        <w:t> </w:t>
      </w:r>
      <w:r>
        <w:rPr>
          <w:rStyle w:val="CharPartText"/>
        </w:rPr>
        <w:t>Meters</w:t>
      </w:r>
      <w:bookmarkEnd w:id="62"/>
      <w:bookmarkEnd w:id="63"/>
      <w:bookmarkEnd w:id="64"/>
      <w:bookmarkEnd w:id="65"/>
      <w:bookmarkEnd w:id="66"/>
    </w:p>
    <w:p>
      <w:pPr>
        <w:pStyle w:val="Footnoteheading"/>
        <w:tabs>
          <w:tab w:val="left" w:pos="851"/>
        </w:tabs>
      </w:pPr>
      <w:r>
        <w:tab/>
        <w:t>[Heading inserted by Gazette 17 Dec 2002 p. 5912.]</w:t>
      </w:r>
    </w:p>
    <w:p>
      <w:pPr>
        <w:pStyle w:val="Heading5"/>
      </w:pPr>
      <w:bookmarkStart w:id="67" w:name="_Toc500247460"/>
      <w:bookmarkStart w:id="68" w:name="_Toc503513200"/>
      <w:bookmarkStart w:id="69" w:name="_Toc528669831"/>
      <w:r>
        <w:rPr>
          <w:rStyle w:val="CharSectno"/>
        </w:rPr>
        <w:t>41A</w:t>
      </w:r>
      <w:r>
        <w:t>.</w:t>
      </w:r>
      <w:r>
        <w:tab/>
        <w:t>Terms used</w:t>
      </w:r>
      <w:bookmarkEnd w:id="67"/>
      <w:bookmarkEnd w:id="68"/>
      <w:bookmarkEnd w:id="69"/>
    </w:p>
    <w:p>
      <w:pPr>
        <w:pStyle w:val="Subsection"/>
      </w:pPr>
      <w:r>
        <w:tab/>
      </w:r>
      <w:r>
        <w:tab/>
        <w:t xml:space="preserve">In this Part — </w:t>
      </w:r>
    </w:p>
    <w:p>
      <w:pPr>
        <w:pStyle w:val="Defstart"/>
      </w:pPr>
      <w:r>
        <w:tab/>
      </w:r>
      <w:r>
        <w:rPr>
          <w:rStyle w:val="CharDefText"/>
        </w:rPr>
        <w:t>coordinate references</w:t>
      </w:r>
      <w:r>
        <w:t xml:space="preserve"> means Map Grid of Australia 1994 grid coordinates in Zone 50 of the Universal Transverse Mercator Grid System based on the Geocentric Datum of Australia;</w:t>
      </w:r>
    </w:p>
    <w:p>
      <w:pPr>
        <w:pStyle w:val="Defstart"/>
      </w:pPr>
      <w:r>
        <w:tab/>
      </w:r>
      <w:r>
        <w:rPr>
          <w:rStyle w:val="CharDefText"/>
        </w:rPr>
        <w:t>Gnangara groundwater plan area</w:t>
      </w:r>
      <w:r>
        <w:t xml:space="preserve"> means the area shown on the map in Schedule 4;</w:t>
      </w:r>
    </w:p>
    <w:p>
      <w:pPr>
        <w:pStyle w:val="Defstart"/>
      </w:pPr>
      <w:r>
        <w:tab/>
      </w:r>
      <w:r>
        <w:rPr>
          <w:rStyle w:val="CharDefText"/>
        </w:rPr>
        <w:t>meter</w:t>
      </w:r>
      <w:r>
        <w:t xml:space="preserve"> has the same meaning as in Schedule 1 clause 46(5) to the Act;</w:t>
      </w:r>
    </w:p>
    <w:p>
      <w:pPr>
        <w:pStyle w:val="Defstart"/>
      </w:pPr>
      <w:r>
        <w:tab/>
      </w:r>
      <w:r>
        <w:rPr>
          <w:rStyle w:val="CharDefText"/>
        </w:rPr>
        <w:t>water entitlement</w:t>
      </w:r>
      <w:r>
        <w:t xml:space="preserve"> has the same meaning as in Schedule 1 clause 17(4) to the Act;</w:t>
      </w:r>
    </w:p>
    <w:p>
      <w:pPr>
        <w:pStyle w:val="Defstart"/>
      </w:pPr>
      <w:r>
        <w:tab/>
      </w:r>
      <w:r>
        <w:rPr>
          <w:rStyle w:val="CharDefText"/>
        </w:rPr>
        <w:t>water year</w:t>
      </w:r>
      <w:r>
        <w:t xml:space="preserve"> means the period stated as the water year on a licence, or if no water year is stated on the licence, the period of 12 months beginning on the date on which the licence was granted.</w:t>
      </w:r>
    </w:p>
    <w:p>
      <w:pPr>
        <w:pStyle w:val="Footnotesection"/>
      </w:pPr>
      <w:bookmarkStart w:id="70" w:name="_Toc500247461"/>
      <w:bookmarkStart w:id="71" w:name="_Toc503513201"/>
      <w:r>
        <w:tab/>
        <w:t>[Regulation 41A inserted by Gazette 20 Feb 2018 p. 495</w:t>
      </w:r>
      <w:r>
        <w:noBreakHyphen/>
        <w:t>6.]</w:t>
      </w:r>
    </w:p>
    <w:p>
      <w:pPr>
        <w:pStyle w:val="Heading5"/>
      </w:pPr>
      <w:bookmarkStart w:id="72" w:name="_Toc528669832"/>
      <w:r>
        <w:rPr>
          <w:rStyle w:val="CharSectno"/>
        </w:rPr>
        <w:t>41B</w:t>
      </w:r>
      <w:r>
        <w:t>.</w:t>
      </w:r>
      <w:r>
        <w:tab/>
        <w:t>Application of regulation 41C</w:t>
      </w:r>
      <w:bookmarkEnd w:id="70"/>
      <w:bookmarkEnd w:id="71"/>
      <w:bookmarkEnd w:id="72"/>
    </w:p>
    <w:p>
      <w:pPr>
        <w:pStyle w:val="Subsection"/>
      </w:pPr>
      <w:r>
        <w:tab/>
        <w:t>(1)</w:t>
      </w:r>
      <w:r>
        <w:tab/>
        <w:t>Regulation 41C applies to a licence referred to in column 1 of the Table on and after the date specified in column 2 of the Table.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cantSplit/>
          <w:tblHeader/>
        </w:trPr>
        <w:tc>
          <w:tcPr>
            <w:tcW w:w="2764" w:type="dxa"/>
          </w:tcPr>
          <w:p>
            <w:pPr>
              <w:pStyle w:val="TableNAm"/>
            </w:pPr>
            <w:r>
              <w:rPr>
                <w:b/>
                <w:bCs/>
              </w:rPr>
              <w:t>Licence</w:t>
            </w:r>
          </w:p>
        </w:tc>
        <w:tc>
          <w:tcPr>
            <w:tcW w:w="2764" w:type="dxa"/>
          </w:tcPr>
          <w:p>
            <w:pPr>
              <w:pStyle w:val="TableNAm"/>
            </w:pPr>
            <w:r>
              <w:rPr>
                <w:b/>
                <w:bCs/>
              </w:rPr>
              <w:t>Date</w:t>
            </w:r>
          </w:p>
        </w:tc>
      </w:tr>
      <w:tr>
        <w:trPr>
          <w:cantSplit/>
        </w:trPr>
        <w:tc>
          <w:tcPr>
            <w:tcW w:w="2764" w:type="dxa"/>
          </w:tcPr>
          <w:p>
            <w:pPr>
              <w:pStyle w:val="TableNAm"/>
            </w:pPr>
            <w:r>
              <w:t>A licence with a water entitlement of 500 000 kilolitres or more per water year</w:t>
            </w:r>
          </w:p>
        </w:tc>
        <w:tc>
          <w:tcPr>
            <w:tcW w:w="2764" w:type="dxa"/>
          </w:tcPr>
          <w:p>
            <w:pPr>
              <w:pStyle w:val="TableNAm"/>
            </w:pPr>
            <w:r>
              <w:t>31 March 2018</w:t>
            </w:r>
          </w:p>
        </w:tc>
      </w:tr>
      <w:tr>
        <w:trPr>
          <w:cantSplit/>
        </w:trPr>
        <w:tc>
          <w:tcPr>
            <w:tcW w:w="2764" w:type="dxa"/>
          </w:tcPr>
          <w:p>
            <w:pPr>
              <w:pStyle w:val="TableNAm"/>
            </w:pPr>
            <w:r>
              <w:t>A licence with a water entitlement of 50 000 kilolitres or more but less than 500 000 kilolitres per water year</w:t>
            </w:r>
          </w:p>
        </w:tc>
        <w:tc>
          <w:tcPr>
            <w:tcW w:w="2764" w:type="dxa"/>
          </w:tcPr>
          <w:p>
            <w:pPr>
              <w:pStyle w:val="TableNAm"/>
            </w:pPr>
            <w:r>
              <w:t>31 December 2018</w:t>
            </w:r>
          </w:p>
        </w:tc>
      </w:tr>
      <w:tr>
        <w:trPr>
          <w:cantSplit/>
        </w:trPr>
        <w:tc>
          <w:tcPr>
            <w:tcW w:w="2764" w:type="dxa"/>
          </w:tcPr>
          <w:p>
            <w:pPr>
              <w:pStyle w:val="TableNAm"/>
            </w:pPr>
            <w:r>
              <w:t>A licence granted in respect of the Gnangara groundwater plan area with a water entitlement of 10 000 kilolitres or more but less than 50 000 kilolitres per water year</w:t>
            </w:r>
          </w:p>
        </w:tc>
        <w:tc>
          <w:tcPr>
            <w:tcW w:w="2764" w:type="dxa"/>
          </w:tcPr>
          <w:p>
            <w:pPr>
              <w:pStyle w:val="TableNAm"/>
            </w:pPr>
            <w:r>
              <w:t>31 December 2019</w:t>
            </w:r>
          </w:p>
        </w:tc>
      </w:tr>
      <w:tr>
        <w:trPr>
          <w:cantSplit/>
        </w:trPr>
        <w:tc>
          <w:tcPr>
            <w:tcW w:w="2764" w:type="dxa"/>
          </w:tcPr>
          <w:p>
            <w:pPr>
              <w:pStyle w:val="TableNAm"/>
            </w:pPr>
            <w:r>
              <w:t>All other licences with a water entitlement of 10 000 kilolitres or more but less than 50 000 kilolitres per water year</w:t>
            </w:r>
          </w:p>
        </w:tc>
        <w:tc>
          <w:tcPr>
            <w:tcW w:w="2764" w:type="dxa"/>
          </w:tcPr>
          <w:p>
            <w:pPr>
              <w:pStyle w:val="TableNAm"/>
            </w:pPr>
            <w:r>
              <w:t>31 December 2020</w:t>
            </w:r>
          </w:p>
        </w:tc>
      </w:tr>
    </w:tbl>
    <w:p>
      <w:pPr>
        <w:pStyle w:val="Subsection"/>
      </w:pPr>
      <w:r>
        <w:tab/>
        <w:t>(2)</w:t>
      </w:r>
      <w:r>
        <w:tab/>
        <w:t xml:space="preserve">However, regulation 41C does not apply to a licence referred to in column 1 of the Table to subregulation (1) that — </w:t>
      </w:r>
    </w:p>
    <w:p>
      <w:pPr>
        <w:pStyle w:val="Indenta"/>
      </w:pPr>
      <w:r>
        <w:tab/>
        <w:t>(a)</w:t>
      </w:r>
      <w:r>
        <w:tab/>
        <w:t>is issued for less than 12 months; or</w:t>
      </w:r>
    </w:p>
    <w:p>
      <w:pPr>
        <w:pStyle w:val="Indenta"/>
      </w:pPr>
      <w:r>
        <w:tab/>
        <w:t>(b)</w:t>
      </w:r>
      <w:r>
        <w:tab/>
        <w:t>is issued in respect of a single user dam; or</w:t>
      </w:r>
    </w:p>
    <w:p>
      <w:pPr>
        <w:pStyle w:val="Indenta"/>
      </w:pPr>
      <w:r>
        <w:tab/>
        <w:t>(c)</w:t>
      </w:r>
      <w:r>
        <w:tab/>
        <w:t xml:space="preserve">is a licence to which — </w:t>
      </w:r>
    </w:p>
    <w:p>
      <w:pPr>
        <w:pStyle w:val="Indenti"/>
      </w:pPr>
      <w:r>
        <w:tab/>
        <w:t>(i)</w:t>
      </w:r>
      <w:r>
        <w:tab/>
        <w:t>an alternative measurement method approved under regulation 41E applies; or</w:t>
      </w:r>
    </w:p>
    <w:p>
      <w:pPr>
        <w:pStyle w:val="Indenti"/>
      </w:pPr>
      <w:r>
        <w:tab/>
        <w:t>(ii)</w:t>
      </w:r>
      <w:r>
        <w:tab/>
        <w:t>an exemption granted under regulation 41F applies.</w:t>
      </w:r>
    </w:p>
    <w:p>
      <w:pPr>
        <w:pStyle w:val="Footnotesection"/>
      </w:pPr>
      <w:bookmarkStart w:id="73" w:name="_Toc500247462"/>
      <w:bookmarkStart w:id="74" w:name="_Toc503513202"/>
      <w:r>
        <w:tab/>
        <w:t>[Regulation 41B inserted by Gazette 20 Feb 2018 p. 496</w:t>
      </w:r>
      <w:r>
        <w:noBreakHyphen/>
        <w:t>7.]</w:t>
      </w:r>
    </w:p>
    <w:p>
      <w:pPr>
        <w:pStyle w:val="Heading5"/>
        <w:pageBreakBefore/>
        <w:spacing w:before="0"/>
      </w:pPr>
      <w:bookmarkStart w:id="75" w:name="_Toc528669833"/>
      <w:r>
        <w:rPr>
          <w:rStyle w:val="CharSectno"/>
        </w:rPr>
        <w:t>41C</w:t>
      </w:r>
      <w:r>
        <w:t>.</w:t>
      </w:r>
      <w:r>
        <w:tab/>
        <w:t>Licence subject to metering conditions</w:t>
      </w:r>
      <w:bookmarkEnd w:id="73"/>
      <w:bookmarkEnd w:id="74"/>
      <w:bookmarkEnd w:id="75"/>
    </w:p>
    <w:p>
      <w:pPr>
        <w:pStyle w:val="Subsection"/>
      </w:pPr>
      <w:r>
        <w:tab/>
        <w:t>(1)</w:t>
      </w:r>
      <w:r>
        <w:tab/>
        <w:t xml:space="preserve">Each licence is subject to the conditions that the licensee must — </w:t>
      </w:r>
    </w:p>
    <w:p>
      <w:pPr>
        <w:pStyle w:val="Indenta"/>
      </w:pPr>
      <w:r>
        <w:tab/>
        <w:t>(a)</w:t>
      </w:r>
      <w:r>
        <w:tab/>
        <w:t>install a meter on each water draw</w:t>
      </w:r>
      <w:r>
        <w:noBreakHyphen/>
        <w:t>point through which water is taken under the licence; and</w:t>
      </w:r>
    </w:p>
    <w:p>
      <w:pPr>
        <w:pStyle w:val="Indenta"/>
      </w:pPr>
      <w:r>
        <w:tab/>
        <w:t>(b)</w:t>
      </w:r>
      <w:r>
        <w:tab/>
        <w:t>for each meter installed under paragraph (a) —</w:t>
      </w:r>
    </w:p>
    <w:p>
      <w:pPr>
        <w:pStyle w:val="Indenti"/>
      </w:pPr>
      <w:r>
        <w:tab/>
        <w:t>(i)</w:t>
      </w:r>
      <w:r>
        <w:tab/>
        <w:t>maintain the meter in good condition and ensure that it is operating within a range of plus or minus 5% of the quantity of water that passes through it when tested in field conditions; and</w:t>
      </w:r>
    </w:p>
    <w:p>
      <w:pPr>
        <w:pStyle w:val="Indenti"/>
      </w:pPr>
      <w:r>
        <w:tab/>
        <w:t>(ii)</w:t>
      </w:r>
      <w:r>
        <w:tab/>
        <w:t>provide the Minister with the information listed in subregulation (2) within 30 days of the installation; and</w:t>
      </w:r>
    </w:p>
    <w:p>
      <w:pPr>
        <w:pStyle w:val="Indenti"/>
      </w:pPr>
      <w:r>
        <w:tab/>
        <w:t>(iii)</w:t>
      </w:r>
      <w:r>
        <w:tab/>
        <w:t>notify the Minister within 7 days of detecting a malfunction of the meter; and</w:t>
      </w:r>
    </w:p>
    <w:p>
      <w:pPr>
        <w:pStyle w:val="Indenti"/>
      </w:pPr>
      <w:r>
        <w:tab/>
        <w:t>(iv)</w:t>
      </w:r>
      <w:r>
        <w:tab/>
        <w:t>record the meter reading at the end of each month; and</w:t>
      </w:r>
    </w:p>
    <w:p>
      <w:pPr>
        <w:pStyle w:val="Indenti"/>
      </w:pPr>
      <w:r>
        <w:tab/>
        <w:t>(v)</w:t>
      </w:r>
      <w:r>
        <w:tab/>
        <w:t>provide a copy of the meter readings recorded under subparagraph (iv) to the Minster within 30 days after the end of the relevant water year.</w:t>
      </w:r>
    </w:p>
    <w:p>
      <w:pPr>
        <w:pStyle w:val="Penstart"/>
      </w:pPr>
      <w:r>
        <w:tab/>
        <w:t>Penalty for this subregulation: A fine of $2 000 and a daily penalty of $200.</w:t>
      </w:r>
    </w:p>
    <w:p>
      <w:pPr>
        <w:pStyle w:val="Subsection"/>
      </w:pPr>
      <w:r>
        <w:tab/>
        <w:t>(2)</w:t>
      </w:r>
      <w:r>
        <w:tab/>
        <w:t xml:space="preserve">For the purposes of subregulation (1)(b)(ii), the information is — </w:t>
      </w:r>
    </w:p>
    <w:p>
      <w:pPr>
        <w:pStyle w:val="Indenta"/>
      </w:pPr>
      <w:r>
        <w:tab/>
        <w:t>(a)</w:t>
      </w:r>
      <w:r>
        <w:tab/>
        <w:t>the coordinate references relating to the location of the meter or another approved description of its location; and</w:t>
      </w:r>
    </w:p>
    <w:p>
      <w:pPr>
        <w:pStyle w:val="Indenta"/>
      </w:pPr>
      <w:r>
        <w:tab/>
        <w:t>(b)</w:t>
      </w:r>
      <w:r>
        <w:tab/>
        <w:t>the date on which the meter was installed; and</w:t>
      </w:r>
    </w:p>
    <w:p>
      <w:pPr>
        <w:pStyle w:val="Indenta"/>
      </w:pPr>
      <w:r>
        <w:tab/>
        <w:t>(c)</w:t>
      </w:r>
      <w:r>
        <w:tab/>
        <w:t>the meter reading at the time of installation; and</w:t>
      </w:r>
    </w:p>
    <w:p>
      <w:pPr>
        <w:pStyle w:val="Indenta"/>
      </w:pPr>
      <w:r>
        <w:tab/>
        <w:t>(d)</w:t>
      </w:r>
      <w:r>
        <w:tab/>
        <w:t>the make, size, type and serial number of the meter; and</w:t>
      </w:r>
    </w:p>
    <w:p>
      <w:pPr>
        <w:pStyle w:val="Indenta"/>
      </w:pPr>
      <w:r>
        <w:tab/>
        <w:t>(e)</w:t>
      </w:r>
      <w:r>
        <w:tab/>
        <w:t xml:space="preserve">drawings or annotated photographs of the meter after its installation that show — </w:t>
      </w:r>
    </w:p>
    <w:p>
      <w:pPr>
        <w:pStyle w:val="Indenti"/>
      </w:pPr>
      <w:r>
        <w:tab/>
        <w:t>(i)</w:t>
      </w:r>
      <w:r>
        <w:tab/>
        <w:t>the length of pipe connecting the draw</w:t>
      </w:r>
      <w:r>
        <w:noBreakHyphen/>
        <w:t>point to the upstream flange of the meter; and</w:t>
      </w:r>
    </w:p>
    <w:p>
      <w:pPr>
        <w:pStyle w:val="Indenti"/>
      </w:pPr>
      <w:r>
        <w:tab/>
        <w:t>(ii)</w:t>
      </w:r>
      <w:r>
        <w:tab/>
        <w:t>the length of pipe between the downstream flange of the meter and the first</w:t>
      </w:r>
      <w:r>
        <w:noBreakHyphen/>
        <w:t>bend or take</w:t>
      </w:r>
      <w:r>
        <w:noBreakHyphen/>
        <w:t>off; and</w:t>
      </w:r>
    </w:p>
    <w:p>
      <w:pPr>
        <w:pStyle w:val="Indenti"/>
      </w:pPr>
      <w:r>
        <w:tab/>
        <w:t>(iii)</w:t>
      </w:r>
      <w:r>
        <w:tab/>
        <w:t>the direction of the water flow through the meter;</w:t>
      </w:r>
    </w:p>
    <w:p>
      <w:pPr>
        <w:pStyle w:val="Indenta"/>
      </w:pPr>
      <w:r>
        <w:tab/>
      </w:r>
      <w:r>
        <w:tab/>
        <w:t>and</w:t>
      </w:r>
    </w:p>
    <w:p>
      <w:pPr>
        <w:pStyle w:val="Indenta"/>
      </w:pPr>
      <w:r>
        <w:tab/>
        <w:t>(f)</w:t>
      </w:r>
      <w:r>
        <w:tab/>
        <w:t>a copy of the manufacturer’s specifications for installation of the meter or written advice from the person who installed the meter that it complies with the manufacturer’s specifications for installation.</w:t>
      </w:r>
    </w:p>
    <w:p>
      <w:pPr>
        <w:pStyle w:val="Subsection"/>
      </w:pPr>
      <w:r>
        <w:tab/>
        <w:t>(3)</w:t>
      </w:r>
      <w:r>
        <w:tab/>
        <w:t>For the purposes of complying with subregulation (1)(b)(v), if a licensee has installed 2 or more meters to measure the quantity of water taken from 2 or more water draw</w:t>
      </w:r>
      <w:r>
        <w:noBreakHyphen/>
        <w:t>points, the Minister may approve the licensee providing a combined abstraction reading for all of the water taken under the licence instead of providing individual meter readings.</w:t>
      </w:r>
    </w:p>
    <w:p>
      <w:pPr>
        <w:pStyle w:val="Subsection"/>
      </w:pPr>
      <w:r>
        <w:tab/>
        <w:t>(4)</w:t>
      </w:r>
      <w:r>
        <w:tab/>
        <w:t>The meter readings required under subregulation (1)(b)(v) must be provided using the Department’s electronic online system provided for that purpose unless the Minister approves another method for providing the readings in any particular case.</w:t>
      </w:r>
    </w:p>
    <w:p>
      <w:pPr>
        <w:pStyle w:val="Footnotesection"/>
      </w:pPr>
      <w:bookmarkStart w:id="76" w:name="_Toc500247463"/>
      <w:bookmarkStart w:id="77" w:name="_Toc503513203"/>
      <w:r>
        <w:tab/>
        <w:t>[Regulation 41C inserted by Gazette 20 Feb 2018 p. 497</w:t>
      </w:r>
      <w:r>
        <w:noBreakHyphen/>
        <w:t>8.]</w:t>
      </w:r>
    </w:p>
    <w:p>
      <w:pPr>
        <w:pStyle w:val="Heading5"/>
      </w:pPr>
      <w:bookmarkStart w:id="78" w:name="_Toc528669834"/>
      <w:r>
        <w:rPr>
          <w:rStyle w:val="CharSectno"/>
        </w:rPr>
        <w:t>41D</w:t>
      </w:r>
      <w:r>
        <w:t>.</w:t>
      </w:r>
      <w:r>
        <w:tab/>
        <w:t>Minister may direct compliance with metering conditions</w:t>
      </w:r>
      <w:bookmarkEnd w:id="76"/>
      <w:bookmarkEnd w:id="77"/>
      <w:bookmarkEnd w:id="78"/>
    </w:p>
    <w:p>
      <w:pPr>
        <w:pStyle w:val="Subsection"/>
      </w:pPr>
      <w:r>
        <w:tab/>
        <w:t>(1)</w:t>
      </w:r>
      <w:r>
        <w:tab/>
        <w:t>If a licensee fails to comply with any of the metering conditions specified in regulation 41C(1), the Minister may direct the licensee to comply with those conditions.</w:t>
      </w:r>
    </w:p>
    <w:p>
      <w:pPr>
        <w:pStyle w:val="Subsection"/>
      </w:pPr>
      <w:r>
        <w:tab/>
        <w:t>(2)</w:t>
      </w:r>
      <w:r>
        <w:tab/>
        <w:t xml:space="preserve">A direction under subregulation (1) must — </w:t>
      </w:r>
    </w:p>
    <w:p>
      <w:pPr>
        <w:pStyle w:val="Indenta"/>
      </w:pPr>
      <w:r>
        <w:tab/>
        <w:t>(a)</w:t>
      </w:r>
      <w:r>
        <w:tab/>
        <w:t>be given by written notice served on the licensee; and</w:t>
      </w:r>
    </w:p>
    <w:p>
      <w:pPr>
        <w:pStyle w:val="Indenta"/>
      </w:pPr>
      <w:r>
        <w:tab/>
        <w:t>(b)</w:t>
      </w:r>
      <w:r>
        <w:tab/>
        <w:t>specify the time within which the direction is to be complied with.</w:t>
      </w:r>
    </w:p>
    <w:p>
      <w:pPr>
        <w:pStyle w:val="Subsection"/>
      </w:pPr>
      <w:r>
        <w:tab/>
        <w:t>(3)</w:t>
      </w:r>
      <w:r>
        <w:tab/>
        <w:t xml:space="preserve">If the licensee to whom a direction has been given does not comply with the direction within the specified time, or any additional time allowed by the Minister — </w:t>
      </w:r>
    </w:p>
    <w:p>
      <w:pPr>
        <w:pStyle w:val="Indenta"/>
      </w:pPr>
      <w:r>
        <w:tab/>
        <w:t>(a)</w:t>
      </w:r>
      <w:r>
        <w:tab/>
        <w:t>the licensee commits an offence; and</w:t>
      </w:r>
    </w:p>
    <w:p>
      <w:pPr>
        <w:pStyle w:val="Indenta"/>
      </w:pPr>
      <w:r>
        <w:tab/>
        <w:t>(b)</w:t>
      </w:r>
      <w:r>
        <w:tab/>
        <w:t xml:space="preserve">the Minister may — </w:t>
      </w:r>
    </w:p>
    <w:p>
      <w:pPr>
        <w:pStyle w:val="Indenti"/>
      </w:pPr>
      <w:r>
        <w:tab/>
        <w:t>(i)</w:t>
      </w:r>
      <w:r>
        <w:tab/>
        <w:t>do all or part of whatever the direction requires to be done; and</w:t>
      </w:r>
    </w:p>
    <w:p>
      <w:pPr>
        <w:pStyle w:val="Indenti"/>
      </w:pPr>
      <w:r>
        <w:tab/>
        <w:t>(ii)</w:t>
      </w:r>
      <w:r>
        <w:tab/>
        <w:t>recover the costs from the licensee as a debt due to the State in a court of competent jurisdiction.</w:t>
      </w:r>
    </w:p>
    <w:p>
      <w:pPr>
        <w:pStyle w:val="Penstart"/>
      </w:pPr>
      <w:r>
        <w:tab/>
        <w:t>Penalty for this subregulation: A fine of $2 000 and a daily penalty of $200.</w:t>
      </w:r>
    </w:p>
    <w:p>
      <w:pPr>
        <w:pStyle w:val="Footnotesection"/>
      </w:pPr>
      <w:bookmarkStart w:id="79" w:name="_Toc500247464"/>
      <w:bookmarkStart w:id="80" w:name="_Toc503513204"/>
      <w:r>
        <w:tab/>
        <w:t>[Regulation 41D inserted by Gazette 20 Feb 2018 p. 498</w:t>
      </w:r>
      <w:r>
        <w:noBreakHyphen/>
        <w:t>9.]</w:t>
      </w:r>
    </w:p>
    <w:p>
      <w:pPr>
        <w:pStyle w:val="Heading5"/>
      </w:pPr>
      <w:bookmarkStart w:id="81" w:name="_Toc528669835"/>
      <w:r>
        <w:rPr>
          <w:rStyle w:val="CharSectno"/>
        </w:rPr>
        <w:t>41E</w:t>
      </w:r>
      <w:r>
        <w:t>.</w:t>
      </w:r>
      <w:r>
        <w:tab/>
        <w:t>Minister may approve alternative measurement method</w:t>
      </w:r>
      <w:bookmarkEnd w:id="79"/>
      <w:bookmarkEnd w:id="80"/>
      <w:bookmarkEnd w:id="81"/>
    </w:p>
    <w:p>
      <w:pPr>
        <w:pStyle w:val="Subsection"/>
      </w:pPr>
      <w:r>
        <w:tab/>
        <w:t>(1)</w:t>
      </w:r>
      <w:r>
        <w:tab/>
        <w:t>The Minister may, in any particular case, approve an alternative measurement method for measuring the quantity of water taken under a licence if satisfied on reasonable grounds that it is impracticable to install a meter under regulation 41C to measure the quantity of water taken under the licence.</w:t>
      </w:r>
    </w:p>
    <w:p>
      <w:pPr>
        <w:pStyle w:val="Subsection"/>
        <w:rPr>
          <w:sz w:val="20"/>
        </w:rPr>
      </w:pPr>
      <w:r>
        <w:tab/>
        <w:t>(2)</w:t>
      </w:r>
      <w:r>
        <w:tab/>
        <w:t>If the Minister approves an alternative measurement method under subregulation (1), the licensee must comply with that method to measure the quantity of water taken under the licence.</w:t>
      </w:r>
    </w:p>
    <w:p>
      <w:pPr>
        <w:pStyle w:val="Footnotesection"/>
      </w:pPr>
      <w:bookmarkStart w:id="82" w:name="_Toc500247465"/>
      <w:bookmarkStart w:id="83" w:name="_Toc503513205"/>
      <w:r>
        <w:tab/>
        <w:t>[Regulation 41E inserted by Gazette 20 Feb 2018 p. 499.]</w:t>
      </w:r>
    </w:p>
    <w:p>
      <w:pPr>
        <w:pStyle w:val="Heading5"/>
      </w:pPr>
      <w:bookmarkStart w:id="84" w:name="_Toc528669836"/>
      <w:r>
        <w:rPr>
          <w:rStyle w:val="CharSectno"/>
        </w:rPr>
        <w:t>41F</w:t>
      </w:r>
      <w:r>
        <w:t>.</w:t>
      </w:r>
      <w:r>
        <w:tab/>
        <w:t>Exemption from requirement to measure quantity of water taken under licence</w:t>
      </w:r>
      <w:bookmarkEnd w:id="82"/>
      <w:bookmarkEnd w:id="83"/>
      <w:bookmarkEnd w:id="84"/>
    </w:p>
    <w:p>
      <w:pPr>
        <w:pStyle w:val="Subsection"/>
      </w:pPr>
      <w:r>
        <w:tab/>
        <w:t>(1)</w:t>
      </w:r>
      <w:r>
        <w:tab/>
        <w:t>The Minister may, in any particular case, grant an exemption from the requirement to measure the quantity of water taken under a licence if satisfied on reasonable grounds that —</w:t>
      </w:r>
    </w:p>
    <w:p>
      <w:pPr>
        <w:pStyle w:val="Indenta"/>
      </w:pPr>
      <w:r>
        <w:tab/>
        <w:t>(a)</w:t>
      </w:r>
      <w:r>
        <w:tab/>
        <w:t>it is impracticable to install a meter under regulation 41C to measure the quantity of water taken under the licence; and</w:t>
      </w:r>
    </w:p>
    <w:p>
      <w:pPr>
        <w:pStyle w:val="Indenta"/>
      </w:pPr>
      <w:r>
        <w:tab/>
        <w:t>(b)</w:t>
      </w:r>
      <w:r>
        <w:tab/>
        <w:t>it is inappropriate to use an alternative measurement method for measuring the quantity of water taken under the licence.</w:t>
      </w:r>
    </w:p>
    <w:p>
      <w:pPr>
        <w:pStyle w:val="Subsection"/>
      </w:pPr>
      <w:r>
        <w:tab/>
        <w:t>(2)</w:t>
      </w:r>
      <w:r>
        <w:tab/>
        <w:t>The Minister may revoke an exemption granted under subregulation (1) if the licensee fails to comply with any terms, conditions or restrictions included in the licence.</w:t>
      </w:r>
    </w:p>
    <w:p>
      <w:pPr>
        <w:pStyle w:val="Footnotesection"/>
      </w:pPr>
      <w:r>
        <w:tab/>
        <w:t>[Regulation 41F inserted by Gazette 20 Feb 2018 p. 499.]</w:t>
      </w:r>
    </w:p>
    <w:p>
      <w:pPr>
        <w:pStyle w:val="Ednotesection"/>
      </w:pPr>
      <w:r>
        <w:t>[</w:t>
      </w:r>
      <w:r>
        <w:rPr>
          <w:b/>
          <w:bCs/>
        </w:rPr>
        <w:t>42A.</w:t>
      </w:r>
      <w:r>
        <w:tab/>
        <w:t>Inserted by Gazette 28 Dec 2007 p. 6429 (disallowed, see Gazette 11 Apr 2008 p. 1396).]</w:t>
      </w:r>
    </w:p>
    <w:p>
      <w:pPr>
        <w:pStyle w:val="Heading5"/>
      </w:pPr>
      <w:bookmarkStart w:id="85" w:name="_Toc528669837"/>
      <w:r>
        <w:rPr>
          <w:rStyle w:val="CharSectno"/>
        </w:rPr>
        <w:t>42</w:t>
      </w:r>
      <w:r>
        <w:t>.</w:t>
      </w:r>
      <w:r>
        <w:tab/>
        <w:t>Damage to meters</w:t>
      </w:r>
      <w:bookmarkEnd w:id="85"/>
    </w:p>
    <w:p>
      <w:pPr>
        <w:pStyle w:val="Subsection"/>
        <w:spacing w:before="120"/>
      </w:pPr>
      <w:r>
        <w:tab/>
        <w:t>(1)</w:t>
      </w:r>
      <w:r>
        <w:tab/>
        <w:t>Any repairs required to a meter provided by the State are to be carried out, or to be caused to be carried out, by the Minister and the cost of those repairs is to be paid by the licensee.</w:t>
      </w:r>
    </w:p>
    <w:p>
      <w:pPr>
        <w:pStyle w:val="Subsection"/>
        <w:spacing w:before="120"/>
      </w:pPr>
      <w:r>
        <w:tab/>
        <w:t>(2)</w:t>
      </w:r>
      <w:r>
        <w:tab/>
        <w:t>The State may recover the costs due under subregulation (1) as a debt due to the State from the licensee in a court of competent jurisdiction.</w:t>
      </w:r>
    </w:p>
    <w:p>
      <w:pPr>
        <w:pStyle w:val="Footnotesection"/>
      </w:pPr>
      <w:r>
        <w:tab/>
        <w:t>[Regulation 42 inserted by Gazette 23 Jun 2009 p. 2498; amended by Gazette 20 Feb 2018 p. 500</w:t>
      </w:r>
      <w:r>
        <w:noBreakHyphen/>
        <w:t>1.]</w:t>
      </w:r>
    </w:p>
    <w:p>
      <w:pPr>
        <w:pStyle w:val="Heading5"/>
      </w:pPr>
      <w:bookmarkStart w:id="86" w:name="_Toc528669838"/>
      <w:r>
        <w:rPr>
          <w:rStyle w:val="CharSectno"/>
        </w:rPr>
        <w:t>43</w:t>
      </w:r>
      <w:r>
        <w:t>.</w:t>
      </w:r>
      <w:r>
        <w:tab/>
        <w:t>Interfering with meters</w:t>
      </w:r>
      <w:bookmarkEnd w:id="86"/>
    </w:p>
    <w:p>
      <w:pPr>
        <w:pStyle w:val="Subsection"/>
      </w:pPr>
      <w:r>
        <w:tab/>
      </w:r>
      <w:r>
        <w:tab/>
        <w:t xml:space="preserve">A person must not — </w:t>
      </w:r>
    </w:p>
    <w:p>
      <w:pPr>
        <w:pStyle w:val="Indenta"/>
      </w:pPr>
      <w:r>
        <w:tab/>
        <w:t>(a)</w:t>
      </w:r>
      <w:r>
        <w:tab/>
        <w:t>damage a meter; or</w:t>
      </w:r>
    </w:p>
    <w:p>
      <w:pPr>
        <w:pStyle w:val="Indenta"/>
      </w:pPr>
      <w:r>
        <w:tab/>
        <w:t>(b)</w:t>
      </w:r>
      <w:r>
        <w:tab/>
        <w:t>install, or alter, a meter or any associated fittings so that the meter does not accurately measure the quantity of water being taken from a well.</w:t>
      </w:r>
    </w:p>
    <w:p>
      <w:pPr>
        <w:pStyle w:val="Penstart"/>
      </w:pPr>
      <w:r>
        <w:tab/>
        <w:t>Penalty: $2 000.</w:t>
      </w:r>
    </w:p>
    <w:p>
      <w:pPr>
        <w:pStyle w:val="Heading5"/>
      </w:pPr>
      <w:bookmarkStart w:id="87" w:name="_Toc528669839"/>
      <w:r>
        <w:rPr>
          <w:rStyle w:val="CharSectno"/>
        </w:rPr>
        <w:t>44</w:t>
      </w:r>
      <w:r>
        <w:t>.</w:t>
      </w:r>
      <w:r>
        <w:tab/>
        <w:t>Testing meters</w:t>
      </w:r>
      <w:bookmarkEnd w:id="87"/>
    </w:p>
    <w:p>
      <w:pPr>
        <w:pStyle w:val="Subsection"/>
      </w:pPr>
      <w:r>
        <w:tab/>
        <w:t>(1)</w:t>
      </w:r>
      <w:r>
        <w:tab/>
        <w:t>The Minister may at any time cause a test of a meter to be made.</w:t>
      </w:r>
    </w:p>
    <w:p>
      <w:pPr>
        <w:pStyle w:val="Subsection"/>
      </w:pPr>
      <w:r>
        <w:tab/>
        <w:t>(2)</w:t>
      </w:r>
      <w:r>
        <w:tab/>
        <w:t>The Minister is to cause a test of a meter to be made within 7 days of receiving a written request from a licensee that that meter be tested because the licensee is dissatisfied with a reading from the meter.</w:t>
      </w:r>
    </w:p>
    <w:p>
      <w:pPr>
        <w:pStyle w:val="Subsection"/>
      </w:pPr>
      <w:r>
        <w:tab/>
        <w:t>(3)</w:t>
      </w:r>
      <w:r>
        <w:tab/>
        <w:t xml:space="preserve">Where on testing a meter it is found that — </w:t>
      </w:r>
    </w:p>
    <w:p>
      <w:pPr>
        <w:pStyle w:val="Indenta"/>
        <w:spacing w:before="60"/>
      </w:pPr>
      <w:r>
        <w:tab/>
        <w:t>(a)</w:t>
      </w:r>
      <w:r>
        <w:tab/>
        <w:t>the meter registers more than 5% in excess of the quantity that actually passes through it when tested, the Minister is to pay the cost of the test; or</w:t>
      </w:r>
    </w:p>
    <w:p>
      <w:pPr>
        <w:pStyle w:val="Indenta"/>
        <w:spacing w:before="60"/>
      </w:pPr>
      <w:r>
        <w:tab/>
        <w:t>(b)</w:t>
      </w:r>
      <w:r>
        <w:tab/>
        <w:t>the meter registers less than 5% in excess of the quantity that actually passes through it when tested, the licensee is to pay the cost of the test.</w:t>
      </w:r>
    </w:p>
    <w:p>
      <w:pPr>
        <w:pStyle w:val="Subsection"/>
        <w:spacing w:before="120"/>
      </w:pPr>
      <w:r>
        <w:tab/>
        <w:t>(4)</w:t>
      </w:r>
      <w:r>
        <w:tab/>
        <w:t>The cost paid by the licensee under subregulation (3)(b) is not to exceed the fee set out in Schedule 1 Part 1.</w:t>
      </w:r>
    </w:p>
    <w:p>
      <w:pPr>
        <w:pStyle w:val="Footnotesection"/>
      </w:pPr>
      <w:r>
        <w:tab/>
        <w:t>[Regulation 44 amended by Gazette 22 Jun 2007 p. 2881 (disallowed, see Gazette 27 Nov 2007 p. 5910); 28 Dec 2007 p. 6429 (disallowed, see Gazette 11 Apr 2008 p. 1396); 23 Jun 2009 p. 2495</w:t>
      </w:r>
      <w:r>
        <w:noBreakHyphen/>
        <w:t>7; 20 Feb 2018 p. 500</w:t>
      </w:r>
      <w:r>
        <w:noBreakHyphen/>
        <w:t>1.]</w:t>
      </w:r>
    </w:p>
    <w:p>
      <w:pPr>
        <w:pStyle w:val="Heading5"/>
        <w:spacing w:before="180"/>
      </w:pPr>
      <w:bookmarkStart w:id="88" w:name="_Toc528669840"/>
      <w:r>
        <w:rPr>
          <w:rStyle w:val="CharSectno"/>
        </w:rPr>
        <w:t>45</w:t>
      </w:r>
      <w:r>
        <w:t>.</w:t>
      </w:r>
      <w:r>
        <w:tab/>
        <w:t>Estimating water used where meter out of order or inaccurate</w:t>
      </w:r>
      <w:bookmarkEnd w:id="88"/>
    </w:p>
    <w:p>
      <w:pPr>
        <w:pStyle w:val="Subsection"/>
        <w:spacing w:before="120"/>
      </w:pPr>
      <w:r>
        <w:tab/>
        <w:t>(1)</w:t>
      </w:r>
      <w:r>
        <w:tab/>
        <w:t xml:space="preserve">Where — </w:t>
      </w:r>
    </w:p>
    <w:p>
      <w:pPr>
        <w:pStyle w:val="Indenta"/>
        <w:spacing w:before="60"/>
      </w:pPr>
      <w:r>
        <w:tab/>
        <w:t>(a)</w:t>
      </w:r>
      <w:r>
        <w:tab/>
        <w:t>on testing, a meter has been found not to be in proper order;</w:t>
      </w:r>
    </w:p>
    <w:p>
      <w:pPr>
        <w:pStyle w:val="Indenta"/>
        <w:spacing w:before="60"/>
      </w:pPr>
      <w:r>
        <w:tab/>
        <w:t>(b)</w:t>
      </w:r>
      <w:r>
        <w:tab/>
        <w:t>a meter has been removed for repair; or</w:t>
      </w:r>
    </w:p>
    <w:p>
      <w:pPr>
        <w:pStyle w:val="Indenta"/>
        <w:keepNext/>
        <w:keepLines/>
        <w:spacing w:before="60"/>
      </w:pPr>
      <w:r>
        <w:tab/>
        <w:t>(c)</w:t>
      </w:r>
      <w:r>
        <w:tab/>
        <w:t>a meter was, or any associated fittings were, installed or altered so that the meter did not accurately measure the quantity of water being taken,</w:t>
      </w:r>
    </w:p>
    <w:p>
      <w:pPr>
        <w:pStyle w:val="Subsection"/>
        <w:keepNext/>
        <w:keepLines/>
        <w:spacing w:before="120"/>
      </w:pPr>
      <w:r>
        <w:tab/>
      </w:r>
      <w:r>
        <w:tab/>
        <w:t xml:space="preserve">the Minister may estimate the quantity of water concerned — </w:t>
      </w:r>
    </w:p>
    <w:p>
      <w:pPr>
        <w:pStyle w:val="Indenta"/>
        <w:spacing w:before="60"/>
      </w:pPr>
      <w:r>
        <w:tab/>
        <w:t>(d)</w:t>
      </w:r>
      <w:r>
        <w:tab/>
        <w:t>by reference to an average of the quantity of water supplied during another period;</w:t>
      </w:r>
    </w:p>
    <w:p>
      <w:pPr>
        <w:pStyle w:val="Indenta"/>
        <w:spacing w:before="60"/>
      </w:pPr>
      <w:r>
        <w:tab/>
        <w:t>(e)</w:t>
      </w:r>
      <w:r>
        <w:tab/>
        <w:t>by adjusting the quantity registered by the meter to take account of the error found upon testing the meter; or</w:t>
      </w:r>
    </w:p>
    <w:p>
      <w:pPr>
        <w:pStyle w:val="Indenta"/>
        <w:spacing w:before="60"/>
      </w:pPr>
      <w:r>
        <w:tab/>
        <w:t>(f)</w:t>
      </w:r>
      <w:r>
        <w:tab/>
        <w:t>on such other basis as the Minister may determine.</w:t>
      </w:r>
    </w:p>
    <w:p>
      <w:pPr>
        <w:pStyle w:val="Subsection"/>
        <w:spacing w:before="120"/>
      </w:pPr>
      <w:r>
        <w:tab/>
        <w:t>(2)</w:t>
      </w:r>
      <w:r>
        <w:tab/>
        <w:t>Notice stating the estimated quantity of water taken from a well during any particular period is to be given by the Minister to the licensee.</w:t>
      </w:r>
    </w:p>
    <w:p>
      <w:pPr>
        <w:pStyle w:val="Footnotesection"/>
      </w:pPr>
      <w:r>
        <w:tab/>
        <w:t>[Regulation 45 amended by Gazette 23 Jun 2009 p. 2495</w:t>
      </w:r>
      <w:r>
        <w:noBreakHyphen/>
        <w:t>7; 20 Feb 2018 p. 500</w:t>
      </w:r>
      <w:r>
        <w:noBreakHyphen/>
        <w:t>1.]</w:t>
      </w:r>
    </w:p>
    <w:p>
      <w:pPr>
        <w:pStyle w:val="Heading5"/>
        <w:spacing w:before="180"/>
      </w:pPr>
      <w:bookmarkStart w:id="89" w:name="_Toc528669841"/>
      <w:r>
        <w:rPr>
          <w:rStyle w:val="CharSectno"/>
        </w:rPr>
        <w:t>46</w:t>
      </w:r>
      <w:r>
        <w:t>.</w:t>
      </w:r>
      <w:r>
        <w:tab/>
        <w:t>Evidence of water taken from well</w:t>
      </w:r>
      <w:bookmarkEnd w:id="89"/>
    </w:p>
    <w:p>
      <w:pPr>
        <w:pStyle w:val="Subsection"/>
        <w:spacing w:before="120"/>
      </w:pPr>
      <w:r>
        <w:tab/>
      </w:r>
      <w:r>
        <w:tab/>
        <w:t xml:space="preserve">A notice — </w:t>
      </w:r>
    </w:p>
    <w:p>
      <w:pPr>
        <w:pStyle w:val="Indenta"/>
        <w:spacing w:before="60"/>
      </w:pPr>
      <w:r>
        <w:tab/>
        <w:t>(a)</w:t>
      </w:r>
      <w:r>
        <w:tab/>
        <w:t>under regulation 45(2); or</w:t>
      </w:r>
    </w:p>
    <w:p>
      <w:pPr>
        <w:pStyle w:val="Indenta"/>
        <w:spacing w:before="60"/>
      </w:pPr>
      <w:r>
        <w:tab/>
        <w:t>(b)</w:t>
      </w:r>
      <w:r>
        <w:tab/>
        <w:t>given to a licensee by the Minister stating the quantity of water taken from a well during any particular period,</w:t>
      </w:r>
    </w:p>
    <w:p>
      <w:pPr>
        <w:pStyle w:val="Subsection"/>
        <w:spacing w:before="120"/>
      </w:pPr>
      <w:r>
        <w:tab/>
      </w:r>
      <w:r>
        <w:tab/>
        <w:t>is, in the absence of proof to the contrary, to be presumed to be the amount taken from the well.</w:t>
      </w:r>
    </w:p>
    <w:p>
      <w:pPr>
        <w:pStyle w:val="Footnotesection"/>
      </w:pPr>
      <w:r>
        <w:tab/>
        <w:t>[Regulation 46 amended by Gazette 23 Jun 2009 p. 2495</w:t>
      </w:r>
      <w:r>
        <w:noBreakHyphen/>
        <w:t>7; 20 Feb 2018 p. 500</w:t>
      </w:r>
      <w:r>
        <w:noBreakHyphen/>
        <w:t>1.]</w:t>
      </w:r>
    </w:p>
    <w:p>
      <w:pPr>
        <w:pStyle w:val="Heading2"/>
      </w:pPr>
      <w:bookmarkStart w:id="90" w:name="_Toc493168666"/>
      <w:bookmarkStart w:id="91" w:name="_Toc493233816"/>
      <w:bookmarkStart w:id="92" w:name="_Toc506886877"/>
      <w:bookmarkStart w:id="93" w:name="_Toc528669109"/>
      <w:bookmarkStart w:id="94" w:name="_Toc528669842"/>
      <w:r>
        <w:rPr>
          <w:rStyle w:val="CharPartNo"/>
        </w:rPr>
        <w:t>Part 5</w:t>
      </w:r>
      <w:r>
        <w:rPr>
          <w:rStyle w:val="CharDivNo"/>
        </w:rPr>
        <w:t> </w:t>
      </w:r>
      <w:r>
        <w:t>—</w:t>
      </w:r>
      <w:r>
        <w:rPr>
          <w:rStyle w:val="CharDivText"/>
        </w:rPr>
        <w:t> </w:t>
      </w:r>
      <w:r>
        <w:rPr>
          <w:rStyle w:val="CharPartText"/>
        </w:rPr>
        <w:t>Registration of instruments</w:t>
      </w:r>
      <w:bookmarkEnd w:id="90"/>
      <w:bookmarkEnd w:id="91"/>
      <w:bookmarkEnd w:id="92"/>
      <w:bookmarkEnd w:id="93"/>
      <w:bookmarkEnd w:id="94"/>
    </w:p>
    <w:p>
      <w:pPr>
        <w:pStyle w:val="Heading5"/>
      </w:pPr>
      <w:bookmarkStart w:id="95" w:name="_Toc528669843"/>
      <w:r>
        <w:rPr>
          <w:rStyle w:val="CharSectno"/>
        </w:rPr>
        <w:t>47</w:t>
      </w:r>
      <w:r>
        <w:t>.</w:t>
      </w:r>
      <w:r>
        <w:tab/>
        <w:t>Terms used</w:t>
      </w:r>
      <w:bookmarkEnd w:id="95"/>
    </w:p>
    <w:p>
      <w:pPr>
        <w:pStyle w:val="Subsection"/>
      </w:pPr>
      <w:r>
        <w:tab/>
      </w:r>
      <w:r>
        <w:tab/>
        <w:t xml:space="preserve">In this Part — </w:t>
      </w:r>
    </w:p>
    <w:p>
      <w:pPr>
        <w:pStyle w:val="Defstart"/>
      </w:pPr>
      <w:r>
        <w:tab/>
      </w:r>
      <w:r>
        <w:rPr>
          <w:rStyle w:val="CharDefText"/>
        </w:rPr>
        <w:t>clause</w:t>
      </w:r>
      <w:r>
        <w:t xml:space="preserve"> means a clause of Schedule 1 to the Act;</w:t>
      </w:r>
    </w:p>
    <w:p>
      <w:pPr>
        <w:pStyle w:val="Defstart"/>
      </w:pPr>
      <w:r>
        <w:tab/>
      </w:r>
      <w:r>
        <w:rPr>
          <w:rStyle w:val="CharDefText"/>
        </w:rPr>
        <w:t>register</w:t>
      </w:r>
      <w:r>
        <w:t xml:space="preserve"> means the register to be kept under section 26GZI.</w:t>
      </w:r>
    </w:p>
    <w:p>
      <w:pPr>
        <w:pStyle w:val="Heading5"/>
      </w:pPr>
      <w:bookmarkStart w:id="96" w:name="_Toc528669844"/>
      <w:r>
        <w:rPr>
          <w:rStyle w:val="CharSectno"/>
        </w:rPr>
        <w:t>48</w:t>
      </w:r>
      <w:r>
        <w:t>.</w:t>
      </w:r>
      <w:r>
        <w:tab/>
        <w:t>Prescribed details for register (Act s. 26GZJ)</w:t>
      </w:r>
      <w:bookmarkEnd w:id="96"/>
    </w:p>
    <w:p>
      <w:pPr>
        <w:pStyle w:val="Subsection"/>
      </w:pPr>
      <w:r>
        <w:tab/>
      </w:r>
      <w:r>
        <w:tab/>
        <w:t xml:space="preserve">The following details are prescribed under section 26GZJ(1)(g) as additional details to be set out in the register in respect of an instrument that is a licence under section 5C — </w:t>
      </w:r>
    </w:p>
    <w:p>
      <w:pPr>
        <w:pStyle w:val="Indenta"/>
      </w:pPr>
      <w:r>
        <w:tab/>
        <w:t>(a)</w:t>
      </w:r>
      <w:r>
        <w:tab/>
        <w:t>where relevant, the volume of water that may be taken under the licence;</w:t>
      </w:r>
    </w:p>
    <w:p>
      <w:pPr>
        <w:pStyle w:val="Indenta"/>
      </w:pPr>
      <w:r>
        <w:tab/>
        <w:t>(b)</w:t>
      </w:r>
      <w:r>
        <w:tab/>
        <w:t xml:space="preserve">if an agreement referred to in clause 30 relating to the taking of water under the licence has been approved by the Minister under that clause, details relating to that agreement, including — </w:t>
      </w:r>
    </w:p>
    <w:p>
      <w:pPr>
        <w:pStyle w:val="Indenti"/>
      </w:pPr>
      <w:r>
        <w:tab/>
        <w:t>(i)</w:t>
      </w:r>
      <w:r>
        <w:tab/>
        <w:t>the name and business address of the person who entered into the agreement with the licensee; and</w:t>
      </w:r>
    </w:p>
    <w:p>
      <w:pPr>
        <w:pStyle w:val="Indenti"/>
      </w:pPr>
      <w:r>
        <w:tab/>
        <w:t>(ii)</w:t>
      </w:r>
      <w:r>
        <w:tab/>
        <w:t>period for which it is of effect;</w:t>
      </w:r>
    </w:p>
    <w:p>
      <w:pPr>
        <w:pStyle w:val="Indenta"/>
      </w:pPr>
      <w:r>
        <w:tab/>
        <w:t>(c)</w:t>
      </w:r>
      <w:r>
        <w:tab/>
        <w:t>details of any notation endorsed on the licence by the Minister under clause 19(b) showing that the licence is subject to clause 20;</w:t>
      </w:r>
    </w:p>
    <w:p>
      <w:pPr>
        <w:pStyle w:val="Indenta"/>
      </w:pPr>
      <w:r>
        <w:tab/>
        <w:t>(d)</w:t>
      </w:r>
      <w:r>
        <w:tab/>
        <w:t>a notation that an application under clause 32 for approval of the transfer of a licence or a water entitlement or of an agreement referred to in clause 30 that has been made but not yet determined by the Minister; and</w:t>
      </w:r>
    </w:p>
    <w:p>
      <w:pPr>
        <w:pStyle w:val="Indenta"/>
      </w:pPr>
      <w:r>
        <w:tab/>
        <w:t>(e)</w:t>
      </w:r>
      <w:r>
        <w:tab/>
        <w:t>a notation that an undertaking has been given by the Minister to approve an agreement under clause 30 or a transfer under clause 31.</w:t>
      </w:r>
    </w:p>
    <w:p>
      <w:pPr>
        <w:pStyle w:val="Footnotesection"/>
      </w:pPr>
      <w:r>
        <w:tab/>
        <w:t>[Regulation 48 amended by Gazette 23 Jun 2009 p. 2495</w:t>
      </w:r>
      <w:r>
        <w:noBreakHyphen/>
        <w:t>7; 20 Feb 2018 p. 500</w:t>
      </w:r>
      <w:r>
        <w:noBreakHyphen/>
        <w:t>1.]</w:t>
      </w:r>
    </w:p>
    <w:p>
      <w:pPr>
        <w:pStyle w:val="Heading5"/>
      </w:pPr>
      <w:bookmarkStart w:id="97" w:name="_Toc528669845"/>
      <w:r>
        <w:rPr>
          <w:rStyle w:val="CharSectno"/>
        </w:rPr>
        <w:t>49</w:t>
      </w:r>
      <w:r>
        <w:t>.</w:t>
      </w:r>
      <w:r>
        <w:tab/>
        <w:t>Fees in relation to the register (Sch. 1 Part 2)</w:t>
      </w:r>
      <w:bookmarkEnd w:id="97"/>
    </w:p>
    <w:p>
      <w:pPr>
        <w:pStyle w:val="Subsection"/>
      </w:pPr>
      <w:r>
        <w:tab/>
      </w:r>
      <w:r>
        <w:tab/>
        <w:t>A fee set out in Schedule 1 Part 2 is the fee to be paid in respect of the matter described opposite the fee.</w:t>
      </w:r>
    </w:p>
    <w:p>
      <w:pPr>
        <w:pStyle w:val="Footnotesection"/>
      </w:pPr>
      <w:r>
        <w:tab/>
        <w:t>[Regulation 49 amended by Gazette 22 Jun 2007 p. 2881 (disallowed, see Gazette 27 Nov 2007 p. 5910); 28 Dec 2007 p. 6429 (disallowed, see Gazette 11 Apr 2008 p. 1396).]</w:t>
      </w:r>
    </w:p>
    <w:p>
      <w:pPr>
        <w:pStyle w:val="Ednotepart"/>
      </w:pPr>
      <w:r>
        <w:t>[Part 5A (r. 49A</w:t>
      </w:r>
      <w:r>
        <w:noBreakHyphen/>
        <w:t>49O) deleted by Gazette 30 Dec 2004 p. 7000.]</w:t>
      </w:r>
    </w:p>
    <w:p>
      <w:pPr>
        <w:pStyle w:val="Heading2"/>
      </w:pPr>
      <w:bookmarkStart w:id="98" w:name="_Toc493168670"/>
      <w:bookmarkStart w:id="99" w:name="_Toc493233820"/>
      <w:bookmarkStart w:id="100" w:name="_Toc506886881"/>
      <w:bookmarkStart w:id="101" w:name="_Toc528669113"/>
      <w:bookmarkStart w:id="102" w:name="_Toc528669846"/>
      <w:r>
        <w:rPr>
          <w:rStyle w:val="CharPartNo"/>
        </w:rPr>
        <w:t>Part 6</w:t>
      </w:r>
      <w:r>
        <w:rPr>
          <w:rStyle w:val="CharDivNo"/>
        </w:rPr>
        <w:t xml:space="preserve"> </w:t>
      </w:r>
      <w:r>
        <w:t>—</w:t>
      </w:r>
      <w:r>
        <w:rPr>
          <w:rStyle w:val="CharDivText"/>
        </w:rPr>
        <w:t xml:space="preserve"> </w:t>
      </w:r>
      <w:r>
        <w:rPr>
          <w:rStyle w:val="CharPartText"/>
        </w:rPr>
        <w:t>Miscellaneous</w:t>
      </w:r>
      <w:bookmarkEnd w:id="98"/>
      <w:bookmarkEnd w:id="99"/>
      <w:bookmarkEnd w:id="100"/>
      <w:bookmarkEnd w:id="101"/>
      <w:bookmarkEnd w:id="102"/>
    </w:p>
    <w:p>
      <w:pPr>
        <w:pStyle w:val="Heading5"/>
      </w:pPr>
      <w:bookmarkStart w:id="103" w:name="_Toc528669847"/>
      <w:r>
        <w:rPr>
          <w:rStyle w:val="CharSectno"/>
        </w:rPr>
        <w:t>50</w:t>
      </w:r>
      <w:r>
        <w:t>.</w:t>
      </w:r>
      <w:r>
        <w:tab/>
        <w:t>Prescribed offences</w:t>
      </w:r>
      <w:bookmarkEnd w:id="103"/>
    </w:p>
    <w:p>
      <w:pPr>
        <w:pStyle w:val="Subsection"/>
        <w:rPr>
          <w:i/>
        </w:rPr>
      </w:pPr>
      <w:r>
        <w:tab/>
      </w:r>
      <w:r>
        <w:tab/>
        <w:t xml:space="preserve">An offence against the </w:t>
      </w:r>
      <w:r>
        <w:rPr>
          <w:i/>
        </w:rPr>
        <w:t>Rights in Water and Irrigation Act 1914</w:t>
      </w:r>
      <w:r>
        <w:t xml:space="preserve"> or these regulations set out in column 1 of Schedule 2 is prescribed to be an offence that may be dealt with under section 103 of the </w:t>
      </w:r>
      <w:r>
        <w:rPr>
          <w:i/>
        </w:rPr>
        <w:t>Water Agencies (Powers) Act 1984.</w:t>
      </w:r>
    </w:p>
    <w:p>
      <w:pPr>
        <w:pStyle w:val="Footnotesection"/>
      </w:pPr>
      <w:r>
        <w:tab/>
        <w:t>[Regulation 50 amended by Gazette 14 Jun 2002 p. 2835.]</w:t>
      </w:r>
    </w:p>
    <w:p>
      <w:pPr>
        <w:pStyle w:val="Heading5"/>
      </w:pPr>
      <w:bookmarkStart w:id="104" w:name="_Toc528669848"/>
      <w:r>
        <w:rPr>
          <w:rStyle w:val="CharSectno"/>
        </w:rPr>
        <w:t>51</w:t>
      </w:r>
      <w:r>
        <w:t>.</w:t>
      </w:r>
      <w:r>
        <w:tab/>
        <w:t>Modified penalties</w:t>
      </w:r>
      <w:bookmarkEnd w:id="104"/>
    </w:p>
    <w:p>
      <w:pPr>
        <w:pStyle w:val="Subsection"/>
        <w:rPr>
          <w:i/>
        </w:rPr>
      </w:pPr>
      <w:r>
        <w:tab/>
      </w:r>
      <w:r>
        <w:tab/>
        <w:t xml:space="preserve">The modified penalty set out in column 2 of Schedule 2 opposite an offence referred to in column 1 is the prescribed modified penalty which applies in respect of that offence for the purposes of section 103(3)(a) of the </w:t>
      </w:r>
      <w:r>
        <w:rPr>
          <w:i/>
        </w:rPr>
        <w:t>Water Agencies (Powers) Act 1984</w:t>
      </w:r>
      <w:r>
        <w:t>.</w:t>
      </w:r>
    </w:p>
    <w:p>
      <w:pPr>
        <w:pStyle w:val="Heading5"/>
      </w:pPr>
      <w:bookmarkStart w:id="105" w:name="_Toc528669849"/>
      <w:r>
        <w:rPr>
          <w:rStyle w:val="CharSectno"/>
        </w:rPr>
        <w:t>52A</w:t>
      </w:r>
      <w:r>
        <w:t>.</w:t>
      </w:r>
      <w:r>
        <w:tab/>
        <w:t>Persons authorised to give infringement notices</w:t>
      </w:r>
      <w:bookmarkEnd w:id="105"/>
    </w:p>
    <w:p>
      <w:pPr>
        <w:pStyle w:val="Subsection"/>
      </w:pPr>
      <w:r>
        <w:tab/>
      </w:r>
      <w:r>
        <w:tab/>
        <w:t xml:space="preserve">For the purposes of the </w:t>
      </w:r>
      <w:r>
        <w:rPr>
          <w:i/>
          <w:iCs/>
        </w:rPr>
        <w:t>Water Agencies (Powers) Act 1984</w:t>
      </w:r>
      <w:r>
        <w:t xml:space="preserve"> section 103, any person employed in the Department who is authorised in writing by a prescribed person is authorised to give an infringement notice in respect of an offence prescribed by regulation 50.</w:t>
      </w:r>
    </w:p>
    <w:p>
      <w:pPr>
        <w:pStyle w:val="Footnotesection"/>
      </w:pPr>
      <w:r>
        <w:tab/>
        <w:t>[Regulation 52A inserted by Gazette 16 Mar 2010 p. 985; amended by Gazette 20 Dec 2011 p. 5411.]</w:t>
      </w:r>
    </w:p>
    <w:p>
      <w:pPr>
        <w:pStyle w:val="Heading5"/>
      </w:pPr>
      <w:bookmarkStart w:id="106" w:name="_Toc528669850"/>
      <w:r>
        <w:rPr>
          <w:rStyle w:val="CharSectno"/>
        </w:rPr>
        <w:t>52B</w:t>
      </w:r>
      <w:r>
        <w:t>.</w:t>
      </w:r>
      <w:r>
        <w:tab/>
        <w:t>Prescribed persons for infringement notices</w:t>
      </w:r>
      <w:bookmarkEnd w:id="106"/>
    </w:p>
    <w:p>
      <w:pPr>
        <w:pStyle w:val="Subsection"/>
      </w:pPr>
      <w:r>
        <w:tab/>
      </w:r>
      <w:r>
        <w:tab/>
        <w:t xml:space="preserve">For the purposes of the </w:t>
      </w:r>
      <w:r>
        <w:rPr>
          <w:i/>
        </w:rPr>
        <w:t>Water Agencies (Powers) Act 1984</w:t>
      </w:r>
      <w:r>
        <w:t xml:space="preserve"> section 103, a person holding or acting in any of the following offices in the Department is a prescribed person in relation to an infringement notice given in respect of an offence prescribed by regulation 50 —</w:t>
      </w:r>
    </w:p>
    <w:p>
      <w:pPr>
        <w:pStyle w:val="Indenta"/>
      </w:pPr>
      <w:r>
        <w:tab/>
        <w:t>(a)</w:t>
      </w:r>
      <w:r>
        <w:tab/>
        <w:t>chief executive officer;</w:t>
      </w:r>
    </w:p>
    <w:p>
      <w:pPr>
        <w:pStyle w:val="Indenta"/>
      </w:pPr>
      <w:r>
        <w:tab/>
        <w:t>(b)</w:t>
      </w:r>
      <w:r>
        <w:tab/>
        <w:t>Executive Director Regional Delivery and Regulation;</w:t>
      </w:r>
    </w:p>
    <w:p>
      <w:pPr>
        <w:pStyle w:val="Indenta"/>
      </w:pPr>
      <w:r>
        <w:tab/>
        <w:t>(c)</w:t>
      </w:r>
      <w:r>
        <w:tab/>
        <w:t>Director Regions;</w:t>
      </w:r>
    </w:p>
    <w:p>
      <w:pPr>
        <w:pStyle w:val="Indenta"/>
      </w:pPr>
      <w:r>
        <w:tab/>
        <w:t>(d)</w:t>
      </w:r>
      <w:r>
        <w:tab/>
        <w:t>Director Regulation;</w:t>
      </w:r>
    </w:p>
    <w:p>
      <w:pPr>
        <w:pStyle w:val="Indenta"/>
      </w:pPr>
      <w:r>
        <w:tab/>
        <w:t>(e)</w:t>
      </w:r>
      <w:r>
        <w:tab/>
        <w:t>Regional Manager.</w:t>
      </w:r>
    </w:p>
    <w:p>
      <w:pPr>
        <w:pStyle w:val="Footnotesection"/>
      </w:pPr>
      <w:r>
        <w:tab/>
        <w:t>[Regulation 52B inserted by Gazette 23 Jun 2009 p. 2499; amended by Gazette 20 Dec 2011 p. 5411.]</w:t>
      </w:r>
    </w:p>
    <w:p>
      <w:pPr>
        <w:pStyle w:val="Heading5"/>
      </w:pPr>
      <w:bookmarkStart w:id="107" w:name="_Toc528669851"/>
      <w:r>
        <w:rPr>
          <w:rStyle w:val="CharSectno"/>
        </w:rPr>
        <w:t>52</w:t>
      </w:r>
      <w:r>
        <w:t>.</w:t>
      </w:r>
      <w:r>
        <w:tab/>
        <w:t>Designated person for infringement notices</w:t>
      </w:r>
      <w:bookmarkEnd w:id="107"/>
    </w:p>
    <w:p>
      <w:pPr>
        <w:pStyle w:val="Subsection"/>
      </w:pPr>
      <w:r>
        <w:tab/>
      </w:r>
      <w:r>
        <w:tab/>
        <w:t xml:space="preserve">For the purposes of the </w:t>
      </w:r>
      <w:r>
        <w:rPr>
          <w:i/>
        </w:rPr>
        <w:t>Water Agencies (Powers) Act 1984</w:t>
      </w:r>
      <w:r>
        <w:t xml:space="preserve"> section 103, a person holding or acting in the office of chief finance officer (within the meaning of that term in the </w:t>
      </w:r>
      <w:r>
        <w:rPr>
          <w:i/>
          <w:iCs/>
        </w:rPr>
        <w:t xml:space="preserve">Financial Management Act 2006 </w:t>
      </w:r>
      <w:r>
        <w:t>section 57) for the Department is the designated person to whom payment may be made of a modified penalty for an offence prescribed by regulation 50.</w:t>
      </w:r>
    </w:p>
    <w:p>
      <w:pPr>
        <w:pStyle w:val="Footnotesection"/>
      </w:pPr>
      <w:r>
        <w:tab/>
        <w:t>[Regulation 52 inserted by Gazette 23 Jun 2009 p. 2499.]</w:t>
      </w:r>
    </w:p>
    <w:p>
      <w:pPr>
        <w:pStyle w:val="Heading5"/>
      </w:pPr>
      <w:bookmarkStart w:id="108" w:name="_Toc528669852"/>
      <w:r>
        <w:rPr>
          <w:rStyle w:val="CharSectno"/>
        </w:rPr>
        <w:t>53</w:t>
      </w:r>
      <w:r>
        <w:t>.</w:t>
      </w:r>
      <w:r>
        <w:tab/>
        <w:t>Form of infringement notice</w:t>
      </w:r>
      <w:bookmarkEnd w:id="108"/>
    </w:p>
    <w:p>
      <w:pPr>
        <w:pStyle w:val="Subsection"/>
      </w:pPr>
      <w:r>
        <w:tab/>
      </w:r>
      <w:r>
        <w:tab/>
        <w:t xml:space="preserve">An infringement notice under section 103(2) of the </w:t>
      </w:r>
      <w:r>
        <w:rPr>
          <w:i/>
        </w:rPr>
        <w:t>Water Agencies (Powers) Act 1984</w:t>
      </w:r>
      <w:r>
        <w:t xml:space="preserve"> is to be in the form of Form 3.</w:t>
      </w:r>
    </w:p>
    <w:p>
      <w:pPr>
        <w:pStyle w:val="Heading5"/>
      </w:pPr>
      <w:bookmarkStart w:id="109" w:name="_Toc528669853"/>
      <w:r>
        <w:rPr>
          <w:rStyle w:val="CharSectno"/>
        </w:rPr>
        <w:t>54</w:t>
      </w:r>
      <w:r>
        <w:t>.</w:t>
      </w:r>
      <w:r>
        <w:tab/>
        <w:t>Form of notice of withdrawal of infringement notice</w:t>
      </w:r>
      <w:bookmarkEnd w:id="109"/>
    </w:p>
    <w:p>
      <w:pPr>
        <w:pStyle w:val="Subsection"/>
      </w:pPr>
      <w:r>
        <w:tab/>
      </w:r>
      <w:r>
        <w:tab/>
        <w:t xml:space="preserve">A notice to be sent under section 103(6) of the </w:t>
      </w:r>
      <w:r>
        <w:rPr>
          <w:i/>
        </w:rPr>
        <w:t>Water Agencies (Powers) Act 1984</w:t>
      </w:r>
      <w:r>
        <w:t xml:space="preserve"> is to be in the form of Form 4.</w:t>
      </w:r>
    </w:p>
    <w:p>
      <w:pPr>
        <w:pStyle w:val="Heading5"/>
      </w:pPr>
      <w:bookmarkStart w:id="110" w:name="_Toc528669854"/>
      <w:r>
        <w:rPr>
          <w:rStyle w:val="CharSectno"/>
        </w:rPr>
        <w:t>55A</w:t>
      </w:r>
      <w:r>
        <w:t>.</w:t>
      </w:r>
      <w:r>
        <w:tab/>
        <w:t>Form of certificate for authorised person</w:t>
      </w:r>
      <w:bookmarkEnd w:id="110"/>
    </w:p>
    <w:p>
      <w:pPr>
        <w:pStyle w:val="Subsection"/>
      </w:pPr>
      <w:r>
        <w:tab/>
      </w:r>
      <w:r>
        <w:tab/>
        <w:t xml:space="preserve">A certificate issued under the </w:t>
      </w:r>
      <w:r>
        <w:rPr>
          <w:i/>
        </w:rPr>
        <w:t>Water Agencies (Powers) Act 1984</w:t>
      </w:r>
      <w:r>
        <w:t xml:space="preserve"> section 103(11) to an authorised person must be in the form of Form 5.</w:t>
      </w:r>
    </w:p>
    <w:p>
      <w:pPr>
        <w:pStyle w:val="Footnotesection"/>
      </w:pPr>
      <w:r>
        <w:tab/>
        <w:t>[Regulation 55A inserted by Gazette 23 Jun 2009 p. 2499.]</w:t>
      </w:r>
    </w:p>
    <w:p>
      <w:pPr>
        <w:pStyle w:val="Heading5"/>
      </w:pPr>
      <w:bookmarkStart w:id="111" w:name="_Toc528669855"/>
      <w:r>
        <w:rPr>
          <w:rStyle w:val="CharSectno"/>
        </w:rPr>
        <w:t>55</w:t>
      </w:r>
      <w:r>
        <w:t>.</w:t>
      </w:r>
      <w:r>
        <w:tab/>
        <w:t>Unauthorised alteration of infringement notices</w:t>
      </w:r>
      <w:bookmarkEnd w:id="111"/>
    </w:p>
    <w:p>
      <w:pPr>
        <w:pStyle w:val="Subsection"/>
      </w:pPr>
      <w:r>
        <w:tab/>
      </w:r>
      <w:r>
        <w:tab/>
        <w:t>A person who, not being an authorised person, makes any alteration to an infringement notice commits an offence.</w:t>
      </w:r>
    </w:p>
    <w:p>
      <w:pPr>
        <w:pStyle w:val="Penstart"/>
      </w:pPr>
      <w:r>
        <w:tab/>
        <w:t>Penalty: $200.</w:t>
      </w:r>
    </w:p>
    <w:p>
      <w:pPr>
        <w:pStyle w:val="Ednotesection"/>
      </w:pPr>
      <w:r>
        <w:t>[</w:t>
      </w:r>
      <w:r>
        <w:rPr>
          <w:b/>
        </w:rPr>
        <w:t>56.</w:t>
      </w:r>
      <w:r>
        <w:tab/>
        <w:t>Deleted by Gazette 16 Dec 2014 p. 4766.]</w:t>
      </w:r>
    </w:p>
    <w:p>
      <w:pPr>
        <w:pStyle w:val="Ednotesection"/>
      </w:pPr>
      <w:r>
        <w:t>[</w:t>
      </w:r>
      <w:r>
        <w:rPr>
          <w:b/>
          <w:bCs/>
        </w:rPr>
        <w:t>56A.</w:t>
      </w:r>
      <w:r>
        <w:tab/>
        <w:t>Inserted by Gazette 28 Dec 2007 p. 6429-30 (disallowed, see Gazette 11 Apr 2008 p. 1396).]</w:t>
      </w:r>
    </w:p>
    <w:p>
      <w:pPr>
        <w:pStyle w:val="Heading5"/>
      </w:pPr>
      <w:bookmarkStart w:id="112" w:name="_Toc528669856"/>
      <w:r>
        <w:rPr>
          <w:rStyle w:val="CharSectno"/>
        </w:rPr>
        <w:t>57</w:t>
      </w:r>
      <w:r>
        <w:t>.</w:t>
      </w:r>
      <w:r>
        <w:tab/>
        <w:t>False or misleading information in respect of applications</w:t>
      </w:r>
      <w:bookmarkEnd w:id="112"/>
    </w:p>
    <w:p>
      <w:pPr>
        <w:pStyle w:val="Subsection"/>
      </w:pPr>
      <w:r>
        <w:tab/>
      </w:r>
      <w:r>
        <w:tab/>
        <w:t xml:space="preserve">A person who makes a statement under these regulations to the Minister that — </w:t>
      </w:r>
    </w:p>
    <w:p>
      <w:pPr>
        <w:pStyle w:val="Indenta"/>
      </w:pPr>
      <w:r>
        <w:tab/>
        <w:t>(a)</w:t>
      </w:r>
      <w:r>
        <w:tab/>
        <w:t>the person knows to be false or misleading in a material particular;</w:t>
      </w:r>
    </w:p>
    <w:p>
      <w:pPr>
        <w:pStyle w:val="Indenta"/>
      </w:pPr>
      <w:r>
        <w:tab/>
        <w:t>(b)</w:t>
      </w:r>
      <w:r>
        <w:tab/>
        <w:t>was false in a material particular and was supplied with reckless disregard as to whether the information was false or misleading in a material particular; or</w:t>
      </w:r>
    </w:p>
    <w:p>
      <w:pPr>
        <w:pStyle w:val="Indenta"/>
      </w:pPr>
      <w:r>
        <w:tab/>
        <w:t>(c)</w:t>
      </w:r>
      <w:r>
        <w:tab/>
        <w:t>omits anything without which the statement is, to the person’s knowledge, misleading in a material particular,</w:t>
      </w:r>
    </w:p>
    <w:p>
      <w:pPr>
        <w:pStyle w:val="Subsection"/>
      </w:pPr>
      <w:r>
        <w:tab/>
      </w:r>
      <w:r>
        <w:tab/>
        <w:t>commits an offence.</w:t>
      </w:r>
    </w:p>
    <w:p>
      <w:pPr>
        <w:pStyle w:val="Penstart"/>
      </w:pPr>
      <w:r>
        <w:tab/>
        <w:t>Penalty: $2 000.</w:t>
      </w:r>
    </w:p>
    <w:p>
      <w:pPr>
        <w:pStyle w:val="Footnotesection"/>
      </w:pPr>
      <w:r>
        <w:tab/>
        <w:t>[Regulation 57 amended by Gazette 23 Jun 2009 p. 2495</w:t>
      </w:r>
      <w:r>
        <w:noBreakHyphen/>
        <w:t>7.]</w:t>
      </w:r>
    </w:p>
    <w:p>
      <w:pPr>
        <w:pStyle w:val="Ednotesection"/>
        <w:ind w:left="890" w:hanging="890"/>
      </w:pPr>
      <w:r>
        <w:t>[</w:t>
      </w:r>
      <w:r>
        <w:rPr>
          <w:rStyle w:val="CharSectno"/>
          <w:b/>
          <w:bCs/>
        </w:rPr>
        <w:t>58</w:t>
      </w:r>
      <w:r>
        <w:rPr>
          <w:b/>
          <w:bCs/>
        </w:rPr>
        <w:t>.</w:t>
      </w:r>
      <w:r>
        <w:tab/>
        <w:t>Omitted under the Reprints Act 1984 s. 7(4)(f).]</w:t>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113" w:name="_Toc493168681"/>
      <w:bookmarkStart w:id="114" w:name="_Toc493233831"/>
      <w:bookmarkStart w:id="115" w:name="_Toc506886892"/>
      <w:bookmarkStart w:id="116" w:name="_Toc528669124"/>
      <w:bookmarkStart w:id="117" w:name="_Toc528669857"/>
      <w:r>
        <w:rPr>
          <w:rStyle w:val="CharSchNo"/>
        </w:rPr>
        <w:t>Schedule 1</w:t>
      </w:r>
      <w:r>
        <w:t xml:space="preserve"> — </w:t>
      </w:r>
      <w:r>
        <w:rPr>
          <w:rStyle w:val="CharSchText"/>
        </w:rPr>
        <w:t>Fees</w:t>
      </w:r>
      <w:bookmarkEnd w:id="113"/>
      <w:bookmarkEnd w:id="114"/>
      <w:bookmarkEnd w:id="115"/>
      <w:bookmarkEnd w:id="116"/>
      <w:bookmarkEnd w:id="117"/>
    </w:p>
    <w:p>
      <w:pPr>
        <w:pStyle w:val="yHeading2"/>
        <w:spacing w:after="120"/>
        <w:outlineLvl w:val="9"/>
      </w:pPr>
      <w:bookmarkStart w:id="118" w:name="_Toc493168682"/>
      <w:bookmarkStart w:id="119" w:name="_Toc493233832"/>
      <w:bookmarkStart w:id="120" w:name="_Toc506886893"/>
      <w:bookmarkStart w:id="121" w:name="_Toc528669125"/>
      <w:bookmarkStart w:id="122" w:name="_Toc528669858"/>
      <w:r>
        <w:rPr>
          <w:rStyle w:val="CharSDivNo"/>
        </w:rPr>
        <w:t>Part 1</w:t>
      </w:r>
      <w:r>
        <w:t xml:space="preserve"> — </w:t>
      </w:r>
      <w:r>
        <w:rPr>
          <w:rStyle w:val="CharSDivText"/>
        </w:rPr>
        <w:t>Fees relating to licences and permits</w:t>
      </w:r>
      <w:bookmarkEnd w:id="118"/>
      <w:bookmarkEnd w:id="119"/>
      <w:bookmarkEnd w:id="120"/>
      <w:bookmarkEnd w:id="121"/>
      <w:bookmarkEnd w:id="122"/>
    </w:p>
    <w:p>
      <w:pPr>
        <w:pStyle w:val="yFootnotesection"/>
      </w:pPr>
      <w:r>
        <w:tab/>
        <w:t>[Heading inserted as Division 1 by Gazette 28 Dec 2007 p. 6430 (disallowed, see Gazette 11 Apr 2008 p. 1396).]</w:t>
      </w:r>
    </w:p>
    <w:tbl>
      <w:tblPr>
        <w:tblW w:w="0" w:type="auto"/>
        <w:tblInd w:w="228" w:type="dxa"/>
        <w:tblLayout w:type="fixed"/>
        <w:tblLook w:val="0000" w:firstRow="0" w:lastRow="0" w:firstColumn="0" w:lastColumn="0" w:noHBand="0" w:noVBand="0"/>
      </w:tblPr>
      <w:tblGrid>
        <w:gridCol w:w="840"/>
        <w:gridCol w:w="4920"/>
        <w:gridCol w:w="1200"/>
      </w:tblGrid>
      <w:tr>
        <w:tc>
          <w:tcPr>
            <w:tcW w:w="840" w:type="dxa"/>
          </w:tcPr>
          <w:p>
            <w:pPr>
              <w:pStyle w:val="yTableNAm"/>
              <w:rPr>
                <w:bCs/>
              </w:rPr>
            </w:pPr>
          </w:p>
        </w:tc>
        <w:tc>
          <w:tcPr>
            <w:tcW w:w="4920" w:type="dxa"/>
          </w:tcPr>
          <w:p>
            <w:pPr>
              <w:pStyle w:val="yTableNAm"/>
              <w:rPr>
                <w:bCs/>
              </w:rPr>
            </w:pPr>
          </w:p>
        </w:tc>
        <w:tc>
          <w:tcPr>
            <w:tcW w:w="1200" w:type="dxa"/>
          </w:tcPr>
          <w:p>
            <w:pPr>
              <w:pStyle w:val="yTableNAm"/>
              <w:rPr>
                <w:b/>
              </w:rPr>
            </w:pPr>
            <w:r>
              <w:rPr>
                <w:b/>
              </w:rPr>
              <w:t>Fee</w:t>
            </w:r>
          </w:p>
        </w:tc>
      </w:tr>
      <w:tr>
        <w:tc>
          <w:tcPr>
            <w:tcW w:w="5760" w:type="dxa"/>
            <w:gridSpan w:val="2"/>
          </w:tcPr>
          <w:p>
            <w:pPr>
              <w:pStyle w:val="yTableNAm"/>
              <w:rPr>
                <w:bCs/>
                <w:i/>
              </w:rPr>
            </w:pPr>
            <w:r>
              <w:rPr>
                <w:bCs/>
                <w:i/>
              </w:rPr>
              <w:t>[1, 2.</w:t>
            </w:r>
            <w:r>
              <w:rPr>
                <w:bCs/>
                <w:i/>
              </w:rPr>
              <w:tab/>
              <w:t>deleted]</w:t>
            </w:r>
          </w:p>
        </w:tc>
        <w:tc>
          <w:tcPr>
            <w:tcW w:w="1200" w:type="dxa"/>
          </w:tcPr>
          <w:p>
            <w:pPr>
              <w:pStyle w:val="yTableNAm"/>
              <w:rPr>
                <w:b/>
              </w:rPr>
            </w:pPr>
          </w:p>
        </w:tc>
      </w:tr>
      <w:tr>
        <w:tc>
          <w:tcPr>
            <w:tcW w:w="840" w:type="dxa"/>
          </w:tcPr>
          <w:p>
            <w:pPr>
              <w:pStyle w:val="yTableNAm"/>
            </w:pPr>
            <w:r>
              <w:t>3.</w:t>
            </w:r>
          </w:p>
        </w:tc>
        <w:tc>
          <w:tcPr>
            <w:tcW w:w="4920" w:type="dxa"/>
          </w:tcPr>
          <w:p>
            <w:pPr>
              <w:pStyle w:val="yTableNAm"/>
              <w:tabs>
                <w:tab w:val="clear" w:pos="567"/>
                <w:tab w:val="left" w:leader="dot" w:pos="4647"/>
              </w:tabs>
            </w:pPr>
            <w:r>
              <w:t xml:space="preserve">Application for approval of transfer of a licence, water entitlement or agreement referred to in clause 30 of Schedule 1 to the Act (cl. 32(1)(c) of that Schedule) </w:t>
            </w:r>
          </w:p>
        </w:tc>
        <w:tc>
          <w:tcPr>
            <w:tcW w:w="1200" w:type="dxa"/>
          </w:tcPr>
          <w:p>
            <w:pPr>
              <w:pStyle w:val="yTableNAm"/>
              <w:tabs>
                <w:tab w:val="clear" w:pos="567"/>
                <w:tab w:val="left" w:leader="dot" w:pos="4178"/>
              </w:tabs>
              <w:rPr>
                <w:i/>
              </w:rPr>
            </w:pPr>
            <w:r>
              <w:br/>
            </w:r>
            <w:r>
              <w:br/>
            </w:r>
            <w:r>
              <w:br/>
              <w:t>$200</w:t>
            </w:r>
          </w:p>
        </w:tc>
      </w:tr>
      <w:tr>
        <w:tc>
          <w:tcPr>
            <w:tcW w:w="840" w:type="dxa"/>
          </w:tcPr>
          <w:p>
            <w:pPr>
              <w:pStyle w:val="yTableNAm"/>
            </w:pPr>
            <w:r>
              <w:t>4.</w:t>
            </w:r>
          </w:p>
        </w:tc>
        <w:tc>
          <w:tcPr>
            <w:tcW w:w="4920" w:type="dxa"/>
          </w:tcPr>
          <w:p>
            <w:pPr>
              <w:pStyle w:val="yTableNAm"/>
              <w:tabs>
                <w:tab w:val="clear" w:pos="567"/>
                <w:tab w:val="left" w:leader="dot" w:pos="4647"/>
              </w:tabs>
              <w:rPr>
                <w:i/>
              </w:rPr>
            </w:pPr>
            <w:r>
              <w:t>Fee for certified duplicate of a licence</w:t>
            </w:r>
            <w:r>
              <w:br/>
              <w:t>(cl. 45 of Schedule 1 to the Act and reg. 22(1))</w:t>
            </w:r>
          </w:p>
        </w:tc>
        <w:tc>
          <w:tcPr>
            <w:tcW w:w="1200" w:type="dxa"/>
          </w:tcPr>
          <w:p>
            <w:pPr>
              <w:pStyle w:val="yTableNAm"/>
              <w:tabs>
                <w:tab w:val="clear" w:pos="567"/>
                <w:tab w:val="left" w:leader="dot" w:pos="4178"/>
              </w:tabs>
            </w:pPr>
            <w:r>
              <w:br/>
              <w:t>$50</w:t>
            </w:r>
          </w:p>
        </w:tc>
      </w:tr>
      <w:tr>
        <w:tc>
          <w:tcPr>
            <w:tcW w:w="840" w:type="dxa"/>
          </w:tcPr>
          <w:p>
            <w:pPr>
              <w:pStyle w:val="yTableNAm"/>
            </w:pPr>
            <w:r>
              <w:t>5.</w:t>
            </w:r>
          </w:p>
        </w:tc>
        <w:tc>
          <w:tcPr>
            <w:tcW w:w="4920" w:type="dxa"/>
          </w:tcPr>
          <w:p>
            <w:pPr>
              <w:pStyle w:val="yTableNAm"/>
              <w:tabs>
                <w:tab w:val="clear" w:pos="567"/>
                <w:tab w:val="left" w:leader="dot" w:pos="4647"/>
              </w:tabs>
            </w:pPr>
            <w:r>
              <w:t xml:space="preserve">Maximum amount for meter test (reg. 44(4)) </w:t>
            </w:r>
          </w:p>
        </w:tc>
        <w:tc>
          <w:tcPr>
            <w:tcW w:w="1200" w:type="dxa"/>
          </w:tcPr>
          <w:p>
            <w:pPr>
              <w:pStyle w:val="yTableNAm"/>
              <w:tabs>
                <w:tab w:val="clear" w:pos="567"/>
                <w:tab w:val="left" w:leader="dot" w:pos="4178"/>
              </w:tabs>
            </w:pPr>
            <w:r>
              <w:t>$500</w:t>
            </w:r>
          </w:p>
        </w:tc>
      </w:tr>
    </w:tbl>
    <w:p>
      <w:pPr>
        <w:pStyle w:val="yFootnotesection"/>
      </w:pPr>
      <w:r>
        <w:tab/>
        <w:t>[Part 1 amended by Gazette 17 Dec 2002 p. 5917</w:t>
      </w:r>
      <w:r>
        <w:noBreakHyphen/>
        <w:t>18; 22 Jun 2007 p. 2882-3 (disallowed, see Gazette 27 Nov 2007 p. 5910); Part 1 inserted as Division 1 by Gazette 28 Dec 2007 p. 6430-1 (disallowed, see Gazette 11 Apr 2008 p. 1396); 16 Dec 2014 p. 4766.]</w:t>
      </w:r>
    </w:p>
    <w:p>
      <w:pPr>
        <w:pStyle w:val="yHeading2"/>
        <w:pageBreakBefore/>
        <w:spacing w:before="480" w:after="120"/>
        <w:outlineLvl w:val="9"/>
      </w:pPr>
      <w:bookmarkStart w:id="123" w:name="_Toc493168683"/>
      <w:bookmarkStart w:id="124" w:name="_Toc493233833"/>
      <w:bookmarkStart w:id="125" w:name="_Toc506886894"/>
      <w:bookmarkStart w:id="126" w:name="_Toc528669126"/>
      <w:bookmarkStart w:id="127" w:name="_Toc528669859"/>
      <w:r>
        <w:rPr>
          <w:rStyle w:val="CharSDivNo"/>
        </w:rPr>
        <w:t>Part 2</w:t>
      </w:r>
      <w:r>
        <w:t xml:space="preserve"> — </w:t>
      </w:r>
      <w:r>
        <w:rPr>
          <w:rStyle w:val="CharSDivText"/>
        </w:rPr>
        <w:t>Registration of instruments in the register and access to the register</w:t>
      </w:r>
      <w:bookmarkEnd w:id="123"/>
      <w:bookmarkEnd w:id="124"/>
      <w:bookmarkEnd w:id="125"/>
      <w:bookmarkEnd w:id="126"/>
      <w:bookmarkEnd w:id="127"/>
    </w:p>
    <w:p>
      <w:pPr>
        <w:pStyle w:val="yFootnotesection"/>
      </w:pPr>
      <w:r>
        <w:tab/>
        <w:t>[Heading amended by Gazette 22 Jun 2007 p. 2883 (disallowed, see Gazette 27 Nov 2007 p. 5910); Part 2 heading inserted as Division 2 by Gazette 28 Dec 2007 p. 6431 (disallowed, see Gazette 11 Apr 2008 p. 1396).]</w:t>
      </w:r>
    </w:p>
    <w:tbl>
      <w:tblPr>
        <w:tblW w:w="0" w:type="auto"/>
        <w:tblInd w:w="228" w:type="dxa"/>
        <w:tblLayout w:type="fixed"/>
        <w:tblLook w:val="0000" w:firstRow="0" w:lastRow="0" w:firstColumn="0" w:lastColumn="0" w:noHBand="0" w:noVBand="0"/>
      </w:tblPr>
      <w:tblGrid>
        <w:gridCol w:w="840"/>
        <w:gridCol w:w="4920"/>
        <w:gridCol w:w="1200"/>
      </w:tblGrid>
      <w:tr>
        <w:trPr>
          <w:tblHeader/>
        </w:trPr>
        <w:tc>
          <w:tcPr>
            <w:tcW w:w="840" w:type="dxa"/>
          </w:tcPr>
          <w:p>
            <w:pPr>
              <w:pStyle w:val="yTableNAm"/>
            </w:pPr>
          </w:p>
        </w:tc>
        <w:tc>
          <w:tcPr>
            <w:tcW w:w="4920" w:type="dxa"/>
          </w:tcPr>
          <w:p>
            <w:pPr>
              <w:pStyle w:val="yTableNAm"/>
              <w:rPr>
                <w:b/>
              </w:rPr>
            </w:pPr>
            <w:r>
              <w:rPr>
                <w:b/>
              </w:rPr>
              <w:t>Registration</w:t>
            </w:r>
          </w:p>
        </w:tc>
        <w:tc>
          <w:tcPr>
            <w:tcW w:w="1200" w:type="dxa"/>
          </w:tcPr>
          <w:p>
            <w:pPr>
              <w:pStyle w:val="yTableNAm"/>
              <w:rPr>
                <w:b/>
              </w:rPr>
            </w:pPr>
            <w:r>
              <w:rPr>
                <w:b/>
              </w:rPr>
              <w:t>Fee</w:t>
            </w:r>
          </w:p>
        </w:tc>
      </w:tr>
      <w:tr>
        <w:tc>
          <w:tcPr>
            <w:tcW w:w="840" w:type="dxa"/>
          </w:tcPr>
          <w:p>
            <w:pPr>
              <w:pStyle w:val="yTableNAm"/>
            </w:pPr>
            <w:r>
              <w:t>1.</w:t>
            </w:r>
          </w:p>
        </w:tc>
        <w:tc>
          <w:tcPr>
            <w:tcW w:w="4920" w:type="dxa"/>
          </w:tcPr>
          <w:p>
            <w:pPr>
              <w:pStyle w:val="yTableNAm"/>
              <w:tabs>
                <w:tab w:val="clear" w:pos="567"/>
                <w:tab w:val="left" w:leader="dot" w:pos="4692"/>
              </w:tabs>
            </w:pPr>
            <w:r>
              <w:t xml:space="preserve">Application for notation of security interest </w:t>
            </w:r>
          </w:p>
        </w:tc>
        <w:tc>
          <w:tcPr>
            <w:tcW w:w="1200" w:type="dxa"/>
          </w:tcPr>
          <w:p>
            <w:pPr>
              <w:pStyle w:val="yTableNAm"/>
            </w:pPr>
            <w:r>
              <w:t>$70</w:t>
            </w:r>
          </w:p>
        </w:tc>
      </w:tr>
      <w:tr>
        <w:tc>
          <w:tcPr>
            <w:tcW w:w="840" w:type="dxa"/>
          </w:tcPr>
          <w:p>
            <w:pPr>
              <w:pStyle w:val="yTableNAm"/>
            </w:pPr>
            <w:r>
              <w:t>2.</w:t>
            </w:r>
          </w:p>
        </w:tc>
        <w:tc>
          <w:tcPr>
            <w:tcW w:w="4920" w:type="dxa"/>
          </w:tcPr>
          <w:p>
            <w:pPr>
              <w:pStyle w:val="yTableNAm"/>
              <w:tabs>
                <w:tab w:val="clear" w:pos="567"/>
                <w:tab w:val="left" w:leader="dot" w:pos="4692"/>
              </w:tabs>
            </w:pPr>
            <w:r>
              <w:t xml:space="preserve">Removal of notation of security interest </w:t>
            </w:r>
          </w:p>
        </w:tc>
        <w:tc>
          <w:tcPr>
            <w:tcW w:w="1200" w:type="dxa"/>
          </w:tcPr>
          <w:p>
            <w:pPr>
              <w:pStyle w:val="yTableNAm"/>
            </w:pPr>
            <w:r>
              <w:t>$70</w:t>
            </w:r>
          </w:p>
        </w:tc>
      </w:tr>
      <w:tr>
        <w:tc>
          <w:tcPr>
            <w:tcW w:w="840" w:type="dxa"/>
          </w:tcPr>
          <w:p>
            <w:pPr>
              <w:pStyle w:val="yTableNAm"/>
            </w:pPr>
            <w:r>
              <w:t>3.</w:t>
            </w:r>
          </w:p>
        </w:tc>
        <w:tc>
          <w:tcPr>
            <w:tcW w:w="4920" w:type="dxa"/>
          </w:tcPr>
          <w:p>
            <w:pPr>
              <w:pStyle w:val="yTableNAm"/>
              <w:tabs>
                <w:tab w:val="left" w:leader="dot" w:pos="4692"/>
              </w:tabs>
            </w:pPr>
            <w:r>
              <w:t xml:space="preserve">Variation of notation of security interest </w:t>
            </w:r>
          </w:p>
        </w:tc>
        <w:tc>
          <w:tcPr>
            <w:tcW w:w="1200" w:type="dxa"/>
          </w:tcPr>
          <w:p>
            <w:pPr>
              <w:pStyle w:val="yTableNAm"/>
            </w:pPr>
            <w:r>
              <w:t>$70</w:t>
            </w:r>
          </w:p>
        </w:tc>
      </w:tr>
      <w:tr>
        <w:tc>
          <w:tcPr>
            <w:tcW w:w="840" w:type="dxa"/>
          </w:tcPr>
          <w:p>
            <w:pPr>
              <w:pStyle w:val="yTableNAm"/>
            </w:pPr>
          </w:p>
        </w:tc>
        <w:tc>
          <w:tcPr>
            <w:tcW w:w="4920" w:type="dxa"/>
          </w:tcPr>
          <w:p>
            <w:pPr>
              <w:pStyle w:val="yTableNAm"/>
              <w:tabs>
                <w:tab w:val="left" w:leader="dot" w:pos="4572"/>
              </w:tabs>
              <w:rPr>
                <w:i/>
              </w:rPr>
            </w:pPr>
          </w:p>
        </w:tc>
        <w:tc>
          <w:tcPr>
            <w:tcW w:w="1200" w:type="dxa"/>
          </w:tcPr>
          <w:p>
            <w:pPr>
              <w:pStyle w:val="yTableNAm"/>
            </w:pPr>
          </w:p>
        </w:tc>
      </w:tr>
      <w:tr>
        <w:tc>
          <w:tcPr>
            <w:tcW w:w="840" w:type="dxa"/>
          </w:tcPr>
          <w:p>
            <w:pPr>
              <w:pStyle w:val="yTableNAm"/>
            </w:pPr>
          </w:p>
        </w:tc>
        <w:tc>
          <w:tcPr>
            <w:tcW w:w="4920" w:type="dxa"/>
          </w:tcPr>
          <w:p>
            <w:pPr>
              <w:pStyle w:val="yTableNAm"/>
              <w:tabs>
                <w:tab w:val="left" w:leader="dot" w:pos="4572"/>
              </w:tabs>
              <w:rPr>
                <w:b/>
                <w:bCs/>
                <w:iCs/>
              </w:rPr>
            </w:pPr>
            <w:r>
              <w:rPr>
                <w:b/>
                <w:bCs/>
                <w:iCs/>
              </w:rPr>
              <w:t>Access to register</w:t>
            </w:r>
          </w:p>
        </w:tc>
        <w:tc>
          <w:tcPr>
            <w:tcW w:w="1200" w:type="dxa"/>
          </w:tcPr>
          <w:p>
            <w:pPr>
              <w:pStyle w:val="yTableNAm"/>
            </w:pPr>
          </w:p>
        </w:tc>
      </w:tr>
      <w:tr>
        <w:tc>
          <w:tcPr>
            <w:tcW w:w="840" w:type="dxa"/>
          </w:tcPr>
          <w:p>
            <w:pPr>
              <w:pStyle w:val="yTableNAm"/>
            </w:pPr>
            <w:r>
              <w:t>1.</w:t>
            </w:r>
          </w:p>
        </w:tc>
        <w:tc>
          <w:tcPr>
            <w:tcW w:w="4920" w:type="dxa"/>
          </w:tcPr>
          <w:p>
            <w:pPr>
              <w:pStyle w:val="yTableNAm"/>
              <w:tabs>
                <w:tab w:val="left" w:leader="dot" w:pos="4572"/>
              </w:tabs>
            </w:pPr>
            <w:r>
              <w:t>Copy of an entry in, or an extract from, the register (s. 26GZI(4))</w:t>
            </w:r>
          </w:p>
        </w:tc>
        <w:tc>
          <w:tcPr>
            <w:tcW w:w="1200" w:type="dxa"/>
          </w:tcPr>
          <w:p>
            <w:pPr>
              <w:pStyle w:val="yTableNAm"/>
            </w:pPr>
            <w:r>
              <w:t>$25 for the first page, $1 for each additional page</w:t>
            </w:r>
          </w:p>
        </w:tc>
      </w:tr>
    </w:tbl>
    <w:p>
      <w:pPr>
        <w:pStyle w:val="yEdnotedivision"/>
      </w:pPr>
      <w:r>
        <w:t>[Part 3 deleted by Gazette 30 Dec 2004 p. 7000.]</w:t>
      </w:r>
    </w:p>
    <w:p>
      <w:pPr>
        <w:pStyle w:val="yScheduleHeading"/>
      </w:pPr>
      <w:bookmarkStart w:id="128" w:name="_Toc493168684"/>
      <w:bookmarkStart w:id="129" w:name="_Toc493233834"/>
      <w:bookmarkStart w:id="130" w:name="_Toc506886895"/>
      <w:bookmarkStart w:id="131" w:name="_Toc528669127"/>
      <w:bookmarkStart w:id="132" w:name="_Toc528669860"/>
      <w:r>
        <w:rPr>
          <w:rStyle w:val="CharSchNo"/>
        </w:rPr>
        <w:t>Schedule 2</w:t>
      </w:r>
      <w:r>
        <w:rPr>
          <w:rStyle w:val="CharSDivNo"/>
        </w:rPr>
        <w:t> </w:t>
      </w:r>
      <w:r>
        <w:t>—</w:t>
      </w:r>
      <w:r>
        <w:rPr>
          <w:rStyle w:val="CharSDivText"/>
        </w:rPr>
        <w:t> </w:t>
      </w:r>
      <w:r>
        <w:rPr>
          <w:rStyle w:val="CharSchText"/>
        </w:rPr>
        <w:t>Prescribed offences and modified penalties</w:t>
      </w:r>
      <w:bookmarkEnd w:id="128"/>
      <w:bookmarkEnd w:id="129"/>
      <w:bookmarkEnd w:id="130"/>
      <w:bookmarkEnd w:id="131"/>
      <w:bookmarkEnd w:id="132"/>
    </w:p>
    <w:p>
      <w:pPr>
        <w:pStyle w:val="yShoulderClause"/>
      </w:pPr>
      <w:r>
        <w:t>[r. 50 and 51]</w:t>
      </w:r>
    </w:p>
    <w:p>
      <w:pPr>
        <w:pStyle w:val="yFootnoteheading"/>
        <w:spacing w:after="80"/>
      </w:pPr>
      <w:r>
        <w:tab/>
        <w:t>[Heading inserted by Gazette 5 Sep 2006 p. 3624.]</w:t>
      </w:r>
    </w:p>
    <w:tbl>
      <w:tblPr>
        <w:tblW w:w="0" w:type="auto"/>
        <w:tblInd w:w="108" w:type="dxa"/>
        <w:tblLayout w:type="fixed"/>
        <w:tblLook w:val="0000" w:firstRow="0" w:lastRow="0" w:firstColumn="0" w:lastColumn="0" w:noHBand="0" w:noVBand="0"/>
      </w:tblPr>
      <w:tblGrid>
        <w:gridCol w:w="720"/>
        <w:gridCol w:w="5160"/>
        <w:gridCol w:w="1200"/>
      </w:tblGrid>
      <w:tr>
        <w:trPr>
          <w:cantSplit/>
        </w:trPr>
        <w:tc>
          <w:tcPr>
            <w:tcW w:w="720" w:type="dxa"/>
            <w:tcBorders>
              <w:top w:val="single" w:sz="4" w:space="0" w:color="auto"/>
              <w:bottom w:val="single" w:sz="4" w:space="0" w:color="auto"/>
            </w:tcBorders>
          </w:tcPr>
          <w:p>
            <w:pPr>
              <w:pStyle w:val="yTableNAm"/>
              <w:spacing w:before="60" w:after="60"/>
              <w:rPr>
                <w:b/>
                <w:bCs/>
              </w:rPr>
            </w:pPr>
          </w:p>
        </w:tc>
        <w:tc>
          <w:tcPr>
            <w:tcW w:w="5160" w:type="dxa"/>
            <w:tcBorders>
              <w:top w:val="single" w:sz="4" w:space="0" w:color="auto"/>
              <w:bottom w:val="single" w:sz="4" w:space="0" w:color="auto"/>
            </w:tcBorders>
          </w:tcPr>
          <w:p>
            <w:pPr>
              <w:pStyle w:val="yTableNAm"/>
              <w:spacing w:before="60" w:after="60"/>
              <w:rPr>
                <w:b/>
                <w:bCs/>
              </w:rPr>
            </w:pPr>
            <w:r>
              <w:rPr>
                <w:b/>
                <w:bCs/>
              </w:rPr>
              <w:t>Offence</w:t>
            </w:r>
          </w:p>
        </w:tc>
        <w:tc>
          <w:tcPr>
            <w:tcW w:w="1200" w:type="dxa"/>
            <w:tcBorders>
              <w:top w:val="single" w:sz="4" w:space="0" w:color="auto"/>
              <w:bottom w:val="single" w:sz="4" w:space="0" w:color="auto"/>
            </w:tcBorders>
          </w:tcPr>
          <w:p>
            <w:pPr>
              <w:pStyle w:val="yTableNAm"/>
              <w:spacing w:before="60" w:after="60"/>
              <w:rPr>
                <w:b/>
                <w:bCs/>
              </w:rPr>
            </w:pPr>
            <w:r>
              <w:rPr>
                <w:b/>
                <w:bCs/>
              </w:rPr>
              <w:t>Modified penalty</w:t>
            </w:r>
          </w:p>
        </w:tc>
      </w:tr>
      <w:tr>
        <w:trPr>
          <w:cantSplit/>
        </w:trPr>
        <w:tc>
          <w:tcPr>
            <w:tcW w:w="720" w:type="dxa"/>
            <w:tcBorders>
              <w:top w:val="single" w:sz="4" w:space="0" w:color="auto"/>
            </w:tcBorders>
          </w:tcPr>
          <w:p>
            <w:pPr>
              <w:pStyle w:val="yTableNAm"/>
            </w:pPr>
            <w:r>
              <w:t>1.</w:t>
            </w:r>
          </w:p>
        </w:tc>
        <w:tc>
          <w:tcPr>
            <w:tcW w:w="5160" w:type="dxa"/>
            <w:tcBorders>
              <w:top w:val="single" w:sz="4" w:space="0" w:color="auto"/>
            </w:tcBorders>
          </w:tcPr>
          <w:p>
            <w:pPr>
              <w:pStyle w:val="yTableNAm"/>
              <w:tabs>
                <w:tab w:val="clear" w:pos="567"/>
                <w:tab w:val="left" w:leader="dot" w:pos="4932"/>
              </w:tabs>
            </w:pPr>
            <w:r>
              <w:t xml:space="preserve">An offence against section 5C of the Act other than an offence described in item 2 </w:t>
            </w:r>
          </w:p>
        </w:tc>
        <w:tc>
          <w:tcPr>
            <w:tcW w:w="1200" w:type="dxa"/>
            <w:tcBorders>
              <w:top w:val="single" w:sz="4" w:space="0" w:color="auto"/>
            </w:tcBorders>
          </w:tcPr>
          <w:p>
            <w:pPr>
              <w:pStyle w:val="yTableNAm"/>
            </w:pPr>
            <w:r>
              <w:br/>
              <w:t>$500</w:t>
            </w:r>
          </w:p>
        </w:tc>
      </w:tr>
      <w:tr>
        <w:trPr>
          <w:cantSplit/>
        </w:trPr>
        <w:tc>
          <w:tcPr>
            <w:tcW w:w="720" w:type="dxa"/>
          </w:tcPr>
          <w:p>
            <w:pPr>
              <w:pStyle w:val="yTableNAm"/>
            </w:pPr>
            <w:r>
              <w:t>2.</w:t>
            </w:r>
          </w:p>
        </w:tc>
        <w:tc>
          <w:tcPr>
            <w:tcW w:w="5160" w:type="dxa"/>
          </w:tcPr>
          <w:p>
            <w:pPr>
              <w:pStyle w:val="yTableNAm"/>
              <w:tabs>
                <w:tab w:val="clear" w:pos="567"/>
                <w:tab w:val="left" w:leader="dot" w:pos="4932"/>
              </w:tabs>
            </w:pPr>
            <w:r>
              <w:t xml:space="preserve">An offence against section 5C of the Act constituted by taking water from an underground water source in an area, and from a well, specified in an order under section 26C(2) and not using that water in accordance with that order </w:t>
            </w:r>
          </w:p>
        </w:tc>
        <w:tc>
          <w:tcPr>
            <w:tcW w:w="1200" w:type="dxa"/>
          </w:tcPr>
          <w:p>
            <w:pPr>
              <w:pStyle w:val="yTableNAm"/>
            </w:pPr>
            <w:r>
              <w:br/>
            </w:r>
            <w:r>
              <w:br/>
            </w:r>
            <w:r>
              <w:br/>
            </w:r>
            <w:r>
              <w:br/>
              <w:t>$100</w:t>
            </w:r>
          </w:p>
        </w:tc>
      </w:tr>
      <w:tr>
        <w:trPr>
          <w:cantSplit/>
        </w:trPr>
        <w:tc>
          <w:tcPr>
            <w:tcW w:w="720" w:type="dxa"/>
          </w:tcPr>
          <w:p>
            <w:pPr>
              <w:pStyle w:val="yTableNAm"/>
            </w:pPr>
            <w:r>
              <w:t>3.</w:t>
            </w:r>
          </w:p>
        </w:tc>
        <w:tc>
          <w:tcPr>
            <w:tcW w:w="5160" w:type="dxa"/>
          </w:tcPr>
          <w:p>
            <w:pPr>
              <w:pStyle w:val="yTableNAm"/>
              <w:tabs>
                <w:tab w:val="clear" w:pos="567"/>
                <w:tab w:val="left" w:leader="dot" w:pos="4932"/>
              </w:tabs>
            </w:pPr>
            <w:r>
              <w:t xml:space="preserve">An offence against section 26E(1) of the Act </w:t>
            </w:r>
          </w:p>
        </w:tc>
        <w:tc>
          <w:tcPr>
            <w:tcW w:w="1200" w:type="dxa"/>
          </w:tcPr>
          <w:p>
            <w:pPr>
              <w:pStyle w:val="yTableNAm"/>
            </w:pPr>
            <w:r>
              <w:t>$150</w:t>
            </w:r>
          </w:p>
        </w:tc>
      </w:tr>
      <w:tr>
        <w:trPr>
          <w:cantSplit/>
        </w:trPr>
        <w:tc>
          <w:tcPr>
            <w:tcW w:w="720" w:type="dxa"/>
          </w:tcPr>
          <w:p>
            <w:pPr>
              <w:pStyle w:val="yTableNAm"/>
            </w:pPr>
            <w:r>
              <w:t>4.</w:t>
            </w:r>
          </w:p>
        </w:tc>
        <w:tc>
          <w:tcPr>
            <w:tcW w:w="5160" w:type="dxa"/>
          </w:tcPr>
          <w:p>
            <w:pPr>
              <w:pStyle w:val="yTableNAm"/>
              <w:tabs>
                <w:tab w:val="clear" w:pos="567"/>
                <w:tab w:val="left" w:leader="dot" w:pos="4932"/>
              </w:tabs>
            </w:pPr>
            <w:r>
              <w:t xml:space="preserve">An offence against section 26G(3) of the Act </w:t>
            </w:r>
          </w:p>
        </w:tc>
        <w:tc>
          <w:tcPr>
            <w:tcW w:w="1200" w:type="dxa"/>
          </w:tcPr>
          <w:p>
            <w:pPr>
              <w:pStyle w:val="yTableNAm"/>
            </w:pPr>
            <w:r>
              <w:t>$500</w:t>
            </w:r>
          </w:p>
        </w:tc>
      </w:tr>
      <w:tr>
        <w:trPr>
          <w:cantSplit/>
        </w:trPr>
        <w:tc>
          <w:tcPr>
            <w:tcW w:w="720" w:type="dxa"/>
          </w:tcPr>
          <w:p>
            <w:pPr>
              <w:pStyle w:val="yTableNAm"/>
            </w:pPr>
            <w:r>
              <w:t>5.</w:t>
            </w:r>
          </w:p>
        </w:tc>
        <w:tc>
          <w:tcPr>
            <w:tcW w:w="5160" w:type="dxa"/>
          </w:tcPr>
          <w:p>
            <w:pPr>
              <w:pStyle w:val="yTableNAm"/>
              <w:tabs>
                <w:tab w:val="clear" w:pos="567"/>
                <w:tab w:val="left" w:leader="dot" w:pos="4932"/>
              </w:tabs>
            </w:pPr>
            <w:r>
              <w:t xml:space="preserve">An offence against section 26GC(2) of the Act </w:t>
            </w:r>
          </w:p>
        </w:tc>
        <w:tc>
          <w:tcPr>
            <w:tcW w:w="1200" w:type="dxa"/>
          </w:tcPr>
          <w:p>
            <w:pPr>
              <w:pStyle w:val="yTableNAm"/>
            </w:pPr>
            <w:r>
              <w:t>$500</w:t>
            </w:r>
          </w:p>
        </w:tc>
      </w:tr>
      <w:tr>
        <w:trPr>
          <w:cantSplit/>
        </w:trPr>
        <w:tc>
          <w:tcPr>
            <w:tcW w:w="720" w:type="dxa"/>
          </w:tcPr>
          <w:p>
            <w:pPr>
              <w:pStyle w:val="yTableNAm"/>
            </w:pPr>
            <w:r>
              <w:t>5A.</w:t>
            </w:r>
          </w:p>
        </w:tc>
        <w:tc>
          <w:tcPr>
            <w:tcW w:w="5160" w:type="dxa"/>
          </w:tcPr>
          <w:p>
            <w:pPr>
              <w:pStyle w:val="yTableNAm"/>
              <w:tabs>
                <w:tab w:val="clear" w:pos="567"/>
                <w:tab w:val="left" w:leader="dot" w:pos="4932"/>
              </w:tabs>
            </w:pPr>
            <w:r>
              <w:t>An offence against regulation 41C(1)</w:t>
            </w:r>
          </w:p>
        </w:tc>
        <w:tc>
          <w:tcPr>
            <w:tcW w:w="1200" w:type="dxa"/>
          </w:tcPr>
          <w:p>
            <w:pPr>
              <w:pStyle w:val="yTableNAm"/>
            </w:pPr>
            <w:r>
              <w:t>$400</w:t>
            </w:r>
          </w:p>
        </w:tc>
      </w:tr>
      <w:tr>
        <w:trPr>
          <w:cantSplit/>
        </w:trPr>
        <w:tc>
          <w:tcPr>
            <w:tcW w:w="720" w:type="dxa"/>
            <w:tcBorders>
              <w:bottom w:val="single" w:sz="4" w:space="0" w:color="auto"/>
            </w:tcBorders>
          </w:tcPr>
          <w:p>
            <w:pPr>
              <w:pStyle w:val="yTableNAm"/>
            </w:pPr>
            <w:r>
              <w:t>6.</w:t>
            </w:r>
          </w:p>
        </w:tc>
        <w:tc>
          <w:tcPr>
            <w:tcW w:w="5160" w:type="dxa"/>
            <w:tcBorders>
              <w:bottom w:val="single" w:sz="4" w:space="0" w:color="auto"/>
            </w:tcBorders>
          </w:tcPr>
          <w:p>
            <w:pPr>
              <w:pStyle w:val="yTableNAm"/>
              <w:tabs>
                <w:tab w:val="clear" w:pos="567"/>
                <w:tab w:val="left" w:leader="dot" w:pos="4932"/>
              </w:tabs>
            </w:pPr>
            <w:r>
              <w:t xml:space="preserve">An offence against regulation 43 </w:t>
            </w:r>
          </w:p>
        </w:tc>
        <w:tc>
          <w:tcPr>
            <w:tcW w:w="1200" w:type="dxa"/>
            <w:tcBorders>
              <w:bottom w:val="single" w:sz="4" w:space="0" w:color="auto"/>
            </w:tcBorders>
          </w:tcPr>
          <w:p>
            <w:pPr>
              <w:pStyle w:val="yTableNAm"/>
            </w:pPr>
            <w:r>
              <w:t>$400</w:t>
            </w:r>
          </w:p>
        </w:tc>
      </w:tr>
    </w:tbl>
    <w:p>
      <w:pPr>
        <w:pStyle w:val="yFootnotesection"/>
      </w:pPr>
      <w:r>
        <w:tab/>
        <w:t>[Schedule 2 inserted by Gazette 5 Sep 2006 p. 3624; amended by Gazette 20 Feb 2018 p. 499.]</w:t>
      </w:r>
    </w:p>
    <w:p>
      <w:pPr>
        <w:pStyle w:val="yScheduleHeading"/>
      </w:pPr>
      <w:bookmarkStart w:id="133" w:name="_Toc493168685"/>
      <w:bookmarkStart w:id="134" w:name="_Toc493233835"/>
      <w:bookmarkStart w:id="135" w:name="_Toc506886896"/>
      <w:bookmarkStart w:id="136" w:name="_Toc528669128"/>
      <w:bookmarkStart w:id="137" w:name="_Toc528669861"/>
      <w:r>
        <w:rPr>
          <w:rStyle w:val="CharSchNo"/>
        </w:rPr>
        <w:t>Schedule 3</w:t>
      </w:r>
      <w:r>
        <w:t xml:space="preserve"> — </w:t>
      </w:r>
      <w:r>
        <w:rPr>
          <w:rStyle w:val="CharSchText"/>
        </w:rPr>
        <w:t>Forms</w:t>
      </w:r>
      <w:bookmarkEnd w:id="133"/>
      <w:bookmarkEnd w:id="134"/>
      <w:bookmarkEnd w:id="135"/>
      <w:bookmarkEnd w:id="136"/>
      <w:bookmarkEnd w:id="137"/>
    </w:p>
    <w:p>
      <w:pPr>
        <w:pStyle w:val="yMiscellaneousHeading"/>
        <w:rPr>
          <w:b/>
        </w:rPr>
      </w:pPr>
      <w:r>
        <w:rPr>
          <w:b/>
        </w:rPr>
        <w:t>Form 1</w:t>
      </w:r>
    </w:p>
    <w:p>
      <w:pPr>
        <w:pStyle w:val="yShoulderClause"/>
      </w:pPr>
      <w:r>
        <w:t>[r. 33(1)]</w:t>
      </w:r>
    </w:p>
    <w:p>
      <w:pPr>
        <w:pStyle w:val="yMiscellaneousHeading"/>
        <w:spacing w:before="120"/>
      </w:pPr>
      <w:r>
        <w:rPr>
          <w:i/>
        </w:rPr>
        <w:t>Rights in Water and Irrigation Act 1914</w:t>
      </w:r>
    </w:p>
    <w:p>
      <w:pPr>
        <w:pStyle w:val="yMiscellaneousHeading"/>
        <w:spacing w:before="0"/>
      </w:pPr>
      <w:r>
        <w:rPr>
          <w:i/>
        </w:rPr>
        <w:t>Water Agencies (Powers) Act 1984</w:t>
      </w:r>
    </w:p>
    <w:p>
      <w:pPr>
        <w:pStyle w:val="yMiscellaneousHeading"/>
        <w:spacing w:before="120" w:after="120"/>
        <w:rPr>
          <w:b/>
          <w:bCs/>
          <w:i/>
        </w:rPr>
      </w:pPr>
      <w:r>
        <w:rPr>
          <w:b/>
          <w:bCs/>
        </w:rPr>
        <w:t>Application for a licence under the</w:t>
      </w:r>
      <w:r>
        <w:rPr>
          <w:b/>
          <w:bCs/>
        </w:rPr>
        <w:br/>
      </w:r>
      <w:r>
        <w:rPr>
          <w:b/>
          <w:bCs/>
          <w:i/>
          <w:iCs/>
        </w:rPr>
        <w:t xml:space="preserve">Rights in Water and Irrigation Act 1914 </w:t>
      </w:r>
      <w:r>
        <w:rPr>
          <w:b/>
          <w:bCs/>
        </w:rPr>
        <w:t>s. 26D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3840"/>
      </w:tblGrid>
      <w:tr>
        <w:tc>
          <w:tcPr>
            <w:tcW w:w="3240" w:type="dxa"/>
          </w:tcPr>
          <w:p>
            <w:pPr>
              <w:pStyle w:val="yTableNAm"/>
              <w:spacing w:before="60"/>
              <w:rPr>
                <w:b/>
                <w:bCs/>
              </w:rPr>
            </w:pPr>
            <w:r>
              <w:rPr>
                <w:b/>
                <w:bCs/>
              </w:rPr>
              <w:t>Name of applicant</w:t>
            </w:r>
          </w:p>
        </w:tc>
        <w:tc>
          <w:tcPr>
            <w:tcW w:w="3840" w:type="dxa"/>
          </w:tcPr>
          <w:p>
            <w:pPr>
              <w:pStyle w:val="yTableNAm"/>
              <w:tabs>
                <w:tab w:val="clear" w:pos="567"/>
                <w:tab w:val="left" w:leader="dot" w:pos="3611"/>
              </w:tabs>
              <w:spacing w:before="60"/>
            </w:pPr>
            <w:r>
              <w:t>..................................................................................................................................</w:t>
            </w:r>
          </w:p>
        </w:tc>
      </w:tr>
      <w:tr>
        <w:tc>
          <w:tcPr>
            <w:tcW w:w="3240" w:type="dxa"/>
          </w:tcPr>
          <w:p>
            <w:pPr>
              <w:pStyle w:val="yTableNAm"/>
              <w:spacing w:before="60"/>
              <w:rPr>
                <w:b/>
                <w:bCs/>
              </w:rPr>
            </w:pPr>
            <w:r>
              <w:rPr>
                <w:b/>
                <w:bCs/>
              </w:rPr>
              <w:t>Postal address for applicant</w:t>
            </w:r>
          </w:p>
        </w:tc>
        <w:tc>
          <w:tcPr>
            <w:tcW w:w="3840" w:type="dxa"/>
          </w:tcPr>
          <w:p>
            <w:pPr>
              <w:pStyle w:val="yTableNAm"/>
              <w:tabs>
                <w:tab w:val="clear" w:pos="567"/>
                <w:tab w:val="left" w:leader="dot" w:pos="3611"/>
              </w:tabs>
              <w:spacing w:before="60"/>
            </w:pPr>
            <w:r>
              <w:t>...................................................................................................................................................................................................</w:t>
            </w:r>
          </w:p>
        </w:tc>
      </w:tr>
      <w:tr>
        <w:tc>
          <w:tcPr>
            <w:tcW w:w="3240" w:type="dxa"/>
          </w:tcPr>
          <w:p>
            <w:pPr>
              <w:pStyle w:val="yTableNAm"/>
              <w:spacing w:before="60"/>
              <w:rPr>
                <w:b/>
                <w:bCs/>
              </w:rPr>
            </w:pPr>
            <w:r>
              <w:rPr>
                <w:b/>
                <w:bCs/>
              </w:rPr>
              <w:t>Description of the land the application is made in respect of</w:t>
            </w:r>
          </w:p>
        </w:tc>
        <w:tc>
          <w:tcPr>
            <w:tcW w:w="3840" w:type="dxa"/>
          </w:tcPr>
          <w:p>
            <w:pPr>
              <w:pStyle w:val="yTableNAm"/>
              <w:tabs>
                <w:tab w:val="clear" w:pos="567"/>
                <w:tab w:val="left" w:leader="dot" w:pos="3611"/>
              </w:tabs>
              <w:spacing w:before="60"/>
            </w:pPr>
            <w:r>
              <w:t>...................................................................................................................................................................................................</w:t>
            </w:r>
          </w:p>
        </w:tc>
      </w:tr>
      <w:tr>
        <w:tc>
          <w:tcPr>
            <w:tcW w:w="3240" w:type="dxa"/>
          </w:tcPr>
          <w:p>
            <w:pPr>
              <w:pStyle w:val="yTableNAm"/>
              <w:spacing w:before="60"/>
              <w:rPr>
                <w:b/>
                <w:bCs/>
              </w:rPr>
            </w:pPr>
            <w:r>
              <w:rPr>
                <w:b/>
                <w:bCs/>
              </w:rPr>
              <w:t>Does the applicant own the land?</w:t>
            </w:r>
          </w:p>
        </w:tc>
        <w:tc>
          <w:tcPr>
            <w:tcW w:w="3840" w:type="dxa"/>
          </w:tcPr>
          <w:p>
            <w:pPr>
              <w:pStyle w:val="yTableNAm"/>
              <w:tabs>
                <w:tab w:val="clear" w:pos="567"/>
                <w:tab w:val="left" w:leader="dot" w:pos="3611"/>
              </w:tabs>
              <w:spacing w:before="60"/>
            </w:pPr>
            <w:r>
              <w:t>..................................................................................................................................</w:t>
            </w:r>
          </w:p>
        </w:tc>
      </w:tr>
      <w:tr>
        <w:tc>
          <w:tcPr>
            <w:tcW w:w="3240" w:type="dxa"/>
          </w:tcPr>
          <w:p>
            <w:pPr>
              <w:pStyle w:val="yTableNAm"/>
              <w:spacing w:before="60"/>
              <w:rPr>
                <w:b/>
                <w:bCs/>
              </w:rPr>
            </w:pPr>
            <w:r>
              <w:rPr>
                <w:b/>
                <w:bCs/>
              </w:rPr>
              <w:t>If the applicant does not own the land, describe the interest that would entitle the applicant to hold a licence in respect of the land</w:t>
            </w:r>
          </w:p>
        </w:tc>
        <w:tc>
          <w:tcPr>
            <w:tcW w:w="3840" w:type="dxa"/>
          </w:tcPr>
          <w:p>
            <w:pPr>
              <w:pStyle w:val="yTableNAm"/>
              <w:tabs>
                <w:tab w:val="clear" w:pos="567"/>
                <w:tab w:val="left" w:leader="dot" w:pos="3611"/>
              </w:tabs>
              <w:spacing w:before="60"/>
            </w:pPr>
            <w:r>
              <w:t>.....................................................................................................................................................................................................................................................................................................................................</w:t>
            </w:r>
          </w:p>
        </w:tc>
      </w:tr>
      <w:tr>
        <w:tc>
          <w:tcPr>
            <w:tcW w:w="3240" w:type="dxa"/>
          </w:tcPr>
          <w:p>
            <w:pPr>
              <w:pStyle w:val="yTableNAm"/>
              <w:spacing w:before="60"/>
              <w:rPr>
                <w:b/>
                <w:bCs/>
              </w:rPr>
            </w:pPr>
            <w:r>
              <w:rPr>
                <w:b/>
                <w:bCs/>
              </w:rPr>
              <w:t xml:space="preserve">If there is another licence under section 26D in respect of the land, provide the licence number </w:t>
            </w:r>
          </w:p>
        </w:tc>
        <w:tc>
          <w:tcPr>
            <w:tcW w:w="3840" w:type="dxa"/>
          </w:tcPr>
          <w:p>
            <w:pPr>
              <w:pStyle w:val="yTableNAm"/>
              <w:tabs>
                <w:tab w:val="clear" w:pos="567"/>
                <w:tab w:val="left" w:leader="dot" w:pos="3611"/>
              </w:tabs>
              <w:spacing w:before="60"/>
            </w:pPr>
            <w:r>
              <w:t>....................................................................................................................................................................................................................................................................</w:t>
            </w:r>
          </w:p>
        </w:tc>
      </w:tr>
      <w:tr>
        <w:trPr>
          <w:cantSplit/>
        </w:trPr>
        <w:tc>
          <w:tcPr>
            <w:tcW w:w="3240" w:type="dxa"/>
          </w:tcPr>
          <w:p>
            <w:pPr>
              <w:pStyle w:val="yTableNAm"/>
              <w:spacing w:before="60"/>
              <w:rPr>
                <w:b/>
                <w:bCs/>
              </w:rPr>
            </w:pPr>
            <w:r>
              <w:rPr>
                <w:b/>
                <w:bCs/>
              </w:rPr>
              <w:t>Purpose of application</w:t>
            </w:r>
          </w:p>
        </w:tc>
        <w:tc>
          <w:tcPr>
            <w:tcW w:w="3840" w:type="dxa"/>
          </w:tcPr>
          <w:p>
            <w:pPr>
              <w:pStyle w:val="yTableNAm"/>
              <w:tabs>
                <w:tab w:val="clear" w:pos="567"/>
                <w:tab w:val="left" w:leader="dot" w:pos="3611"/>
              </w:tabs>
              <w:spacing w:before="60"/>
            </w:pPr>
            <w:r>
              <w:t>new well/bore/excavation/soak................</w:t>
            </w:r>
          </w:p>
          <w:p>
            <w:pPr>
              <w:pStyle w:val="yTableNAm"/>
              <w:tabs>
                <w:tab w:val="clear" w:pos="567"/>
                <w:tab w:val="left" w:leader="dot" w:pos="3611"/>
              </w:tabs>
              <w:spacing w:before="60"/>
            </w:pPr>
            <w:r>
              <w:t>enlargement or deepening of existing well/bore/excavation/soak.......................</w:t>
            </w:r>
          </w:p>
          <w:p>
            <w:pPr>
              <w:pStyle w:val="yTableNAm"/>
              <w:tabs>
                <w:tab w:val="clear" w:pos="567"/>
                <w:tab w:val="left" w:leader="dot" w:pos="3611"/>
              </w:tabs>
              <w:spacing w:before="60"/>
            </w:pPr>
            <w:r>
              <w:t>other (describe)........................................</w:t>
            </w:r>
          </w:p>
        </w:tc>
      </w:tr>
      <w:tr>
        <w:tc>
          <w:tcPr>
            <w:tcW w:w="3240" w:type="dxa"/>
          </w:tcPr>
          <w:p>
            <w:pPr>
              <w:pStyle w:val="yTableNAm"/>
              <w:keepNext/>
              <w:keepLines/>
              <w:spacing w:before="60"/>
              <w:rPr>
                <w:b/>
                <w:bCs/>
              </w:rPr>
            </w:pPr>
            <w:r>
              <w:rPr>
                <w:b/>
                <w:bCs/>
              </w:rPr>
              <w:t xml:space="preserve">Proposed water use, please specify — </w:t>
            </w:r>
          </w:p>
          <w:p>
            <w:pPr>
              <w:pStyle w:val="yTableNAm"/>
              <w:keepNext/>
              <w:keepLines/>
              <w:numPr>
                <w:ilvl w:val="0"/>
                <w:numId w:val="13"/>
              </w:numPr>
              <w:tabs>
                <w:tab w:val="clear" w:pos="567"/>
                <w:tab w:val="clear" w:pos="720"/>
                <w:tab w:val="left" w:pos="230"/>
              </w:tabs>
              <w:spacing w:before="60"/>
              <w:ind w:left="230" w:hanging="240"/>
            </w:pPr>
            <w:r>
              <w:t>if the use is commercial or non commercial</w:t>
            </w:r>
          </w:p>
          <w:p>
            <w:pPr>
              <w:pStyle w:val="yTableNAm"/>
              <w:keepNext/>
              <w:keepLines/>
              <w:numPr>
                <w:ilvl w:val="0"/>
                <w:numId w:val="13"/>
              </w:numPr>
              <w:tabs>
                <w:tab w:val="clear" w:pos="567"/>
                <w:tab w:val="clear" w:pos="720"/>
                <w:tab w:val="left" w:pos="230"/>
              </w:tabs>
              <w:spacing w:before="60"/>
              <w:ind w:left="230" w:hanging="240"/>
            </w:pPr>
            <w:r>
              <w:t>the volume of water to be used</w:t>
            </w:r>
          </w:p>
          <w:p>
            <w:pPr>
              <w:pStyle w:val="yTableNAm"/>
              <w:keepNext/>
              <w:keepLines/>
              <w:numPr>
                <w:ilvl w:val="0"/>
                <w:numId w:val="13"/>
              </w:numPr>
              <w:tabs>
                <w:tab w:val="clear" w:pos="567"/>
                <w:tab w:val="clear" w:pos="720"/>
                <w:tab w:val="left" w:pos="230"/>
              </w:tabs>
              <w:spacing w:before="60"/>
              <w:ind w:left="230" w:hanging="240"/>
            </w:pPr>
            <w:r>
              <w:t>the water use</w:t>
            </w:r>
          </w:p>
          <w:p>
            <w:pPr>
              <w:pStyle w:val="yTableNAm"/>
              <w:keepNext/>
              <w:keepLines/>
              <w:numPr>
                <w:ilvl w:val="0"/>
                <w:numId w:val="13"/>
              </w:numPr>
              <w:tabs>
                <w:tab w:val="clear" w:pos="567"/>
                <w:tab w:val="clear" w:pos="720"/>
                <w:tab w:val="left" w:pos="230"/>
              </w:tabs>
              <w:spacing w:before="60"/>
              <w:ind w:left="230" w:hanging="240"/>
              <w:rPr>
                <w:b/>
                <w:bCs/>
              </w:rPr>
            </w:pPr>
            <w:r>
              <w:t>the duration of the use (and licence)</w:t>
            </w:r>
          </w:p>
        </w:tc>
        <w:tc>
          <w:tcPr>
            <w:tcW w:w="3840" w:type="dxa"/>
          </w:tcPr>
          <w:p>
            <w:pPr>
              <w:pStyle w:val="yTableNAm"/>
              <w:keepNext/>
              <w:keepLines/>
              <w:tabs>
                <w:tab w:val="clear" w:pos="567"/>
                <w:tab w:val="left" w:leader="dot" w:pos="3611"/>
              </w:tabs>
              <w:spacing w:before="60"/>
            </w:pPr>
          </w:p>
        </w:tc>
      </w:tr>
      <w:tr>
        <w:tc>
          <w:tcPr>
            <w:tcW w:w="3240" w:type="dxa"/>
          </w:tcPr>
          <w:p>
            <w:pPr>
              <w:pStyle w:val="yTableNAm"/>
              <w:spacing w:before="60"/>
              <w:rPr>
                <w:b/>
                <w:bCs/>
              </w:rPr>
            </w:pPr>
            <w:r>
              <w:rPr>
                <w:b/>
                <w:bCs/>
              </w:rPr>
              <w:t>Declaration by applicant</w:t>
            </w:r>
          </w:p>
        </w:tc>
        <w:tc>
          <w:tcPr>
            <w:tcW w:w="3840" w:type="dxa"/>
          </w:tcPr>
          <w:p>
            <w:pPr>
              <w:pStyle w:val="yTableNAm"/>
              <w:tabs>
                <w:tab w:val="clear" w:pos="567"/>
                <w:tab w:val="left" w:leader="dot" w:pos="3611"/>
              </w:tabs>
              <w:spacing w:before="60"/>
            </w:pPr>
            <w:r>
              <w:t xml:space="preserve">I,................................apply for a licence under section 26D of the </w:t>
            </w:r>
            <w:r>
              <w:rPr>
                <w:i/>
                <w:iCs/>
              </w:rPr>
              <w:t>Rights in Water and Irrigation Act 1914</w:t>
            </w:r>
            <w:r>
              <w:t>.</w:t>
            </w:r>
          </w:p>
          <w:p>
            <w:pPr>
              <w:pStyle w:val="yTableNAm"/>
              <w:tabs>
                <w:tab w:val="clear" w:pos="567"/>
                <w:tab w:val="left" w:leader="dot" w:pos="3611"/>
              </w:tabs>
              <w:spacing w:before="60"/>
            </w:pPr>
            <w:r>
              <w:t>.................................................................(signature or seal of applicant)</w:t>
            </w:r>
          </w:p>
        </w:tc>
      </w:tr>
    </w:tbl>
    <w:p>
      <w:pPr>
        <w:pStyle w:val="yFootnotesection"/>
      </w:pPr>
      <w:r>
        <w:tab/>
        <w:t>[Form 1 amended by Gazette 23 Jun 2009 p. 2500.]</w:t>
      </w:r>
    </w:p>
    <w:p>
      <w:pPr>
        <w:pStyle w:val="yMiscellaneousHeading"/>
        <w:pageBreakBefore/>
        <w:rPr>
          <w:b/>
          <w:bCs/>
        </w:rPr>
      </w:pPr>
      <w:r>
        <w:rPr>
          <w:b/>
        </w:rPr>
        <w:t>Form 2</w:t>
      </w:r>
    </w:p>
    <w:p>
      <w:pPr>
        <w:pStyle w:val="yShoulderClause"/>
      </w:pPr>
      <w:r>
        <w:t>[r. 39]</w:t>
      </w:r>
    </w:p>
    <w:p>
      <w:pPr>
        <w:pStyle w:val="yMiscellaneousHeading"/>
        <w:rPr>
          <w:i/>
          <w:iCs/>
        </w:rPr>
      </w:pPr>
      <w:r>
        <w:rPr>
          <w:i/>
          <w:iCs/>
        </w:rPr>
        <w:t>Rights in Water and Irrigation Act 1914</w:t>
      </w:r>
      <w:r>
        <w:rPr>
          <w:i/>
          <w:iCs/>
        </w:rPr>
        <w:br/>
        <w:t>Water Agencies (Powers) Act 1984</w:t>
      </w:r>
    </w:p>
    <w:p>
      <w:pPr>
        <w:pStyle w:val="yMiscellaneousHeading"/>
        <w:spacing w:after="60"/>
        <w:rPr>
          <w:b/>
          <w:bCs/>
        </w:rPr>
      </w:pPr>
      <w:r>
        <w:rPr>
          <w:b/>
          <w:bCs/>
        </w:rPr>
        <w:t>Information to be provided under the</w:t>
      </w:r>
      <w:r>
        <w:rPr>
          <w:b/>
          <w:bCs/>
        </w:rPr>
        <w:br/>
      </w:r>
      <w:r>
        <w:rPr>
          <w:b/>
          <w:bCs/>
          <w:i/>
          <w:iCs/>
        </w:rPr>
        <w:t>Rights in Water and Irrigation Act 1914</w:t>
      </w:r>
      <w:r>
        <w:rPr>
          <w:b/>
          <w:bCs/>
        </w:rPr>
        <w:t xml:space="preserve"> s. 26E after constructing or deepening a non</w:t>
      </w:r>
      <w:r>
        <w:rPr>
          <w:b/>
          <w:bCs/>
        </w:rPr>
        <w:noBreakHyphen/>
        <w:t>artesian well</w:t>
      </w:r>
    </w:p>
    <w:tbl>
      <w:tblPr>
        <w:tblW w:w="666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284"/>
        <w:gridCol w:w="160"/>
        <w:gridCol w:w="265"/>
        <w:gridCol w:w="284"/>
        <w:gridCol w:w="283"/>
        <w:gridCol w:w="567"/>
        <w:gridCol w:w="142"/>
        <w:gridCol w:w="142"/>
        <w:gridCol w:w="283"/>
        <w:gridCol w:w="709"/>
        <w:gridCol w:w="142"/>
        <w:gridCol w:w="567"/>
        <w:gridCol w:w="567"/>
        <w:gridCol w:w="141"/>
        <w:gridCol w:w="284"/>
        <w:gridCol w:w="1134"/>
      </w:tblGrid>
      <w:tr>
        <w:trPr>
          <w:cantSplit/>
        </w:trPr>
        <w:tc>
          <w:tcPr>
            <w:tcW w:w="6662" w:type="dxa"/>
            <w:gridSpan w:val="17"/>
            <w:tcBorders>
              <w:bottom w:val="single" w:sz="4" w:space="0" w:color="auto"/>
            </w:tcBorders>
          </w:tcPr>
          <w:p>
            <w:pPr>
              <w:pStyle w:val="yTableNAm"/>
              <w:spacing w:before="60"/>
              <w:rPr>
                <w:b/>
                <w:bCs/>
              </w:rPr>
            </w:pPr>
            <w:r>
              <w:rPr>
                <w:b/>
                <w:bCs/>
              </w:rPr>
              <w:t xml:space="preserve">Part 1:  Details of any licence granted for the work under the </w:t>
            </w:r>
            <w:r>
              <w:rPr>
                <w:b/>
                <w:bCs/>
                <w:i/>
                <w:iCs/>
              </w:rPr>
              <w:t>Rights in Water and Irrigation Act 1914</w:t>
            </w:r>
            <w:r>
              <w:rPr>
                <w:b/>
                <w:bCs/>
              </w:rPr>
              <w:t xml:space="preserve"> section 26D </w:t>
            </w:r>
          </w:p>
        </w:tc>
      </w:tr>
      <w:tr>
        <w:tc>
          <w:tcPr>
            <w:tcW w:w="1152" w:type="dxa"/>
            <w:gridSpan w:val="3"/>
            <w:tcBorders>
              <w:bottom w:val="single" w:sz="4" w:space="0" w:color="auto"/>
            </w:tcBorders>
          </w:tcPr>
          <w:p>
            <w:pPr>
              <w:pStyle w:val="yTableNAm"/>
              <w:spacing w:before="60"/>
              <w:rPr>
                <w:sz w:val="20"/>
              </w:rPr>
            </w:pPr>
            <w:r>
              <w:rPr>
                <w:sz w:val="20"/>
              </w:rPr>
              <w:t>Licence No:</w:t>
            </w:r>
          </w:p>
        </w:tc>
        <w:tc>
          <w:tcPr>
            <w:tcW w:w="5510" w:type="dxa"/>
            <w:gridSpan w:val="14"/>
            <w:tcBorders>
              <w:bottom w:val="single" w:sz="4" w:space="0" w:color="auto"/>
            </w:tcBorders>
            <w:vAlign w:val="bottom"/>
          </w:tcPr>
          <w:p>
            <w:pPr>
              <w:pStyle w:val="yTableNAm"/>
              <w:spacing w:before="60"/>
            </w:pPr>
          </w:p>
        </w:tc>
      </w:tr>
      <w:tr>
        <w:tc>
          <w:tcPr>
            <w:tcW w:w="1152" w:type="dxa"/>
            <w:gridSpan w:val="3"/>
            <w:tcBorders>
              <w:top w:val="single" w:sz="4" w:space="0" w:color="auto"/>
              <w:bottom w:val="single" w:sz="4" w:space="0" w:color="auto"/>
            </w:tcBorders>
          </w:tcPr>
          <w:p>
            <w:pPr>
              <w:pStyle w:val="yTableNAm"/>
              <w:spacing w:before="60"/>
              <w:rPr>
                <w:sz w:val="20"/>
              </w:rPr>
            </w:pPr>
            <w:r>
              <w:rPr>
                <w:sz w:val="20"/>
              </w:rPr>
              <w:t>Licensee’s full name</w:t>
            </w:r>
          </w:p>
        </w:tc>
        <w:tc>
          <w:tcPr>
            <w:tcW w:w="5510" w:type="dxa"/>
            <w:gridSpan w:val="14"/>
            <w:tcBorders>
              <w:top w:val="single" w:sz="4" w:space="0" w:color="auto"/>
              <w:bottom w:val="single" w:sz="4" w:space="0" w:color="auto"/>
            </w:tcBorders>
            <w:vAlign w:val="bottom"/>
          </w:tcPr>
          <w:p>
            <w:pPr>
              <w:pStyle w:val="yTableNAm"/>
              <w:spacing w:before="60"/>
            </w:pPr>
          </w:p>
        </w:tc>
      </w:tr>
      <w:tr>
        <w:tc>
          <w:tcPr>
            <w:tcW w:w="1152" w:type="dxa"/>
            <w:gridSpan w:val="3"/>
            <w:tcBorders>
              <w:top w:val="single" w:sz="4" w:space="0" w:color="auto"/>
              <w:left w:val="nil"/>
              <w:right w:val="nil"/>
            </w:tcBorders>
          </w:tcPr>
          <w:p>
            <w:pPr>
              <w:pStyle w:val="yTableNAm"/>
              <w:spacing w:before="60"/>
              <w:rPr>
                <w:sz w:val="20"/>
              </w:rPr>
            </w:pPr>
          </w:p>
        </w:tc>
        <w:tc>
          <w:tcPr>
            <w:tcW w:w="5510" w:type="dxa"/>
            <w:gridSpan w:val="14"/>
            <w:tcBorders>
              <w:top w:val="single" w:sz="4" w:space="0" w:color="auto"/>
              <w:left w:val="nil"/>
              <w:right w:val="nil"/>
            </w:tcBorders>
            <w:vAlign w:val="bottom"/>
          </w:tcPr>
          <w:p>
            <w:pPr>
              <w:pStyle w:val="yTableNAm"/>
              <w:spacing w:before="60"/>
            </w:pPr>
          </w:p>
        </w:tc>
      </w:tr>
      <w:tr>
        <w:trPr>
          <w:cantSplit/>
        </w:trPr>
        <w:tc>
          <w:tcPr>
            <w:tcW w:w="6662" w:type="dxa"/>
            <w:gridSpan w:val="17"/>
          </w:tcPr>
          <w:p>
            <w:pPr>
              <w:pStyle w:val="yTableNAm"/>
              <w:spacing w:before="60"/>
            </w:pPr>
            <w:r>
              <w:rPr>
                <w:b/>
                <w:bCs/>
              </w:rPr>
              <w:t>Part 2: Details of the person who carried out the work</w:t>
            </w:r>
          </w:p>
        </w:tc>
      </w:tr>
      <w:tr>
        <w:trPr>
          <w:cantSplit/>
          <w:trHeight w:val="1015"/>
        </w:trPr>
        <w:tc>
          <w:tcPr>
            <w:tcW w:w="2693" w:type="dxa"/>
            <w:gridSpan w:val="8"/>
            <w:tcBorders>
              <w:bottom w:val="single" w:sz="4" w:space="0" w:color="auto"/>
            </w:tcBorders>
          </w:tcPr>
          <w:p>
            <w:pPr>
              <w:pStyle w:val="yTableNAm"/>
              <w:spacing w:before="60"/>
            </w:pPr>
            <w:r>
              <w:rPr>
                <w:sz w:val="20"/>
              </w:rPr>
              <w:t>Company, corporate, trading or business name of person who carried out the work</w:t>
            </w:r>
            <w:r>
              <w:rPr>
                <w:sz w:val="20"/>
              </w:rPr>
              <w:br/>
            </w:r>
            <w:r>
              <w:rPr>
                <w:sz w:val="16"/>
              </w:rPr>
              <w:t>(Full name)</w:t>
            </w:r>
          </w:p>
        </w:tc>
        <w:tc>
          <w:tcPr>
            <w:tcW w:w="3969" w:type="dxa"/>
            <w:gridSpan w:val="9"/>
            <w:tcBorders>
              <w:bottom w:val="single" w:sz="4" w:space="0" w:color="auto"/>
            </w:tcBorders>
          </w:tcPr>
          <w:p>
            <w:pPr>
              <w:pStyle w:val="yTableNAm"/>
              <w:spacing w:before="60"/>
            </w:pPr>
          </w:p>
        </w:tc>
      </w:tr>
      <w:tr>
        <w:tc>
          <w:tcPr>
            <w:tcW w:w="1152" w:type="dxa"/>
            <w:gridSpan w:val="3"/>
            <w:tcBorders>
              <w:top w:val="single" w:sz="4" w:space="0" w:color="auto"/>
              <w:left w:val="single" w:sz="4" w:space="0" w:color="auto"/>
              <w:bottom w:val="nil"/>
              <w:right w:val="single" w:sz="4" w:space="0" w:color="auto"/>
            </w:tcBorders>
          </w:tcPr>
          <w:p>
            <w:pPr>
              <w:pStyle w:val="yTableNAm"/>
              <w:spacing w:before="60"/>
              <w:rPr>
                <w:sz w:val="20"/>
              </w:rPr>
            </w:pPr>
            <w:r>
              <w:rPr>
                <w:sz w:val="20"/>
              </w:rPr>
              <w:t>Driller’s name</w:t>
            </w:r>
            <w:r>
              <w:rPr>
                <w:sz w:val="20"/>
              </w:rPr>
              <w:br/>
            </w:r>
            <w:r>
              <w:rPr>
                <w:sz w:val="16"/>
              </w:rPr>
              <w:t>(Full name)</w:t>
            </w:r>
          </w:p>
        </w:tc>
        <w:tc>
          <w:tcPr>
            <w:tcW w:w="5510" w:type="dxa"/>
            <w:gridSpan w:val="14"/>
            <w:tcBorders>
              <w:top w:val="single" w:sz="4" w:space="0" w:color="auto"/>
              <w:left w:val="single" w:sz="4" w:space="0" w:color="auto"/>
              <w:bottom w:val="nil"/>
              <w:right w:val="single" w:sz="4" w:space="0" w:color="auto"/>
            </w:tcBorders>
            <w:vAlign w:val="center"/>
          </w:tcPr>
          <w:p>
            <w:pPr>
              <w:pStyle w:val="yTableNAm"/>
              <w:spacing w:before="60"/>
              <w:rPr>
                <w:sz w:val="20"/>
              </w:rPr>
            </w:pPr>
            <w:r>
              <w:rPr>
                <w:sz w:val="20"/>
              </w:rPr>
              <w:t>........................................................................................................</w:t>
            </w:r>
          </w:p>
        </w:tc>
      </w:tr>
      <w:tr>
        <w:tc>
          <w:tcPr>
            <w:tcW w:w="1152" w:type="dxa"/>
            <w:gridSpan w:val="3"/>
            <w:tcBorders>
              <w:top w:val="nil"/>
              <w:left w:val="single" w:sz="4" w:space="0" w:color="auto"/>
              <w:bottom w:val="nil"/>
              <w:right w:val="single" w:sz="4" w:space="0" w:color="auto"/>
            </w:tcBorders>
          </w:tcPr>
          <w:p>
            <w:pPr>
              <w:pStyle w:val="yTableNAm"/>
              <w:spacing w:before="60"/>
              <w:rPr>
                <w:sz w:val="20"/>
              </w:rPr>
            </w:pPr>
            <w:r>
              <w:rPr>
                <w:sz w:val="20"/>
              </w:rPr>
              <w:t>Postal Address:</w:t>
            </w:r>
          </w:p>
        </w:tc>
        <w:tc>
          <w:tcPr>
            <w:tcW w:w="5510" w:type="dxa"/>
            <w:gridSpan w:val="14"/>
            <w:tcBorders>
              <w:top w:val="nil"/>
              <w:left w:val="single" w:sz="4" w:space="0" w:color="auto"/>
              <w:bottom w:val="nil"/>
              <w:right w:val="single" w:sz="4" w:space="0" w:color="auto"/>
            </w:tcBorders>
            <w:vAlign w:val="bottom"/>
          </w:tcPr>
          <w:p>
            <w:pPr>
              <w:pStyle w:val="yTableNAm"/>
              <w:spacing w:before="60"/>
              <w:rPr>
                <w:sz w:val="20"/>
              </w:rPr>
            </w:pPr>
            <w:r>
              <w:rPr>
                <w:sz w:val="20"/>
              </w:rPr>
              <w:t>........................................................................................................</w:t>
            </w:r>
          </w:p>
        </w:tc>
      </w:tr>
      <w:tr>
        <w:tc>
          <w:tcPr>
            <w:tcW w:w="1152" w:type="dxa"/>
            <w:gridSpan w:val="3"/>
            <w:tcBorders>
              <w:top w:val="nil"/>
              <w:left w:val="single" w:sz="4" w:space="0" w:color="auto"/>
              <w:bottom w:val="nil"/>
              <w:right w:val="single" w:sz="4" w:space="0" w:color="auto"/>
            </w:tcBorders>
          </w:tcPr>
          <w:p>
            <w:pPr>
              <w:pStyle w:val="yTableNAm"/>
              <w:spacing w:before="60"/>
              <w:rPr>
                <w:sz w:val="20"/>
              </w:rPr>
            </w:pPr>
            <w:r>
              <w:rPr>
                <w:sz w:val="20"/>
              </w:rPr>
              <w:t>Business Phone:</w:t>
            </w:r>
          </w:p>
        </w:tc>
        <w:tc>
          <w:tcPr>
            <w:tcW w:w="5510" w:type="dxa"/>
            <w:gridSpan w:val="14"/>
            <w:tcBorders>
              <w:top w:val="nil"/>
              <w:left w:val="single" w:sz="4" w:space="0" w:color="auto"/>
              <w:bottom w:val="nil"/>
              <w:right w:val="single" w:sz="4" w:space="0" w:color="auto"/>
            </w:tcBorders>
            <w:vAlign w:val="bottom"/>
          </w:tcPr>
          <w:p>
            <w:pPr>
              <w:pStyle w:val="yTableNAm"/>
              <w:spacing w:before="60"/>
              <w:rPr>
                <w:sz w:val="20"/>
              </w:rPr>
            </w:pPr>
            <w:r>
              <w:rPr>
                <w:sz w:val="20"/>
              </w:rPr>
              <w:t>........................................................................................................</w:t>
            </w:r>
          </w:p>
        </w:tc>
      </w:tr>
      <w:tr>
        <w:tc>
          <w:tcPr>
            <w:tcW w:w="1152" w:type="dxa"/>
            <w:gridSpan w:val="3"/>
            <w:tcBorders>
              <w:top w:val="nil"/>
              <w:left w:val="single" w:sz="4" w:space="0" w:color="auto"/>
              <w:bottom w:val="nil"/>
              <w:right w:val="single" w:sz="4" w:space="0" w:color="auto"/>
            </w:tcBorders>
          </w:tcPr>
          <w:p>
            <w:pPr>
              <w:pStyle w:val="yTableNAm"/>
              <w:spacing w:before="60"/>
              <w:rPr>
                <w:sz w:val="20"/>
              </w:rPr>
            </w:pPr>
            <w:r>
              <w:rPr>
                <w:sz w:val="20"/>
              </w:rPr>
              <w:t>Business Fax:</w:t>
            </w:r>
          </w:p>
        </w:tc>
        <w:tc>
          <w:tcPr>
            <w:tcW w:w="5510" w:type="dxa"/>
            <w:gridSpan w:val="14"/>
            <w:tcBorders>
              <w:top w:val="nil"/>
              <w:left w:val="single" w:sz="4" w:space="0" w:color="auto"/>
              <w:bottom w:val="nil"/>
              <w:right w:val="single" w:sz="4" w:space="0" w:color="auto"/>
            </w:tcBorders>
            <w:vAlign w:val="bottom"/>
          </w:tcPr>
          <w:p>
            <w:pPr>
              <w:pStyle w:val="yTableNAm"/>
              <w:spacing w:before="60"/>
              <w:rPr>
                <w:sz w:val="20"/>
              </w:rPr>
            </w:pPr>
            <w:r>
              <w:rPr>
                <w:sz w:val="20"/>
              </w:rPr>
              <w:t>........................................................................................................</w:t>
            </w:r>
          </w:p>
        </w:tc>
      </w:tr>
      <w:tr>
        <w:tc>
          <w:tcPr>
            <w:tcW w:w="1152" w:type="dxa"/>
            <w:gridSpan w:val="3"/>
            <w:tcBorders>
              <w:top w:val="nil"/>
              <w:left w:val="single" w:sz="4" w:space="0" w:color="auto"/>
              <w:bottom w:val="nil"/>
              <w:right w:val="single" w:sz="4" w:space="0" w:color="auto"/>
            </w:tcBorders>
          </w:tcPr>
          <w:p>
            <w:pPr>
              <w:pStyle w:val="yTableNAm"/>
              <w:spacing w:before="60"/>
              <w:rPr>
                <w:sz w:val="20"/>
              </w:rPr>
            </w:pPr>
            <w:r>
              <w:rPr>
                <w:sz w:val="20"/>
              </w:rPr>
              <w:t>Mobile Phone:</w:t>
            </w:r>
          </w:p>
        </w:tc>
        <w:tc>
          <w:tcPr>
            <w:tcW w:w="5510" w:type="dxa"/>
            <w:gridSpan w:val="14"/>
            <w:tcBorders>
              <w:top w:val="nil"/>
              <w:left w:val="single" w:sz="4" w:space="0" w:color="auto"/>
              <w:bottom w:val="nil"/>
              <w:right w:val="single" w:sz="4" w:space="0" w:color="auto"/>
            </w:tcBorders>
            <w:vAlign w:val="bottom"/>
          </w:tcPr>
          <w:p>
            <w:pPr>
              <w:pStyle w:val="yTableNAm"/>
              <w:spacing w:before="60"/>
              <w:rPr>
                <w:sz w:val="20"/>
              </w:rPr>
            </w:pPr>
            <w:r>
              <w:rPr>
                <w:sz w:val="20"/>
              </w:rPr>
              <w:t>........................................................................................................</w:t>
            </w:r>
          </w:p>
        </w:tc>
      </w:tr>
      <w:tr>
        <w:tc>
          <w:tcPr>
            <w:tcW w:w="1152" w:type="dxa"/>
            <w:gridSpan w:val="3"/>
            <w:tcBorders>
              <w:top w:val="nil"/>
              <w:left w:val="single" w:sz="4" w:space="0" w:color="auto"/>
              <w:bottom w:val="single" w:sz="4" w:space="0" w:color="auto"/>
              <w:right w:val="single" w:sz="4" w:space="0" w:color="auto"/>
            </w:tcBorders>
          </w:tcPr>
          <w:p>
            <w:pPr>
              <w:pStyle w:val="yTableNAm"/>
              <w:spacing w:before="60"/>
              <w:rPr>
                <w:sz w:val="20"/>
              </w:rPr>
            </w:pPr>
            <w:r>
              <w:rPr>
                <w:sz w:val="20"/>
              </w:rPr>
              <w:t>Email:</w:t>
            </w:r>
          </w:p>
        </w:tc>
        <w:tc>
          <w:tcPr>
            <w:tcW w:w="5510" w:type="dxa"/>
            <w:gridSpan w:val="14"/>
            <w:tcBorders>
              <w:top w:val="nil"/>
              <w:left w:val="single" w:sz="4" w:space="0" w:color="auto"/>
              <w:bottom w:val="single" w:sz="4" w:space="0" w:color="auto"/>
              <w:right w:val="single" w:sz="4" w:space="0" w:color="auto"/>
            </w:tcBorders>
          </w:tcPr>
          <w:p>
            <w:pPr>
              <w:pStyle w:val="yTableNAm"/>
              <w:spacing w:before="60"/>
              <w:rPr>
                <w:sz w:val="20"/>
              </w:rPr>
            </w:pPr>
            <w:r>
              <w:rPr>
                <w:sz w:val="20"/>
              </w:rPr>
              <w:t>........................................................................................................</w:t>
            </w:r>
          </w:p>
        </w:tc>
      </w:tr>
      <w:tr>
        <w:tc>
          <w:tcPr>
            <w:tcW w:w="1152" w:type="dxa"/>
            <w:gridSpan w:val="3"/>
            <w:tcBorders>
              <w:top w:val="single" w:sz="4" w:space="0" w:color="auto"/>
              <w:left w:val="nil"/>
              <w:right w:val="nil"/>
            </w:tcBorders>
          </w:tcPr>
          <w:p>
            <w:pPr>
              <w:pStyle w:val="yTableNAm"/>
              <w:spacing w:before="60"/>
              <w:rPr>
                <w:sz w:val="20"/>
              </w:rPr>
            </w:pPr>
          </w:p>
        </w:tc>
        <w:tc>
          <w:tcPr>
            <w:tcW w:w="5510" w:type="dxa"/>
            <w:gridSpan w:val="14"/>
            <w:tcBorders>
              <w:top w:val="single" w:sz="4" w:space="0" w:color="auto"/>
              <w:left w:val="nil"/>
              <w:right w:val="nil"/>
            </w:tcBorders>
            <w:vAlign w:val="bottom"/>
          </w:tcPr>
          <w:p>
            <w:pPr>
              <w:pStyle w:val="yTableNAm"/>
              <w:spacing w:before="60"/>
            </w:pPr>
          </w:p>
        </w:tc>
      </w:tr>
      <w:tr>
        <w:trPr>
          <w:cantSplit/>
        </w:trPr>
        <w:tc>
          <w:tcPr>
            <w:tcW w:w="6662" w:type="dxa"/>
            <w:gridSpan w:val="17"/>
            <w:tcBorders>
              <w:top w:val="single" w:sz="4" w:space="0" w:color="auto"/>
            </w:tcBorders>
          </w:tcPr>
          <w:p>
            <w:pPr>
              <w:pStyle w:val="yTableNAm"/>
              <w:spacing w:before="60"/>
              <w:rPr>
                <w:b/>
                <w:bCs/>
              </w:rPr>
            </w:pPr>
            <w:r>
              <w:rPr>
                <w:b/>
                <w:bCs/>
              </w:rPr>
              <w:t>Part 3: Location of well</w:t>
            </w:r>
          </w:p>
        </w:tc>
      </w:tr>
      <w:tr>
        <w:trPr>
          <w:cantSplit/>
        </w:trPr>
        <w:tc>
          <w:tcPr>
            <w:tcW w:w="6662" w:type="dxa"/>
            <w:gridSpan w:val="17"/>
            <w:tcBorders>
              <w:bottom w:val="single" w:sz="4" w:space="0" w:color="auto"/>
            </w:tcBorders>
          </w:tcPr>
          <w:p>
            <w:pPr>
              <w:pStyle w:val="yTableNAm"/>
              <w:spacing w:before="60"/>
              <w:rPr>
                <w:sz w:val="20"/>
              </w:rPr>
            </w:pPr>
            <w:r>
              <w:rPr>
                <w:sz w:val="20"/>
              </w:rPr>
              <w:t>Property address of well</w:t>
            </w:r>
          </w:p>
        </w:tc>
      </w:tr>
      <w:tr>
        <w:trPr>
          <w:cantSplit/>
        </w:trPr>
        <w:tc>
          <w:tcPr>
            <w:tcW w:w="6662" w:type="dxa"/>
            <w:gridSpan w:val="17"/>
            <w:tcBorders>
              <w:bottom w:val="single" w:sz="4" w:space="0" w:color="auto"/>
            </w:tcBorders>
          </w:tcPr>
          <w:p>
            <w:pPr>
              <w:pStyle w:val="yTableNAm"/>
              <w:spacing w:before="60"/>
            </w:pPr>
          </w:p>
        </w:tc>
      </w:tr>
      <w:tr>
        <w:tc>
          <w:tcPr>
            <w:tcW w:w="1701" w:type="dxa"/>
            <w:gridSpan w:val="5"/>
            <w:tcBorders>
              <w:top w:val="single" w:sz="4" w:space="0" w:color="auto"/>
              <w:left w:val="nil"/>
              <w:bottom w:val="nil"/>
              <w:right w:val="nil"/>
            </w:tcBorders>
          </w:tcPr>
          <w:p>
            <w:pPr>
              <w:pStyle w:val="yTableNAm"/>
              <w:spacing w:before="60" w:after="60"/>
              <w:rPr>
                <w:sz w:val="20"/>
              </w:rPr>
            </w:pPr>
            <w:r>
              <w:rPr>
                <w:sz w:val="20"/>
              </w:rPr>
              <w:t>Well coordinates:</w:t>
            </w:r>
          </w:p>
        </w:tc>
        <w:tc>
          <w:tcPr>
            <w:tcW w:w="4961" w:type="dxa"/>
            <w:gridSpan w:val="12"/>
            <w:tcBorders>
              <w:top w:val="single" w:sz="4" w:space="0" w:color="auto"/>
              <w:left w:val="nil"/>
              <w:bottom w:val="nil"/>
              <w:right w:val="nil"/>
            </w:tcBorders>
          </w:tcPr>
          <w:p>
            <w:pPr>
              <w:pStyle w:val="yTableNAm"/>
              <w:tabs>
                <w:tab w:val="left" w:pos="2085"/>
              </w:tabs>
              <w:spacing w:before="60" w:after="60"/>
              <w:ind w:left="-75"/>
              <w:rPr>
                <w:sz w:val="20"/>
              </w:rPr>
            </w:pPr>
            <w:r>
              <w:sym w:font="Wingdings 2" w:char="F0A3"/>
            </w:r>
            <w:r>
              <w:t xml:space="preserve"> </w:t>
            </w:r>
            <w:r>
              <w:rPr>
                <w:sz w:val="20"/>
                <w:szCs w:val="18"/>
              </w:rPr>
              <w:t>GPS reading</w:t>
            </w:r>
            <w:r>
              <w:rPr>
                <w:sz w:val="20"/>
                <w:szCs w:val="18"/>
              </w:rPr>
              <w:tab/>
            </w:r>
            <w:r>
              <w:sym w:font="Wingdings 2" w:char="F0A3"/>
            </w:r>
            <w:r>
              <w:t xml:space="preserve"> </w:t>
            </w:r>
            <w:r>
              <w:rPr>
                <w:sz w:val="20"/>
                <w:szCs w:val="18"/>
              </w:rPr>
              <w:t>Estimate</w:t>
            </w:r>
          </w:p>
        </w:tc>
      </w:tr>
      <w:tr>
        <w:trPr>
          <w:cantSplit/>
        </w:trPr>
        <w:tc>
          <w:tcPr>
            <w:tcW w:w="708" w:type="dxa"/>
            <w:tcBorders>
              <w:top w:val="nil"/>
              <w:left w:val="nil"/>
              <w:bottom w:val="nil"/>
              <w:right w:val="single" w:sz="4" w:space="0" w:color="auto"/>
            </w:tcBorders>
          </w:tcPr>
          <w:p>
            <w:pPr>
              <w:pStyle w:val="yTableNAm"/>
              <w:spacing w:before="60"/>
              <w:rPr>
                <w:sz w:val="20"/>
              </w:rPr>
            </w:pPr>
            <w:r>
              <w:rPr>
                <w:sz w:val="20"/>
              </w:rPr>
              <w:t>Zone</w:t>
            </w:r>
          </w:p>
        </w:tc>
        <w:tc>
          <w:tcPr>
            <w:tcW w:w="993" w:type="dxa"/>
            <w:gridSpan w:val="4"/>
            <w:tcBorders>
              <w:top w:val="single" w:sz="4" w:space="0" w:color="auto"/>
              <w:left w:val="single" w:sz="4" w:space="0" w:color="auto"/>
              <w:bottom w:val="single" w:sz="4" w:space="0" w:color="auto"/>
              <w:right w:val="single" w:sz="4" w:space="0" w:color="auto"/>
            </w:tcBorders>
          </w:tcPr>
          <w:p>
            <w:pPr>
              <w:pStyle w:val="yTableNAm"/>
              <w:spacing w:before="60"/>
              <w:rPr>
                <w:sz w:val="20"/>
              </w:rPr>
            </w:pPr>
          </w:p>
        </w:tc>
        <w:tc>
          <w:tcPr>
            <w:tcW w:w="1134" w:type="dxa"/>
            <w:gridSpan w:val="4"/>
            <w:tcBorders>
              <w:top w:val="nil"/>
              <w:left w:val="single" w:sz="4" w:space="0" w:color="auto"/>
              <w:bottom w:val="nil"/>
              <w:right w:val="single" w:sz="4" w:space="0" w:color="auto"/>
            </w:tcBorders>
          </w:tcPr>
          <w:p>
            <w:pPr>
              <w:pStyle w:val="yTableNAm"/>
              <w:tabs>
                <w:tab w:val="clear" w:pos="567"/>
              </w:tabs>
              <w:spacing w:before="60"/>
              <w:ind w:left="45"/>
              <w:jc w:val="right"/>
              <w:rPr>
                <w:sz w:val="20"/>
              </w:rPr>
            </w:pPr>
            <w:r>
              <w:rPr>
                <w:sz w:val="20"/>
              </w:rPr>
              <w:t>Easting/</w:t>
            </w:r>
            <w:r>
              <w:rPr>
                <w:sz w:val="20"/>
              </w:rPr>
              <w:br/>
              <w:t>Latitude</w:t>
            </w: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20"/>
              </w:rPr>
            </w:pPr>
          </w:p>
        </w:tc>
        <w:tc>
          <w:tcPr>
            <w:tcW w:w="1276" w:type="dxa"/>
            <w:gridSpan w:val="3"/>
            <w:tcBorders>
              <w:top w:val="nil"/>
              <w:left w:val="single" w:sz="4" w:space="0" w:color="auto"/>
              <w:bottom w:val="nil"/>
              <w:right w:val="single" w:sz="4" w:space="0" w:color="auto"/>
            </w:tcBorders>
          </w:tcPr>
          <w:p>
            <w:pPr>
              <w:pStyle w:val="yTableNAm"/>
              <w:tabs>
                <w:tab w:val="clear" w:pos="567"/>
              </w:tabs>
              <w:spacing w:before="60"/>
              <w:ind w:left="199"/>
              <w:jc w:val="right"/>
              <w:rPr>
                <w:sz w:val="20"/>
              </w:rPr>
            </w:pPr>
            <w:r>
              <w:rPr>
                <w:sz w:val="20"/>
              </w:rPr>
              <w:t>Northing/</w:t>
            </w:r>
            <w:r>
              <w:rPr>
                <w:sz w:val="20"/>
              </w:rPr>
              <w:br/>
              <w:t>Longitude</w:t>
            </w:r>
          </w:p>
        </w:tc>
        <w:tc>
          <w:tcPr>
            <w:tcW w:w="1559" w:type="dxa"/>
            <w:gridSpan w:val="3"/>
            <w:tcBorders>
              <w:top w:val="single" w:sz="4" w:space="0" w:color="auto"/>
              <w:left w:val="single" w:sz="4" w:space="0" w:color="auto"/>
              <w:bottom w:val="single" w:sz="4" w:space="0" w:color="auto"/>
              <w:right w:val="single" w:sz="4" w:space="0" w:color="auto"/>
            </w:tcBorders>
          </w:tcPr>
          <w:p>
            <w:pPr>
              <w:pStyle w:val="yTableNAm"/>
              <w:spacing w:before="60"/>
              <w:rPr>
                <w:sz w:val="20"/>
              </w:rPr>
            </w:pPr>
          </w:p>
        </w:tc>
      </w:tr>
      <w:tr>
        <w:trPr>
          <w:cantSplit/>
        </w:trPr>
        <w:tc>
          <w:tcPr>
            <w:tcW w:w="708" w:type="dxa"/>
            <w:tcBorders>
              <w:top w:val="nil"/>
              <w:left w:val="nil"/>
              <w:bottom w:val="single" w:sz="4" w:space="0" w:color="auto"/>
              <w:right w:val="nil"/>
            </w:tcBorders>
          </w:tcPr>
          <w:p>
            <w:pPr>
              <w:pStyle w:val="yTableNAm"/>
              <w:spacing w:before="60"/>
              <w:rPr>
                <w:sz w:val="20"/>
              </w:rPr>
            </w:pPr>
          </w:p>
        </w:tc>
        <w:tc>
          <w:tcPr>
            <w:tcW w:w="993" w:type="dxa"/>
            <w:gridSpan w:val="4"/>
            <w:tcBorders>
              <w:top w:val="nil"/>
              <w:left w:val="nil"/>
              <w:bottom w:val="single" w:sz="4" w:space="0" w:color="auto"/>
              <w:right w:val="nil"/>
            </w:tcBorders>
          </w:tcPr>
          <w:p>
            <w:pPr>
              <w:pStyle w:val="yTableNAm"/>
              <w:spacing w:before="60"/>
              <w:rPr>
                <w:sz w:val="20"/>
              </w:rPr>
            </w:pPr>
          </w:p>
        </w:tc>
        <w:tc>
          <w:tcPr>
            <w:tcW w:w="1134" w:type="dxa"/>
            <w:gridSpan w:val="4"/>
            <w:tcBorders>
              <w:top w:val="nil"/>
              <w:left w:val="nil"/>
              <w:bottom w:val="single" w:sz="4" w:space="0" w:color="auto"/>
              <w:right w:val="single" w:sz="4" w:space="0" w:color="auto"/>
            </w:tcBorders>
          </w:tcPr>
          <w:p>
            <w:pPr>
              <w:pStyle w:val="yTableNAm"/>
              <w:spacing w:before="60"/>
              <w:rPr>
                <w:sz w:val="20"/>
              </w:rPr>
            </w:pPr>
            <w:r>
              <w:rPr>
                <w:sz w:val="20"/>
              </w:rPr>
              <w:t>Datum</w:t>
            </w: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20"/>
              </w:rPr>
            </w:pPr>
          </w:p>
        </w:tc>
        <w:tc>
          <w:tcPr>
            <w:tcW w:w="1276" w:type="dxa"/>
            <w:gridSpan w:val="3"/>
            <w:tcBorders>
              <w:top w:val="nil"/>
              <w:left w:val="single" w:sz="4" w:space="0" w:color="auto"/>
              <w:bottom w:val="single" w:sz="4" w:space="0" w:color="auto"/>
              <w:right w:val="single" w:sz="4" w:space="0" w:color="auto"/>
            </w:tcBorders>
          </w:tcPr>
          <w:p>
            <w:pPr>
              <w:pStyle w:val="yTableNAm"/>
              <w:tabs>
                <w:tab w:val="clear" w:pos="567"/>
              </w:tabs>
              <w:spacing w:before="60"/>
              <w:ind w:left="199"/>
              <w:jc w:val="right"/>
              <w:rPr>
                <w:sz w:val="20"/>
              </w:rPr>
            </w:pPr>
            <w:r>
              <w:rPr>
                <w:sz w:val="20"/>
              </w:rPr>
              <w:t>GPS reliability</w:t>
            </w:r>
          </w:p>
        </w:tc>
        <w:tc>
          <w:tcPr>
            <w:tcW w:w="1559" w:type="dxa"/>
            <w:gridSpan w:val="3"/>
            <w:tcBorders>
              <w:top w:val="single" w:sz="4" w:space="0" w:color="auto"/>
              <w:left w:val="single" w:sz="4" w:space="0" w:color="auto"/>
              <w:bottom w:val="single" w:sz="4" w:space="0" w:color="auto"/>
              <w:right w:val="single" w:sz="4" w:space="0" w:color="auto"/>
            </w:tcBorders>
          </w:tcPr>
          <w:p>
            <w:pPr>
              <w:pStyle w:val="yTableNAm"/>
              <w:spacing w:before="60"/>
              <w:rPr>
                <w:sz w:val="20"/>
              </w:rPr>
            </w:pPr>
          </w:p>
        </w:tc>
      </w:tr>
      <w:tr>
        <w:trPr>
          <w:cantSplit/>
        </w:trPr>
        <w:tc>
          <w:tcPr>
            <w:tcW w:w="6662" w:type="dxa"/>
            <w:gridSpan w:val="17"/>
            <w:tcBorders>
              <w:top w:val="single" w:sz="4" w:space="0" w:color="auto"/>
              <w:bottom w:val="single" w:sz="4" w:space="0" w:color="auto"/>
            </w:tcBorders>
          </w:tcPr>
          <w:p>
            <w:pPr>
              <w:pStyle w:val="yTableNAm"/>
              <w:spacing w:before="60"/>
              <w:rPr>
                <w:sz w:val="20"/>
              </w:rPr>
            </w:pPr>
            <w:r>
              <w:rPr>
                <w:b/>
                <w:bCs/>
                <w:i/>
                <w:sz w:val="20"/>
              </w:rPr>
              <w:t>Location plan</w:t>
            </w:r>
            <w:r>
              <w:rPr>
                <w:b/>
                <w:bCs/>
                <w:iCs/>
                <w:sz w:val="20"/>
              </w:rPr>
              <w:t xml:space="preserve">: </w:t>
            </w:r>
            <w:r>
              <w:rPr>
                <w:iCs/>
                <w:sz w:val="20"/>
              </w:rPr>
              <w:t>please sketch below a plan showing the position of the well in relation to buildings, boundaries, roads, nearest cross roads and any other features or information to assist in locating the well.*</w:t>
            </w:r>
          </w:p>
        </w:tc>
      </w:tr>
      <w:tr>
        <w:trPr>
          <w:cantSplit/>
          <w:trHeight w:val="225"/>
        </w:trPr>
        <w:tc>
          <w:tcPr>
            <w:tcW w:w="6662" w:type="dxa"/>
            <w:gridSpan w:val="17"/>
            <w:tcBorders>
              <w:bottom w:val="single" w:sz="4" w:space="0" w:color="auto"/>
            </w:tcBorders>
          </w:tcPr>
          <w:p>
            <w:pPr>
              <w:pStyle w:val="yTableNAm"/>
              <w:spacing w:before="60"/>
              <w:rPr>
                <w:sz w:val="20"/>
              </w:rPr>
            </w:pPr>
          </w:p>
          <w:p>
            <w:pPr>
              <w:pStyle w:val="yTableNAm"/>
              <w:spacing w:before="60"/>
              <w:rPr>
                <w:sz w:val="20"/>
              </w:rPr>
            </w:pPr>
          </w:p>
          <w:p>
            <w:pPr>
              <w:pStyle w:val="yTableNAm"/>
              <w:spacing w:before="60"/>
              <w:rPr>
                <w:sz w:val="20"/>
              </w:rPr>
            </w:pPr>
          </w:p>
          <w:p>
            <w:pPr>
              <w:pStyle w:val="yTableNAm"/>
              <w:spacing w:before="60"/>
              <w:rPr>
                <w:sz w:val="20"/>
              </w:rPr>
            </w:pPr>
          </w:p>
          <w:p>
            <w:pPr>
              <w:pStyle w:val="yTableNAm"/>
              <w:spacing w:before="60"/>
              <w:rPr>
                <w:sz w:val="20"/>
              </w:rPr>
            </w:pPr>
          </w:p>
          <w:p>
            <w:pPr>
              <w:pStyle w:val="yTableNAm"/>
              <w:spacing w:before="60"/>
              <w:rPr>
                <w:sz w:val="20"/>
              </w:rPr>
            </w:pPr>
          </w:p>
          <w:p>
            <w:pPr>
              <w:pStyle w:val="yTableNAm"/>
              <w:spacing w:before="60"/>
              <w:rPr>
                <w:sz w:val="20"/>
              </w:rPr>
            </w:pPr>
          </w:p>
          <w:p>
            <w:pPr>
              <w:pStyle w:val="yTableNAm"/>
              <w:spacing w:before="60"/>
              <w:rPr>
                <w:sz w:val="20"/>
              </w:rPr>
            </w:pPr>
          </w:p>
          <w:p>
            <w:pPr>
              <w:pStyle w:val="yTableNAm"/>
              <w:spacing w:before="60"/>
              <w:rPr>
                <w:sz w:val="20"/>
              </w:rPr>
            </w:pPr>
          </w:p>
        </w:tc>
      </w:tr>
      <w:tr>
        <w:tc>
          <w:tcPr>
            <w:tcW w:w="1152" w:type="dxa"/>
            <w:gridSpan w:val="3"/>
            <w:tcBorders>
              <w:top w:val="single" w:sz="4" w:space="0" w:color="auto"/>
              <w:left w:val="nil"/>
              <w:right w:val="nil"/>
            </w:tcBorders>
          </w:tcPr>
          <w:p>
            <w:pPr>
              <w:pStyle w:val="yTableNAm"/>
              <w:spacing w:before="60"/>
              <w:rPr>
                <w:sz w:val="20"/>
              </w:rPr>
            </w:pPr>
          </w:p>
        </w:tc>
        <w:tc>
          <w:tcPr>
            <w:tcW w:w="5510" w:type="dxa"/>
            <w:gridSpan w:val="14"/>
            <w:tcBorders>
              <w:top w:val="single" w:sz="4" w:space="0" w:color="auto"/>
              <w:left w:val="nil"/>
              <w:right w:val="nil"/>
            </w:tcBorders>
            <w:vAlign w:val="bottom"/>
          </w:tcPr>
          <w:p>
            <w:pPr>
              <w:pStyle w:val="yTableNAm"/>
              <w:spacing w:before="60"/>
            </w:pPr>
          </w:p>
        </w:tc>
      </w:tr>
      <w:tr>
        <w:trPr>
          <w:cantSplit/>
        </w:trPr>
        <w:tc>
          <w:tcPr>
            <w:tcW w:w="6662" w:type="dxa"/>
            <w:gridSpan w:val="17"/>
          </w:tcPr>
          <w:p>
            <w:pPr>
              <w:pStyle w:val="yTableNAm"/>
              <w:spacing w:before="60"/>
            </w:pPr>
            <w:r>
              <w:rPr>
                <w:b/>
                <w:bCs/>
              </w:rPr>
              <w:t xml:space="preserve">Part 4: Construction details </w:t>
            </w:r>
            <w:r>
              <w:rPr>
                <w:b/>
                <w:bCs/>
              </w:rPr>
              <w:br/>
            </w:r>
            <w:r>
              <w:rPr>
                <w:sz w:val="20"/>
              </w:rPr>
              <w:t xml:space="preserve">Note: </w:t>
            </w:r>
            <w:r>
              <w:rPr>
                <w:i/>
                <w:iCs/>
                <w:sz w:val="20"/>
              </w:rPr>
              <w:t>All measurements to be taken from ground level.</w:t>
            </w:r>
          </w:p>
        </w:tc>
      </w:tr>
      <w:tr>
        <w:trPr>
          <w:cantSplit/>
        </w:trPr>
        <w:tc>
          <w:tcPr>
            <w:tcW w:w="6662" w:type="dxa"/>
            <w:gridSpan w:val="17"/>
          </w:tcPr>
          <w:p>
            <w:pPr>
              <w:pStyle w:val="yTableNAm"/>
              <w:spacing w:before="60"/>
            </w:pPr>
            <w:r>
              <w:rPr>
                <w:b/>
                <w:bCs/>
                <w:i/>
                <w:iCs/>
                <w:sz w:val="20"/>
              </w:rPr>
              <w:t>Well construction diagram</w:t>
            </w:r>
            <w:r>
              <w:rPr>
                <w:sz w:val="20"/>
              </w:rPr>
              <w:t>:</w:t>
            </w:r>
            <w:r>
              <w:rPr>
                <w:b/>
                <w:bCs/>
                <w:sz w:val="20"/>
              </w:rPr>
              <w:t xml:space="preserve"> </w:t>
            </w:r>
            <w:r>
              <w:rPr>
                <w:sz w:val="20"/>
              </w:rPr>
              <w:t>please sketch below a diagram showing the construction of the well.*</w:t>
            </w:r>
          </w:p>
        </w:tc>
      </w:tr>
      <w:tr>
        <w:trPr>
          <w:cantSplit/>
          <w:trHeight w:val="225"/>
        </w:trPr>
        <w:tc>
          <w:tcPr>
            <w:tcW w:w="6662" w:type="dxa"/>
            <w:gridSpan w:val="17"/>
            <w:tcBorders>
              <w:bottom w:val="single" w:sz="4" w:space="0" w:color="auto"/>
            </w:tcBorders>
          </w:tcPr>
          <w:p>
            <w:pPr>
              <w:pStyle w:val="yTableNAm"/>
              <w:spacing w:before="60"/>
              <w:rPr>
                <w:sz w:val="20"/>
              </w:rPr>
            </w:pPr>
          </w:p>
          <w:p>
            <w:pPr>
              <w:pStyle w:val="yTableNAm"/>
              <w:spacing w:before="60"/>
              <w:rPr>
                <w:sz w:val="20"/>
              </w:rPr>
            </w:pPr>
          </w:p>
          <w:p>
            <w:pPr>
              <w:pStyle w:val="yTableNAm"/>
              <w:spacing w:before="60"/>
              <w:rPr>
                <w:sz w:val="20"/>
              </w:rPr>
            </w:pPr>
          </w:p>
          <w:p>
            <w:pPr>
              <w:pStyle w:val="yTableNAm"/>
              <w:spacing w:before="60"/>
              <w:rPr>
                <w:sz w:val="20"/>
              </w:rPr>
            </w:pPr>
          </w:p>
          <w:p>
            <w:pPr>
              <w:pStyle w:val="yTableNAm"/>
              <w:spacing w:before="60"/>
              <w:rPr>
                <w:sz w:val="20"/>
              </w:rPr>
            </w:pPr>
          </w:p>
          <w:p>
            <w:pPr>
              <w:pStyle w:val="yTableNAm"/>
              <w:spacing w:before="60"/>
              <w:rPr>
                <w:sz w:val="20"/>
              </w:rPr>
            </w:pPr>
          </w:p>
          <w:p>
            <w:pPr>
              <w:pStyle w:val="yTableNAm"/>
              <w:spacing w:before="60"/>
              <w:rPr>
                <w:sz w:val="20"/>
              </w:rPr>
            </w:pPr>
          </w:p>
          <w:p>
            <w:pPr>
              <w:pStyle w:val="yTableNAm"/>
              <w:spacing w:before="60"/>
              <w:rPr>
                <w:sz w:val="20"/>
              </w:rPr>
            </w:pPr>
          </w:p>
        </w:tc>
      </w:tr>
      <w:tr>
        <w:trPr>
          <w:cantSplit/>
          <w:trHeight w:val="150"/>
        </w:trPr>
        <w:tc>
          <w:tcPr>
            <w:tcW w:w="6662" w:type="dxa"/>
            <w:gridSpan w:val="17"/>
            <w:tcBorders>
              <w:left w:val="nil"/>
              <w:right w:val="nil"/>
            </w:tcBorders>
          </w:tcPr>
          <w:p>
            <w:pPr>
              <w:pStyle w:val="yTableNAm"/>
              <w:spacing w:before="60"/>
              <w:rPr>
                <w:sz w:val="20"/>
              </w:rPr>
            </w:pPr>
          </w:p>
        </w:tc>
      </w:tr>
      <w:tr>
        <w:trPr>
          <w:cantSplit/>
          <w:trHeight w:val="150"/>
        </w:trPr>
        <w:tc>
          <w:tcPr>
            <w:tcW w:w="6662" w:type="dxa"/>
            <w:gridSpan w:val="17"/>
          </w:tcPr>
          <w:p>
            <w:pPr>
              <w:pStyle w:val="yTableNAm"/>
              <w:spacing w:before="60"/>
              <w:jc w:val="center"/>
              <w:rPr>
                <w:b/>
                <w:bCs/>
                <w:sz w:val="20"/>
              </w:rPr>
            </w:pPr>
            <w:r>
              <w:rPr>
                <w:b/>
                <w:bCs/>
                <w:sz w:val="20"/>
              </w:rPr>
              <w:t>Production casing details</w:t>
            </w:r>
          </w:p>
        </w:tc>
      </w:tr>
      <w:tr>
        <w:trPr>
          <w:cantSplit/>
        </w:trPr>
        <w:tc>
          <w:tcPr>
            <w:tcW w:w="992" w:type="dxa"/>
            <w:gridSpan w:val="2"/>
            <w:vMerge w:val="restart"/>
          </w:tcPr>
          <w:p>
            <w:pPr>
              <w:pStyle w:val="yTableNAm"/>
              <w:spacing w:before="60"/>
              <w:rPr>
                <w:sz w:val="20"/>
              </w:rPr>
            </w:pPr>
            <w:r>
              <w:rPr>
                <w:sz w:val="20"/>
              </w:rPr>
              <w:t>Material</w:t>
            </w:r>
          </w:p>
        </w:tc>
        <w:tc>
          <w:tcPr>
            <w:tcW w:w="992" w:type="dxa"/>
            <w:gridSpan w:val="4"/>
            <w:vMerge w:val="restart"/>
          </w:tcPr>
          <w:p>
            <w:pPr>
              <w:pStyle w:val="yTableNAm"/>
              <w:spacing w:before="60"/>
              <w:rPr>
                <w:sz w:val="20"/>
              </w:rPr>
            </w:pPr>
            <w:r>
              <w:rPr>
                <w:sz w:val="20"/>
              </w:rPr>
              <w:t>Nominal bore</w:t>
            </w:r>
          </w:p>
        </w:tc>
        <w:tc>
          <w:tcPr>
            <w:tcW w:w="1134" w:type="dxa"/>
            <w:gridSpan w:val="4"/>
            <w:vMerge w:val="restart"/>
          </w:tcPr>
          <w:p>
            <w:pPr>
              <w:pStyle w:val="yTableNAm"/>
              <w:spacing w:before="60"/>
              <w:rPr>
                <w:sz w:val="20"/>
              </w:rPr>
            </w:pPr>
            <w:r>
              <w:rPr>
                <w:sz w:val="20"/>
              </w:rPr>
              <w:t>Diameter O.D (mm)</w:t>
            </w:r>
          </w:p>
        </w:tc>
        <w:tc>
          <w:tcPr>
            <w:tcW w:w="1418" w:type="dxa"/>
            <w:gridSpan w:val="3"/>
            <w:vMerge w:val="restart"/>
          </w:tcPr>
          <w:p>
            <w:pPr>
              <w:pStyle w:val="yTableNAm"/>
              <w:spacing w:before="60"/>
              <w:rPr>
                <w:sz w:val="20"/>
              </w:rPr>
            </w:pPr>
            <w:r>
              <w:rPr>
                <w:sz w:val="20"/>
              </w:rPr>
              <w:t>Wall thickness (mm)</w:t>
            </w:r>
          </w:p>
        </w:tc>
        <w:tc>
          <w:tcPr>
            <w:tcW w:w="2126" w:type="dxa"/>
            <w:gridSpan w:val="4"/>
          </w:tcPr>
          <w:p>
            <w:pPr>
              <w:pStyle w:val="yTableNAm"/>
              <w:spacing w:before="60"/>
              <w:jc w:val="center"/>
              <w:rPr>
                <w:sz w:val="20"/>
              </w:rPr>
            </w:pPr>
            <w:r>
              <w:rPr>
                <w:sz w:val="20"/>
              </w:rPr>
              <w:t>Depth</w:t>
            </w:r>
          </w:p>
        </w:tc>
      </w:tr>
      <w:tr>
        <w:trPr>
          <w:cantSplit/>
        </w:trPr>
        <w:tc>
          <w:tcPr>
            <w:tcW w:w="992" w:type="dxa"/>
            <w:gridSpan w:val="2"/>
            <w:vMerge/>
          </w:tcPr>
          <w:p>
            <w:pPr>
              <w:pStyle w:val="yTableNAm"/>
              <w:spacing w:before="60"/>
            </w:pPr>
          </w:p>
        </w:tc>
        <w:tc>
          <w:tcPr>
            <w:tcW w:w="992" w:type="dxa"/>
            <w:gridSpan w:val="4"/>
            <w:vMerge/>
          </w:tcPr>
          <w:p>
            <w:pPr>
              <w:pStyle w:val="yTableNAm"/>
              <w:spacing w:before="60"/>
            </w:pPr>
          </w:p>
        </w:tc>
        <w:tc>
          <w:tcPr>
            <w:tcW w:w="1134" w:type="dxa"/>
            <w:gridSpan w:val="4"/>
            <w:vMerge/>
          </w:tcPr>
          <w:p>
            <w:pPr>
              <w:pStyle w:val="yTableNAm"/>
              <w:spacing w:before="60"/>
            </w:pPr>
          </w:p>
        </w:tc>
        <w:tc>
          <w:tcPr>
            <w:tcW w:w="1418" w:type="dxa"/>
            <w:gridSpan w:val="3"/>
            <w:vMerge/>
          </w:tcPr>
          <w:p>
            <w:pPr>
              <w:pStyle w:val="yTableNAm"/>
              <w:spacing w:before="60"/>
            </w:pPr>
          </w:p>
        </w:tc>
        <w:tc>
          <w:tcPr>
            <w:tcW w:w="992" w:type="dxa"/>
            <w:gridSpan w:val="3"/>
          </w:tcPr>
          <w:p>
            <w:pPr>
              <w:pStyle w:val="yTableNAm"/>
              <w:spacing w:before="60"/>
              <w:rPr>
                <w:sz w:val="20"/>
              </w:rPr>
            </w:pPr>
            <w:r>
              <w:rPr>
                <w:sz w:val="20"/>
              </w:rPr>
              <w:t>From (m)</w:t>
            </w:r>
          </w:p>
        </w:tc>
        <w:tc>
          <w:tcPr>
            <w:tcW w:w="1134" w:type="dxa"/>
          </w:tcPr>
          <w:p>
            <w:pPr>
              <w:pStyle w:val="yTableNAm"/>
              <w:spacing w:before="60"/>
              <w:rPr>
                <w:sz w:val="20"/>
              </w:rPr>
            </w:pPr>
            <w:r>
              <w:rPr>
                <w:sz w:val="20"/>
              </w:rPr>
              <w:t>To (m)</w:t>
            </w:r>
          </w:p>
        </w:tc>
      </w:tr>
      <w:tr>
        <w:trPr>
          <w:cantSplit/>
          <w:trHeight w:val="150"/>
        </w:trPr>
        <w:tc>
          <w:tcPr>
            <w:tcW w:w="992" w:type="dxa"/>
            <w:gridSpan w:val="2"/>
          </w:tcPr>
          <w:p>
            <w:pPr>
              <w:pStyle w:val="yTableNAm"/>
              <w:spacing w:before="60"/>
            </w:pPr>
          </w:p>
        </w:tc>
        <w:tc>
          <w:tcPr>
            <w:tcW w:w="992" w:type="dxa"/>
            <w:gridSpan w:val="4"/>
          </w:tcPr>
          <w:p>
            <w:pPr>
              <w:pStyle w:val="yTableNAm"/>
              <w:spacing w:before="60"/>
            </w:pPr>
          </w:p>
        </w:tc>
        <w:tc>
          <w:tcPr>
            <w:tcW w:w="1134" w:type="dxa"/>
            <w:gridSpan w:val="4"/>
          </w:tcPr>
          <w:p>
            <w:pPr>
              <w:pStyle w:val="yTableNAm"/>
              <w:spacing w:before="60"/>
            </w:pPr>
          </w:p>
        </w:tc>
        <w:tc>
          <w:tcPr>
            <w:tcW w:w="1418" w:type="dxa"/>
            <w:gridSpan w:val="3"/>
          </w:tcPr>
          <w:p>
            <w:pPr>
              <w:pStyle w:val="yTableNAm"/>
              <w:spacing w:before="60"/>
            </w:pPr>
          </w:p>
        </w:tc>
        <w:tc>
          <w:tcPr>
            <w:tcW w:w="992" w:type="dxa"/>
            <w:gridSpan w:val="3"/>
          </w:tcPr>
          <w:p>
            <w:pPr>
              <w:pStyle w:val="yTableNAm"/>
              <w:spacing w:before="60"/>
            </w:pPr>
          </w:p>
        </w:tc>
        <w:tc>
          <w:tcPr>
            <w:tcW w:w="1134" w:type="dxa"/>
          </w:tcPr>
          <w:p>
            <w:pPr>
              <w:pStyle w:val="yTableNAm"/>
              <w:spacing w:before="60"/>
            </w:pPr>
          </w:p>
        </w:tc>
      </w:tr>
      <w:tr>
        <w:trPr>
          <w:cantSplit/>
          <w:trHeight w:val="150"/>
        </w:trPr>
        <w:tc>
          <w:tcPr>
            <w:tcW w:w="992" w:type="dxa"/>
            <w:gridSpan w:val="2"/>
          </w:tcPr>
          <w:p>
            <w:pPr>
              <w:pStyle w:val="yTableNAm"/>
              <w:spacing w:before="60"/>
            </w:pPr>
          </w:p>
        </w:tc>
        <w:tc>
          <w:tcPr>
            <w:tcW w:w="992" w:type="dxa"/>
            <w:gridSpan w:val="4"/>
          </w:tcPr>
          <w:p>
            <w:pPr>
              <w:pStyle w:val="yTableNAm"/>
              <w:spacing w:before="60"/>
            </w:pPr>
          </w:p>
        </w:tc>
        <w:tc>
          <w:tcPr>
            <w:tcW w:w="1134" w:type="dxa"/>
            <w:gridSpan w:val="4"/>
          </w:tcPr>
          <w:p>
            <w:pPr>
              <w:pStyle w:val="yTableNAm"/>
              <w:spacing w:before="60"/>
            </w:pPr>
          </w:p>
        </w:tc>
        <w:tc>
          <w:tcPr>
            <w:tcW w:w="1418" w:type="dxa"/>
            <w:gridSpan w:val="3"/>
          </w:tcPr>
          <w:p>
            <w:pPr>
              <w:pStyle w:val="yTableNAm"/>
              <w:spacing w:before="60"/>
            </w:pPr>
          </w:p>
        </w:tc>
        <w:tc>
          <w:tcPr>
            <w:tcW w:w="992" w:type="dxa"/>
            <w:gridSpan w:val="3"/>
          </w:tcPr>
          <w:p>
            <w:pPr>
              <w:pStyle w:val="yTableNAm"/>
              <w:spacing w:before="60"/>
            </w:pPr>
          </w:p>
        </w:tc>
        <w:tc>
          <w:tcPr>
            <w:tcW w:w="1134" w:type="dxa"/>
          </w:tcPr>
          <w:p>
            <w:pPr>
              <w:pStyle w:val="yTableNAm"/>
              <w:spacing w:before="60"/>
            </w:pPr>
          </w:p>
        </w:tc>
      </w:tr>
      <w:tr>
        <w:trPr>
          <w:cantSplit/>
          <w:trHeight w:val="150"/>
        </w:trPr>
        <w:tc>
          <w:tcPr>
            <w:tcW w:w="992" w:type="dxa"/>
            <w:gridSpan w:val="2"/>
          </w:tcPr>
          <w:p>
            <w:pPr>
              <w:pStyle w:val="yTableNAm"/>
              <w:spacing w:before="60"/>
            </w:pPr>
          </w:p>
        </w:tc>
        <w:tc>
          <w:tcPr>
            <w:tcW w:w="992" w:type="dxa"/>
            <w:gridSpan w:val="4"/>
          </w:tcPr>
          <w:p>
            <w:pPr>
              <w:pStyle w:val="yTableNAm"/>
              <w:spacing w:before="60"/>
            </w:pPr>
          </w:p>
        </w:tc>
        <w:tc>
          <w:tcPr>
            <w:tcW w:w="1134" w:type="dxa"/>
            <w:gridSpan w:val="4"/>
          </w:tcPr>
          <w:p>
            <w:pPr>
              <w:pStyle w:val="yTableNAm"/>
              <w:spacing w:before="60"/>
            </w:pPr>
          </w:p>
        </w:tc>
        <w:tc>
          <w:tcPr>
            <w:tcW w:w="1418" w:type="dxa"/>
            <w:gridSpan w:val="3"/>
          </w:tcPr>
          <w:p>
            <w:pPr>
              <w:pStyle w:val="yTableNAm"/>
              <w:spacing w:before="60"/>
            </w:pPr>
          </w:p>
        </w:tc>
        <w:tc>
          <w:tcPr>
            <w:tcW w:w="992" w:type="dxa"/>
            <w:gridSpan w:val="3"/>
          </w:tcPr>
          <w:p>
            <w:pPr>
              <w:pStyle w:val="yTableNAm"/>
              <w:spacing w:before="60"/>
            </w:pPr>
          </w:p>
        </w:tc>
        <w:tc>
          <w:tcPr>
            <w:tcW w:w="1134" w:type="dxa"/>
          </w:tcPr>
          <w:p>
            <w:pPr>
              <w:pStyle w:val="yTableNAm"/>
              <w:spacing w:before="60"/>
            </w:pPr>
          </w:p>
        </w:tc>
      </w:tr>
      <w:tr>
        <w:tblPrEx>
          <w:tblLook w:val="01E0" w:firstRow="1" w:lastRow="1" w:firstColumn="1" w:lastColumn="1" w:noHBand="0" w:noVBand="0"/>
        </w:tblPrEx>
        <w:tc>
          <w:tcPr>
            <w:tcW w:w="6662" w:type="dxa"/>
            <w:gridSpan w:val="17"/>
            <w:vAlign w:val="center"/>
          </w:tcPr>
          <w:p>
            <w:pPr>
              <w:pStyle w:val="yTableNAm"/>
              <w:spacing w:before="60"/>
              <w:jc w:val="center"/>
              <w:rPr>
                <w:b/>
                <w:sz w:val="20"/>
              </w:rPr>
            </w:pPr>
            <w:r>
              <w:rPr>
                <w:b/>
                <w:bCs/>
                <w:sz w:val="20"/>
              </w:rPr>
              <w:t>Screens</w:t>
            </w:r>
            <w:r>
              <w:rPr>
                <w:b/>
                <w:sz w:val="20"/>
              </w:rPr>
              <w:t>/slots</w:t>
            </w:r>
          </w:p>
        </w:tc>
      </w:tr>
      <w:tr>
        <w:tblPrEx>
          <w:tblLook w:val="01E0" w:firstRow="1" w:lastRow="1" w:firstColumn="1" w:lastColumn="1" w:noHBand="0" w:noVBand="0"/>
        </w:tblPrEx>
        <w:trPr>
          <w:trHeight w:val="430"/>
        </w:trPr>
        <w:tc>
          <w:tcPr>
            <w:tcW w:w="1417" w:type="dxa"/>
            <w:gridSpan w:val="4"/>
          </w:tcPr>
          <w:p>
            <w:pPr>
              <w:pStyle w:val="yTableNAm"/>
              <w:rPr>
                <w:sz w:val="20"/>
              </w:rPr>
            </w:pPr>
            <w:r>
              <w:rPr>
                <w:sz w:val="20"/>
              </w:rPr>
              <w:t>Screens/slot</w:t>
            </w:r>
            <w:r>
              <w:rPr>
                <w:sz w:val="20"/>
              </w:rPr>
              <w:br/>
              <w:t>(Type)</w:t>
            </w:r>
          </w:p>
        </w:tc>
        <w:tc>
          <w:tcPr>
            <w:tcW w:w="1134" w:type="dxa"/>
            <w:gridSpan w:val="3"/>
          </w:tcPr>
          <w:p>
            <w:pPr>
              <w:pStyle w:val="yTableNAm"/>
              <w:rPr>
                <w:sz w:val="20"/>
              </w:rPr>
            </w:pPr>
            <w:r>
              <w:rPr>
                <w:sz w:val="20"/>
              </w:rPr>
              <w:t>Diameter O.D (mm)</w:t>
            </w:r>
          </w:p>
        </w:tc>
        <w:tc>
          <w:tcPr>
            <w:tcW w:w="1418" w:type="dxa"/>
            <w:gridSpan w:val="5"/>
          </w:tcPr>
          <w:p>
            <w:pPr>
              <w:pStyle w:val="yTableNAm"/>
              <w:rPr>
                <w:sz w:val="20"/>
              </w:rPr>
            </w:pPr>
            <w:r>
              <w:rPr>
                <w:sz w:val="20"/>
              </w:rPr>
              <w:t>Aperture</w:t>
            </w:r>
            <w:r>
              <w:rPr>
                <w:sz w:val="20"/>
              </w:rPr>
              <w:br/>
              <w:t>(mm)</w:t>
            </w:r>
          </w:p>
        </w:tc>
        <w:tc>
          <w:tcPr>
            <w:tcW w:w="1275" w:type="dxa"/>
            <w:gridSpan w:val="3"/>
          </w:tcPr>
          <w:p>
            <w:pPr>
              <w:pStyle w:val="yTableNAm"/>
              <w:rPr>
                <w:sz w:val="20"/>
              </w:rPr>
            </w:pPr>
            <w:r>
              <w:rPr>
                <w:sz w:val="20"/>
              </w:rPr>
              <w:t>Top of screen (m)</w:t>
            </w:r>
          </w:p>
        </w:tc>
        <w:tc>
          <w:tcPr>
            <w:tcW w:w="1418" w:type="dxa"/>
            <w:gridSpan w:val="2"/>
          </w:tcPr>
          <w:p>
            <w:pPr>
              <w:pStyle w:val="yTableNAm"/>
              <w:rPr>
                <w:sz w:val="20"/>
              </w:rPr>
            </w:pPr>
            <w:r>
              <w:rPr>
                <w:sz w:val="20"/>
              </w:rPr>
              <w:t>Bottom of screen (m)</w:t>
            </w:r>
          </w:p>
        </w:tc>
      </w:tr>
      <w:tr>
        <w:tblPrEx>
          <w:tblLook w:val="01E0" w:firstRow="1" w:lastRow="1" w:firstColumn="1" w:lastColumn="1" w:noHBand="0" w:noVBand="0"/>
        </w:tblPrEx>
        <w:tc>
          <w:tcPr>
            <w:tcW w:w="1417" w:type="dxa"/>
            <w:gridSpan w:val="4"/>
          </w:tcPr>
          <w:p>
            <w:pPr>
              <w:pStyle w:val="yTableNAm"/>
              <w:rPr>
                <w:sz w:val="20"/>
              </w:rPr>
            </w:pPr>
          </w:p>
        </w:tc>
        <w:tc>
          <w:tcPr>
            <w:tcW w:w="1134" w:type="dxa"/>
            <w:gridSpan w:val="3"/>
          </w:tcPr>
          <w:p>
            <w:pPr>
              <w:pStyle w:val="yTableNAm"/>
              <w:rPr>
                <w:sz w:val="20"/>
              </w:rPr>
            </w:pPr>
          </w:p>
        </w:tc>
        <w:tc>
          <w:tcPr>
            <w:tcW w:w="1418" w:type="dxa"/>
            <w:gridSpan w:val="5"/>
          </w:tcPr>
          <w:p>
            <w:pPr>
              <w:pStyle w:val="yTableNAm"/>
              <w:rPr>
                <w:sz w:val="20"/>
              </w:rPr>
            </w:pPr>
          </w:p>
        </w:tc>
        <w:tc>
          <w:tcPr>
            <w:tcW w:w="1275" w:type="dxa"/>
            <w:gridSpan w:val="3"/>
          </w:tcPr>
          <w:p>
            <w:pPr>
              <w:pStyle w:val="yTableNAm"/>
              <w:rPr>
                <w:sz w:val="20"/>
              </w:rPr>
            </w:pPr>
          </w:p>
        </w:tc>
        <w:tc>
          <w:tcPr>
            <w:tcW w:w="1418" w:type="dxa"/>
            <w:gridSpan w:val="2"/>
          </w:tcPr>
          <w:p>
            <w:pPr>
              <w:pStyle w:val="yTableNAm"/>
              <w:rPr>
                <w:sz w:val="20"/>
              </w:rPr>
            </w:pPr>
          </w:p>
        </w:tc>
      </w:tr>
      <w:tr>
        <w:tblPrEx>
          <w:tblLook w:val="01E0" w:firstRow="1" w:lastRow="1" w:firstColumn="1" w:lastColumn="1" w:noHBand="0" w:noVBand="0"/>
        </w:tblPrEx>
        <w:tc>
          <w:tcPr>
            <w:tcW w:w="1417" w:type="dxa"/>
            <w:gridSpan w:val="4"/>
          </w:tcPr>
          <w:p>
            <w:pPr>
              <w:pStyle w:val="yTableNAm"/>
              <w:rPr>
                <w:sz w:val="20"/>
              </w:rPr>
            </w:pPr>
          </w:p>
        </w:tc>
        <w:tc>
          <w:tcPr>
            <w:tcW w:w="1134" w:type="dxa"/>
            <w:gridSpan w:val="3"/>
          </w:tcPr>
          <w:p>
            <w:pPr>
              <w:pStyle w:val="yTableNAm"/>
              <w:rPr>
                <w:sz w:val="20"/>
              </w:rPr>
            </w:pPr>
          </w:p>
        </w:tc>
        <w:tc>
          <w:tcPr>
            <w:tcW w:w="1418" w:type="dxa"/>
            <w:gridSpan w:val="5"/>
          </w:tcPr>
          <w:p>
            <w:pPr>
              <w:pStyle w:val="yTableNAm"/>
              <w:rPr>
                <w:sz w:val="20"/>
              </w:rPr>
            </w:pPr>
          </w:p>
        </w:tc>
        <w:tc>
          <w:tcPr>
            <w:tcW w:w="1275" w:type="dxa"/>
            <w:gridSpan w:val="3"/>
          </w:tcPr>
          <w:p>
            <w:pPr>
              <w:pStyle w:val="yTableNAm"/>
              <w:rPr>
                <w:sz w:val="20"/>
              </w:rPr>
            </w:pPr>
          </w:p>
        </w:tc>
        <w:tc>
          <w:tcPr>
            <w:tcW w:w="1418" w:type="dxa"/>
            <w:gridSpan w:val="2"/>
          </w:tcPr>
          <w:p>
            <w:pPr>
              <w:pStyle w:val="yTableNAm"/>
              <w:rPr>
                <w:sz w:val="20"/>
              </w:rPr>
            </w:pPr>
          </w:p>
        </w:tc>
      </w:tr>
      <w:tr>
        <w:tblPrEx>
          <w:tblLook w:val="01E0" w:firstRow="1" w:lastRow="1" w:firstColumn="1" w:lastColumn="1" w:noHBand="0" w:noVBand="0"/>
        </w:tblPrEx>
        <w:tc>
          <w:tcPr>
            <w:tcW w:w="1417" w:type="dxa"/>
            <w:gridSpan w:val="4"/>
          </w:tcPr>
          <w:p>
            <w:pPr>
              <w:pStyle w:val="yTableNAm"/>
              <w:rPr>
                <w:sz w:val="20"/>
              </w:rPr>
            </w:pPr>
          </w:p>
        </w:tc>
        <w:tc>
          <w:tcPr>
            <w:tcW w:w="1134" w:type="dxa"/>
            <w:gridSpan w:val="3"/>
          </w:tcPr>
          <w:p>
            <w:pPr>
              <w:pStyle w:val="yTableNAm"/>
              <w:rPr>
                <w:sz w:val="20"/>
              </w:rPr>
            </w:pPr>
          </w:p>
        </w:tc>
        <w:tc>
          <w:tcPr>
            <w:tcW w:w="1418" w:type="dxa"/>
            <w:gridSpan w:val="5"/>
          </w:tcPr>
          <w:p>
            <w:pPr>
              <w:pStyle w:val="yTableNAm"/>
              <w:rPr>
                <w:sz w:val="20"/>
              </w:rPr>
            </w:pPr>
          </w:p>
        </w:tc>
        <w:tc>
          <w:tcPr>
            <w:tcW w:w="1275" w:type="dxa"/>
            <w:gridSpan w:val="3"/>
          </w:tcPr>
          <w:p>
            <w:pPr>
              <w:pStyle w:val="yTableNAm"/>
              <w:rPr>
                <w:sz w:val="20"/>
              </w:rPr>
            </w:pPr>
          </w:p>
        </w:tc>
        <w:tc>
          <w:tcPr>
            <w:tcW w:w="1418" w:type="dxa"/>
            <w:gridSpan w:val="2"/>
          </w:tcPr>
          <w:p>
            <w:pPr>
              <w:pStyle w:val="yTableNAm"/>
              <w:rPr>
                <w:sz w:val="20"/>
              </w:rPr>
            </w:pPr>
          </w:p>
        </w:tc>
      </w:tr>
    </w:tbl>
    <w:p>
      <w:pPr>
        <w:pStyle w:val="yMiscellaneousBody"/>
        <w:spacing w:before="40"/>
      </w:pPr>
    </w:p>
    <w:tbl>
      <w:tblPr>
        <w:tblW w:w="666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1"/>
        <w:gridCol w:w="1418"/>
        <w:gridCol w:w="2693"/>
      </w:tblGrid>
      <w:tr>
        <w:trPr>
          <w:cantSplit/>
          <w:trHeight w:val="375"/>
        </w:trPr>
        <w:tc>
          <w:tcPr>
            <w:tcW w:w="6662" w:type="dxa"/>
            <w:gridSpan w:val="3"/>
          </w:tcPr>
          <w:p>
            <w:pPr>
              <w:pStyle w:val="yTableNAm"/>
              <w:spacing w:before="60"/>
              <w:jc w:val="center"/>
              <w:rPr>
                <w:b/>
                <w:bCs/>
                <w:sz w:val="20"/>
              </w:rPr>
            </w:pPr>
            <w:r>
              <w:rPr>
                <w:b/>
                <w:bCs/>
                <w:sz w:val="20"/>
              </w:rPr>
              <w:t>Gravel pack details</w:t>
            </w:r>
          </w:p>
        </w:tc>
      </w:tr>
      <w:tr>
        <w:trPr>
          <w:cantSplit/>
          <w:trHeight w:val="375"/>
        </w:trPr>
        <w:tc>
          <w:tcPr>
            <w:tcW w:w="2551" w:type="dxa"/>
            <w:vMerge w:val="restart"/>
          </w:tcPr>
          <w:p>
            <w:pPr>
              <w:pStyle w:val="yTableNAm"/>
              <w:spacing w:before="60"/>
              <w:rPr>
                <w:sz w:val="20"/>
              </w:rPr>
            </w:pPr>
            <w:r>
              <w:rPr>
                <w:sz w:val="20"/>
              </w:rPr>
              <w:t>Gravel size (mm)</w:t>
            </w:r>
          </w:p>
        </w:tc>
        <w:tc>
          <w:tcPr>
            <w:tcW w:w="1418" w:type="dxa"/>
          </w:tcPr>
          <w:p>
            <w:pPr>
              <w:pStyle w:val="yTableNAm"/>
              <w:spacing w:before="60"/>
              <w:rPr>
                <w:sz w:val="20"/>
              </w:rPr>
            </w:pPr>
            <w:r>
              <w:rPr>
                <w:sz w:val="20"/>
              </w:rPr>
              <w:t>From (m)</w:t>
            </w:r>
          </w:p>
        </w:tc>
        <w:tc>
          <w:tcPr>
            <w:tcW w:w="2693" w:type="dxa"/>
          </w:tcPr>
          <w:p>
            <w:pPr>
              <w:pStyle w:val="yTableNAm"/>
              <w:spacing w:before="60"/>
              <w:rPr>
                <w:sz w:val="20"/>
              </w:rPr>
            </w:pPr>
            <w:r>
              <w:rPr>
                <w:sz w:val="20"/>
              </w:rPr>
              <w:t>To (m)</w:t>
            </w:r>
          </w:p>
        </w:tc>
      </w:tr>
      <w:tr>
        <w:trPr>
          <w:cantSplit/>
          <w:trHeight w:val="375"/>
        </w:trPr>
        <w:tc>
          <w:tcPr>
            <w:tcW w:w="2551" w:type="dxa"/>
            <w:vMerge/>
          </w:tcPr>
          <w:p>
            <w:pPr>
              <w:pStyle w:val="yTableNAm"/>
              <w:spacing w:before="60"/>
              <w:rPr>
                <w:sz w:val="20"/>
              </w:rPr>
            </w:pPr>
          </w:p>
        </w:tc>
        <w:tc>
          <w:tcPr>
            <w:tcW w:w="1418" w:type="dxa"/>
          </w:tcPr>
          <w:p>
            <w:pPr>
              <w:pStyle w:val="yTableNAm"/>
              <w:spacing w:before="60"/>
              <w:rPr>
                <w:sz w:val="20"/>
              </w:rPr>
            </w:pPr>
          </w:p>
        </w:tc>
        <w:tc>
          <w:tcPr>
            <w:tcW w:w="2693" w:type="dxa"/>
          </w:tcPr>
          <w:p>
            <w:pPr>
              <w:pStyle w:val="yTableNAm"/>
              <w:spacing w:before="60"/>
              <w:rPr>
                <w:sz w:val="20"/>
              </w:rPr>
            </w:pPr>
          </w:p>
        </w:tc>
      </w:tr>
    </w:tbl>
    <w:p>
      <w:pPr>
        <w:pStyle w:val="yMiscellaneousBody"/>
        <w:spacing w:before="40"/>
        <w:rPr>
          <w:sz w:val="20"/>
        </w:rPr>
      </w:pPr>
    </w:p>
    <w:tbl>
      <w:tblPr>
        <w:tblW w:w="666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1"/>
        <w:gridCol w:w="1418"/>
        <w:gridCol w:w="2693"/>
      </w:tblGrid>
      <w:tr>
        <w:trPr>
          <w:cantSplit/>
          <w:trHeight w:val="375"/>
        </w:trPr>
        <w:tc>
          <w:tcPr>
            <w:tcW w:w="6662" w:type="dxa"/>
            <w:gridSpan w:val="3"/>
          </w:tcPr>
          <w:p>
            <w:pPr>
              <w:pStyle w:val="yTableNAm"/>
              <w:spacing w:before="60"/>
              <w:jc w:val="center"/>
              <w:rPr>
                <w:b/>
                <w:bCs/>
                <w:sz w:val="20"/>
              </w:rPr>
            </w:pPr>
            <w:r>
              <w:rPr>
                <w:b/>
                <w:bCs/>
                <w:sz w:val="20"/>
              </w:rPr>
              <w:t>Annular fill</w:t>
            </w:r>
          </w:p>
        </w:tc>
      </w:tr>
      <w:tr>
        <w:trPr>
          <w:cantSplit/>
          <w:trHeight w:val="375"/>
        </w:trPr>
        <w:tc>
          <w:tcPr>
            <w:tcW w:w="2551" w:type="dxa"/>
          </w:tcPr>
          <w:p>
            <w:pPr>
              <w:pStyle w:val="yTableNAm"/>
              <w:spacing w:before="60"/>
              <w:rPr>
                <w:sz w:val="20"/>
              </w:rPr>
            </w:pPr>
            <w:r>
              <w:rPr>
                <w:sz w:val="20"/>
              </w:rPr>
              <w:t>Material Type</w:t>
            </w:r>
          </w:p>
        </w:tc>
        <w:tc>
          <w:tcPr>
            <w:tcW w:w="1418" w:type="dxa"/>
          </w:tcPr>
          <w:p>
            <w:pPr>
              <w:pStyle w:val="yTableNAm"/>
              <w:spacing w:before="60"/>
              <w:rPr>
                <w:sz w:val="20"/>
              </w:rPr>
            </w:pPr>
            <w:r>
              <w:rPr>
                <w:sz w:val="20"/>
              </w:rPr>
              <w:t>From (m)</w:t>
            </w:r>
          </w:p>
        </w:tc>
        <w:tc>
          <w:tcPr>
            <w:tcW w:w="2693" w:type="dxa"/>
          </w:tcPr>
          <w:p>
            <w:pPr>
              <w:pStyle w:val="yTableNAm"/>
              <w:spacing w:before="60"/>
              <w:rPr>
                <w:sz w:val="20"/>
              </w:rPr>
            </w:pPr>
            <w:r>
              <w:rPr>
                <w:sz w:val="20"/>
              </w:rPr>
              <w:t>To (m)</w:t>
            </w:r>
          </w:p>
        </w:tc>
      </w:tr>
      <w:tr>
        <w:trPr>
          <w:cantSplit/>
          <w:trHeight w:val="375"/>
        </w:trPr>
        <w:tc>
          <w:tcPr>
            <w:tcW w:w="2551" w:type="dxa"/>
          </w:tcPr>
          <w:p>
            <w:pPr>
              <w:pStyle w:val="yTableNAm"/>
              <w:spacing w:before="60"/>
              <w:rPr>
                <w:bCs/>
                <w:sz w:val="20"/>
              </w:rPr>
            </w:pPr>
          </w:p>
        </w:tc>
        <w:tc>
          <w:tcPr>
            <w:tcW w:w="1418" w:type="dxa"/>
          </w:tcPr>
          <w:p>
            <w:pPr>
              <w:pStyle w:val="yTableNAm"/>
              <w:spacing w:before="60"/>
              <w:rPr>
                <w:bCs/>
                <w:sz w:val="20"/>
              </w:rPr>
            </w:pPr>
          </w:p>
        </w:tc>
        <w:tc>
          <w:tcPr>
            <w:tcW w:w="2693" w:type="dxa"/>
          </w:tcPr>
          <w:p>
            <w:pPr>
              <w:pStyle w:val="yTableNAm"/>
              <w:spacing w:before="60"/>
              <w:rPr>
                <w:bCs/>
                <w:sz w:val="20"/>
              </w:rPr>
            </w:pPr>
          </w:p>
        </w:tc>
      </w:tr>
      <w:tr>
        <w:trPr>
          <w:cantSplit/>
          <w:trHeight w:val="375"/>
        </w:trPr>
        <w:tc>
          <w:tcPr>
            <w:tcW w:w="2551" w:type="dxa"/>
          </w:tcPr>
          <w:p>
            <w:pPr>
              <w:pStyle w:val="yTableNAm"/>
              <w:spacing w:before="60"/>
              <w:rPr>
                <w:bCs/>
                <w:sz w:val="20"/>
              </w:rPr>
            </w:pPr>
          </w:p>
        </w:tc>
        <w:tc>
          <w:tcPr>
            <w:tcW w:w="1418" w:type="dxa"/>
          </w:tcPr>
          <w:p>
            <w:pPr>
              <w:pStyle w:val="yTableNAm"/>
              <w:spacing w:before="60"/>
              <w:rPr>
                <w:bCs/>
                <w:sz w:val="20"/>
              </w:rPr>
            </w:pPr>
          </w:p>
        </w:tc>
        <w:tc>
          <w:tcPr>
            <w:tcW w:w="2693" w:type="dxa"/>
          </w:tcPr>
          <w:p>
            <w:pPr>
              <w:pStyle w:val="yTableNAm"/>
              <w:spacing w:before="60"/>
              <w:rPr>
                <w:bCs/>
                <w:sz w:val="20"/>
              </w:rPr>
            </w:pPr>
          </w:p>
        </w:tc>
      </w:tr>
      <w:tr>
        <w:trPr>
          <w:cantSplit/>
          <w:trHeight w:val="375"/>
        </w:trPr>
        <w:tc>
          <w:tcPr>
            <w:tcW w:w="2551" w:type="dxa"/>
          </w:tcPr>
          <w:p>
            <w:pPr>
              <w:pStyle w:val="yTableNAm"/>
              <w:spacing w:before="60"/>
              <w:rPr>
                <w:bCs/>
                <w:sz w:val="20"/>
              </w:rPr>
            </w:pPr>
          </w:p>
        </w:tc>
        <w:tc>
          <w:tcPr>
            <w:tcW w:w="1418" w:type="dxa"/>
          </w:tcPr>
          <w:p>
            <w:pPr>
              <w:pStyle w:val="yTableNAm"/>
              <w:spacing w:before="60"/>
              <w:rPr>
                <w:bCs/>
                <w:sz w:val="20"/>
              </w:rPr>
            </w:pPr>
          </w:p>
        </w:tc>
        <w:tc>
          <w:tcPr>
            <w:tcW w:w="2693" w:type="dxa"/>
          </w:tcPr>
          <w:p>
            <w:pPr>
              <w:pStyle w:val="yTableNAm"/>
              <w:spacing w:before="60"/>
              <w:rPr>
                <w:bCs/>
                <w:sz w:val="20"/>
              </w:rPr>
            </w:pPr>
          </w:p>
        </w:tc>
      </w:tr>
    </w:tbl>
    <w:p>
      <w:pPr>
        <w:pStyle w:val="yMiscellaneousBody"/>
        <w:spacing w:before="40"/>
      </w:pPr>
    </w:p>
    <w:tbl>
      <w:tblPr>
        <w:tblW w:w="666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2173"/>
        <w:gridCol w:w="2221"/>
      </w:tblGrid>
      <w:tr>
        <w:trPr>
          <w:cantSplit/>
          <w:trHeight w:val="93"/>
        </w:trPr>
        <w:tc>
          <w:tcPr>
            <w:tcW w:w="6662" w:type="dxa"/>
            <w:gridSpan w:val="3"/>
            <w:tcBorders>
              <w:bottom w:val="single" w:sz="4" w:space="0" w:color="auto"/>
            </w:tcBorders>
          </w:tcPr>
          <w:p>
            <w:pPr>
              <w:pStyle w:val="yTableNAm"/>
              <w:spacing w:before="60"/>
              <w:jc w:val="center"/>
              <w:rPr>
                <w:b/>
                <w:bCs/>
                <w:sz w:val="20"/>
              </w:rPr>
            </w:pPr>
            <w:r>
              <w:rPr>
                <w:b/>
                <w:bCs/>
                <w:sz w:val="20"/>
              </w:rPr>
              <w:t>Cementing detail</w:t>
            </w:r>
          </w:p>
        </w:tc>
      </w:tr>
      <w:tr>
        <w:trPr>
          <w:cantSplit/>
          <w:trHeight w:val="93"/>
        </w:trPr>
        <w:tc>
          <w:tcPr>
            <w:tcW w:w="6662" w:type="dxa"/>
            <w:gridSpan w:val="3"/>
            <w:tcBorders>
              <w:left w:val="nil"/>
              <w:right w:val="nil"/>
            </w:tcBorders>
          </w:tcPr>
          <w:p>
            <w:pPr>
              <w:pStyle w:val="yTableNAm"/>
              <w:tabs>
                <w:tab w:val="clear" w:pos="567"/>
              </w:tabs>
              <w:spacing w:before="60"/>
              <w:jc w:val="center"/>
              <w:rPr>
                <w:bCs/>
                <w:iCs/>
                <w:sz w:val="20"/>
              </w:rPr>
            </w:pPr>
            <w:r>
              <w:rPr>
                <w:sz w:val="20"/>
              </w:rPr>
              <w:sym w:font="Wingdings 2" w:char="F0A3"/>
            </w:r>
            <w:r>
              <w:rPr>
                <w:iCs/>
                <w:sz w:val="20"/>
                <w:szCs w:val="18"/>
              </w:rPr>
              <w:t xml:space="preserve"> Pressure cement grouted</w:t>
            </w:r>
            <w:r>
              <w:rPr>
                <w:iCs/>
                <w:sz w:val="20"/>
                <w:szCs w:val="18"/>
              </w:rPr>
              <w:tab/>
            </w:r>
            <w:r>
              <w:rPr>
                <w:sz w:val="20"/>
              </w:rPr>
              <w:sym w:font="Wingdings 2" w:char="F0A3"/>
            </w:r>
            <w:r>
              <w:rPr>
                <w:sz w:val="20"/>
              </w:rPr>
              <w:t xml:space="preserve"> </w:t>
            </w:r>
            <w:r>
              <w:rPr>
                <w:iCs/>
                <w:sz w:val="20"/>
                <w:szCs w:val="18"/>
              </w:rPr>
              <w:t>Tremmie</w:t>
            </w:r>
          </w:p>
        </w:tc>
      </w:tr>
      <w:tr>
        <w:trPr>
          <w:cantSplit/>
          <w:trHeight w:val="93"/>
        </w:trPr>
        <w:tc>
          <w:tcPr>
            <w:tcW w:w="2268" w:type="dxa"/>
            <w:vMerge w:val="restart"/>
          </w:tcPr>
          <w:p>
            <w:pPr>
              <w:pStyle w:val="yTableNAm"/>
              <w:spacing w:before="60"/>
              <w:rPr>
                <w:bCs/>
                <w:sz w:val="20"/>
              </w:rPr>
            </w:pPr>
            <w:r>
              <w:rPr>
                <w:bCs/>
                <w:sz w:val="20"/>
              </w:rPr>
              <w:t>Casing diameter</w:t>
            </w:r>
            <w:r>
              <w:rPr>
                <w:bCs/>
                <w:sz w:val="20"/>
              </w:rPr>
              <w:br/>
              <w:t>(mm O.D)</w:t>
            </w:r>
          </w:p>
        </w:tc>
        <w:tc>
          <w:tcPr>
            <w:tcW w:w="4394" w:type="dxa"/>
            <w:gridSpan w:val="2"/>
          </w:tcPr>
          <w:p>
            <w:pPr>
              <w:pStyle w:val="yTableNAm"/>
              <w:tabs>
                <w:tab w:val="clear" w:pos="567"/>
                <w:tab w:val="left" w:pos="1758"/>
              </w:tabs>
              <w:spacing w:before="60"/>
              <w:jc w:val="center"/>
              <w:rPr>
                <w:bCs/>
                <w:sz w:val="20"/>
              </w:rPr>
            </w:pPr>
            <w:r>
              <w:rPr>
                <w:bCs/>
                <w:sz w:val="20"/>
              </w:rPr>
              <w:t>Depth</w:t>
            </w:r>
          </w:p>
        </w:tc>
      </w:tr>
      <w:tr>
        <w:trPr>
          <w:cantSplit/>
          <w:trHeight w:val="93"/>
        </w:trPr>
        <w:tc>
          <w:tcPr>
            <w:tcW w:w="2268" w:type="dxa"/>
            <w:vMerge/>
          </w:tcPr>
          <w:p>
            <w:pPr>
              <w:pStyle w:val="yTableNAm"/>
              <w:spacing w:before="60"/>
              <w:rPr>
                <w:bCs/>
                <w:sz w:val="20"/>
              </w:rPr>
            </w:pPr>
          </w:p>
        </w:tc>
        <w:tc>
          <w:tcPr>
            <w:tcW w:w="2173" w:type="dxa"/>
          </w:tcPr>
          <w:p>
            <w:pPr>
              <w:pStyle w:val="yTableNAm"/>
              <w:spacing w:before="60"/>
              <w:rPr>
                <w:bCs/>
                <w:sz w:val="20"/>
              </w:rPr>
            </w:pPr>
            <w:r>
              <w:rPr>
                <w:bCs/>
                <w:sz w:val="20"/>
              </w:rPr>
              <w:t>From (m)</w:t>
            </w:r>
          </w:p>
        </w:tc>
        <w:tc>
          <w:tcPr>
            <w:tcW w:w="2221" w:type="dxa"/>
          </w:tcPr>
          <w:p>
            <w:pPr>
              <w:pStyle w:val="yTableNAm"/>
              <w:spacing w:before="60"/>
              <w:rPr>
                <w:bCs/>
                <w:sz w:val="20"/>
              </w:rPr>
            </w:pPr>
            <w:r>
              <w:rPr>
                <w:bCs/>
                <w:sz w:val="20"/>
              </w:rPr>
              <w:t>To (m)</w:t>
            </w:r>
          </w:p>
        </w:tc>
      </w:tr>
      <w:tr>
        <w:trPr>
          <w:cantSplit/>
          <w:trHeight w:val="382"/>
        </w:trPr>
        <w:tc>
          <w:tcPr>
            <w:tcW w:w="2268" w:type="dxa"/>
            <w:tcBorders>
              <w:bottom w:val="single" w:sz="4" w:space="0" w:color="auto"/>
            </w:tcBorders>
          </w:tcPr>
          <w:p>
            <w:pPr>
              <w:pStyle w:val="yTableNAm"/>
              <w:spacing w:before="60"/>
              <w:rPr>
                <w:bCs/>
                <w:sz w:val="20"/>
              </w:rPr>
            </w:pPr>
          </w:p>
        </w:tc>
        <w:tc>
          <w:tcPr>
            <w:tcW w:w="2173" w:type="dxa"/>
            <w:tcBorders>
              <w:bottom w:val="single" w:sz="4" w:space="0" w:color="auto"/>
            </w:tcBorders>
          </w:tcPr>
          <w:p>
            <w:pPr>
              <w:pStyle w:val="yTableNAm"/>
              <w:spacing w:before="60"/>
              <w:rPr>
                <w:bCs/>
                <w:sz w:val="20"/>
              </w:rPr>
            </w:pPr>
          </w:p>
        </w:tc>
        <w:tc>
          <w:tcPr>
            <w:tcW w:w="2221" w:type="dxa"/>
            <w:tcBorders>
              <w:bottom w:val="single" w:sz="4" w:space="0" w:color="auto"/>
            </w:tcBorders>
          </w:tcPr>
          <w:p>
            <w:pPr>
              <w:pStyle w:val="yTableNAm"/>
              <w:spacing w:before="60"/>
              <w:rPr>
                <w:bCs/>
                <w:sz w:val="20"/>
              </w:rPr>
            </w:pPr>
          </w:p>
        </w:tc>
      </w:tr>
      <w:tr>
        <w:trPr>
          <w:cantSplit/>
          <w:trHeight w:val="382"/>
        </w:trPr>
        <w:tc>
          <w:tcPr>
            <w:tcW w:w="2268" w:type="dxa"/>
            <w:tcBorders>
              <w:bottom w:val="single" w:sz="4" w:space="0" w:color="auto"/>
            </w:tcBorders>
          </w:tcPr>
          <w:p>
            <w:pPr>
              <w:pStyle w:val="yTableNAm"/>
              <w:spacing w:before="60"/>
              <w:rPr>
                <w:bCs/>
                <w:sz w:val="20"/>
              </w:rPr>
            </w:pPr>
          </w:p>
        </w:tc>
        <w:tc>
          <w:tcPr>
            <w:tcW w:w="2173" w:type="dxa"/>
            <w:tcBorders>
              <w:bottom w:val="single" w:sz="4" w:space="0" w:color="auto"/>
            </w:tcBorders>
          </w:tcPr>
          <w:p>
            <w:pPr>
              <w:pStyle w:val="yTableNAm"/>
              <w:spacing w:before="60"/>
              <w:rPr>
                <w:bCs/>
                <w:sz w:val="20"/>
              </w:rPr>
            </w:pPr>
          </w:p>
        </w:tc>
        <w:tc>
          <w:tcPr>
            <w:tcW w:w="2221" w:type="dxa"/>
            <w:tcBorders>
              <w:bottom w:val="single" w:sz="4" w:space="0" w:color="auto"/>
            </w:tcBorders>
          </w:tcPr>
          <w:p>
            <w:pPr>
              <w:pStyle w:val="yTableNAm"/>
              <w:spacing w:before="60"/>
              <w:rPr>
                <w:bCs/>
                <w:sz w:val="20"/>
              </w:rPr>
            </w:pPr>
          </w:p>
        </w:tc>
      </w:tr>
      <w:tr>
        <w:trPr>
          <w:cantSplit/>
          <w:trHeight w:val="382"/>
        </w:trPr>
        <w:tc>
          <w:tcPr>
            <w:tcW w:w="2268" w:type="dxa"/>
            <w:tcBorders>
              <w:bottom w:val="single" w:sz="4" w:space="0" w:color="auto"/>
            </w:tcBorders>
          </w:tcPr>
          <w:p>
            <w:pPr>
              <w:pStyle w:val="yTableNAm"/>
              <w:spacing w:before="60"/>
              <w:rPr>
                <w:bCs/>
                <w:sz w:val="20"/>
              </w:rPr>
            </w:pPr>
          </w:p>
        </w:tc>
        <w:tc>
          <w:tcPr>
            <w:tcW w:w="2173" w:type="dxa"/>
            <w:tcBorders>
              <w:bottom w:val="single" w:sz="4" w:space="0" w:color="auto"/>
            </w:tcBorders>
          </w:tcPr>
          <w:p>
            <w:pPr>
              <w:pStyle w:val="yTableNAm"/>
              <w:spacing w:before="60"/>
              <w:rPr>
                <w:bCs/>
                <w:sz w:val="20"/>
              </w:rPr>
            </w:pPr>
          </w:p>
        </w:tc>
        <w:tc>
          <w:tcPr>
            <w:tcW w:w="2221" w:type="dxa"/>
            <w:tcBorders>
              <w:bottom w:val="single" w:sz="4" w:space="0" w:color="auto"/>
            </w:tcBorders>
          </w:tcPr>
          <w:p>
            <w:pPr>
              <w:pStyle w:val="yTableNAm"/>
              <w:spacing w:before="60"/>
              <w:rPr>
                <w:bCs/>
                <w:sz w:val="20"/>
              </w:rPr>
            </w:pPr>
          </w:p>
        </w:tc>
      </w:tr>
    </w:tbl>
    <w:p>
      <w:pPr>
        <w:pStyle w:val="yMiscellaneousBody"/>
        <w:spacing w:before="40"/>
      </w:pPr>
    </w:p>
    <w:tbl>
      <w:tblPr>
        <w:tblW w:w="6629" w:type="dxa"/>
        <w:tblInd w:w="567" w:type="dxa"/>
        <w:tblLook w:val="0000" w:firstRow="0" w:lastRow="0" w:firstColumn="0" w:lastColumn="0" w:noHBand="0" w:noVBand="0"/>
      </w:tblPr>
      <w:tblGrid>
        <w:gridCol w:w="1101"/>
        <w:gridCol w:w="1042"/>
        <w:gridCol w:w="1226"/>
        <w:gridCol w:w="992"/>
        <w:gridCol w:w="1276"/>
        <w:gridCol w:w="992"/>
      </w:tblGrid>
      <w:tr>
        <w:tc>
          <w:tcPr>
            <w:tcW w:w="1101" w:type="dxa"/>
            <w:tcBorders>
              <w:right w:val="single" w:sz="4" w:space="0" w:color="auto"/>
            </w:tcBorders>
          </w:tcPr>
          <w:p>
            <w:pPr>
              <w:pStyle w:val="yTableNAm"/>
              <w:spacing w:before="60"/>
              <w:rPr>
                <w:sz w:val="20"/>
              </w:rPr>
            </w:pPr>
            <w:r>
              <w:rPr>
                <w:sz w:val="20"/>
              </w:rPr>
              <w:t>Total depth drilled (from ground level)</w:t>
            </w:r>
          </w:p>
        </w:tc>
        <w:tc>
          <w:tcPr>
            <w:tcW w:w="1042" w:type="dxa"/>
            <w:tcBorders>
              <w:top w:val="single" w:sz="4" w:space="0" w:color="auto"/>
              <w:left w:val="single" w:sz="4" w:space="0" w:color="auto"/>
              <w:bottom w:val="single" w:sz="4" w:space="0" w:color="auto"/>
              <w:right w:val="single" w:sz="4" w:space="0" w:color="auto"/>
            </w:tcBorders>
          </w:tcPr>
          <w:p>
            <w:pPr>
              <w:pStyle w:val="yTableNAm"/>
              <w:spacing w:before="60"/>
              <w:rPr>
                <w:sz w:val="20"/>
              </w:rPr>
            </w:pPr>
          </w:p>
        </w:tc>
        <w:tc>
          <w:tcPr>
            <w:tcW w:w="1226" w:type="dxa"/>
            <w:tcBorders>
              <w:left w:val="single" w:sz="4" w:space="0" w:color="auto"/>
              <w:right w:val="single" w:sz="4" w:space="0" w:color="auto"/>
            </w:tcBorders>
          </w:tcPr>
          <w:p>
            <w:pPr>
              <w:pStyle w:val="yTableNAm"/>
              <w:spacing w:before="60"/>
              <w:rPr>
                <w:sz w:val="20"/>
              </w:rPr>
            </w:pPr>
            <w:r>
              <w:rPr>
                <w:sz w:val="20"/>
              </w:rPr>
              <w:t>Geophysical log required as condition of licence?</w:t>
            </w:r>
          </w:p>
        </w:tc>
        <w:tc>
          <w:tcPr>
            <w:tcW w:w="992" w:type="dxa"/>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sym w:font="Wingdings 2" w:char="F0A3"/>
            </w:r>
            <w:r>
              <w:rPr>
                <w:sz w:val="20"/>
              </w:rPr>
              <w:t xml:space="preserve"> Yes</w:t>
            </w:r>
            <w:r>
              <w:rPr>
                <w:sz w:val="20"/>
              </w:rPr>
              <w:br/>
            </w:r>
            <w:r>
              <w:rPr>
                <w:sz w:val="20"/>
              </w:rPr>
              <w:br/>
            </w:r>
            <w:r>
              <w:rPr>
                <w:sz w:val="20"/>
              </w:rPr>
              <w:sym w:font="Wingdings 2" w:char="F0A3"/>
            </w:r>
            <w:r>
              <w:rPr>
                <w:sz w:val="20"/>
              </w:rPr>
              <w:t xml:space="preserve"> No</w:t>
            </w:r>
          </w:p>
        </w:tc>
        <w:tc>
          <w:tcPr>
            <w:tcW w:w="1276" w:type="dxa"/>
            <w:tcBorders>
              <w:left w:val="single" w:sz="4" w:space="0" w:color="auto"/>
              <w:right w:val="single" w:sz="4" w:space="0" w:color="auto"/>
            </w:tcBorders>
            <w:vAlign w:val="center"/>
          </w:tcPr>
          <w:p>
            <w:pPr>
              <w:pStyle w:val="yTableNAm"/>
              <w:spacing w:before="60"/>
              <w:rPr>
                <w:sz w:val="20"/>
              </w:rPr>
            </w:pPr>
            <w:r>
              <w:rPr>
                <w:sz w:val="20"/>
              </w:rPr>
              <w:t>Geophysical log taken? (If so, attach log and contractor details)</w:t>
            </w:r>
          </w:p>
        </w:tc>
        <w:tc>
          <w:tcPr>
            <w:tcW w:w="992" w:type="dxa"/>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sym w:font="Wingdings 2" w:char="F0A3"/>
            </w:r>
            <w:r>
              <w:rPr>
                <w:sz w:val="20"/>
              </w:rPr>
              <w:t xml:space="preserve"> Yes</w:t>
            </w:r>
            <w:r>
              <w:rPr>
                <w:sz w:val="20"/>
              </w:rPr>
              <w:br/>
            </w:r>
            <w:r>
              <w:rPr>
                <w:sz w:val="20"/>
              </w:rPr>
              <w:br/>
            </w:r>
            <w:r>
              <w:rPr>
                <w:sz w:val="20"/>
              </w:rPr>
              <w:sym w:font="Wingdings 2" w:char="F0A3"/>
            </w:r>
            <w:r>
              <w:rPr>
                <w:sz w:val="20"/>
              </w:rPr>
              <w:t xml:space="preserve"> No</w:t>
            </w:r>
          </w:p>
        </w:tc>
      </w:tr>
    </w:tbl>
    <w:p>
      <w:pPr>
        <w:pStyle w:val="yMiscellaneousBody"/>
        <w:spacing w:before="40"/>
        <w:rPr>
          <w:sz w:val="20"/>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709"/>
        <w:gridCol w:w="5245"/>
      </w:tblGrid>
      <w:tr>
        <w:trPr>
          <w:trHeight w:val="225"/>
        </w:trPr>
        <w:tc>
          <w:tcPr>
            <w:tcW w:w="675" w:type="dxa"/>
          </w:tcPr>
          <w:p>
            <w:pPr>
              <w:pStyle w:val="yTableNAm"/>
              <w:spacing w:before="60"/>
              <w:rPr>
                <w:sz w:val="20"/>
              </w:rPr>
            </w:pPr>
            <w:r>
              <w:rPr>
                <w:sz w:val="20"/>
              </w:rPr>
              <w:t>From (m)</w:t>
            </w:r>
          </w:p>
        </w:tc>
        <w:tc>
          <w:tcPr>
            <w:tcW w:w="709" w:type="dxa"/>
          </w:tcPr>
          <w:p>
            <w:pPr>
              <w:pStyle w:val="yTableNAm"/>
              <w:spacing w:before="60"/>
              <w:rPr>
                <w:sz w:val="20"/>
              </w:rPr>
            </w:pPr>
            <w:r>
              <w:rPr>
                <w:sz w:val="20"/>
              </w:rPr>
              <w:t>To (m)</w:t>
            </w:r>
          </w:p>
        </w:tc>
        <w:tc>
          <w:tcPr>
            <w:tcW w:w="5245" w:type="dxa"/>
          </w:tcPr>
          <w:p>
            <w:pPr>
              <w:pStyle w:val="yTableNAm"/>
              <w:spacing w:before="60"/>
              <w:rPr>
                <w:sz w:val="20"/>
              </w:rPr>
            </w:pPr>
            <w:r>
              <w:rPr>
                <w:sz w:val="20"/>
              </w:rPr>
              <w:t>Strata description.*</w:t>
            </w:r>
          </w:p>
        </w:tc>
      </w:tr>
      <w:tr>
        <w:trPr>
          <w:trHeight w:val="225"/>
        </w:trPr>
        <w:tc>
          <w:tcPr>
            <w:tcW w:w="675" w:type="dxa"/>
          </w:tcPr>
          <w:p>
            <w:pPr>
              <w:pStyle w:val="yTableNAm"/>
              <w:spacing w:before="60"/>
              <w:rPr>
                <w:sz w:val="20"/>
              </w:rPr>
            </w:pPr>
          </w:p>
        </w:tc>
        <w:tc>
          <w:tcPr>
            <w:tcW w:w="709" w:type="dxa"/>
          </w:tcPr>
          <w:p>
            <w:pPr>
              <w:pStyle w:val="yTableNAm"/>
              <w:spacing w:before="60"/>
              <w:rPr>
                <w:sz w:val="20"/>
              </w:rPr>
            </w:pPr>
          </w:p>
        </w:tc>
        <w:tc>
          <w:tcPr>
            <w:tcW w:w="5245" w:type="dxa"/>
          </w:tcPr>
          <w:p>
            <w:pPr>
              <w:pStyle w:val="yTableNAm"/>
              <w:spacing w:before="60"/>
              <w:rPr>
                <w:sz w:val="20"/>
              </w:rPr>
            </w:pPr>
          </w:p>
        </w:tc>
      </w:tr>
      <w:tr>
        <w:trPr>
          <w:trHeight w:val="225"/>
        </w:trPr>
        <w:tc>
          <w:tcPr>
            <w:tcW w:w="675" w:type="dxa"/>
          </w:tcPr>
          <w:p>
            <w:pPr>
              <w:pStyle w:val="yTableNAm"/>
              <w:spacing w:before="60"/>
              <w:rPr>
                <w:sz w:val="20"/>
              </w:rPr>
            </w:pPr>
          </w:p>
        </w:tc>
        <w:tc>
          <w:tcPr>
            <w:tcW w:w="709" w:type="dxa"/>
          </w:tcPr>
          <w:p>
            <w:pPr>
              <w:pStyle w:val="yTableNAm"/>
              <w:spacing w:before="60"/>
              <w:rPr>
                <w:sz w:val="20"/>
              </w:rPr>
            </w:pPr>
          </w:p>
        </w:tc>
        <w:tc>
          <w:tcPr>
            <w:tcW w:w="5245" w:type="dxa"/>
          </w:tcPr>
          <w:p>
            <w:pPr>
              <w:pStyle w:val="yTableNAm"/>
              <w:spacing w:before="60"/>
              <w:rPr>
                <w:sz w:val="20"/>
              </w:rPr>
            </w:pPr>
          </w:p>
        </w:tc>
      </w:tr>
      <w:tr>
        <w:trPr>
          <w:trHeight w:val="225"/>
        </w:trPr>
        <w:tc>
          <w:tcPr>
            <w:tcW w:w="675" w:type="dxa"/>
          </w:tcPr>
          <w:p>
            <w:pPr>
              <w:pStyle w:val="yTableNAm"/>
              <w:spacing w:before="60"/>
              <w:rPr>
                <w:sz w:val="20"/>
              </w:rPr>
            </w:pPr>
          </w:p>
        </w:tc>
        <w:tc>
          <w:tcPr>
            <w:tcW w:w="709" w:type="dxa"/>
          </w:tcPr>
          <w:p>
            <w:pPr>
              <w:pStyle w:val="yTableNAm"/>
              <w:spacing w:before="60"/>
              <w:rPr>
                <w:sz w:val="20"/>
              </w:rPr>
            </w:pPr>
          </w:p>
        </w:tc>
        <w:tc>
          <w:tcPr>
            <w:tcW w:w="5245" w:type="dxa"/>
          </w:tcPr>
          <w:p>
            <w:pPr>
              <w:pStyle w:val="yTableNAm"/>
              <w:spacing w:before="60"/>
              <w:rPr>
                <w:sz w:val="20"/>
              </w:rPr>
            </w:pPr>
          </w:p>
        </w:tc>
      </w:tr>
      <w:tr>
        <w:trPr>
          <w:trHeight w:val="225"/>
        </w:trPr>
        <w:tc>
          <w:tcPr>
            <w:tcW w:w="675" w:type="dxa"/>
          </w:tcPr>
          <w:p>
            <w:pPr>
              <w:pStyle w:val="yTableNAm"/>
              <w:spacing w:before="60"/>
              <w:rPr>
                <w:sz w:val="20"/>
              </w:rPr>
            </w:pPr>
          </w:p>
        </w:tc>
        <w:tc>
          <w:tcPr>
            <w:tcW w:w="709" w:type="dxa"/>
          </w:tcPr>
          <w:p>
            <w:pPr>
              <w:pStyle w:val="yTableNAm"/>
              <w:spacing w:before="60"/>
              <w:rPr>
                <w:sz w:val="20"/>
              </w:rPr>
            </w:pPr>
          </w:p>
        </w:tc>
        <w:tc>
          <w:tcPr>
            <w:tcW w:w="5245" w:type="dxa"/>
          </w:tcPr>
          <w:p>
            <w:pPr>
              <w:pStyle w:val="yTableNAm"/>
              <w:spacing w:before="60"/>
              <w:rPr>
                <w:sz w:val="20"/>
              </w:rPr>
            </w:pPr>
          </w:p>
        </w:tc>
      </w:tr>
      <w:tr>
        <w:trPr>
          <w:trHeight w:val="225"/>
        </w:trPr>
        <w:tc>
          <w:tcPr>
            <w:tcW w:w="675" w:type="dxa"/>
          </w:tcPr>
          <w:p>
            <w:pPr>
              <w:pStyle w:val="yTableNAm"/>
              <w:spacing w:before="60"/>
              <w:rPr>
                <w:sz w:val="20"/>
              </w:rPr>
            </w:pPr>
          </w:p>
        </w:tc>
        <w:tc>
          <w:tcPr>
            <w:tcW w:w="709" w:type="dxa"/>
          </w:tcPr>
          <w:p>
            <w:pPr>
              <w:pStyle w:val="yTableNAm"/>
              <w:spacing w:before="60"/>
              <w:rPr>
                <w:sz w:val="20"/>
              </w:rPr>
            </w:pPr>
          </w:p>
        </w:tc>
        <w:tc>
          <w:tcPr>
            <w:tcW w:w="5245" w:type="dxa"/>
          </w:tcPr>
          <w:p>
            <w:pPr>
              <w:pStyle w:val="yTableNAm"/>
              <w:spacing w:before="60"/>
              <w:rPr>
                <w:sz w:val="20"/>
              </w:rPr>
            </w:pPr>
          </w:p>
        </w:tc>
      </w:tr>
      <w:tr>
        <w:trPr>
          <w:trHeight w:val="225"/>
        </w:trPr>
        <w:tc>
          <w:tcPr>
            <w:tcW w:w="675" w:type="dxa"/>
          </w:tcPr>
          <w:p>
            <w:pPr>
              <w:pStyle w:val="yTableNAm"/>
              <w:spacing w:before="60"/>
              <w:rPr>
                <w:sz w:val="20"/>
              </w:rPr>
            </w:pPr>
          </w:p>
        </w:tc>
        <w:tc>
          <w:tcPr>
            <w:tcW w:w="709" w:type="dxa"/>
          </w:tcPr>
          <w:p>
            <w:pPr>
              <w:pStyle w:val="yTableNAm"/>
              <w:spacing w:before="60"/>
              <w:rPr>
                <w:sz w:val="20"/>
              </w:rPr>
            </w:pPr>
          </w:p>
        </w:tc>
        <w:tc>
          <w:tcPr>
            <w:tcW w:w="5245" w:type="dxa"/>
          </w:tcPr>
          <w:p>
            <w:pPr>
              <w:pStyle w:val="yTableNAm"/>
              <w:spacing w:before="60"/>
              <w:rPr>
                <w:sz w:val="20"/>
              </w:rPr>
            </w:pPr>
          </w:p>
        </w:tc>
      </w:tr>
      <w:tr>
        <w:trPr>
          <w:trHeight w:val="225"/>
        </w:trPr>
        <w:tc>
          <w:tcPr>
            <w:tcW w:w="675" w:type="dxa"/>
          </w:tcPr>
          <w:p>
            <w:pPr>
              <w:pStyle w:val="yTableNAm"/>
              <w:spacing w:before="60"/>
              <w:rPr>
                <w:sz w:val="20"/>
              </w:rPr>
            </w:pPr>
          </w:p>
        </w:tc>
        <w:tc>
          <w:tcPr>
            <w:tcW w:w="709" w:type="dxa"/>
          </w:tcPr>
          <w:p>
            <w:pPr>
              <w:pStyle w:val="yTableNAm"/>
              <w:spacing w:before="60"/>
              <w:rPr>
                <w:sz w:val="20"/>
              </w:rPr>
            </w:pPr>
          </w:p>
        </w:tc>
        <w:tc>
          <w:tcPr>
            <w:tcW w:w="5245" w:type="dxa"/>
          </w:tcPr>
          <w:p>
            <w:pPr>
              <w:pStyle w:val="yTableNAm"/>
              <w:spacing w:before="60"/>
              <w:rPr>
                <w:sz w:val="20"/>
              </w:rPr>
            </w:pPr>
          </w:p>
        </w:tc>
      </w:tr>
      <w:tr>
        <w:trPr>
          <w:trHeight w:val="225"/>
        </w:trPr>
        <w:tc>
          <w:tcPr>
            <w:tcW w:w="675" w:type="dxa"/>
          </w:tcPr>
          <w:p>
            <w:pPr>
              <w:pStyle w:val="yTableNAm"/>
              <w:spacing w:before="60"/>
              <w:rPr>
                <w:sz w:val="20"/>
              </w:rPr>
            </w:pPr>
          </w:p>
        </w:tc>
        <w:tc>
          <w:tcPr>
            <w:tcW w:w="709" w:type="dxa"/>
          </w:tcPr>
          <w:p>
            <w:pPr>
              <w:pStyle w:val="yTableNAm"/>
              <w:spacing w:before="60"/>
              <w:rPr>
                <w:sz w:val="20"/>
              </w:rPr>
            </w:pPr>
          </w:p>
        </w:tc>
        <w:tc>
          <w:tcPr>
            <w:tcW w:w="5245" w:type="dxa"/>
          </w:tcPr>
          <w:p>
            <w:pPr>
              <w:pStyle w:val="yTableNAm"/>
              <w:spacing w:before="60"/>
              <w:rPr>
                <w:sz w:val="20"/>
              </w:rPr>
            </w:pPr>
          </w:p>
        </w:tc>
      </w:tr>
      <w:tr>
        <w:trPr>
          <w:trHeight w:val="225"/>
        </w:trPr>
        <w:tc>
          <w:tcPr>
            <w:tcW w:w="675" w:type="dxa"/>
            <w:tcBorders>
              <w:bottom w:val="single" w:sz="4" w:space="0" w:color="auto"/>
            </w:tcBorders>
          </w:tcPr>
          <w:p>
            <w:pPr>
              <w:pStyle w:val="yTableNAm"/>
              <w:spacing w:before="60"/>
              <w:rPr>
                <w:sz w:val="20"/>
              </w:rPr>
            </w:pPr>
          </w:p>
        </w:tc>
        <w:tc>
          <w:tcPr>
            <w:tcW w:w="709" w:type="dxa"/>
            <w:tcBorders>
              <w:bottom w:val="single" w:sz="4" w:space="0" w:color="auto"/>
            </w:tcBorders>
          </w:tcPr>
          <w:p>
            <w:pPr>
              <w:pStyle w:val="yTableNAm"/>
              <w:spacing w:before="60"/>
              <w:rPr>
                <w:sz w:val="20"/>
              </w:rPr>
            </w:pPr>
          </w:p>
        </w:tc>
        <w:tc>
          <w:tcPr>
            <w:tcW w:w="5245" w:type="dxa"/>
            <w:tcBorders>
              <w:bottom w:val="single" w:sz="4" w:space="0" w:color="auto"/>
            </w:tcBorders>
          </w:tcPr>
          <w:p>
            <w:pPr>
              <w:pStyle w:val="yTableNAm"/>
              <w:spacing w:before="60"/>
              <w:rPr>
                <w:sz w:val="20"/>
              </w:rPr>
            </w:pPr>
          </w:p>
        </w:tc>
      </w:tr>
    </w:tbl>
    <w:p>
      <w:pPr>
        <w:pStyle w:val="yMiscellaneousBody"/>
        <w:spacing w:before="40"/>
        <w:rPr>
          <w:sz w:val="20"/>
        </w:rPr>
      </w:pPr>
    </w:p>
    <w:tbl>
      <w:tblPr>
        <w:tblW w:w="666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142"/>
        <w:gridCol w:w="1701"/>
        <w:gridCol w:w="1985"/>
        <w:gridCol w:w="1559"/>
      </w:tblGrid>
      <w:tr>
        <w:trPr>
          <w:cantSplit/>
          <w:trHeight w:val="375"/>
        </w:trPr>
        <w:tc>
          <w:tcPr>
            <w:tcW w:w="6662" w:type="dxa"/>
            <w:gridSpan w:val="5"/>
            <w:tcBorders>
              <w:bottom w:val="single" w:sz="4" w:space="0" w:color="auto"/>
            </w:tcBorders>
          </w:tcPr>
          <w:p>
            <w:pPr>
              <w:pStyle w:val="yTableNAm"/>
              <w:spacing w:before="60"/>
              <w:rPr>
                <w:b/>
                <w:sz w:val="20"/>
              </w:rPr>
            </w:pPr>
            <w:r>
              <w:rPr>
                <w:b/>
                <w:sz w:val="20"/>
              </w:rPr>
              <w:t>Part 5: Particulars of well</w:t>
            </w:r>
          </w:p>
        </w:tc>
      </w:tr>
      <w:tr>
        <w:trPr>
          <w:cantSplit/>
          <w:trHeight w:val="375"/>
        </w:trPr>
        <w:tc>
          <w:tcPr>
            <w:tcW w:w="1417" w:type="dxa"/>
            <w:gridSpan w:val="2"/>
            <w:tcBorders>
              <w:top w:val="single" w:sz="4" w:space="0" w:color="auto"/>
              <w:left w:val="single" w:sz="4" w:space="0" w:color="auto"/>
              <w:bottom w:val="single" w:sz="4" w:space="0" w:color="auto"/>
              <w:right w:val="single" w:sz="4" w:space="0" w:color="auto"/>
            </w:tcBorders>
          </w:tcPr>
          <w:p>
            <w:pPr>
              <w:pStyle w:val="yTableNAm"/>
              <w:spacing w:before="60"/>
              <w:rPr>
                <w:bCs/>
                <w:sz w:val="20"/>
              </w:rPr>
            </w:pPr>
            <w:r>
              <w:rPr>
                <w:bCs/>
                <w:sz w:val="20"/>
              </w:rPr>
              <w:t>Well name / number</w:t>
            </w:r>
          </w:p>
        </w:tc>
        <w:tc>
          <w:tcPr>
            <w:tcW w:w="5245" w:type="dxa"/>
            <w:gridSpan w:val="3"/>
            <w:tcBorders>
              <w:top w:val="single" w:sz="4" w:space="0" w:color="auto"/>
              <w:left w:val="single" w:sz="4" w:space="0" w:color="auto"/>
              <w:bottom w:val="single" w:sz="4" w:space="0" w:color="auto"/>
              <w:right w:val="single" w:sz="4" w:space="0" w:color="auto"/>
            </w:tcBorders>
          </w:tcPr>
          <w:p>
            <w:pPr>
              <w:pStyle w:val="yTableNAm"/>
              <w:spacing w:before="60"/>
              <w:rPr>
                <w:bCs/>
                <w:sz w:val="20"/>
              </w:rPr>
            </w:pPr>
          </w:p>
        </w:tc>
      </w:tr>
      <w:tr>
        <w:trPr>
          <w:cantSplit/>
          <w:trHeight w:val="375"/>
        </w:trPr>
        <w:tc>
          <w:tcPr>
            <w:tcW w:w="1417" w:type="dxa"/>
            <w:gridSpan w:val="2"/>
            <w:tcBorders>
              <w:top w:val="single" w:sz="4" w:space="0" w:color="auto"/>
              <w:left w:val="single" w:sz="4" w:space="0" w:color="auto"/>
              <w:bottom w:val="single" w:sz="4" w:space="0" w:color="auto"/>
              <w:right w:val="single" w:sz="4" w:space="0" w:color="auto"/>
            </w:tcBorders>
            <w:vAlign w:val="center"/>
          </w:tcPr>
          <w:p>
            <w:pPr>
              <w:pStyle w:val="yTableNAm"/>
              <w:spacing w:before="60"/>
              <w:rPr>
                <w:rFonts w:ascii="Times" w:hAnsi="Times"/>
                <w:bCs/>
                <w:sz w:val="20"/>
                <w:vertAlign w:val="superscript"/>
              </w:rPr>
            </w:pPr>
            <w:r>
              <w:rPr>
                <w:bCs/>
                <w:sz w:val="20"/>
              </w:rPr>
              <w:t>Drilling start</w:t>
            </w:r>
            <w:r>
              <w:rPr>
                <w:bCs/>
                <w:sz w:val="20"/>
                <w:vertAlign w:val="superscript"/>
              </w:rPr>
              <w:t>1</w:t>
            </w:r>
          </w:p>
        </w:tc>
        <w:tc>
          <w:tcPr>
            <w:tcW w:w="1701" w:type="dxa"/>
            <w:tcBorders>
              <w:top w:val="single" w:sz="4" w:space="0" w:color="auto"/>
              <w:left w:val="single" w:sz="4" w:space="0" w:color="auto"/>
              <w:bottom w:val="single" w:sz="4" w:space="0" w:color="auto"/>
              <w:right w:val="single" w:sz="4" w:space="0" w:color="auto"/>
            </w:tcBorders>
          </w:tcPr>
          <w:p>
            <w:pPr>
              <w:pStyle w:val="yTableNAm"/>
              <w:spacing w:before="60"/>
              <w:rPr>
                <w:bCs/>
                <w:sz w:val="20"/>
              </w:rPr>
            </w:pPr>
          </w:p>
        </w:tc>
        <w:tc>
          <w:tcPr>
            <w:tcW w:w="1985" w:type="dxa"/>
            <w:tcBorders>
              <w:top w:val="single" w:sz="4" w:space="0" w:color="auto"/>
              <w:left w:val="single" w:sz="4" w:space="0" w:color="auto"/>
              <w:bottom w:val="single" w:sz="4" w:space="0" w:color="auto"/>
              <w:right w:val="single" w:sz="4" w:space="0" w:color="auto"/>
            </w:tcBorders>
          </w:tcPr>
          <w:p>
            <w:pPr>
              <w:pStyle w:val="yTableNAm"/>
              <w:spacing w:before="60"/>
              <w:rPr>
                <w:rFonts w:ascii="Times" w:hAnsi="Times"/>
                <w:bCs/>
                <w:sz w:val="20"/>
                <w:vertAlign w:val="superscript"/>
              </w:rPr>
            </w:pPr>
            <w:r>
              <w:rPr>
                <w:bCs/>
                <w:sz w:val="20"/>
              </w:rPr>
              <w:t>Drilling completion</w:t>
            </w:r>
            <w:r>
              <w:rPr>
                <w:bCs/>
                <w:sz w:val="20"/>
                <w:vertAlign w:val="superscript"/>
              </w:rPr>
              <w:t>2</w:t>
            </w:r>
          </w:p>
        </w:tc>
        <w:tc>
          <w:tcPr>
            <w:tcW w:w="1559" w:type="dxa"/>
            <w:tcBorders>
              <w:top w:val="single" w:sz="4" w:space="0" w:color="auto"/>
              <w:left w:val="single" w:sz="4" w:space="0" w:color="auto"/>
              <w:bottom w:val="single" w:sz="4" w:space="0" w:color="auto"/>
              <w:right w:val="single" w:sz="4" w:space="0" w:color="auto"/>
            </w:tcBorders>
          </w:tcPr>
          <w:p>
            <w:pPr>
              <w:pStyle w:val="yTableNAm"/>
              <w:spacing w:before="60"/>
              <w:rPr>
                <w:bCs/>
                <w:sz w:val="20"/>
              </w:rPr>
            </w:pPr>
          </w:p>
        </w:tc>
      </w:tr>
      <w:tr>
        <w:trPr>
          <w:cantSplit/>
          <w:trHeight w:val="375"/>
        </w:trPr>
        <w:tc>
          <w:tcPr>
            <w:tcW w:w="3118" w:type="dxa"/>
            <w:gridSpan w:val="3"/>
            <w:tcBorders>
              <w:top w:val="single" w:sz="4" w:space="0" w:color="auto"/>
              <w:left w:val="nil"/>
              <w:bottom w:val="single" w:sz="4" w:space="0" w:color="auto"/>
              <w:right w:val="nil"/>
            </w:tcBorders>
          </w:tcPr>
          <w:p>
            <w:pPr>
              <w:pStyle w:val="yTableNAm"/>
              <w:tabs>
                <w:tab w:val="clear" w:pos="567"/>
                <w:tab w:val="left" w:pos="306"/>
              </w:tabs>
              <w:spacing w:before="60"/>
              <w:ind w:left="306" w:hanging="327"/>
              <w:rPr>
                <w:sz w:val="14"/>
              </w:rPr>
            </w:pPr>
            <w:r>
              <w:rPr>
                <w:rFonts w:ascii="Arial" w:hAnsi="Arial" w:cs="Arial"/>
                <w:bCs/>
                <w:sz w:val="14"/>
              </w:rPr>
              <w:t>1.</w:t>
            </w:r>
            <w:r>
              <w:rPr>
                <w:rFonts w:ascii="Arial" w:hAnsi="Arial" w:cs="Arial"/>
                <w:bCs/>
                <w:sz w:val="14"/>
              </w:rPr>
              <w:tab/>
              <w:t>Drilling start date refers to the date drilling begins. Do not include set up date.</w:t>
            </w:r>
          </w:p>
        </w:tc>
        <w:tc>
          <w:tcPr>
            <w:tcW w:w="3544" w:type="dxa"/>
            <w:gridSpan w:val="2"/>
            <w:tcBorders>
              <w:top w:val="single" w:sz="4" w:space="0" w:color="auto"/>
              <w:left w:val="nil"/>
              <w:bottom w:val="single" w:sz="4" w:space="0" w:color="auto"/>
              <w:right w:val="nil"/>
            </w:tcBorders>
          </w:tcPr>
          <w:p>
            <w:pPr>
              <w:pStyle w:val="yTableNAm"/>
              <w:tabs>
                <w:tab w:val="clear" w:pos="567"/>
                <w:tab w:val="left" w:pos="308"/>
              </w:tabs>
              <w:spacing w:before="60"/>
              <w:ind w:left="308" w:hanging="308"/>
              <w:rPr>
                <w:sz w:val="14"/>
              </w:rPr>
            </w:pPr>
            <w:r>
              <w:rPr>
                <w:rFonts w:ascii="Arial" w:hAnsi="Arial" w:cs="Arial"/>
                <w:bCs/>
                <w:sz w:val="14"/>
              </w:rPr>
              <w:t>2.</w:t>
            </w:r>
            <w:r>
              <w:rPr>
                <w:rFonts w:ascii="Arial" w:hAnsi="Arial" w:cs="Arial"/>
                <w:bCs/>
                <w:sz w:val="14"/>
              </w:rPr>
              <w:tab/>
              <w:t>Drilling completion date includes well development and testing.</w:t>
            </w:r>
          </w:p>
        </w:tc>
      </w:tr>
      <w:tr>
        <w:trPr>
          <w:cantSplit/>
          <w:trHeight w:val="375"/>
        </w:trPr>
        <w:tc>
          <w:tcPr>
            <w:tcW w:w="1275" w:type="dxa"/>
            <w:tcBorders>
              <w:top w:val="single" w:sz="4" w:space="0" w:color="auto"/>
              <w:left w:val="single" w:sz="4" w:space="0" w:color="auto"/>
              <w:bottom w:val="single" w:sz="4" w:space="0" w:color="auto"/>
              <w:right w:val="single" w:sz="4" w:space="0" w:color="auto"/>
            </w:tcBorders>
          </w:tcPr>
          <w:p>
            <w:pPr>
              <w:pStyle w:val="yTableNAm"/>
              <w:spacing w:before="60"/>
              <w:rPr>
                <w:bCs/>
                <w:sz w:val="20"/>
              </w:rPr>
            </w:pPr>
            <w:r>
              <w:rPr>
                <w:bCs/>
                <w:sz w:val="20"/>
              </w:rPr>
              <w:t>Drilling method used</w:t>
            </w:r>
          </w:p>
        </w:tc>
        <w:tc>
          <w:tcPr>
            <w:tcW w:w="5387" w:type="dxa"/>
            <w:gridSpan w:val="4"/>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sym w:font="Wingdings 2" w:char="F0A3"/>
            </w:r>
            <w:r>
              <w:rPr>
                <w:sz w:val="20"/>
              </w:rPr>
              <w:t xml:space="preserve"> Rotary air</w:t>
            </w:r>
            <w:r>
              <w:rPr>
                <w:sz w:val="20"/>
              </w:rPr>
              <w:tab/>
            </w:r>
            <w:r>
              <w:rPr>
                <w:sz w:val="20"/>
              </w:rPr>
              <w:sym w:font="Wingdings 2" w:char="F0A3"/>
            </w:r>
            <w:r>
              <w:rPr>
                <w:sz w:val="20"/>
              </w:rPr>
              <w:t xml:space="preserve"> Cable tool</w:t>
            </w:r>
            <w:r>
              <w:rPr>
                <w:sz w:val="20"/>
              </w:rPr>
              <w:tab/>
            </w:r>
            <w:r>
              <w:rPr>
                <w:sz w:val="20"/>
              </w:rPr>
              <w:sym w:font="Wingdings 2" w:char="F0A3"/>
            </w:r>
            <w:r>
              <w:rPr>
                <w:sz w:val="20"/>
              </w:rPr>
              <w:t xml:space="preserve"> Auger</w:t>
            </w:r>
            <w:r>
              <w:rPr>
                <w:sz w:val="20"/>
              </w:rPr>
              <w:tab/>
            </w:r>
            <w:r>
              <w:rPr>
                <w:sz w:val="20"/>
              </w:rPr>
              <w:sym w:font="Wingdings 2" w:char="F0A3"/>
            </w:r>
            <w:r>
              <w:rPr>
                <w:sz w:val="20"/>
              </w:rPr>
              <w:t xml:space="preserve"> Rotary mud</w:t>
            </w:r>
          </w:p>
          <w:p>
            <w:pPr>
              <w:pStyle w:val="yTableNAm"/>
              <w:spacing w:before="60"/>
              <w:rPr>
                <w:b/>
                <w:sz w:val="20"/>
              </w:rPr>
            </w:pPr>
            <w:r>
              <w:rPr>
                <w:sz w:val="20"/>
              </w:rPr>
              <w:sym w:font="Wingdings 2" w:char="F0A3"/>
            </w:r>
            <w:r>
              <w:rPr>
                <w:sz w:val="20"/>
              </w:rPr>
              <w:t xml:space="preserve"> Sludge</w:t>
            </w:r>
            <w:r>
              <w:rPr>
                <w:sz w:val="20"/>
              </w:rPr>
              <w:tab/>
            </w:r>
            <w:r>
              <w:rPr>
                <w:sz w:val="20"/>
              </w:rPr>
              <w:sym w:font="Wingdings 2" w:char="F0A3"/>
            </w:r>
            <w:r>
              <w:rPr>
                <w:sz w:val="20"/>
              </w:rPr>
              <w:t xml:space="preserve"> Other (</w:t>
            </w:r>
            <w:r>
              <w:rPr>
                <w:sz w:val="16"/>
              </w:rPr>
              <w:t>specify</w:t>
            </w:r>
            <w:r>
              <w:rPr>
                <w:sz w:val="20"/>
              </w:rPr>
              <w:t>) _____________________</w:t>
            </w:r>
          </w:p>
        </w:tc>
      </w:tr>
      <w:tr>
        <w:trPr>
          <w:cantSplit/>
          <w:trHeight w:val="375"/>
        </w:trPr>
        <w:tc>
          <w:tcPr>
            <w:tcW w:w="1275" w:type="dxa"/>
            <w:tcBorders>
              <w:top w:val="single" w:sz="4" w:space="0" w:color="auto"/>
              <w:left w:val="single" w:sz="4" w:space="0" w:color="auto"/>
              <w:bottom w:val="single" w:sz="4" w:space="0" w:color="auto"/>
              <w:right w:val="single" w:sz="4" w:space="0" w:color="auto"/>
            </w:tcBorders>
          </w:tcPr>
          <w:p>
            <w:pPr>
              <w:pStyle w:val="yTableNAm"/>
              <w:spacing w:before="60"/>
              <w:rPr>
                <w:bCs/>
                <w:sz w:val="20"/>
              </w:rPr>
            </w:pPr>
            <w:r>
              <w:rPr>
                <w:bCs/>
                <w:sz w:val="20"/>
              </w:rPr>
              <w:t>Final status of well</w:t>
            </w:r>
          </w:p>
        </w:tc>
        <w:tc>
          <w:tcPr>
            <w:tcW w:w="5387" w:type="dxa"/>
            <w:gridSpan w:val="4"/>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sym w:font="Wingdings 2" w:char="F0A3"/>
            </w:r>
            <w:r>
              <w:rPr>
                <w:sz w:val="20"/>
              </w:rPr>
              <w:t xml:space="preserve"> Ready to operate</w:t>
            </w:r>
            <w:r>
              <w:rPr>
                <w:sz w:val="20"/>
              </w:rPr>
              <w:tab/>
            </w:r>
            <w:r>
              <w:rPr>
                <w:sz w:val="20"/>
              </w:rPr>
              <w:sym w:font="Wingdings 2" w:char="F0A3"/>
            </w:r>
            <w:r>
              <w:rPr>
                <w:sz w:val="20"/>
              </w:rPr>
              <w:t xml:space="preserve"> Decommissioned</w:t>
            </w:r>
          </w:p>
          <w:p>
            <w:pPr>
              <w:pStyle w:val="yTableNAm"/>
              <w:spacing w:before="60"/>
              <w:rPr>
                <w:sz w:val="20"/>
              </w:rPr>
            </w:pPr>
            <w:r>
              <w:rPr>
                <w:sz w:val="20"/>
              </w:rPr>
              <w:sym w:font="Wingdings 2" w:char="F0A3"/>
            </w:r>
            <w:r>
              <w:rPr>
                <w:sz w:val="20"/>
              </w:rPr>
              <w:t xml:space="preserve"> Other (</w:t>
            </w:r>
            <w:r>
              <w:rPr>
                <w:sz w:val="16"/>
              </w:rPr>
              <w:t>specify</w:t>
            </w:r>
            <w:r>
              <w:rPr>
                <w:sz w:val="20"/>
              </w:rPr>
              <w:t>) __________________________________</w:t>
            </w:r>
          </w:p>
        </w:tc>
      </w:tr>
      <w:tr>
        <w:trPr>
          <w:cantSplit/>
          <w:trHeight w:val="375"/>
        </w:trPr>
        <w:tc>
          <w:tcPr>
            <w:tcW w:w="1275" w:type="dxa"/>
            <w:tcBorders>
              <w:top w:val="single" w:sz="4" w:space="0" w:color="auto"/>
              <w:left w:val="single" w:sz="4" w:space="0" w:color="auto"/>
              <w:bottom w:val="single" w:sz="4" w:space="0" w:color="auto"/>
              <w:right w:val="single" w:sz="4" w:space="0" w:color="auto"/>
            </w:tcBorders>
          </w:tcPr>
          <w:p>
            <w:pPr>
              <w:pStyle w:val="yTableNAm"/>
              <w:spacing w:before="60"/>
              <w:rPr>
                <w:bCs/>
                <w:sz w:val="20"/>
              </w:rPr>
            </w:pPr>
            <w:r>
              <w:rPr>
                <w:bCs/>
                <w:sz w:val="20"/>
              </w:rPr>
              <w:t>Purpose (use) of well</w:t>
            </w:r>
          </w:p>
        </w:tc>
        <w:tc>
          <w:tcPr>
            <w:tcW w:w="5387" w:type="dxa"/>
            <w:gridSpan w:val="4"/>
            <w:tcBorders>
              <w:top w:val="single" w:sz="4" w:space="0" w:color="auto"/>
              <w:left w:val="single" w:sz="4" w:space="0" w:color="auto"/>
              <w:bottom w:val="single" w:sz="4" w:space="0" w:color="auto"/>
              <w:right w:val="single" w:sz="4" w:space="0" w:color="auto"/>
            </w:tcBorders>
          </w:tcPr>
          <w:p>
            <w:pPr>
              <w:pStyle w:val="yTableNAm"/>
              <w:tabs>
                <w:tab w:val="left" w:pos="1671"/>
              </w:tabs>
              <w:spacing w:before="60"/>
              <w:rPr>
                <w:sz w:val="20"/>
              </w:rPr>
            </w:pPr>
            <w:r>
              <w:rPr>
                <w:sz w:val="20"/>
              </w:rPr>
              <w:sym w:font="Wingdings 2" w:char="F0A3"/>
            </w:r>
            <w:r>
              <w:rPr>
                <w:sz w:val="20"/>
              </w:rPr>
              <w:t xml:space="preserve"> Production</w:t>
            </w:r>
            <w:r>
              <w:rPr>
                <w:sz w:val="20"/>
              </w:rPr>
              <w:tab/>
            </w:r>
            <w:r>
              <w:rPr>
                <w:sz w:val="20"/>
              </w:rPr>
              <w:sym w:font="Wingdings 2" w:char="F0A3"/>
            </w:r>
            <w:r>
              <w:rPr>
                <w:sz w:val="20"/>
              </w:rPr>
              <w:t xml:space="preserve"> Investigation</w:t>
            </w:r>
            <w:r>
              <w:rPr>
                <w:sz w:val="20"/>
              </w:rPr>
              <w:tab/>
            </w:r>
            <w:r>
              <w:rPr>
                <w:sz w:val="20"/>
              </w:rPr>
              <w:sym w:font="Wingdings 2" w:char="F0A3"/>
            </w:r>
            <w:r>
              <w:rPr>
                <w:sz w:val="20"/>
              </w:rPr>
              <w:t xml:space="preserve"> Monitoring</w:t>
            </w:r>
          </w:p>
          <w:p>
            <w:pPr>
              <w:pStyle w:val="yTableNAm"/>
              <w:spacing w:before="60"/>
              <w:rPr>
                <w:b/>
                <w:bCs/>
                <w:sz w:val="20"/>
              </w:rPr>
            </w:pPr>
            <w:r>
              <w:rPr>
                <w:sz w:val="20"/>
              </w:rPr>
              <w:sym w:font="Wingdings 2" w:char="F0A3"/>
            </w:r>
            <w:r>
              <w:rPr>
                <w:sz w:val="20"/>
              </w:rPr>
              <w:t xml:space="preserve"> Other (</w:t>
            </w:r>
            <w:r>
              <w:rPr>
                <w:sz w:val="16"/>
              </w:rPr>
              <w:t>specify</w:t>
            </w:r>
            <w:r>
              <w:rPr>
                <w:sz w:val="20"/>
              </w:rPr>
              <w:t>) __________________________________</w:t>
            </w:r>
          </w:p>
        </w:tc>
      </w:tr>
    </w:tbl>
    <w:p>
      <w:pPr>
        <w:pStyle w:val="yMiscellaneousBody"/>
        <w:spacing w:before="40"/>
        <w:rPr>
          <w:sz w:val="20"/>
        </w:rPr>
      </w:pPr>
    </w:p>
    <w:tbl>
      <w:tblPr>
        <w:tblW w:w="666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1914"/>
        <w:gridCol w:w="71"/>
        <w:gridCol w:w="1594"/>
        <w:gridCol w:w="1666"/>
      </w:tblGrid>
      <w:tr>
        <w:trPr>
          <w:cantSplit/>
          <w:trHeight w:val="375"/>
        </w:trPr>
        <w:tc>
          <w:tcPr>
            <w:tcW w:w="6662" w:type="dxa"/>
            <w:gridSpan w:val="5"/>
            <w:tcBorders>
              <w:bottom w:val="single" w:sz="4" w:space="0" w:color="auto"/>
            </w:tcBorders>
          </w:tcPr>
          <w:p>
            <w:pPr>
              <w:pStyle w:val="yTableNAm"/>
              <w:spacing w:before="60"/>
              <w:rPr>
                <w:b/>
                <w:sz w:val="20"/>
              </w:rPr>
            </w:pPr>
            <w:r>
              <w:rPr>
                <w:b/>
                <w:sz w:val="20"/>
              </w:rPr>
              <w:t>Part 6: Well development</w:t>
            </w:r>
          </w:p>
        </w:tc>
      </w:tr>
      <w:tr>
        <w:trPr>
          <w:cantSplit/>
          <w:trHeight w:val="375"/>
        </w:trPr>
        <w:tc>
          <w:tcPr>
            <w:tcW w:w="1417" w:type="dxa"/>
            <w:tcBorders>
              <w:top w:val="single" w:sz="4" w:space="0" w:color="auto"/>
              <w:left w:val="single" w:sz="4" w:space="0" w:color="auto"/>
              <w:bottom w:val="single" w:sz="4" w:space="0" w:color="auto"/>
              <w:right w:val="single" w:sz="4" w:space="0" w:color="auto"/>
            </w:tcBorders>
          </w:tcPr>
          <w:p>
            <w:pPr>
              <w:pStyle w:val="yTableNAm"/>
              <w:spacing w:before="60"/>
              <w:rPr>
                <w:bCs/>
                <w:sz w:val="20"/>
              </w:rPr>
            </w:pPr>
            <w:r>
              <w:rPr>
                <w:bCs/>
                <w:sz w:val="20"/>
              </w:rPr>
              <w:t>Date</w:t>
            </w:r>
            <w:r>
              <w:rPr>
                <w:bCs/>
                <w:sz w:val="20"/>
              </w:rPr>
              <w:br/>
              <w:t>(dd/mm/yy)</w:t>
            </w:r>
          </w:p>
        </w:tc>
        <w:tc>
          <w:tcPr>
            <w:tcW w:w="1914" w:type="dxa"/>
            <w:tcBorders>
              <w:top w:val="single" w:sz="4" w:space="0" w:color="auto"/>
              <w:left w:val="single" w:sz="4" w:space="0" w:color="auto"/>
              <w:bottom w:val="single" w:sz="4" w:space="0" w:color="auto"/>
              <w:right w:val="single" w:sz="4" w:space="0" w:color="auto"/>
            </w:tcBorders>
          </w:tcPr>
          <w:p>
            <w:pPr>
              <w:pStyle w:val="yTableNAm"/>
              <w:spacing w:before="60"/>
              <w:rPr>
                <w:bCs/>
                <w:sz w:val="20"/>
              </w:rPr>
            </w:pPr>
          </w:p>
        </w:tc>
        <w:tc>
          <w:tcPr>
            <w:tcW w:w="1665" w:type="dxa"/>
            <w:gridSpan w:val="2"/>
            <w:tcBorders>
              <w:top w:val="single" w:sz="4" w:space="0" w:color="auto"/>
              <w:left w:val="single" w:sz="4" w:space="0" w:color="auto"/>
              <w:bottom w:val="single" w:sz="4" w:space="0" w:color="auto"/>
              <w:right w:val="single" w:sz="4" w:space="0" w:color="auto"/>
            </w:tcBorders>
          </w:tcPr>
          <w:p>
            <w:pPr>
              <w:pStyle w:val="yTableNAm"/>
              <w:spacing w:before="60"/>
              <w:rPr>
                <w:bCs/>
                <w:sz w:val="20"/>
              </w:rPr>
            </w:pPr>
            <w:r>
              <w:rPr>
                <w:bCs/>
                <w:sz w:val="20"/>
              </w:rPr>
              <w:t>Duration of development</w:t>
            </w:r>
          </w:p>
        </w:tc>
        <w:tc>
          <w:tcPr>
            <w:tcW w:w="1666" w:type="dxa"/>
            <w:tcBorders>
              <w:top w:val="single" w:sz="4" w:space="0" w:color="auto"/>
              <w:left w:val="single" w:sz="4" w:space="0" w:color="auto"/>
              <w:bottom w:val="single" w:sz="4" w:space="0" w:color="auto"/>
              <w:right w:val="single" w:sz="4" w:space="0" w:color="auto"/>
            </w:tcBorders>
            <w:vAlign w:val="bottom"/>
          </w:tcPr>
          <w:p>
            <w:pPr>
              <w:pStyle w:val="yTableNAm"/>
              <w:spacing w:before="60"/>
              <w:rPr>
                <w:bCs/>
                <w:sz w:val="20"/>
              </w:rPr>
            </w:pPr>
            <w:r>
              <w:rPr>
                <w:bCs/>
                <w:sz w:val="20"/>
              </w:rPr>
              <w:t>................ hours</w:t>
            </w:r>
          </w:p>
        </w:tc>
      </w:tr>
      <w:tr>
        <w:trPr>
          <w:cantSplit/>
          <w:trHeight w:val="375"/>
        </w:trPr>
        <w:tc>
          <w:tcPr>
            <w:tcW w:w="1417" w:type="dxa"/>
            <w:tcBorders>
              <w:top w:val="single" w:sz="4" w:space="0" w:color="auto"/>
              <w:left w:val="single" w:sz="4" w:space="0" w:color="auto"/>
              <w:bottom w:val="single" w:sz="4" w:space="0" w:color="auto"/>
              <w:right w:val="single" w:sz="4" w:space="0" w:color="auto"/>
            </w:tcBorders>
            <w:vAlign w:val="center"/>
          </w:tcPr>
          <w:p>
            <w:pPr>
              <w:pStyle w:val="yTableNAm"/>
              <w:spacing w:before="60"/>
              <w:rPr>
                <w:bCs/>
                <w:sz w:val="20"/>
              </w:rPr>
            </w:pPr>
            <w:r>
              <w:rPr>
                <w:bCs/>
                <w:sz w:val="20"/>
              </w:rPr>
              <w:t>Method</w:t>
            </w:r>
          </w:p>
        </w:tc>
        <w:tc>
          <w:tcPr>
            <w:tcW w:w="5245" w:type="dxa"/>
            <w:gridSpan w:val="4"/>
            <w:tcBorders>
              <w:top w:val="single" w:sz="4" w:space="0" w:color="auto"/>
              <w:left w:val="single" w:sz="4" w:space="0" w:color="auto"/>
              <w:bottom w:val="single" w:sz="4" w:space="0" w:color="auto"/>
              <w:right w:val="single" w:sz="4" w:space="0" w:color="auto"/>
            </w:tcBorders>
            <w:vAlign w:val="center"/>
          </w:tcPr>
          <w:p>
            <w:pPr>
              <w:pStyle w:val="yTableNAm"/>
              <w:spacing w:before="60"/>
              <w:rPr>
                <w:bCs/>
                <w:sz w:val="20"/>
              </w:rPr>
            </w:pPr>
            <w:r>
              <w:rPr>
                <w:sz w:val="20"/>
              </w:rPr>
              <w:sym w:font="Wingdings 2" w:char="F0A3"/>
            </w:r>
            <w:r>
              <w:rPr>
                <w:bCs/>
                <w:sz w:val="20"/>
              </w:rPr>
              <w:t xml:space="preserve"> Airlift</w:t>
            </w:r>
            <w:r>
              <w:rPr>
                <w:bCs/>
                <w:sz w:val="20"/>
              </w:rPr>
              <w:tab/>
            </w:r>
            <w:r>
              <w:rPr>
                <w:sz w:val="20"/>
              </w:rPr>
              <w:sym w:font="Wingdings 2" w:char="F0A3"/>
            </w:r>
            <w:r>
              <w:rPr>
                <w:sz w:val="20"/>
              </w:rPr>
              <w:t xml:space="preserve"> </w:t>
            </w:r>
            <w:r>
              <w:rPr>
                <w:bCs/>
                <w:sz w:val="20"/>
              </w:rPr>
              <w:t>Pump</w:t>
            </w:r>
            <w:r>
              <w:rPr>
                <w:bCs/>
                <w:sz w:val="20"/>
              </w:rPr>
              <w:tab/>
            </w:r>
            <w:r>
              <w:rPr>
                <w:sz w:val="20"/>
              </w:rPr>
              <w:sym w:font="Wingdings 2" w:char="F0A3"/>
            </w:r>
            <w:r>
              <w:rPr>
                <w:sz w:val="20"/>
              </w:rPr>
              <w:t xml:space="preserve"> </w:t>
            </w:r>
            <w:r>
              <w:rPr>
                <w:bCs/>
                <w:sz w:val="20"/>
              </w:rPr>
              <w:t>Jetting</w:t>
            </w:r>
            <w:r>
              <w:rPr>
                <w:bCs/>
                <w:sz w:val="20"/>
              </w:rPr>
              <w:tab/>
            </w:r>
            <w:r>
              <w:rPr>
                <w:sz w:val="20"/>
              </w:rPr>
              <w:sym w:font="Wingdings 2" w:char="F0A3"/>
            </w:r>
            <w:r>
              <w:rPr>
                <w:sz w:val="20"/>
              </w:rPr>
              <w:t xml:space="preserve"> </w:t>
            </w:r>
            <w:r>
              <w:rPr>
                <w:bCs/>
                <w:sz w:val="20"/>
              </w:rPr>
              <w:t>Surging</w:t>
            </w:r>
          </w:p>
        </w:tc>
      </w:tr>
      <w:tr>
        <w:trPr>
          <w:cantSplit/>
          <w:trHeight w:val="375"/>
        </w:trPr>
        <w:tc>
          <w:tcPr>
            <w:tcW w:w="3402" w:type="dxa"/>
            <w:gridSpan w:val="3"/>
            <w:tcBorders>
              <w:top w:val="single" w:sz="4" w:space="0" w:color="auto"/>
              <w:left w:val="single" w:sz="4" w:space="0" w:color="auto"/>
              <w:bottom w:val="single" w:sz="4" w:space="0" w:color="auto"/>
              <w:right w:val="single" w:sz="4" w:space="0" w:color="auto"/>
            </w:tcBorders>
          </w:tcPr>
          <w:p>
            <w:pPr>
              <w:pStyle w:val="yTableNAm"/>
              <w:spacing w:before="60"/>
              <w:jc w:val="right"/>
              <w:rPr>
                <w:bCs/>
                <w:sz w:val="20"/>
              </w:rPr>
            </w:pPr>
            <w:r>
              <w:rPr>
                <w:bCs/>
                <w:sz w:val="20"/>
              </w:rPr>
              <w:t>Development pump rate</w:t>
            </w:r>
            <w:r>
              <w:rPr>
                <w:bCs/>
                <w:sz w:val="20"/>
              </w:rPr>
              <w:br/>
            </w:r>
            <w:r>
              <w:rPr>
                <w:bCs/>
                <w:sz w:val="16"/>
              </w:rPr>
              <w:t xml:space="preserve">(e.g. L/s, </w:t>
            </w:r>
            <w:r>
              <w:rPr>
                <w:sz w:val="16"/>
              </w:rPr>
              <w:t>m</w:t>
            </w:r>
            <w:r>
              <w:rPr>
                <w:sz w:val="16"/>
                <w:vertAlign w:val="superscript"/>
              </w:rPr>
              <w:t>3</w:t>
            </w:r>
            <w:r>
              <w:rPr>
                <w:sz w:val="16"/>
              </w:rPr>
              <w:t>/day</w:t>
            </w:r>
            <w:r>
              <w:rPr>
                <w:bCs/>
                <w:sz w:val="16"/>
              </w:rPr>
              <w:t>)</w:t>
            </w:r>
          </w:p>
        </w:tc>
        <w:tc>
          <w:tcPr>
            <w:tcW w:w="3260" w:type="dxa"/>
            <w:gridSpan w:val="2"/>
            <w:tcBorders>
              <w:top w:val="single" w:sz="4" w:space="0" w:color="auto"/>
              <w:left w:val="single" w:sz="4" w:space="0" w:color="auto"/>
              <w:bottom w:val="single" w:sz="4" w:space="0" w:color="auto"/>
              <w:right w:val="single" w:sz="4" w:space="0" w:color="auto"/>
            </w:tcBorders>
          </w:tcPr>
          <w:p>
            <w:pPr>
              <w:pStyle w:val="yTableNAm"/>
              <w:spacing w:before="60"/>
              <w:rPr>
                <w:bCs/>
                <w:sz w:val="20"/>
              </w:rPr>
            </w:pPr>
          </w:p>
        </w:tc>
      </w:tr>
    </w:tbl>
    <w:p>
      <w:pPr>
        <w:pStyle w:val="yMiscellaneousBody"/>
        <w:spacing w:before="40"/>
        <w:rPr>
          <w:sz w:val="20"/>
        </w:rPr>
      </w:pPr>
    </w:p>
    <w:tbl>
      <w:tblPr>
        <w:tblW w:w="666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390"/>
        <w:gridCol w:w="555"/>
        <w:gridCol w:w="189"/>
        <w:gridCol w:w="922"/>
        <w:gridCol w:w="71"/>
        <w:gridCol w:w="1039"/>
        <w:gridCol w:w="555"/>
        <w:gridCol w:w="248"/>
        <w:gridCol w:w="142"/>
        <w:gridCol w:w="1276"/>
      </w:tblGrid>
      <w:tr>
        <w:trPr>
          <w:cantSplit/>
          <w:trHeight w:val="375"/>
        </w:trPr>
        <w:tc>
          <w:tcPr>
            <w:tcW w:w="6662" w:type="dxa"/>
            <w:gridSpan w:val="11"/>
          </w:tcPr>
          <w:p>
            <w:pPr>
              <w:pStyle w:val="yTableNAm"/>
              <w:spacing w:before="60"/>
              <w:rPr>
                <w:b/>
                <w:bCs/>
                <w:sz w:val="20"/>
              </w:rPr>
            </w:pPr>
            <w:r>
              <w:rPr>
                <w:b/>
                <w:bCs/>
                <w:sz w:val="20"/>
              </w:rPr>
              <w:t>Part 7: Pump testing (If applicable)</w:t>
            </w:r>
          </w:p>
        </w:tc>
      </w:tr>
      <w:tr>
        <w:trPr>
          <w:cantSplit/>
          <w:trHeight w:val="375"/>
        </w:trPr>
        <w:tc>
          <w:tcPr>
            <w:tcW w:w="1275" w:type="dxa"/>
            <w:tcBorders>
              <w:bottom w:val="single" w:sz="4" w:space="0" w:color="auto"/>
            </w:tcBorders>
          </w:tcPr>
          <w:p>
            <w:pPr>
              <w:pStyle w:val="yTableNAm"/>
              <w:spacing w:before="60"/>
              <w:rPr>
                <w:b/>
                <w:bCs/>
                <w:sz w:val="20"/>
              </w:rPr>
            </w:pPr>
            <w:r>
              <w:rPr>
                <w:sz w:val="20"/>
              </w:rPr>
              <w:t>Date start</w:t>
            </w:r>
            <w:r>
              <w:rPr>
                <w:sz w:val="20"/>
              </w:rPr>
              <w:br/>
            </w:r>
            <w:r>
              <w:rPr>
                <w:sz w:val="16"/>
              </w:rPr>
              <w:t>(dd/mm/yy)</w:t>
            </w:r>
          </w:p>
        </w:tc>
        <w:tc>
          <w:tcPr>
            <w:tcW w:w="945" w:type="dxa"/>
            <w:gridSpan w:val="2"/>
            <w:tcBorders>
              <w:bottom w:val="single" w:sz="4" w:space="0" w:color="auto"/>
            </w:tcBorders>
          </w:tcPr>
          <w:p>
            <w:pPr>
              <w:pStyle w:val="yTableNAm"/>
              <w:spacing w:before="60"/>
              <w:rPr>
                <w:b/>
                <w:bCs/>
                <w:sz w:val="20"/>
              </w:rPr>
            </w:pPr>
          </w:p>
        </w:tc>
        <w:tc>
          <w:tcPr>
            <w:tcW w:w="1182" w:type="dxa"/>
            <w:gridSpan w:val="3"/>
            <w:tcBorders>
              <w:bottom w:val="single" w:sz="4" w:space="0" w:color="auto"/>
            </w:tcBorders>
          </w:tcPr>
          <w:p>
            <w:pPr>
              <w:pStyle w:val="yTableNAm"/>
              <w:spacing w:before="60"/>
              <w:rPr>
                <w:b/>
                <w:bCs/>
                <w:sz w:val="20"/>
              </w:rPr>
            </w:pPr>
            <w:r>
              <w:rPr>
                <w:sz w:val="20"/>
              </w:rPr>
              <w:t>Date end</w:t>
            </w:r>
            <w:r>
              <w:rPr>
                <w:sz w:val="20"/>
              </w:rPr>
              <w:br/>
            </w:r>
            <w:r>
              <w:rPr>
                <w:sz w:val="16"/>
              </w:rPr>
              <w:t>(dd/mm/yy)</w:t>
            </w:r>
          </w:p>
        </w:tc>
        <w:tc>
          <w:tcPr>
            <w:tcW w:w="1039" w:type="dxa"/>
            <w:tcBorders>
              <w:bottom w:val="single" w:sz="4" w:space="0" w:color="auto"/>
            </w:tcBorders>
          </w:tcPr>
          <w:p>
            <w:pPr>
              <w:pStyle w:val="yTableNAm"/>
              <w:spacing w:before="60"/>
              <w:rPr>
                <w:b/>
                <w:bCs/>
                <w:sz w:val="20"/>
              </w:rPr>
            </w:pPr>
          </w:p>
        </w:tc>
        <w:tc>
          <w:tcPr>
            <w:tcW w:w="945" w:type="dxa"/>
            <w:gridSpan w:val="3"/>
            <w:tcBorders>
              <w:bottom w:val="single" w:sz="4" w:space="0" w:color="auto"/>
            </w:tcBorders>
          </w:tcPr>
          <w:p>
            <w:pPr>
              <w:pStyle w:val="yTableNAm"/>
              <w:spacing w:before="60"/>
              <w:rPr>
                <w:b/>
                <w:bCs/>
                <w:sz w:val="20"/>
              </w:rPr>
            </w:pPr>
            <w:r>
              <w:rPr>
                <w:sz w:val="20"/>
              </w:rPr>
              <w:t>Duration of test</w:t>
            </w:r>
          </w:p>
        </w:tc>
        <w:tc>
          <w:tcPr>
            <w:tcW w:w="1276" w:type="dxa"/>
            <w:tcBorders>
              <w:bottom w:val="single" w:sz="4" w:space="0" w:color="auto"/>
            </w:tcBorders>
            <w:vAlign w:val="bottom"/>
          </w:tcPr>
          <w:p>
            <w:pPr>
              <w:pStyle w:val="yTableNAm"/>
              <w:spacing w:before="60"/>
              <w:rPr>
                <w:b/>
                <w:bCs/>
                <w:sz w:val="20"/>
              </w:rPr>
            </w:pPr>
            <w:r>
              <w:rPr>
                <w:sz w:val="20"/>
              </w:rPr>
              <w:t>........... hours</w:t>
            </w:r>
          </w:p>
        </w:tc>
      </w:tr>
      <w:tr>
        <w:trPr>
          <w:cantSplit/>
          <w:trHeight w:val="375"/>
        </w:trPr>
        <w:tc>
          <w:tcPr>
            <w:tcW w:w="6662" w:type="dxa"/>
            <w:gridSpan w:val="11"/>
            <w:tcBorders>
              <w:left w:val="single" w:sz="4" w:space="0" w:color="auto"/>
              <w:right w:val="single" w:sz="4" w:space="0" w:color="auto"/>
            </w:tcBorders>
          </w:tcPr>
          <w:p>
            <w:pPr>
              <w:pStyle w:val="yTableNAm"/>
              <w:spacing w:before="60"/>
              <w:jc w:val="center"/>
              <w:rPr>
                <w:sz w:val="20"/>
              </w:rPr>
            </w:pPr>
            <w:r>
              <w:rPr>
                <w:sz w:val="20"/>
              </w:rPr>
              <w:sym w:font="Wingdings 2" w:char="F0A3"/>
            </w:r>
            <w:r>
              <w:rPr>
                <w:sz w:val="20"/>
              </w:rPr>
              <w:t xml:space="preserve"> Step test        </w:t>
            </w:r>
            <w:r>
              <w:rPr>
                <w:sz w:val="20"/>
              </w:rPr>
              <w:sym w:font="Wingdings 2" w:char="F0A3"/>
            </w:r>
            <w:r>
              <w:rPr>
                <w:sz w:val="20"/>
              </w:rPr>
              <w:t xml:space="preserve"> Constant rate       </w:t>
            </w:r>
            <w:r>
              <w:rPr>
                <w:sz w:val="20"/>
              </w:rPr>
              <w:sym w:font="Wingdings 2" w:char="F0A3"/>
            </w:r>
            <w:r>
              <w:rPr>
                <w:sz w:val="20"/>
              </w:rPr>
              <w:t xml:space="preserve"> Other</w:t>
            </w:r>
          </w:p>
        </w:tc>
      </w:tr>
      <w:tr>
        <w:trPr>
          <w:cantSplit/>
          <w:trHeight w:val="375"/>
        </w:trPr>
        <w:tc>
          <w:tcPr>
            <w:tcW w:w="1665" w:type="dxa"/>
            <w:gridSpan w:val="2"/>
          </w:tcPr>
          <w:p>
            <w:pPr>
              <w:pStyle w:val="yTableNAm"/>
              <w:spacing w:before="60"/>
              <w:rPr>
                <w:sz w:val="20"/>
              </w:rPr>
            </w:pPr>
            <w:r>
              <w:rPr>
                <w:sz w:val="20"/>
              </w:rPr>
              <w:t xml:space="preserve">Constant rate </w:t>
            </w:r>
            <w:r>
              <w:rPr>
                <w:sz w:val="20"/>
              </w:rPr>
              <w:noBreakHyphen/>
              <w:t xml:space="preserve"> Pump rate </w:t>
            </w:r>
            <w:r>
              <w:rPr>
                <w:sz w:val="16"/>
              </w:rPr>
              <w:t>(e.g. m3/day)</w:t>
            </w:r>
          </w:p>
        </w:tc>
        <w:tc>
          <w:tcPr>
            <w:tcW w:w="1666" w:type="dxa"/>
            <w:gridSpan w:val="3"/>
          </w:tcPr>
          <w:p>
            <w:pPr>
              <w:pStyle w:val="yTableNAm"/>
              <w:spacing w:before="60"/>
              <w:rPr>
                <w:sz w:val="20"/>
              </w:rPr>
            </w:pPr>
          </w:p>
        </w:tc>
        <w:tc>
          <w:tcPr>
            <w:tcW w:w="1665" w:type="dxa"/>
            <w:gridSpan w:val="3"/>
          </w:tcPr>
          <w:p>
            <w:pPr>
              <w:pStyle w:val="yTableNAm"/>
              <w:spacing w:before="60"/>
              <w:rPr>
                <w:sz w:val="20"/>
              </w:rPr>
            </w:pPr>
            <w:r>
              <w:rPr>
                <w:sz w:val="20"/>
              </w:rPr>
              <w:t xml:space="preserve">Pump type </w:t>
            </w:r>
            <w:r>
              <w:rPr>
                <w:sz w:val="16"/>
              </w:rPr>
              <w:t>(e.g. submersible)</w:t>
            </w:r>
          </w:p>
        </w:tc>
        <w:tc>
          <w:tcPr>
            <w:tcW w:w="1666" w:type="dxa"/>
            <w:gridSpan w:val="3"/>
          </w:tcPr>
          <w:p>
            <w:pPr>
              <w:pStyle w:val="yTableNAm"/>
              <w:spacing w:before="60"/>
              <w:rPr>
                <w:sz w:val="20"/>
              </w:rPr>
            </w:pPr>
          </w:p>
        </w:tc>
      </w:tr>
      <w:tr>
        <w:trPr>
          <w:cantSplit/>
          <w:trHeight w:val="375"/>
        </w:trPr>
        <w:tc>
          <w:tcPr>
            <w:tcW w:w="3331" w:type="dxa"/>
            <w:gridSpan w:val="5"/>
          </w:tcPr>
          <w:p>
            <w:pPr>
              <w:pStyle w:val="yTableNAm"/>
              <w:spacing w:before="60"/>
              <w:rPr>
                <w:sz w:val="20"/>
              </w:rPr>
            </w:pPr>
          </w:p>
        </w:tc>
        <w:tc>
          <w:tcPr>
            <w:tcW w:w="1665" w:type="dxa"/>
            <w:gridSpan w:val="3"/>
          </w:tcPr>
          <w:p>
            <w:pPr>
              <w:pStyle w:val="yTableNAm"/>
              <w:spacing w:before="60"/>
              <w:rPr>
                <w:sz w:val="20"/>
              </w:rPr>
            </w:pPr>
            <w:r>
              <w:rPr>
                <w:rFonts w:cs="Arial"/>
                <w:sz w:val="20"/>
              </w:rPr>
              <w:t>Water rest level prior to test (m)</w:t>
            </w:r>
          </w:p>
        </w:tc>
        <w:tc>
          <w:tcPr>
            <w:tcW w:w="1666" w:type="dxa"/>
            <w:gridSpan w:val="3"/>
          </w:tcPr>
          <w:p>
            <w:pPr>
              <w:pStyle w:val="yTableNAm"/>
              <w:spacing w:before="60"/>
              <w:rPr>
                <w:sz w:val="20"/>
              </w:rPr>
            </w:pPr>
          </w:p>
        </w:tc>
      </w:tr>
      <w:tr>
        <w:trPr>
          <w:cantSplit/>
          <w:trHeight w:val="375"/>
        </w:trPr>
        <w:tc>
          <w:tcPr>
            <w:tcW w:w="6662" w:type="dxa"/>
            <w:gridSpan w:val="11"/>
          </w:tcPr>
          <w:p>
            <w:pPr>
              <w:pStyle w:val="yTableNAm"/>
              <w:spacing w:before="60"/>
              <w:rPr>
                <w:sz w:val="20"/>
              </w:rPr>
            </w:pPr>
            <w:r>
              <w:rPr>
                <w:sz w:val="20"/>
              </w:rPr>
              <w:t xml:space="preserve">Measurements taken from </w:t>
            </w:r>
            <w:r>
              <w:rPr>
                <w:sz w:val="20"/>
              </w:rPr>
              <w:tab/>
            </w:r>
            <w:r>
              <w:rPr>
                <w:sz w:val="20"/>
              </w:rPr>
              <w:sym w:font="Wingdings 2" w:char="F0A3"/>
            </w:r>
            <w:r>
              <w:rPr>
                <w:sz w:val="20"/>
              </w:rPr>
              <w:t xml:space="preserve"> Top of casing (TOC)</w:t>
            </w:r>
            <w:r>
              <w:rPr>
                <w:sz w:val="20"/>
              </w:rPr>
              <w:tab/>
            </w:r>
            <w:r>
              <w:rPr>
                <w:sz w:val="20"/>
              </w:rPr>
              <w:sym w:font="Wingdings 2" w:char="F0A3"/>
            </w:r>
            <w:r>
              <w:rPr>
                <w:sz w:val="20"/>
              </w:rPr>
              <w:t xml:space="preserve"> Ground level (GL)</w:t>
            </w:r>
          </w:p>
          <w:p>
            <w:pPr>
              <w:pStyle w:val="yTableNAm"/>
              <w:spacing w:before="60"/>
              <w:rPr>
                <w:sz w:val="20"/>
              </w:rPr>
            </w:pPr>
            <w:r>
              <w:rPr>
                <w:sz w:val="20"/>
              </w:rPr>
              <w:tab/>
            </w:r>
            <w:r>
              <w:rPr>
                <w:sz w:val="20"/>
              </w:rPr>
              <w:tab/>
            </w:r>
            <w:r>
              <w:rPr>
                <w:sz w:val="20"/>
              </w:rPr>
              <w:tab/>
            </w:r>
            <w:r>
              <w:rPr>
                <w:sz w:val="20"/>
              </w:rPr>
              <w:sym w:font="Wingdings 2" w:char="F0A3"/>
            </w:r>
            <w:r>
              <w:rPr>
                <w:sz w:val="20"/>
              </w:rPr>
              <w:t xml:space="preserve"> Other (</w:t>
            </w:r>
            <w:r>
              <w:rPr>
                <w:sz w:val="16"/>
              </w:rPr>
              <w:t>specify</w:t>
            </w:r>
            <w:r>
              <w:rPr>
                <w:sz w:val="20"/>
              </w:rPr>
              <w:t>) __________________________</w:t>
            </w:r>
          </w:p>
        </w:tc>
      </w:tr>
      <w:tr>
        <w:trPr>
          <w:cantSplit/>
          <w:trHeight w:val="375"/>
        </w:trPr>
        <w:tc>
          <w:tcPr>
            <w:tcW w:w="2409" w:type="dxa"/>
            <w:gridSpan w:val="4"/>
          </w:tcPr>
          <w:p>
            <w:pPr>
              <w:pStyle w:val="yTableNAm"/>
              <w:spacing w:before="60"/>
              <w:rPr>
                <w:sz w:val="20"/>
              </w:rPr>
            </w:pPr>
            <w:r>
              <w:rPr>
                <w:sz w:val="20"/>
              </w:rPr>
              <w:t xml:space="preserve">Elevation of measurement reference point if known </w:t>
            </w:r>
            <w:r>
              <w:rPr>
                <w:sz w:val="16"/>
              </w:rPr>
              <w:t>(metres AHD)</w:t>
            </w:r>
          </w:p>
        </w:tc>
        <w:tc>
          <w:tcPr>
            <w:tcW w:w="4253" w:type="dxa"/>
            <w:gridSpan w:val="7"/>
          </w:tcPr>
          <w:p>
            <w:pPr>
              <w:pStyle w:val="yTableNAm"/>
              <w:spacing w:before="60"/>
              <w:rPr>
                <w:sz w:val="20"/>
              </w:rPr>
            </w:pPr>
            <w:r>
              <w:rPr>
                <w:sz w:val="20"/>
              </w:rPr>
              <w:sym w:font="Wingdings 2" w:char="F0A3"/>
            </w:r>
            <w:r>
              <w:rPr>
                <w:sz w:val="20"/>
              </w:rPr>
              <w:t xml:space="preserve"> GPS</w:t>
            </w:r>
            <w:r>
              <w:rPr>
                <w:sz w:val="20"/>
              </w:rPr>
              <w:tab/>
            </w:r>
            <w:r>
              <w:rPr>
                <w:sz w:val="20"/>
              </w:rPr>
              <w:tab/>
            </w:r>
            <w:r>
              <w:rPr>
                <w:sz w:val="20"/>
              </w:rPr>
              <w:sym w:font="Wingdings 2" w:char="F0A3"/>
            </w:r>
            <w:r>
              <w:rPr>
                <w:sz w:val="20"/>
              </w:rPr>
              <w:t xml:space="preserve"> Estimate</w:t>
            </w:r>
          </w:p>
          <w:p>
            <w:pPr>
              <w:pStyle w:val="yTableNAm"/>
              <w:spacing w:before="60"/>
              <w:rPr>
                <w:sz w:val="20"/>
              </w:rPr>
            </w:pPr>
            <w:r>
              <w:rPr>
                <w:sz w:val="20"/>
              </w:rPr>
              <w:sym w:font="Wingdings 2" w:char="F0A3"/>
            </w:r>
            <w:r>
              <w:rPr>
                <w:sz w:val="20"/>
              </w:rPr>
              <w:t xml:space="preserve"> Other (</w:t>
            </w:r>
            <w:r>
              <w:rPr>
                <w:sz w:val="16"/>
              </w:rPr>
              <w:t>specify</w:t>
            </w:r>
            <w:r>
              <w:rPr>
                <w:sz w:val="20"/>
              </w:rPr>
              <w:t>) ________________________</w:t>
            </w:r>
          </w:p>
        </w:tc>
      </w:tr>
      <w:tr>
        <w:trPr>
          <w:cantSplit/>
          <w:trHeight w:val="375"/>
        </w:trPr>
        <w:tc>
          <w:tcPr>
            <w:tcW w:w="1665" w:type="dxa"/>
            <w:gridSpan w:val="2"/>
          </w:tcPr>
          <w:p>
            <w:pPr>
              <w:pStyle w:val="yTableNAm"/>
              <w:spacing w:before="60"/>
              <w:rPr>
                <w:sz w:val="20"/>
              </w:rPr>
            </w:pPr>
            <w:r>
              <w:rPr>
                <w:sz w:val="20"/>
              </w:rPr>
              <w:t>Final drawdown</w:t>
            </w:r>
          </w:p>
        </w:tc>
        <w:tc>
          <w:tcPr>
            <w:tcW w:w="744" w:type="dxa"/>
            <w:gridSpan w:val="2"/>
          </w:tcPr>
          <w:p>
            <w:pPr>
              <w:pStyle w:val="yTableNAm"/>
              <w:spacing w:before="60"/>
              <w:rPr>
                <w:sz w:val="20"/>
              </w:rPr>
            </w:pPr>
            <w:r>
              <w:rPr>
                <w:sz w:val="20"/>
              </w:rPr>
              <w:t>m</w:t>
            </w:r>
          </w:p>
        </w:tc>
        <w:tc>
          <w:tcPr>
            <w:tcW w:w="2835" w:type="dxa"/>
            <w:gridSpan w:val="5"/>
          </w:tcPr>
          <w:p>
            <w:pPr>
              <w:pStyle w:val="yTableNAm"/>
              <w:spacing w:before="60"/>
              <w:rPr>
                <w:sz w:val="20"/>
              </w:rPr>
            </w:pPr>
            <w:r>
              <w:rPr>
                <w:sz w:val="20"/>
              </w:rPr>
              <w:t xml:space="preserve">Recommended supply </w:t>
            </w:r>
            <w:r>
              <w:rPr>
                <w:sz w:val="16"/>
              </w:rPr>
              <w:t>(e.g. m3/day)</w:t>
            </w:r>
          </w:p>
        </w:tc>
        <w:tc>
          <w:tcPr>
            <w:tcW w:w="1418" w:type="dxa"/>
            <w:gridSpan w:val="2"/>
          </w:tcPr>
          <w:p>
            <w:pPr>
              <w:pStyle w:val="yTableNAm"/>
              <w:spacing w:before="60"/>
              <w:rPr>
                <w:sz w:val="20"/>
              </w:rPr>
            </w:pPr>
          </w:p>
        </w:tc>
      </w:tr>
      <w:tr>
        <w:trPr>
          <w:cantSplit/>
          <w:trHeight w:val="375"/>
        </w:trPr>
        <w:tc>
          <w:tcPr>
            <w:tcW w:w="6662" w:type="dxa"/>
            <w:gridSpan w:val="11"/>
          </w:tcPr>
          <w:p>
            <w:pPr>
              <w:pStyle w:val="yTableNAm"/>
              <w:tabs>
                <w:tab w:val="clear" w:pos="567"/>
              </w:tabs>
              <w:spacing w:before="60"/>
              <w:ind w:hanging="21"/>
              <w:rPr>
                <w:rFonts w:ascii="Arial" w:hAnsi="Arial" w:cs="Arial"/>
                <w:bCs/>
                <w:sz w:val="20"/>
              </w:rPr>
            </w:pPr>
            <w:r>
              <w:rPr>
                <w:rFonts w:ascii="Arial" w:hAnsi="Arial" w:cs="Arial"/>
                <w:bCs/>
                <w:sz w:val="14"/>
              </w:rPr>
              <w:t>Final drawdown is the distance between the static water level measured prior to the test and the water level measured at the end of the pumping test.</w:t>
            </w:r>
          </w:p>
        </w:tc>
      </w:tr>
    </w:tbl>
    <w:p>
      <w:pPr>
        <w:pStyle w:val="yTableNAm"/>
        <w:spacing w:before="60"/>
        <w:rPr>
          <w:sz w:val="20"/>
        </w:rPr>
      </w:pPr>
      <w:r>
        <w:rPr>
          <w:sz w:val="20"/>
        </w:rPr>
        <w:tab/>
        <w:t>Comments ...............................................................................................................</w:t>
      </w:r>
    </w:p>
    <w:p>
      <w:pPr>
        <w:pStyle w:val="yMiscellaneousBody"/>
        <w:spacing w:before="40"/>
        <w:rPr>
          <w:sz w:val="20"/>
        </w:rPr>
      </w:pPr>
    </w:p>
    <w:tbl>
      <w:tblPr>
        <w:tblW w:w="666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709"/>
        <w:gridCol w:w="142"/>
        <w:gridCol w:w="2835"/>
        <w:gridCol w:w="709"/>
        <w:gridCol w:w="992"/>
      </w:tblGrid>
      <w:tr>
        <w:trPr>
          <w:cantSplit/>
          <w:trHeight w:val="375"/>
        </w:trPr>
        <w:tc>
          <w:tcPr>
            <w:tcW w:w="6662" w:type="dxa"/>
            <w:gridSpan w:val="6"/>
          </w:tcPr>
          <w:p>
            <w:pPr>
              <w:pStyle w:val="yTableNAm"/>
              <w:spacing w:before="60"/>
              <w:rPr>
                <w:b/>
                <w:sz w:val="20"/>
              </w:rPr>
            </w:pPr>
            <w:r>
              <w:rPr>
                <w:b/>
                <w:sz w:val="20"/>
              </w:rPr>
              <w:t>Part 8: Field samples</w:t>
            </w:r>
          </w:p>
        </w:tc>
      </w:tr>
      <w:tr>
        <w:trPr>
          <w:cantSplit/>
          <w:trHeight w:val="375"/>
        </w:trPr>
        <w:tc>
          <w:tcPr>
            <w:tcW w:w="2126" w:type="dxa"/>
            <w:gridSpan w:val="3"/>
          </w:tcPr>
          <w:p>
            <w:pPr>
              <w:pStyle w:val="yTableNAm"/>
              <w:spacing w:before="60"/>
              <w:rPr>
                <w:bCs/>
                <w:sz w:val="20"/>
              </w:rPr>
            </w:pPr>
            <w:r>
              <w:rPr>
                <w:bCs/>
                <w:sz w:val="20"/>
              </w:rPr>
              <w:t xml:space="preserve">Collection method </w:t>
            </w:r>
            <w:r>
              <w:rPr>
                <w:rFonts w:ascii="Arial" w:hAnsi="Arial" w:cs="Arial"/>
                <w:bCs/>
                <w:sz w:val="14"/>
              </w:rPr>
              <w:t>(e.g. pump test, airlift)</w:t>
            </w:r>
          </w:p>
        </w:tc>
        <w:tc>
          <w:tcPr>
            <w:tcW w:w="4536" w:type="dxa"/>
            <w:gridSpan w:val="3"/>
          </w:tcPr>
          <w:p>
            <w:pPr>
              <w:pStyle w:val="yTableNAm"/>
              <w:spacing w:before="60"/>
              <w:rPr>
                <w:bCs/>
                <w:sz w:val="20"/>
              </w:rPr>
            </w:pPr>
          </w:p>
        </w:tc>
      </w:tr>
      <w:tr>
        <w:trPr>
          <w:cantSplit/>
          <w:trHeight w:val="375"/>
        </w:trPr>
        <w:tc>
          <w:tcPr>
            <w:tcW w:w="1275" w:type="dxa"/>
          </w:tcPr>
          <w:p>
            <w:pPr>
              <w:pStyle w:val="yTableNAm"/>
              <w:spacing w:before="60"/>
              <w:rPr>
                <w:bCs/>
                <w:sz w:val="20"/>
              </w:rPr>
            </w:pPr>
            <w:r>
              <w:rPr>
                <w:bCs/>
                <w:sz w:val="20"/>
              </w:rPr>
              <w:t xml:space="preserve">Conductivity </w:t>
            </w:r>
            <w:r>
              <w:rPr>
                <w:rFonts w:ascii="Arial" w:hAnsi="Arial" w:cs="Arial"/>
                <w:bCs/>
                <w:sz w:val="14"/>
              </w:rPr>
              <w:t>(e.g. mS/m)</w:t>
            </w:r>
          </w:p>
        </w:tc>
        <w:tc>
          <w:tcPr>
            <w:tcW w:w="709" w:type="dxa"/>
          </w:tcPr>
          <w:p>
            <w:pPr>
              <w:pStyle w:val="yTableNAm"/>
              <w:spacing w:before="60"/>
              <w:rPr>
                <w:bCs/>
                <w:sz w:val="20"/>
              </w:rPr>
            </w:pPr>
          </w:p>
        </w:tc>
        <w:tc>
          <w:tcPr>
            <w:tcW w:w="2977" w:type="dxa"/>
            <w:gridSpan w:val="2"/>
          </w:tcPr>
          <w:p>
            <w:pPr>
              <w:pStyle w:val="yTableNAm"/>
              <w:spacing w:before="60"/>
              <w:rPr>
                <w:bCs/>
                <w:sz w:val="20"/>
              </w:rPr>
            </w:pPr>
            <w:r>
              <w:rPr>
                <w:sz w:val="20"/>
              </w:rPr>
              <w:sym w:font="Wingdings 2" w:char="F0A3"/>
            </w:r>
            <w:r>
              <w:rPr>
                <w:sz w:val="20"/>
              </w:rPr>
              <w:t xml:space="preserve"> Temperature compensated</w:t>
            </w:r>
            <w:r>
              <w:rPr>
                <w:sz w:val="20"/>
              </w:rPr>
              <w:br/>
            </w:r>
            <w:r>
              <w:rPr>
                <w:sz w:val="20"/>
              </w:rPr>
              <w:sym w:font="Wingdings 2" w:char="F0A3"/>
            </w:r>
            <w:r>
              <w:rPr>
                <w:sz w:val="20"/>
              </w:rPr>
              <w:t xml:space="preserve"> Temperature uncompensated</w:t>
            </w:r>
          </w:p>
        </w:tc>
        <w:tc>
          <w:tcPr>
            <w:tcW w:w="709" w:type="dxa"/>
          </w:tcPr>
          <w:p>
            <w:pPr>
              <w:pStyle w:val="yTableNAm"/>
              <w:spacing w:before="60"/>
              <w:jc w:val="right"/>
              <w:rPr>
                <w:sz w:val="20"/>
              </w:rPr>
            </w:pPr>
            <w:r>
              <w:rPr>
                <w:sz w:val="20"/>
              </w:rPr>
              <w:t>pH</w:t>
            </w:r>
          </w:p>
        </w:tc>
        <w:tc>
          <w:tcPr>
            <w:tcW w:w="992" w:type="dxa"/>
          </w:tcPr>
          <w:p>
            <w:pPr>
              <w:pStyle w:val="yTableNAm"/>
              <w:spacing w:before="60"/>
              <w:rPr>
                <w:bCs/>
                <w:sz w:val="20"/>
              </w:rPr>
            </w:pPr>
          </w:p>
        </w:tc>
      </w:tr>
      <w:tr>
        <w:trPr>
          <w:cantSplit/>
          <w:trHeight w:val="375"/>
        </w:trPr>
        <w:tc>
          <w:tcPr>
            <w:tcW w:w="1275" w:type="dxa"/>
          </w:tcPr>
          <w:p>
            <w:pPr>
              <w:pStyle w:val="yTableNAm"/>
              <w:spacing w:before="60"/>
              <w:rPr>
                <w:bCs/>
                <w:sz w:val="20"/>
              </w:rPr>
            </w:pPr>
            <w:r>
              <w:rPr>
                <w:bCs/>
                <w:sz w:val="20"/>
              </w:rPr>
              <w:t>Water temperature at test</w:t>
            </w:r>
          </w:p>
        </w:tc>
        <w:tc>
          <w:tcPr>
            <w:tcW w:w="709" w:type="dxa"/>
          </w:tcPr>
          <w:p>
            <w:pPr>
              <w:pStyle w:val="yTableNAm"/>
              <w:spacing w:before="60"/>
              <w:rPr>
                <w:sz w:val="20"/>
              </w:rPr>
            </w:pPr>
          </w:p>
        </w:tc>
        <w:tc>
          <w:tcPr>
            <w:tcW w:w="4678" w:type="dxa"/>
            <w:gridSpan w:val="4"/>
          </w:tcPr>
          <w:p>
            <w:pPr>
              <w:pStyle w:val="yTableNAm"/>
              <w:spacing w:before="60"/>
              <w:rPr>
                <w:bCs/>
                <w:sz w:val="20"/>
              </w:rPr>
            </w:pPr>
          </w:p>
        </w:tc>
      </w:tr>
    </w:tbl>
    <w:p>
      <w:pPr>
        <w:pStyle w:val="yTableNAm"/>
        <w:spacing w:before="60"/>
        <w:rPr>
          <w:sz w:val="20"/>
        </w:rPr>
      </w:pPr>
      <w:r>
        <w:rPr>
          <w:sz w:val="20"/>
        </w:rPr>
        <w:tab/>
        <w:t>Comments ...............................................................................................................</w:t>
      </w:r>
    </w:p>
    <w:p>
      <w:pPr>
        <w:pStyle w:val="yMiscellaneousBody"/>
        <w:spacing w:before="40"/>
      </w:pPr>
    </w:p>
    <w:tbl>
      <w:tblPr>
        <w:tblW w:w="666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2"/>
        <w:gridCol w:w="936"/>
        <w:gridCol w:w="1134"/>
        <w:gridCol w:w="850"/>
        <w:gridCol w:w="2410"/>
      </w:tblGrid>
      <w:tr>
        <w:trPr>
          <w:cantSplit/>
          <w:trHeight w:val="375"/>
        </w:trPr>
        <w:tc>
          <w:tcPr>
            <w:tcW w:w="6662" w:type="dxa"/>
            <w:gridSpan w:val="5"/>
          </w:tcPr>
          <w:p>
            <w:pPr>
              <w:pStyle w:val="yTableNAm"/>
              <w:spacing w:before="60"/>
              <w:rPr>
                <w:b/>
                <w:bCs/>
                <w:sz w:val="20"/>
              </w:rPr>
            </w:pPr>
            <w:r>
              <w:rPr>
                <w:b/>
                <w:bCs/>
                <w:sz w:val="20"/>
              </w:rPr>
              <w:t>Part 9: Lab samples</w:t>
            </w:r>
          </w:p>
        </w:tc>
      </w:tr>
      <w:tr>
        <w:trPr>
          <w:cantSplit/>
          <w:trHeight w:val="375"/>
        </w:trPr>
        <w:tc>
          <w:tcPr>
            <w:tcW w:w="1332" w:type="dxa"/>
          </w:tcPr>
          <w:p>
            <w:pPr>
              <w:pStyle w:val="yTableNAm"/>
              <w:spacing w:before="60"/>
              <w:rPr>
                <w:bCs/>
                <w:iCs/>
                <w:sz w:val="20"/>
                <w:szCs w:val="18"/>
              </w:rPr>
            </w:pPr>
            <w:r>
              <w:rPr>
                <w:iCs/>
                <w:sz w:val="20"/>
                <w:szCs w:val="18"/>
              </w:rPr>
              <w:t>Lab samples taken (Please attach)</w:t>
            </w:r>
          </w:p>
        </w:tc>
        <w:tc>
          <w:tcPr>
            <w:tcW w:w="936" w:type="dxa"/>
          </w:tcPr>
          <w:p>
            <w:pPr>
              <w:pStyle w:val="yTableNAm"/>
              <w:spacing w:before="60"/>
              <w:rPr>
                <w:sz w:val="20"/>
              </w:rPr>
            </w:pPr>
            <w:r>
              <w:rPr>
                <w:sz w:val="20"/>
              </w:rPr>
              <w:sym w:font="Wingdings 2" w:char="F0A3"/>
            </w:r>
            <w:r>
              <w:rPr>
                <w:sz w:val="20"/>
              </w:rPr>
              <w:t xml:space="preserve"> Yes</w:t>
            </w:r>
          </w:p>
          <w:p>
            <w:pPr>
              <w:pStyle w:val="yTableNAm"/>
              <w:spacing w:before="60"/>
              <w:rPr>
                <w:bCs/>
                <w:sz w:val="20"/>
              </w:rPr>
            </w:pPr>
            <w:r>
              <w:rPr>
                <w:sz w:val="20"/>
              </w:rPr>
              <w:sym w:font="Wingdings 2" w:char="F0A3"/>
            </w:r>
            <w:r>
              <w:rPr>
                <w:sz w:val="20"/>
              </w:rPr>
              <w:t xml:space="preserve"> No</w:t>
            </w:r>
          </w:p>
        </w:tc>
        <w:tc>
          <w:tcPr>
            <w:tcW w:w="1134" w:type="dxa"/>
          </w:tcPr>
          <w:p>
            <w:pPr>
              <w:pStyle w:val="yTableNAm"/>
              <w:spacing w:before="60"/>
              <w:rPr>
                <w:bCs/>
                <w:iCs/>
                <w:sz w:val="20"/>
                <w:szCs w:val="18"/>
              </w:rPr>
            </w:pPr>
            <w:r>
              <w:rPr>
                <w:iCs/>
                <w:sz w:val="20"/>
                <w:szCs w:val="18"/>
              </w:rPr>
              <w:t>TDS (e.g. mg/l)</w:t>
            </w:r>
          </w:p>
        </w:tc>
        <w:tc>
          <w:tcPr>
            <w:tcW w:w="850" w:type="dxa"/>
          </w:tcPr>
          <w:p>
            <w:pPr>
              <w:pStyle w:val="yTableNAm"/>
              <w:spacing w:before="60"/>
              <w:rPr>
                <w:bCs/>
                <w:iCs/>
                <w:sz w:val="20"/>
                <w:szCs w:val="18"/>
              </w:rPr>
            </w:pPr>
          </w:p>
        </w:tc>
        <w:tc>
          <w:tcPr>
            <w:tcW w:w="2410" w:type="dxa"/>
          </w:tcPr>
          <w:p>
            <w:pPr>
              <w:pStyle w:val="yTableNAm"/>
              <w:spacing w:before="60"/>
              <w:rPr>
                <w:bCs/>
                <w:iCs/>
                <w:sz w:val="20"/>
                <w:szCs w:val="18"/>
              </w:rPr>
            </w:pPr>
            <w:r>
              <w:rPr>
                <w:iCs/>
                <w:sz w:val="20"/>
              </w:rPr>
              <w:t>Please submit samples separately to form if not received before the one month submission deadline.</w:t>
            </w:r>
          </w:p>
        </w:tc>
      </w:tr>
    </w:tbl>
    <w:p>
      <w:pPr>
        <w:pStyle w:val="yMiscellaneousBody"/>
        <w:spacing w:before="40"/>
        <w:rPr>
          <w:sz w:val="20"/>
        </w:rPr>
      </w:pPr>
    </w:p>
    <w:tbl>
      <w:tblPr>
        <w:tblW w:w="666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425"/>
        <w:gridCol w:w="1560"/>
        <w:gridCol w:w="1594"/>
        <w:gridCol w:w="1666"/>
      </w:tblGrid>
      <w:tr>
        <w:trPr>
          <w:cantSplit/>
          <w:trHeight w:val="375"/>
        </w:trPr>
        <w:tc>
          <w:tcPr>
            <w:tcW w:w="6662" w:type="dxa"/>
            <w:gridSpan w:val="5"/>
          </w:tcPr>
          <w:p>
            <w:pPr>
              <w:pStyle w:val="yTableNAm"/>
              <w:spacing w:before="60"/>
              <w:rPr>
                <w:b/>
                <w:bCs/>
                <w:sz w:val="20"/>
              </w:rPr>
            </w:pPr>
            <w:r>
              <w:rPr>
                <w:b/>
                <w:bCs/>
                <w:sz w:val="20"/>
              </w:rPr>
              <w:t>Part 10: Water levels</w:t>
            </w:r>
          </w:p>
        </w:tc>
      </w:tr>
      <w:tr>
        <w:trPr>
          <w:cantSplit/>
          <w:trHeight w:val="375"/>
        </w:trPr>
        <w:tc>
          <w:tcPr>
            <w:tcW w:w="1842" w:type="dxa"/>
            <w:gridSpan w:val="2"/>
          </w:tcPr>
          <w:p>
            <w:pPr>
              <w:pStyle w:val="yTableNAm"/>
              <w:spacing w:before="60"/>
              <w:jc w:val="right"/>
              <w:rPr>
                <w:bCs/>
                <w:iCs/>
                <w:sz w:val="20"/>
                <w:szCs w:val="18"/>
              </w:rPr>
            </w:pPr>
            <w:r>
              <w:rPr>
                <w:bCs/>
                <w:iCs/>
                <w:sz w:val="20"/>
                <w:szCs w:val="18"/>
              </w:rPr>
              <w:t>SWL</w:t>
            </w:r>
          </w:p>
          <w:p>
            <w:pPr>
              <w:pStyle w:val="yTableNAm"/>
              <w:spacing w:before="60"/>
              <w:jc w:val="right"/>
              <w:rPr>
                <w:bCs/>
                <w:iCs/>
                <w:sz w:val="18"/>
                <w:szCs w:val="18"/>
              </w:rPr>
            </w:pPr>
            <w:r>
              <w:rPr>
                <w:bCs/>
                <w:iCs/>
                <w:sz w:val="18"/>
                <w:szCs w:val="18"/>
              </w:rPr>
              <w:t>(Static water level)</w:t>
            </w:r>
          </w:p>
        </w:tc>
        <w:tc>
          <w:tcPr>
            <w:tcW w:w="1560" w:type="dxa"/>
          </w:tcPr>
          <w:p>
            <w:pPr>
              <w:pStyle w:val="yTableNAm"/>
              <w:spacing w:before="60"/>
              <w:jc w:val="right"/>
              <w:rPr>
                <w:bCs/>
                <w:iCs/>
                <w:sz w:val="20"/>
                <w:szCs w:val="18"/>
              </w:rPr>
            </w:pPr>
            <w:r>
              <w:rPr>
                <w:bCs/>
                <w:iCs/>
                <w:sz w:val="20"/>
                <w:szCs w:val="18"/>
              </w:rPr>
              <w:t>m</w:t>
            </w:r>
          </w:p>
        </w:tc>
        <w:tc>
          <w:tcPr>
            <w:tcW w:w="1594" w:type="dxa"/>
          </w:tcPr>
          <w:p>
            <w:pPr>
              <w:pStyle w:val="yTableNAm"/>
              <w:spacing w:before="60"/>
              <w:jc w:val="right"/>
              <w:rPr>
                <w:bCs/>
                <w:iCs/>
                <w:sz w:val="20"/>
                <w:szCs w:val="18"/>
              </w:rPr>
            </w:pPr>
            <w:r>
              <w:rPr>
                <w:bCs/>
                <w:iCs/>
                <w:sz w:val="20"/>
                <w:szCs w:val="18"/>
              </w:rPr>
              <w:t>Water cut at</w:t>
            </w:r>
          </w:p>
        </w:tc>
        <w:tc>
          <w:tcPr>
            <w:tcW w:w="1666" w:type="dxa"/>
          </w:tcPr>
          <w:p>
            <w:pPr>
              <w:pStyle w:val="yTableNAm"/>
              <w:spacing w:before="60"/>
              <w:jc w:val="right"/>
              <w:rPr>
                <w:bCs/>
                <w:iCs/>
                <w:sz w:val="20"/>
                <w:szCs w:val="18"/>
              </w:rPr>
            </w:pPr>
            <w:r>
              <w:rPr>
                <w:bCs/>
                <w:iCs/>
                <w:sz w:val="20"/>
                <w:szCs w:val="18"/>
              </w:rPr>
              <w:t>m</w:t>
            </w:r>
          </w:p>
        </w:tc>
      </w:tr>
      <w:tr>
        <w:trPr>
          <w:cantSplit/>
          <w:trHeight w:val="375"/>
        </w:trPr>
        <w:tc>
          <w:tcPr>
            <w:tcW w:w="1417" w:type="dxa"/>
          </w:tcPr>
          <w:p>
            <w:pPr>
              <w:pStyle w:val="yTableNAm"/>
              <w:spacing w:before="60"/>
              <w:rPr>
                <w:bCs/>
                <w:iCs/>
                <w:sz w:val="20"/>
                <w:szCs w:val="18"/>
              </w:rPr>
            </w:pPr>
            <w:r>
              <w:rPr>
                <w:iCs/>
                <w:sz w:val="20"/>
                <w:szCs w:val="18"/>
              </w:rPr>
              <w:t>Measurements taken from</w:t>
            </w:r>
          </w:p>
        </w:tc>
        <w:tc>
          <w:tcPr>
            <w:tcW w:w="5245" w:type="dxa"/>
            <w:gridSpan w:val="4"/>
          </w:tcPr>
          <w:p>
            <w:pPr>
              <w:pStyle w:val="yTableNAm"/>
              <w:spacing w:before="60"/>
              <w:rPr>
                <w:sz w:val="20"/>
              </w:rPr>
            </w:pPr>
            <w:r>
              <w:rPr>
                <w:sz w:val="20"/>
              </w:rPr>
              <w:sym w:font="Wingdings 2" w:char="F0A3"/>
            </w:r>
            <w:r>
              <w:rPr>
                <w:sz w:val="20"/>
              </w:rPr>
              <w:t xml:space="preserve"> Top of casing </w:t>
            </w:r>
            <w:r>
              <w:rPr>
                <w:sz w:val="18"/>
              </w:rPr>
              <w:t>(TOC)</w:t>
            </w:r>
            <w:r>
              <w:rPr>
                <w:sz w:val="20"/>
              </w:rPr>
              <w:tab/>
            </w:r>
            <w:r>
              <w:rPr>
                <w:sz w:val="20"/>
              </w:rPr>
              <w:sym w:font="Wingdings 2" w:char="F0A3"/>
            </w:r>
            <w:r>
              <w:rPr>
                <w:sz w:val="20"/>
              </w:rPr>
              <w:t xml:space="preserve"> Ground level </w:t>
            </w:r>
            <w:r>
              <w:rPr>
                <w:sz w:val="18"/>
              </w:rPr>
              <w:t>(GL)</w:t>
            </w:r>
          </w:p>
          <w:p>
            <w:pPr>
              <w:pStyle w:val="yTableNAm"/>
              <w:spacing w:before="60"/>
              <w:rPr>
                <w:bCs/>
                <w:sz w:val="20"/>
              </w:rPr>
            </w:pPr>
            <w:r>
              <w:rPr>
                <w:sz w:val="20"/>
              </w:rPr>
              <w:sym w:font="Wingdings 2" w:char="F0A3"/>
            </w:r>
            <w:r>
              <w:rPr>
                <w:sz w:val="20"/>
              </w:rPr>
              <w:t xml:space="preserve"> Other </w:t>
            </w:r>
            <w:r>
              <w:rPr>
                <w:sz w:val="18"/>
              </w:rPr>
              <w:t>(</w:t>
            </w:r>
            <w:r>
              <w:rPr>
                <w:sz w:val="16"/>
              </w:rPr>
              <w:t>specify</w:t>
            </w:r>
            <w:r>
              <w:rPr>
                <w:sz w:val="18"/>
              </w:rPr>
              <w:t>)</w:t>
            </w:r>
            <w:r>
              <w:rPr>
                <w:sz w:val="20"/>
              </w:rPr>
              <w:t xml:space="preserve"> _______________________________</w:t>
            </w:r>
          </w:p>
        </w:tc>
      </w:tr>
      <w:tr>
        <w:trPr>
          <w:cantSplit/>
          <w:trHeight w:val="375"/>
        </w:trPr>
        <w:tc>
          <w:tcPr>
            <w:tcW w:w="1842" w:type="dxa"/>
            <w:gridSpan w:val="2"/>
          </w:tcPr>
          <w:p>
            <w:pPr>
              <w:pStyle w:val="yTableNAm"/>
              <w:spacing w:before="60"/>
              <w:rPr>
                <w:bCs/>
                <w:iCs/>
                <w:sz w:val="20"/>
                <w:szCs w:val="18"/>
              </w:rPr>
            </w:pPr>
            <w:r>
              <w:rPr>
                <w:iCs/>
                <w:sz w:val="20"/>
                <w:szCs w:val="18"/>
              </w:rPr>
              <w:t>Date of reading</w:t>
            </w:r>
            <w:r>
              <w:rPr>
                <w:iCs/>
                <w:sz w:val="20"/>
                <w:szCs w:val="18"/>
              </w:rPr>
              <w:br/>
            </w:r>
            <w:r>
              <w:rPr>
                <w:iCs/>
                <w:sz w:val="18"/>
                <w:szCs w:val="18"/>
              </w:rPr>
              <w:t>(dd/mm/yy)</w:t>
            </w:r>
          </w:p>
        </w:tc>
        <w:tc>
          <w:tcPr>
            <w:tcW w:w="4820" w:type="dxa"/>
            <w:gridSpan w:val="3"/>
          </w:tcPr>
          <w:p>
            <w:pPr>
              <w:pStyle w:val="yTableNAm"/>
              <w:spacing w:before="60"/>
              <w:rPr>
                <w:sz w:val="20"/>
              </w:rPr>
            </w:pPr>
          </w:p>
        </w:tc>
      </w:tr>
    </w:tbl>
    <w:p>
      <w:pPr>
        <w:pStyle w:val="yMiscellaneousBody"/>
        <w:spacing w:before="40"/>
        <w:rPr>
          <w:sz w:val="20"/>
        </w:rPr>
      </w:pPr>
    </w:p>
    <w:p>
      <w:pPr>
        <w:pStyle w:val="yTableNAm"/>
        <w:spacing w:before="60"/>
        <w:rPr>
          <w:sz w:val="20"/>
        </w:rPr>
      </w:pPr>
      <w:r>
        <w:rPr>
          <w:sz w:val="20"/>
        </w:rPr>
        <w:tab/>
        <w:t>Comments ...............................................................................................................</w:t>
      </w:r>
    </w:p>
    <w:p>
      <w:pPr>
        <w:pStyle w:val="yMiscellaneousBody"/>
        <w:spacing w:before="40"/>
        <w:rPr>
          <w:sz w:val="20"/>
        </w:rPr>
      </w:pPr>
    </w:p>
    <w:tbl>
      <w:tblPr>
        <w:tblW w:w="676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84"/>
        <w:gridCol w:w="3384"/>
      </w:tblGrid>
      <w:tr>
        <w:trPr>
          <w:cantSplit/>
          <w:trHeight w:val="375"/>
        </w:trPr>
        <w:tc>
          <w:tcPr>
            <w:tcW w:w="6768" w:type="dxa"/>
            <w:gridSpan w:val="2"/>
          </w:tcPr>
          <w:p>
            <w:pPr>
              <w:pStyle w:val="yTableNAm"/>
              <w:spacing w:before="60"/>
              <w:rPr>
                <w:b/>
                <w:bCs/>
                <w:sz w:val="20"/>
              </w:rPr>
            </w:pPr>
            <w:r>
              <w:rPr>
                <w:b/>
                <w:bCs/>
                <w:sz w:val="20"/>
              </w:rPr>
              <w:t xml:space="preserve">Part 11: Declaration and signature </w:t>
            </w:r>
          </w:p>
        </w:tc>
      </w:tr>
      <w:tr>
        <w:trPr>
          <w:cantSplit/>
          <w:trHeight w:val="375"/>
        </w:trPr>
        <w:tc>
          <w:tcPr>
            <w:tcW w:w="3384" w:type="dxa"/>
          </w:tcPr>
          <w:p>
            <w:pPr>
              <w:pStyle w:val="yTableNAm"/>
              <w:spacing w:before="60"/>
              <w:rPr>
                <w:sz w:val="20"/>
              </w:rPr>
            </w:pPr>
          </w:p>
          <w:p>
            <w:pPr>
              <w:pStyle w:val="yTableNAm"/>
              <w:spacing w:before="60"/>
              <w:rPr>
                <w:sz w:val="20"/>
              </w:rPr>
            </w:pPr>
            <w:r>
              <w:rPr>
                <w:sz w:val="20"/>
              </w:rPr>
              <w:t xml:space="preserve">Capacity of person making </w:t>
            </w:r>
            <w:r>
              <w:rPr>
                <w:sz w:val="20"/>
              </w:rPr>
              <w:br/>
              <w:t>declaration</w:t>
            </w:r>
          </w:p>
          <w:p>
            <w:pPr>
              <w:pStyle w:val="yTableNAm"/>
              <w:spacing w:before="60"/>
              <w:rPr>
                <w:sz w:val="20"/>
              </w:rPr>
            </w:pPr>
          </w:p>
          <w:p>
            <w:pPr>
              <w:pStyle w:val="yTableNAm"/>
              <w:spacing w:before="60"/>
            </w:pPr>
            <w:r>
              <w:rPr>
                <w:sz w:val="20"/>
              </w:rPr>
              <w:t>[tick one box]</w:t>
            </w:r>
          </w:p>
        </w:tc>
        <w:tc>
          <w:tcPr>
            <w:tcW w:w="3384" w:type="dxa"/>
          </w:tcPr>
          <w:p>
            <w:pPr>
              <w:pStyle w:val="yTableNAm"/>
              <w:spacing w:before="60"/>
              <w:ind w:left="567" w:hanging="285"/>
              <w:rPr>
                <w:sz w:val="20"/>
              </w:rPr>
            </w:pPr>
          </w:p>
          <w:p>
            <w:pPr>
              <w:pStyle w:val="yTableNAm"/>
              <w:tabs>
                <w:tab w:val="clear" w:pos="567"/>
                <w:tab w:val="left" w:pos="882"/>
              </w:tabs>
              <w:spacing w:before="60"/>
              <w:ind w:left="282"/>
              <w:rPr>
                <w:sz w:val="20"/>
              </w:rPr>
            </w:pPr>
            <w:r>
              <w:rPr>
                <w:sz w:val="20"/>
              </w:rPr>
              <w:sym w:font="Symbol" w:char="F08F"/>
            </w:r>
            <w:r>
              <w:rPr>
                <w:sz w:val="20"/>
              </w:rPr>
              <w:tab/>
              <w:t xml:space="preserve">An individual who </w:t>
            </w:r>
            <w:r>
              <w:rPr>
                <w:sz w:val="20"/>
              </w:rPr>
              <w:br/>
              <w:t>carried out the work.</w:t>
            </w:r>
          </w:p>
          <w:p>
            <w:pPr>
              <w:pStyle w:val="yTableNAm"/>
              <w:spacing w:before="60"/>
              <w:ind w:left="567" w:hanging="285"/>
              <w:rPr>
                <w:sz w:val="20"/>
              </w:rPr>
            </w:pPr>
          </w:p>
          <w:p>
            <w:pPr>
              <w:pStyle w:val="yTableNAm"/>
              <w:tabs>
                <w:tab w:val="clear" w:pos="567"/>
                <w:tab w:val="left" w:pos="882"/>
              </w:tabs>
              <w:spacing w:before="60"/>
              <w:ind w:left="282"/>
              <w:rPr>
                <w:sz w:val="20"/>
              </w:rPr>
            </w:pPr>
            <w:r>
              <w:rPr>
                <w:sz w:val="20"/>
              </w:rPr>
              <w:sym w:font="Symbol" w:char="F08F"/>
            </w:r>
            <w:r>
              <w:rPr>
                <w:sz w:val="20"/>
              </w:rPr>
              <w:tab/>
              <w:t xml:space="preserve">An officer who is a </w:t>
            </w:r>
            <w:r>
              <w:rPr>
                <w:sz w:val="20"/>
              </w:rPr>
              <w:br/>
              <w:t>director or secretary of a corporation that carried out the work.</w:t>
            </w:r>
          </w:p>
          <w:p>
            <w:pPr>
              <w:pStyle w:val="yTableNAm"/>
              <w:spacing w:before="60"/>
              <w:ind w:hanging="285"/>
              <w:rPr>
                <w:sz w:val="20"/>
              </w:rPr>
            </w:pPr>
          </w:p>
          <w:p>
            <w:pPr>
              <w:pStyle w:val="yTableNAm"/>
              <w:tabs>
                <w:tab w:val="clear" w:pos="567"/>
                <w:tab w:val="left" w:pos="882"/>
              </w:tabs>
              <w:spacing w:before="60"/>
              <w:ind w:left="282"/>
              <w:rPr>
                <w:sz w:val="20"/>
              </w:rPr>
            </w:pPr>
            <w:r>
              <w:rPr>
                <w:sz w:val="20"/>
              </w:rPr>
              <w:sym w:font="Symbol" w:char="F08F"/>
            </w:r>
            <w:r>
              <w:rPr>
                <w:sz w:val="20"/>
              </w:rPr>
              <w:tab/>
              <w:t>other [describe]</w:t>
            </w:r>
          </w:p>
          <w:p>
            <w:pPr>
              <w:pStyle w:val="yTableNAm"/>
              <w:spacing w:before="60"/>
              <w:rPr>
                <w:sz w:val="20"/>
              </w:rPr>
            </w:pPr>
          </w:p>
        </w:tc>
      </w:tr>
    </w:tbl>
    <w:p>
      <w:pPr>
        <w:pStyle w:val="yMiscellaneousBody"/>
        <w:spacing w:before="60"/>
        <w:ind w:left="480"/>
      </w:pPr>
      <w:r>
        <w:t>I, ______(name of person making declaration) declare that the information provided on this form is true and correct.</w:t>
      </w:r>
    </w:p>
    <w:p>
      <w:pPr>
        <w:pStyle w:val="yMiscellaneousBody"/>
        <w:spacing w:before="60"/>
        <w:ind w:left="480"/>
      </w:pPr>
    </w:p>
    <w:p>
      <w:pPr>
        <w:pStyle w:val="yMiscellaneousBody"/>
        <w:spacing w:before="60"/>
        <w:ind w:left="480"/>
      </w:pPr>
    </w:p>
    <w:p>
      <w:pPr>
        <w:pStyle w:val="yMiscellaneousBody"/>
        <w:spacing w:before="60"/>
        <w:ind w:left="480"/>
      </w:pPr>
      <w:r>
        <w:t>__________________________________</w:t>
      </w:r>
    </w:p>
    <w:p>
      <w:pPr>
        <w:pStyle w:val="yMiscellaneousBody"/>
        <w:spacing w:before="60"/>
        <w:ind w:left="480"/>
      </w:pPr>
      <w:r>
        <w:t>Signature of person making declaration</w:t>
      </w:r>
    </w:p>
    <w:p>
      <w:pPr>
        <w:pStyle w:val="yMiscellaneousBody"/>
        <w:spacing w:before="60"/>
        <w:ind w:left="480"/>
      </w:pPr>
    </w:p>
    <w:p>
      <w:pPr>
        <w:pStyle w:val="yMiscellaneousBody"/>
        <w:spacing w:before="60"/>
        <w:ind w:left="480"/>
      </w:pPr>
      <w:r>
        <w:t>_____________________</w:t>
      </w:r>
    </w:p>
    <w:p>
      <w:pPr>
        <w:pStyle w:val="yMiscellaneousBody"/>
        <w:spacing w:before="60"/>
        <w:ind w:left="480"/>
      </w:pPr>
      <w:r>
        <w:t>Date</w:t>
      </w:r>
    </w:p>
    <w:p>
      <w:pPr>
        <w:pStyle w:val="yMiscellaneousBody"/>
        <w:spacing w:before="60"/>
        <w:ind w:left="480"/>
      </w:pPr>
    </w:p>
    <w:p>
      <w:pPr>
        <w:pStyle w:val="yMiscellaneousBody"/>
        <w:spacing w:before="60"/>
        <w:ind w:left="480"/>
      </w:pPr>
    </w:p>
    <w:p>
      <w:pPr>
        <w:pStyle w:val="yMiscellaneousBody"/>
        <w:spacing w:before="60"/>
        <w:ind w:left="480"/>
      </w:pPr>
      <w:r>
        <w:t>*  If there is insufficient space, please use, and attach, a separate page.</w:t>
      </w:r>
    </w:p>
    <w:p>
      <w:pPr>
        <w:pStyle w:val="yFootnotesection"/>
      </w:pPr>
      <w:r>
        <w:tab/>
        <w:t>[Form 2 inserted by Gazette 15 Sep 2009 p. 3599</w:t>
      </w:r>
      <w:r>
        <w:noBreakHyphen/>
        <w:t>604.]</w:t>
      </w:r>
    </w:p>
    <w:p>
      <w:pPr>
        <w:pStyle w:val="yMiscellaneousHeading"/>
        <w:rPr>
          <w:b/>
        </w:rPr>
      </w:pPr>
      <w:r>
        <w:rPr>
          <w:b/>
        </w:rPr>
        <w:t>Form 3</w:t>
      </w:r>
    </w:p>
    <w:p>
      <w:pPr>
        <w:pStyle w:val="yShoulderClause"/>
      </w:pPr>
      <w:r>
        <w:t>[r. 53]</w:t>
      </w:r>
    </w:p>
    <w:p>
      <w:pPr>
        <w:pStyle w:val="yMiscellaneousHeading"/>
        <w:rPr>
          <w:iCs/>
        </w:rPr>
      </w:pPr>
      <w:r>
        <w:rPr>
          <w:i/>
          <w:iCs/>
        </w:rPr>
        <w:t>Water Agencies (Powers) Act 1984</w:t>
      </w:r>
      <w:r>
        <w:rPr>
          <w:iCs/>
        </w:rPr>
        <w:t xml:space="preserve"> s. 103(2)</w:t>
      </w:r>
    </w:p>
    <w:p>
      <w:pPr>
        <w:pStyle w:val="yMiscellaneousHeading"/>
        <w:rPr>
          <w:b/>
          <w:bCs/>
        </w:rPr>
      </w:pPr>
      <w:r>
        <w:rPr>
          <w:b/>
          <w:bCs/>
        </w:rPr>
        <w:t>Infringement notice</w:t>
      </w:r>
    </w:p>
    <w:p>
      <w:pPr>
        <w:pStyle w:val="yMiscellaneousBody"/>
        <w:spacing w:before="60"/>
      </w:pPr>
      <w:r>
        <w:t>No. ............</w:t>
      </w:r>
    </w:p>
    <w:p>
      <w:pPr>
        <w:pStyle w:val="yMiscellaneousBody"/>
        <w:spacing w:before="60"/>
      </w:pPr>
      <w:r>
        <w:t>Surname (Block letters) .........................................................................................</w:t>
      </w:r>
    </w:p>
    <w:p>
      <w:pPr>
        <w:pStyle w:val="yMiscellaneousBody"/>
        <w:spacing w:before="60"/>
      </w:pPr>
      <w:r>
        <w:t>Other names (in full) ..............................................................................................</w:t>
      </w:r>
    </w:p>
    <w:p>
      <w:pPr>
        <w:pStyle w:val="yMiscellaneousBody"/>
        <w:spacing w:before="60"/>
      </w:pPr>
      <w:r>
        <w:t>Address ..................................................................................................................</w:t>
      </w:r>
    </w:p>
    <w:p>
      <w:pPr>
        <w:pStyle w:val="yMiscellaneousBody"/>
        <w:spacing w:before="60"/>
      </w:pPr>
      <w:r>
        <w:t>Town or suburb and postcode ................................................................................</w:t>
      </w:r>
    </w:p>
    <w:p>
      <w:pPr>
        <w:pStyle w:val="yMiscellaneousBody"/>
        <w:spacing w:before="60" w:after="60"/>
      </w:pPr>
      <w:r>
        <w:t xml:space="preserve">It is alleged that you committed an </w:t>
      </w:r>
      <w:r>
        <w:rPr>
          <w:b/>
          <w:bCs/>
        </w:rPr>
        <w:t>offence</w:t>
      </w:r>
      <w: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5386"/>
      </w:tblGrid>
      <w:tr>
        <w:tc>
          <w:tcPr>
            <w:tcW w:w="1418" w:type="dxa"/>
          </w:tcPr>
          <w:p>
            <w:pPr>
              <w:pStyle w:val="yTableNAm"/>
              <w:spacing w:before="60"/>
              <w:rPr>
                <w:b/>
                <w:bCs/>
              </w:rPr>
            </w:pPr>
            <w:r>
              <w:rPr>
                <w:b/>
                <w:bCs/>
              </w:rPr>
              <w:t>Where and when</w:t>
            </w:r>
          </w:p>
        </w:tc>
        <w:tc>
          <w:tcPr>
            <w:tcW w:w="5386" w:type="dxa"/>
          </w:tcPr>
          <w:p>
            <w:pPr>
              <w:pStyle w:val="yTableNAm"/>
              <w:spacing w:before="60"/>
            </w:pPr>
            <w:r>
              <w:t>At ............................................................ on the ................</w:t>
            </w:r>
            <w:r>
              <w:br/>
              <w:t>day of ...................................................... 2000</w:t>
            </w:r>
          </w:p>
        </w:tc>
      </w:tr>
      <w:tr>
        <w:tc>
          <w:tcPr>
            <w:tcW w:w="1418" w:type="dxa"/>
          </w:tcPr>
          <w:p>
            <w:pPr>
              <w:pStyle w:val="yTableNAm"/>
              <w:spacing w:before="60"/>
              <w:rPr>
                <w:b/>
                <w:bCs/>
              </w:rPr>
            </w:pPr>
            <w:r>
              <w:rPr>
                <w:b/>
                <w:bCs/>
              </w:rPr>
              <w:t>Details of offence</w:t>
            </w:r>
          </w:p>
        </w:tc>
        <w:tc>
          <w:tcPr>
            <w:tcW w:w="5386" w:type="dxa"/>
          </w:tcPr>
          <w:p>
            <w:pPr>
              <w:pStyle w:val="yTableNAm"/>
              <w:spacing w:before="60"/>
            </w:pPr>
            <w:r>
              <w:t>Section/Regulation...............................................................</w:t>
            </w:r>
            <w:r>
              <w:br/>
              <w:t>Description of offence .........................................................</w:t>
            </w:r>
            <w:r>
              <w:br/>
              <w:t>..............................................................................................</w:t>
            </w:r>
          </w:p>
        </w:tc>
      </w:tr>
      <w:tr>
        <w:tc>
          <w:tcPr>
            <w:tcW w:w="1418" w:type="dxa"/>
          </w:tcPr>
          <w:p>
            <w:pPr>
              <w:pStyle w:val="yTableNAm"/>
              <w:spacing w:before="60"/>
              <w:rPr>
                <w:b/>
                <w:bCs/>
              </w:rPr>
            </w:pPr>
            <w:r>
              <w:rPr>
                <w:b/>
                <w:bCs/>
              </w:rPr>
              <w:t>Modified penalty</w:t>
            </w:r>
          </w:p>
        </w:tc>
        <w:tc>
          <w:tcPr>
            <w:tcW w:w="5386" w:type="dxa"/>
          </w:tcPr>
          <w:p>
            <w:pPr>
              <w:pStyle w:val="yTableNAm"/>
              <w:spacing w:before="60"/>
            </w:pPr>
            <w:r>
              <w:br/>
              <w:t>$</w:t>
            </w:r>
          </w:p>
        </w:tc>
      </w:tr>
      <w:tr>
        <w:tc>
          <w:tcPr>
            <w:tcW w:w="1418" w:type="dxa"/>
          </w:tcPr>
          <w:p>
            <w:pPr>
              <w:pStyle w:val="yTableNAm"/>
              <w:spacing w:before="60"/>
              <w:rPr>
                <w:b/>
                <w:bCs/>
              </w:rPr>
            </w:pPr>
            <w:r>
              <w:rPr>
                <w:b/>
                <w:bCs/>
              </w:rPr>
              <w:t>Information about this notice</w:t>
            </w:r>
          </w:p>
        </w:tc>
        <w:tc>
          <w:tcPr>
            <w:tcW w:w="5386" w:type="dxa"/>
          </w:tcPr>
          <w:p>
            <w:pPr>
              <w:pStyle w:val="yTableNAm"/>
              <w:spacing w:before="60"/>
            </w:pPr>
            <w:r>
              <w:t>Date: ....................................................................................</w:t>
            </w:r>
            <w:r>
              <w:br/>
              <w:t>Issued at: .............................................................................</w:t>
            </w:r>
            <w:r>
              <w:br/>
              <w:t>By: .......................................................................................</w:t>
            </w:r>
            <w:r>
              <w:br/>
              <w:t>Signature of authorised person: ..........................................</w:t>
            </w:r>
          </w:p>
        </w:tc>
      </w:tr>
    </w:tbl>
    <w:p>
      <w:pPr>
        <w:pStyle w:val="yMiscellaneousBody"/>
        <w:spacing w:before="120"/>
      </w:pPr>
      <w:r>
        <w:t>WHAT YOU MUST DO:</w:t>
      </w:r>
    </w:p>
    <w:tbl>
      <w:tblPr>
        <w:tblW w:w="0" w:type="auto"/>
        <w:tblInd w:w="250" w:type="dxa"/>
        <w:tblLayout w:type="fixed"/>
        <w:tblLook w:val="0000" w:firstRow="0" w:lastRow="0" w:firstColumn="0" w:lastColumn="0" w:noHBand="0" w:noVBand="0"/>
      </w:tblPr>
      <w:tblGrid>
        <w:gridCol w:w="709"/>
        <w:gridCol w:w="6237"/>
      </w:tblGrid>
      <w:tr>
        <w:trPr>
          <w:cantSplit/>
        </w:trPr>
        <w:tc>
          <w:tcPr>
            <w:tcW w:w="709" w:type="dxa"/>
          </w:tcPr>
          <w:p>
            <w:pPr>
              <w:pStyle w:val="yTableNAm"/>
              <w:spacing w:before="60"/>
              <w:rPr>
                <w:b/>
                <w:bCs/>
              </w:rPr>
            </w:pPr>
            <w:r>
              <w:rPr>
                <w:b/>
                <w:bCs/>
              </w:rPr>
              <w:t>1.</w:t>
            </w:r>
          </w:p>
        </w:tc>
        <w:tc>
          <w:tcPr>
            <w:tcW w:w="6237" w:type="dxa"/>
          </w:tcPr>
          <w:p>
            <w:pPr>
              <w:pStyle w:val="yTableNAm"/>
              <w:spacing w:before="60"/>
              <w:rPr>
                <w:b/>
                <w:bCs/>
              </w:rPr>
            </w:pPr>
            <w:r>
              <w:rPr>
                <w:b/>
                <w:bCs/>
              </w:rPr>
              <w:t>You may dispose of this matter by paying the modified penalty within a period of 21 days after this notice is given.</w:t>
            </w:r>
          </w:p>
        </w:tc>
      </w:tr>
      <w:tr>
        <w:trPr>
          <w:cantSplit/>
        </w:trPr>
        <w:tc>
          <w:tcPr>
            <w:tcW w:w="709" w:type="dxa"/>
          </w:tcPr>
          <w:p>
            <w:pPr>
              <w:pStyle w:val="yTableNAm"/>
              <w:spacing w:before="60"/>
              <w:rPr>
                <w:b/>
                <w:bCs/>
              </w:rPr>
            </w:pPr>
          </w:p>
        </w:tc>
        <w:tc>
          <w:tcPr>
            <w:tcW w:w="6237" w:type="dxa"/>
          </w:tcPr>
          <w:p>
            <w:pPr>
              <w:pStyle w:val="yTableNAm"/>
              <w:spacing w:before="60"/>
            </w:pPr>
            <w:r>
              <w:t>PAY THE MODIFIED PENALTY TO:</w:t>
            </w:r>
          </w:p>
        </w:tc>
      </w:tr>
      <w:tr>
        <w:trPr>
          <w:cantSplit/>
        </w:trPr>
        <w:tc>
          <w:tcPr>
            <w:tcW w:w="709" w:type="dxa"/>
          </w:tcPr>
          <w:p>
            <w:pPr>
              <w:pStyle w:val="yTableNAm"/>
              <w:spacing w:before="60"/>
              <w:rPr>
                <w:b/>
                <w:bCs/>
              </w:rPr>
            </w:pPr>
          </w:p>
        </w:tc>
        <w:tc>
          <w:tcPr>
            <w:tcW w:w="6237" w:type="dxa"/>
          </w:tcPr>
          <w:p>
            <w:pPr>
              <w:pStyle w:val="yTableNAm"/>
              <w:spacing w:before="60"/>
              <w:rPr>
                <w:b/>
                <w:bCs/>
              </w:rPr>
            </w:pPr>
            <w:r>
              <w:rPr>
                <w:b/>
                <w:bCs/>
              </w:rPr>
              <w:t>The Chief Finance Officer</w:t>
            </w:r>
            <w:r>
              <w:rPr>
                <w:b/>
                <w:bCs/>
              </w:rPr>
              <w:br/>
            </w:r>
            <w:r>
              <w:rPr>
                <w:b/>
              </w:rPr>
              <w:t>Department of Water and Environmental Regulation</w:t>
            </w:r>
            <w:r>
              <w:rPr>
                <w:b/>
              </w:rPr>
              <w:br/>
              <w:t xml:space="preserve">Locked Bag 33 Cloisters Square </w:t>
            </w:r>
            <w:r>
              <w:rPr>
                <w:b/>
              </w:rPr>
              <w:br/>
              <w:t>PERTH WA 6850</w:t>
            </w:r>
          </w:p>
        </w:tc>
      </w:tr>
      <w:tr>
        <w:trPr>
          <w:cantSplit/>
        </w:trPr>
        <w:tc>
          <w:tcPr>
            <w:tcW w:w="709" w:type="dxa"/>
          </w:tcPr>
          <w:p>
            <w:pPr>
              <w:pStyle w:val="yTableNAm"/>
              <w:spacing w:before="60"/>
              <w:rPr>
                <w:b/>
                <w:bCs/>
              </w:rPr>
            </w:pPr>
          </w:p>
        </w:tc>
        <w:tc>
          <w:tcPr>
            <w:tcW w:w="6237" w:type="dxa"/>
          </w:tcPr>
          <w:p>
            <w:pPr>
              <w:pStyle w:val="yTableNAm"/>
              <w:spacing w:before="60"/>
            </w:pPr>
            <w:r>
              <w:t>If you wish to do so but are unable to make payment within 21 days you may apply to the Department for an extension of time within which the modified penalty may be paid.</w:t>
            </w:r>
          </w:p>
        </w:tc>
      </w:tr>
      <w:tr>
        <w:trPr>
          <w:cantSplit/>
        </w:trPr>
        <w:tc>
          <w:tcPr>
            <w:tcW w:w="709" w:type="dxa"/>
          </w:tcPr>
          <w:p>
            <w:pPr>
              <w:pStyle w:val="yTableNAm"/>
              <w:keepNext/>
              <w:spacing w:before="60"/>
              <w:rPr>
                <w:b/>
                <w:bCs/>
              </w:rPr>
            </w:pPr>
            <w:r>
              <w:rPr>
                <w:b/>
                <w:bCs/>
              </w:rPr>
              <w:t>OR</w:t>
            </w:r>
          </w:p>
        </w:tc>
        <w:tc>
          <w:tcPr>
            <w:tcW w:w="6237" w:type="dxa"/>
          </w:tcPr>
          <w:p>
            <w:pPr>
              <w:pStyle w:val="yTableNAm"/>
              <w:keepNext/>
              <w:spacing w:before="60"/>
            </w:pPr>
            <w:r>
              <w:t>IF YOU DO NOT PAY THE MODIFIED PENALTY</w:t>
            </w:r>
          </w:p>
        </w:tc>
      </w:tr>
      <w:tr>
        <w:trPr>
          <w:cantSplit/>
        </w:trPr>
        <w:tc>
          <w:tcPr>
            <w:tcW w:w="709" w:type="dxa"/>
          </w:tcPr>
          <w:p>
            <w:pPr>
              <w:pStyle w:val="yTableNAm"/>
              <w:spacing w:before="60"/>
              <w:rPr>
                <w:b/>
                <w:bCs/>
              </w:rPr>
            </w:pPr>
            <w:r>
              <w:rPr>
                <w:b/>
                <w:bCs/>
              </w:rPr>
              <w:t>2.</w:t>
            </w:r>
          </w:p>
        </w:tc>
        <w:tc>
          <w:tcPr>
            <w:tcW w:w="6237" w:type="dxa"/>
          </w:tcPr>
          <w:p>
            <w:pPr>
              <w:pStyle w:val="yTableNAm"/>
              <w:spacing w:before="60"/>
              <w:rPr>
                <w:b/>
                <w:bCs/>
              </w:rPr>
            </w:pPr>
            <w:r>
              <w:rPr>
                <w:b/>
                <w:bCs/>
              </w:rPr>
              <w:t>A prosecution notice may be issued against you for the alleged offence, in which case the matter will be dealt with by a COURT.</w:t>
            </w:r>
          </w:p>
        </w:tc>
      </w:tr>
      <w:tr>
        <w:trPr>
          <w:cantSplit/>
        </w:trPr>
        <w:tc>
          <w:tcPr>
            <w:tcW w:w="709" w:type="dxa"/>
          </w:tcPr>
          <w:p>
            <w:pPr>
              <w:pStyle w:val="yTableNAm"/>
              <w:spacing w:before="60"/>
              <w:rPr>
                <w:b/>
                <w:bCs/>
              </w:rPr>
            </w:pPr>
            <w:r>
              <w:rPr>
                <w:b/>
                <w:bCs/>
              </w:rPr>
              <w:t>OR</w:t>
            </w:r>
          </w:p>
        </w:tc>
        <w:tc>
          <w:tcPr>
            <w:tcW w:w="6237" w:type="dxa"/>
          </w:tcPr>
          <w:p>
            <w:pPr>
              <w:pStyle w:val="yTableNAm"/>
              <w:spacing w:before="60"/>
              <w:rPr>
                <w:b/>
                <w:bCs/>
              </w:rPr>
            </w:pPr>
          </w:p>
        </w:tc>
      </w:tr>
      <w:tr>
        <w:trPr>
          <w:cantSplit/>
        </w:trPr>
        <w:tc>
          <w:tcPr>
            <w:tcW w:w="709" w:type="dxa"/>
          </w:tcPr>
          <w:p>
            <w:pPr>
              <w:pStyle w:val="yTableNAm"/>
              <w:spacing w:before="60"/>
              <w:rPr>
                <w:b/>
                <w:bCs/>
              </w:rPr>
            </w:pPr>
          </w:p>
        </w:tc>
        <w:tc>
          <w:tcPr>
            <w:tcW w:w="6237" w:type="dxa"/>
          </w:tcPr>
          <w:p>
            <w:pPr>
              <w:pStyle w:val="yTableNAm"/>
              <w:spacing w:before="60"/>
              <w:rPr>
                <w:b/>
                <w:bCs/>
              </w:rPr>
            </w:pPr>
            <w:r>
              <w:rPr>
                <w:b/>
                <w:bCs/>
              </w:rPr>
              <w:t xml:space="preserve">The modified penalty may be recovered by the Fines Enforcement Registry, in which case — </w:t>
            </w:r>
          </w:p>
          <w:p>
            <w:pPr>
              <w:pStyle w:val="yTableNAm"/>
              <w:spacing w:before="60"/>
              <w:rPr>
                <w:b/>
                <w:bCs/>
              </w:rPr>
            </w:pPr>
            <w:r>
              <w:rPr>
                <w:b/>
                <w:bCs/>
              </w:rPr>
              <w:tab/>
              <w:t>(a)</w:t>
            </w:r>
            <w:r>
              <w:rPr>
                <w:b/>
                <w:bCs/>
              </w:rPr>
              <w:tab/>
              <w:t>additional administrative charges may be incurred;</w:t>
            </w:r>
          </w:p>
          <w:p>
            <w:pPr>
              <w:pStyle w:val="yTableNAm"/>
              <w:spacing w:before="60"/>
              <w:ind w:left="1140" w:hanging="1140"/>
              <w:rPr>
                <w:b/>
                <w:bCs/>
              </w:rPr>
            </w:pPr>
            <w:r>
              <w:rPr>
                <w:b/>
                <w:bCs/>
              </w:rPr>
              <w:tab/>
              <w:t>(b)</w:t>
            </w:r>
            <w:r>
              <w:rPr>
                <w:b/>
                <w:bCs/>
              </w:rPr>
              <w:tab/>
            </w:r>
            <w:r>
              <w:rPr>
                <w:b/>
                <w:szCs w:val="22"/>
              </w:rPr>
              <w:t>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 and</w:t>
            </w:r>
          </w:p>
          <w:p>
            <w:pPr>
              <w:pStyle w:val="yTableNAm"/>
              <w:spacing w:before="60"/>
              <w:ind w:left="1140" w:hanging="1140"/>
              <w:rPr>
                <w:b/>
                <w:bCs/>
              </w:rPr>
            </w:pPr>
            <w:r>
              <w:rPr>
                <w:b/>
                <w:bCs/>
              </w:rPr>
              <w:tab/>
              <w:t>(c)</w:t>
            </w:r>
            <w:r>
              <w:rPr>
                <w:b/>
                <w:bCs/>
              </w:rPr>
              <w:tab/>
              <w:t>you will be given an opportunity to elect to have a prosecution notice for the alleged offence dealt with by a COURT.</w:t>
            </w:r>
          </w:p>
          <w:p>
            <w:pPr>
              <w:pStyle w:val="yTableNAm"/>
              <w:spacing w:before="60"/>
              <w:rPr>
                <w:b/>
                <w:bCs/>
              </w:rPr>
            </w:pPr>
            <w:r>
              <w:rPr>
                <w:b/>
                <w:bCs/>
              </w:rPr>
              <w:t>PAYMENTS AFTER THE DUE DATE CAN ONLY BE MADE WITH A FINAL DEMAND LETTER WHICH INCURS AN ADDITIONAL ENFORCEMENT FEE.</w:t>
            </w:r>
          </w:p>
        </w:tc>
      </w:tr>
    </w:tbl>
    <w:p>
      <w:pPr>
        <w:pStyle w:val="yFootnotesection"/>
      </w:pPr>
      <w:r>
        <w:tab/>
        <w:t>[Form 3 amended by Gazette 14 Jun 2002 p. 2837; 5 Sep 2006 p. 3625; 4 Apr 2008 p. 1313; 23 Jun 2009 p. 2500; 20 Aug 2013 p. 3846; 15 Sep 2017 p. 4795.]</w:t>
      </w:r>
    </w:p>
    <w:p>
      <w:pPr>
        <w:pStyle w:val="yMiscellaneousHeading"/>
        <w:pageBreakBefore/>
        <w:rPr>
          <w:b/>
        </w:rPr>
      </w:pPr>
      <w:r>
        <w:rPr>
          <w:b/>
        </w:rPr>
        <w:t>Form 4</w:t>
      </w:r>
    </w:p>
    <w:p>
      <w:pPr>
        <w:pStyle w:val="yMiscellaneousHeading"/>
        <w:jc w:val="right"/>
      </w:pPr>
      <w:r>
        <w:t>[r. 54]</w:t>
      </w:r>
    </w:p>
    <w:p>
      <w:pPr>
        <w:pStyle w:val="yMiscellaneousHeading"/>
        <w:rPr>
          <w:iCs/>
        </w:rPr>
      </w:pPr>
      <w:r>
        <w:rPr>
          <w:i/>
          <w:iCs/>
        </w:rPr>
        <w:t>Water Agencies (Powers) Act 1984</w:t>
      </w:r>
      <w:r>
        <w:rPr>
          <w:iCs/>
        </w:rPr>
        <w:t xml:space="preserve"> s. 103(6)</w:t>
      </w:r>
    </w:p>
    <w:p>
      <w:pPr>
        <w:pStyle w:val="yMiscellaneousHeading"/>
        <w:rPr>
          <w:b/>
          <w:bCs/>
        </w:rPr>
      </w:pPr>
      <w:r>
        <w:rPr>
          <w:b/>
          <w:bCs/>
        </w:rPr>
        <w:t>Notice of withdrawal of infringement notice</w:t>
      </w:r>
    </w:p>
    <w:p>
      <w:pPr>
        <w:pStyle w:val="yMiscellaneousBody"/>
        <w:spacing w:before="60"/>
      </w:pPr>
      <w:r>
        <w:t>No. ............</w:t>
      </w:r>
    </w:p>
    <w:p>
      <w:pPr>
        <w:pStyle w:val="yMiscellaneousBody"/>
        <w:spacing w:before="60"/>
      </w:pPr>
      <w:r>
        <w:t>Surname (Block letters) .........................................................................................</w:t>
      </w:r>
    </w:p>
    <w:p>
      <w:pPr>
        <w:pStyle w:val="yMiscellaneousBody"/>
        <w:spacing w:before="60"/>
      </w:pPr>
      <w:r>
        <w:t>Other names (in full) .............................................................................................</w:t>
      </w:r>
    </w:p>
    <w:p>
      <w:pPr>
        <w:pStyle w:val="yMiscellaneousBody"/>
        <w:spacing w:before="60"/>
      </w:pPr>
      <w:r>
        <w:t>Address ..................................................................................................................</w:t>
      </w:r>
    </w:p>
    <w:p>
      <w:pPr>
        <w:pStyle w:val="yMiscellaneousBody"/>
        <w:spacing w:before="60"/>
      </w:pPr>
      <w:r>
        <w:t>Town or suburb and postcode ................................................................................</w:t>
      </w:r>
    </w:p>
    <w:p>
      <w:pPr>
        <w:pStyle w:val="yMiscellaneousBody"/>
        <w:spacing w:before="60"/>
      </w:pPr>
      <w:r>
        <w:t>Infringement Notice No. .........................  Date ...... / ...... /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851"/>
        <w:gridCol w:w="5386"/>
      </w:tblGrid>
      <w:tr>
        <w:trPr>
          <w:cantSplit/>
        </w:trPr>
        <w:tc>
          <w:tcPr>
            <w:tcW w:w="567" w:type="dxa"/>
            <w:tcBorders>
              <w:top w:val="nil"/>
              <w:left w:val="nil"/>
              <w:right w:val="nil"/>
            </w:tcBorders>
          </w:tcPr>
          <w:p>
            <w:pPr>
              <w:pStyle w:val="yTableNAm"/>
              <w:rPr>
                <w:b/>
                <w:bCs/>
              </w:rPr>
            </w:pPr>
          </w:p>
        </w:tc>
        <w:tc>
          <w:tcPr>
            <w:tcW w:w="6237" w:type="dxa"/>
            <w:gridSpan w:val="2"/>
            <w:tcBorders>
              <w:top w:val="nil"/>
              <w:left w:val="nil"/>
              <w:right w:val="nil"/>
            </w:tcBorders>
          </w:tcPr>
          <w:p>
            <w:pPr>
              <w:pStyle w:val="yTableNAm"/>
              <w:rPr>
                <w:b/>
                <w:bCs/>
              </w:rPr>
            </w:pPr>
            <w:r>
              <w:rPr>
                <w:b/>
                <w:bCs/>
              </w:rPr>
              <w:t>AN INFRINGEMENT NOTICE GIVEN TO YOU HAS BEEN WITHDRAWN AND NO FURTHER ACTION WILL BE TAKEN*/A SUMMONS WILL BE ISSUED*</w:t>
            </w:r>
          </w:p>
          <w:p>
            <w:pPr>
              <w:pStyle w:val="yTableNAm"/>
              <w:spacing w:after="60"/>
            </w:pPr>
            <w:r>
              <w:t>*  Delete where not applicable.</w:t>
            </w:r>
          </w:p>
        </w:tc>
      </w:tr>
      <w:tr>
        <w:tc>
          <w:tcPr>
            <w:tcW w:w="1418" w:type="dxa"/>
            <w:gridSpan w:val="2"/>
          </w:tcPr>
          <w:p>
            <w:pPr>
              <w:pStyle w:val="yTableNAm"/>
              <w:rPr>
                <w:b/>
                <w:bCs/>
              </w:rPr>
            </w:pPr>
            <w:r>
              <w:rPr>
                <w:b/>
                <w:bCs/>
              </w:rPr>
              <w:t>Information about the withdrawn notice</w:t>
            </w:r>
          </w:p>
        </w:tc>
        <w:tc>
          <w:tcPr>
            <w:tcW w:w="5386" w:type="dxa"/>
          </w:tcPr>
          <w:p>
            <w:pPr>
              <w:pStyle w:val="yTableNAm"/>
            </w:pPr>
            <w:r>
              <w:t>Date of issue: .......................................................................</w:t>
            </w:r>
          </w:p>
          <w:p>
            <w:pPr>
              <w:pStyle w:val="yTableNAm"/>
            </w:pPr>
            <w:r>
              <w:t>Alleged offence: ..................................................................</w:t>
            </w:r>
          </w:p>
          <w:p>
            <w:pPr>
              <w:pStyle w:val="yTableNAm"/>
            </w:pPr>
            <w:r>
              <w:t>Notice number: ....................................................................</w:t>
            </w:r>
          </w:p>
        </w:tc>
      </w:tr>
      <w:tr>
        <w:tc>
          <w:tcPr>
            <w:tcW w:w="1418" w:type="dxa"/>
            <w:gridSpan w:val="2"/>
          </w:tcPr>
          <w:p>
            <w:pPr>
              <w:pStyle w:val="yTableNAm"/>
              <w:rPr>
                <w:b/>
                <w:bCs/>
              </w:rPr>
            </w:pPr>
            <w:r>
              <w:rPr>
                <w:b/>
                <w:bCs/>
              </w:rPr>
              <w:t>Information about this notice</w:t>
            </w:r>
          </w:p>
        </w:tc>
        <w:tc>
          <w:tcPr>
            <w:tcW w:w="5386" w:type="dxa"/>
          </w:tcPr>
          <w:p>
            <w:pPr>
              <w:pStyle w:val="yTableNAm"/>
            </w:pPr>
            <w:r>
              <w:t>Date: ....................................................................................</w:t>
            </w:r>
          </w:p>
          <w:p>
            <w:pPr>
              <w:pStyle w:val="yTableNAm"/>
            </w:pPr>
            <w:r>
              <w:t>Issued at: .............................................................................</w:t>
            </w:r>
          </w:p>
          <w:p>
            <w:pPr>
              <w:pStyle w:val="yTableNAm"/>
            </w:pPr>
            <w:r>
              <w:t>By: .......................................................................................</w:t>
            </w:r>
          </w:p>
          <w:p>
            <w:pPr>
              <w:pStyle w:val="yTableNAm"/>
            </w:pPr>
            <w:r>
              <w:t>Signature of prescribed person: ..........................................</w:t>
            </w:r>
          </w:p>
          <w:p>
            <w:pPr>
              <w:pStyle w:val="yTableNAm"/>
            </w:pPr>
            <w:r>
              <w:t>Title of the office held by the prescribed person: ...............</w:t>
            </w:r>
          </w:p>
        </w:tc>
      </w:tr>
    </w:tbl>
    <w:p>
      <w:pPr>
        <w:pStyle w:val="yFootnotesection"/>
        <w:rPr>
          <w:b/>
        </w:rPr>
      </w:pPr>
      <w:r>
        <w:tab/>
        <w:t>[Form 4 amended by Gazette 14 Jun 2002 p. 2837; 23 Jun 2009 p. 2500.]</w:t>
      </w:r>
    </w:p>
    <w:p>
      <w:pPr>
        <w:pStyle w:val="yMiscellaneousHeading"/>
        <w:pageBreakBefore/>
        <w:rPr>
          <w:b/>
        </w:rPr>
      </w:pPr>
      <w:r>
        <w:rPr>
          <w:b/>
        </w:rPr>
        <w:t>Form 5</w:t>
      </w:r>
    </w:p>
    <w:p>
      <w:pPr>
        <w:pStyle w:val="yMiscellaneousHeading"/>
        <w:spacing w:before="120"/>
        <w:rPr>
          <w:i/>
          <w:iCs/>
        </w:rPr>
      </w:pPr>
      <w:r>
        <w:rPr>
          <w:i/>
          <w:iCs/>
        </w:rPr>
        <w:t>Rights in Water and Irrigation Act 1914</w:t>
      </w:r>
    </w:p>
    <w:p>
      <w:pPr>
        <w:pStyle w:val="yMiscellaneousHeading"/>
        <w:spacing w:before="0"/>
        <w:rPr>
          <w:iCs/>
        </w:rPr>
      </w:pPr>
      <w:r>
        <w:rPr>
          <w:i/>
          <w:iCs/>
        </w:rPr>
        <w:t>Water Agencies (Powers) Act 1984</w:t>
      </w:r>
      <w:r>
        <w:rPr>
          <w:iCs/>
        </w:rPr>
        <w:t xml:space="preserve"> s. 103(11)</w:t>
      </w:r>
    </w:p>
    <w:p>
      <w:pPr>
        <w:pStyle w:val="yMiscellaneousHeading"/>
        <w:spacing w:before="120"/>
        <w:rPr>
          <w:b/>
          <w:bCs/>
        </w:rPr>
      </w:pPr>
      <w:r>
        <w:rPr>
          <w:b/>
          <w:bCs/>
        </w:rPr>
        <w:t>Certificate that person is an authorised person</w:t>
      </w:r>
    </w:p>
    <w:p>
      <w:pPr>
        <w:pStyle w:val="yMiscellaneousBody"/>
        <w:spacing w:before="60"/>
      </w:pPr>
    </w:p>
    <w:p>
      <w:pPr>
        <w:pStyle w:val="yMiscellaneousBody"/>
        <w:spacing w:before="60"/>
      </w:pPr>
      <w:r>
        <w:t>No. .............................................</w:t>
      </w:r>
    </w:p>
    <w:p>
      <w:pPr>
        <w:pStyle w:val="yMiscellaneousBody"/>
        <w:spacing w:before="60"/>
      </w:pPr>
      <w:r>
        <w:t>Photograph of authorised person</w:t>
      </w:r>
    </w:p>
    <w:p>
      <w:pPr>
        <w:pStyle w:val="yMiscellaneousBody"/>
        <w:spacing w:before="0"/>
      </w:pPr>
    </w:p>
    <w:p>
      <w:pPr>
        <w:pStyle w:val="yMiscellaneousBody"/>
        <w:spacing w:before="60"/>
      </w:pPr>
      <w:r>
        <w:t>.................................................................</w:t>
      </w:r>
      <w:r>
        <w:br/>
        <w:t>(Name)</w:t>
      </w:r>
    </w:p>
    <w:p>
      <w:pPr>
        <w:pStyle w:val="yMiscellaneousBody"/>
        <w:spacing w:before="0"/>
      </w:pPr>
    </w:p>
    <w:p>
      <w:pPr>
        <w:pStyle w:val="yMiscellaneousBody"/>
        <w:spacing w:before="60"/>
      </w:pPr>
      <w:r>
        <w:t>..................................................................</w:t>
      </w:r>
      <w:r>
        <w:br/>
        <w:t>(Signature)</w:t>
      </w:r>
    </w:p>
    <w:p>
      <w:pPr>
        <w:pStyle w:val="yMiscellaneousBody"/>
        <w:spacing w:before="0"/>
      </w:pPr>
    </w:p>
    <w:p>
      <w:pPr>
        <w:pStyle w:val="yMiscellaneousBody"/>
        <w:spacing w:before="60"/>
      </w:pPr>
      <w:r>
        <w:t>..................................................................</w:t>
      </w:r>
    </w:p>
    <w:p>
      <w:pPr>
        <w:pStyle w:val="yMiscellaneousBody"/>
        <w:spacing w:before="0"/>
      </w:pPr>
      <w:r>
        <w:t>(Title of the office held by the authorised person)</w:t>
      </w:r>
    </w:p>
    <w:p>
      <w:pPr>
        <w:pStyle w:val="yMiscellaneousBody"/>
        <w:spacing w:before="0"/>
      </w:pPr>
    </w:p>
    <w:p>
      <w:pPr>
        <w:pStyle w:val="yMiscellaneousBody"/>
        <w:spacing w:before="60"/>
      </w:pPr>
      <w:r>
        <w:t>...................................................................</w:t>
      </w:r>
      <w:r>
        <w:br/>
        <w:t>(Date of issue)</w:t>
      </w:r>
    </w:p>
    <w:p>
      <w:pPr>
        <w:pStyle w:val="yMiscellaneousBody"/>
        <w:spacing w:before="0"/>
      </w:pPr>
    </w:p>
    <w:p>
      <w:pPr>
        <w:pStyle w:val="yMiscellaneousBody"/>
        <w:spacing w:before="60"/>
      </w:pPr>
      <w:r>
        <w:t>...................................................................</w:t>
      </w:r>
      <w:r>
        <w:br/>
        <w:t>(Date of expiry)</w:t>
      </w:r>
    </w:p>
    <w:p>
      <w:pPr>
        <w:pStyle w:val="yMiscellaneousBody"/>
        <w:spacing w:before="0"/>
      </w:pPr>
    </w:p>
    <w:p>
      <w:pPr>
        <w:pStyle w:val="yMiscellaneousBody"/>
        <w:spacing w:before="60"/>
        <w:rPr>
          <w:iCs/>
        </w:rPr>
      </w:pPr>
      <w:r>
        <w:t xml:space="preserve">This is to certify that the person identified on this certificate is authorised, in accordance with section 103 of the </w:t>
      </w:r>
      <w:r>
        <w:rPr>
          <w:i/>
        </w:rPr>
        <w:t>Water Agencies (Powers) Act 1984</w:t>
      </w:r>
      <w:r>
        <w:t xml:space="preserve">, to give infringement notices under the </w:t>
      </w:r>
      <w:r>
        <w:rPr>
          <w:i/>
          <w:iCs/>
        </w:rPr>
        <w:t>Rights in Water and Irrigation Regulations 2000</w:t>
      </w:r>
      <w:r>
        <w:rPr>
          <w:iCs/>
        </w:rPr>
        <w:t>.</w:t>
      </w:r>
    </w:p>
    <w:p>
      <w:pPr>
        <w:pStyle w:val="ySubsection"/>
        <w:spacing w:before="120"/>
      </w:pPr>
      <w:r>
        <w:t>Signed: .......................................................................</w:t>
      </w:r>
    </w:p>
    <w:p>
      <w:pPr>
        <w:pStyle w:val="ySubsection"/>
        <w:tabs>
          <w:tab w:val="clear" w:pos="595"/>
          <w:tab w:val="clear" w:pos="879"/>
        </w:tabs>
        <w:spacing w:before="120"/>
        <w:ind w:left="0" w:firstLine="0"/>
      </w:pPr>
      <w:r>
        <w:t xml:space="preserve">Chief executive officer of the Department </w:t>
      </w:r>
      <w:r>
        <w:rPr>
          <w:i/>
        </w:rPr>
        <w:t xml:space="preserve">or </w:t>
      </w:r>
      <w:r>
        <w:t>Chief executive officer of the Water Corporation on behalf of the Water Corporation.*</w:t>
      </w:r>
    </w:p>
    <w:p>
      <w:pPr>
        <w:pStyle w:val="ySubsection"/>
        <w:spacing w:before="120"/>
      </w:pPr>
      <w:r>
        <w:t>* Delete the inapplicable.</w:t>
      </w:r>
    </w:p>
    <w:p>
      <w:pPr>
        <w:pStyle w:val="yFootnotesection"/>
      </w:pPr>
      <w:r>
        <w:tab/>
        <w:t>[Form 5 amended by Gazette 14 Jun 2002 p. 2837; 23 Jun 2009 p. 2501; 15 Sep 2017 p. 4795.]</w:t>
      </w:r>
    </w:p>
    <w:p>
      <w:pPr>
        <w:pStyle w:val="yScheduleHeading"/>
      </w:pPr>
      <w:bookmarkStart w:id="138" w:name="_Toc500246102"/>
      <w:bookmarkStart w:id="139" w:name="_Toc500246116"/>
      <w:bookmarkStart w:id="140" w:name="_Toc500246420"/>
      <w:bookmarkStart w:id="141" w:name="_Toc500247468"/>
      <w:bookmarkStart w:id="142" w:name="_Toc500247569"/>
      <w:bookmarkStart w:id="143" w:name="_Toc500314868"/>
      <w:bookmarkStart w:id="144" w:name="_Toc500315225"/>
      <w:bookmarkStart w:id="145" w:name="_Toc503513208"/>
      <w:bookmarkStart w:id="146" w:name="_Toc506886897"/>
      <w:bookmarkStart w:id="147" w:name="_Toc528669129"/>
      <w:bookmarkStart w:id="148" w:name="_Toc528669862"/>
      <w:r>
        <w:rPr>
          <w:rStyle w:val="CharSchNo"/>
        </w:rPr>
        <w:t>Schedule 4</w:t>
      </w:r>
      <w:r>
        <w:t> —</w:t>
      </w:r>
      <w:r>
        <w:rPr>
          <w:sz w:val="24"/>
        </w:rPr>
        <w:t> </w:t>
      </w:r>
      <w:r>
        <w:rPr>
          <w:rStyle w:val="CharSchText"/>
        </w:rPr>
        <w:t>Gnangara groundwater plan area</w:t>
      </w:r>
      <w:bookmarkEnd w:id="138"/>
      <w:bookmarkEnd w:id="139"/>
      <w:bookmarkEnd w:id="140"/>
      <w:bookmarkEnd w:id="141"/>
      <w:bookmarkEnd w:id="142"/>
      <w:bookmarkEnd w:id="143"/>
      <w:bookmarkEnd w:id="144"/>
      <w:bookmarkEnd w:id="145"/>
      <w:bookmarkEnd w:id="146"/>
      <w:bookmarkEnd w:id="147"/>
      <w:bookmarkEnd w:id="148"/>
    </w:p>
    <w:p>
      <w:pPr>
        <w:pStyle w:val="yShoulderClause"/>
      </w:pPr>
      <w:r>
        <w:t>[r. 41A]</w:t>
      </w:r>
    </w:p>
    <w:p>
      <w:pPr>
        <w:pStyle w:val="yFootnoteheading"/>
        <w:spacing w:after="80"/>
      </w:pPr>
      <w:r>
        <w:tab/>
        <w:t>[Heading inserted by Gazette 20 Feb 2018 p. 500.]</w:t>
      </w:r>
    </w:p>
    <w:p>
      <w:pPr>
        <w:pStyle w:val="yMiscellaneousBody"/>
        <w:jc w:val="center"/>
      </w:pPr>
      <w:r>
        <w:rPr>
          <w:noProof/>
        </w:rPr>
        <w:drawing>
          <wp:inline distT="0" distB="0" distL="0" distR="0">
            <wp:extent cx="3852765" cy="5387249"/>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3869884" cy="5411186"/>
                    </a:xfrm>
                    <a:prstGeom prst="rect">
                      <a:avLst/>
                    </a:prstGeom>
                  </pic:spPr>
                </pic:pic>
              </a:graphicData>
            </a:graphic>
          </wp:inline>
        </w:drawing>
      </w:r>
    </w:p>
    <w:p>
      <w:pPr>
        <w:pStyle w:val="yFootnotesection"/>
      </w:pPr>
      <w:r>
        <w:tab/>
        <w:t>[Schedule 4 inserted by Gazette 20 Feb 2018 p. 500.]</w:t>
      </w:r>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pPr>
      <w:bookmarkStart w:id="150" w:name="_Toc493168686"/>
      <w:bookmarkStart w:id="151" w:name="_Toc493233836"/>
      <w:bookmarkStart w:id="152" w:name="_Toc506886898"/>
      <w:bookmarkStart w:id="153" w:name="_Toc528669130"/>
      <w:bookmarkStart w:id="154" w:name="_Toc528669863"/>
      <w:r>
        <w:t>Notes</w:t>
      </w:r>
      <w:bookmarkEnd w:id="150"/>
      <w:bookmarkEnd w:id="151"/>
      <w:bookmarkEnd w:id="152"/>
      <w:bookmarkEnd w:id="153"/>
      <w:bookmarkEnd w:id="154"/>
    </w:p>
    <w:p>
      <w:pPr>
        <w:pStyle w:val="nSubsection"/>
        <w:rPr>
          <w:snapToGrid w:val="0"/>
        </w:rPr>
      </w:pPr>
      <w:r>
        <w:rPr>
          <w:snapToGrid w:val="0"/>
          <w:vertAlign w:val="superscript"/>
        </w:rPr>
        <w:t>1</w:t>
      </w:r>
      <w:r>
        <w:rPr>
          <w:snapToGrid w:val="0"/>
        </w:rPr>
        <w:tab/>
        <w:t xml:space="preserve">This is a compilation of the </w:t>
      </w:r>
      <w:r>
        <w:rPr>
          <w:i/>
          <w:noProof/>
          <w:snapToGrid w:val="0"/>
        </w:rPr>
        <w:t>Rights in Water and Irrigation Regulations 2000</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pPr>
      <w:bookmarkStart w:id="155" w:name="_Toc528669864"/>
      <w:r>
        <w:t>Compilation table</w:t>
      </w:r>
      <w:bookmarkEnd w:id="155"/>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Borders>
              <w:top w:val="single" w:sz="8" w:space="0" w:color="auto"/>
            </w:tcBorders>
          </w:tcPr>
          <w:p>
            <w:pPr>
              <w:pStyle w:val="nTable"/>
              <w:spacing w:after="40"/>
              <w:ind w:right="113"/>
              <w:rPr>
                <w:i/>
              </w:rPr>
            </w:pPr>
            <w:r>
              <w:rPr>
                <w:i/>
              </w:rPr>
              <w:t>Rights in Water and Irrigation Regulations 2000</w:t>
            </w:r>
          </w:p>
        </w:tc>
        <w:tc>
          <w:tcPr>
            <w:tcW w:w="1276" w:type="dxa"/>
            <w:tcBorders>
              <w:top w:val="single" w:sz="8" w:space="0" w:color="auto"/>
            </w:tcBorders>
          </w:tcPr>
          <w:p>
            <w:pPr>
              <w:pStyle w:val="nTable"/>
              <w:spacing w:after="40"/>
            </w:pPr>
            <w:r>
              <w:t>10 Jan 2001 p. 165</w:t>
            </w:r>
            <w:r>
              <w:noBreakHyphen/>
              <w:t>210</w:t>
            </w:r>
          </w:p>
        </w:tc>
        <w:tc>
          <w:tcPr>
            <w:tcW w:w="2693" w:type="dxa"/>
            <w:tcBorders>
              <w:top w:val="single" w:sz="8" w:space="0" w:color="auto"/>
            </w:tcBorders>
          </w:tcPr>
          <w:p>
            <w:pPr>
              <w:pStyle w:val="nTable"/>
              <w:spacing w:after="40"/>
            </w:pPr>
            <w:r>
              <w:t>10 Jan 2001 (see r. 2 and </w:t>
            </w:r>
            <w:r>
              <w:rPr>
                <w:i/>
              </w:rPr>
              <w:t xml:space="preserve">Gazette </w:t>
            </w:r>
            <w:r>
              <w:t>10 Jan 2001 p. 163)</w:t>
            </w:r>
          </w:p>
        </w:tc>
      </w:tr>
      <w:tr>
        <w:trPr>
          <w:cantSplit/>
        </w:trPr>
        <w:tc>
          <w:tcPr>
            <w:tcW w:w="3118" w:type="dxa"/>
          </w:tcPr>
          <w:p>
            <w:pPr>
              <w:pStyle w:val="nTable"/>
              <w:spacing w:after="40"/>
              <w:ind w:right="113"/>
              <w:rPr>
                <w:i/>
              </w:rPr>
            </w:pPr>
            <w:r>
              <w:rPr>
                <w:i/>
              </w:rPr>
              <w:t>Rights in Water and Irrigation Amendment Regulations 2002</w:t>
            </w:r>
          </w:p>
        </w:tc>
        <w:tc>
          <w:tcPr>
            <w:tcW w:w="1276" w:type="dxa"/>
          </w:tcPr>
          <w:p>
            <w:pPr>
              <w:pStyle w:val="nTable"/>
              <w:spacing w:after="40"/>
            </w:pPr>
            <w:r>
              <w:t>14 Jun 2002 p. 2835</w:t>
            </w:r>
            <w:r>
              <w:noBreakHyphen/>
              <w:t>7</w:t>
            </w:r>
          </w:p>
        </w:tc>
        <w:tc>
          <w:tcPr>
            <w:tcW w:w="2693" w:type="dxa"/>
          </w:tcPr>
          <w:p>
            <w:pPr>
              <w:pStyle w:val="nTable"/>
              <w:spacing w:after="40"/>
            </w:pPr>
            <w:r>
              <w:t xml:space="preserve">14 Jun 2002 </w:t>
            </w:r>
          </w:p>
        </w:tc>
      </w:tr>
      <w:tr>
        <w:trPr>
          <w:cantSplit/>
        </w:trPr>
        <w:tc>
          <w:tcPr>
            <w:tcW w:w="3118" w:type="dxa"/>
          </w:tcPr>
          <w:p>
            <w:pPr>
              <w:pStyle w:val="nTable"/>
              <w:spacing w:after="40"/>
              <w:ind w:right="113"/>
              <w:rPr>
                <w:i/>
              </w:rPr>
            </w:pPr>
            <w:r>
              <w:rPr>
                <w:i/>
              </w:rPr>
              <w:t>Rights in Water and Irrigation Amendment Regulations (No. 2) 2002</w:t>
            </w:r>
          </w:p>
        </w:tc>
        <w:tc>
          <w:tcPr>
            <w:tcW w:w="1276" w:type="dxa"/>
          </w:tcPr>
          <w:p>
            <w:pPr>
              <w:pStyle w:val="nTable"/>
              <w:spacing w:after="40"/>
            </w:pPr>
            <w:r>
              <w:t>17 Dec 2002 p. 5911</w:t>
            </w:r>
            <w:r>
              <w:noBreakHyphen/>
              <w:t>18</w:t>
            </w:r>
          </w:p>
        </w:tc>
        <w:tc>
          <w:tcPr>
            <w:tcW w:w="2693" w:type="dxa"/>
          </w:tcPr>
          <w:p>
            <w:pPr>
              <w:pStyle w:val="nTable"/>
              <w:spacing w:after="40"/>
            </w:pPr>
            <w:r>
              <w:t>17 Dec 2002</w:t>
            </w:r>
          </w:p>
        </w:tc>
      </w:tr>
      <w:tr>
        <w:trPr>
          <w:cantSplit/>
        </w:trPr>
        <w:tc>
          <w:tcPr>
            <w:tcW w:w="3118" w:type="dxa"/>
          </w:tcPr>
          <w:p>
            <w:pPr>
              <w:pStyle w:val="nTable"/>
              <w:spacing w:after="40"/>
              <w:ind w:right="113"/>
              <w:rPr>
                <w:i/>
              </w:rPr>
            </w:pPr>
            <w:r>
              <w:rPr>
                <w:i/>
              </w:rPr>
              <w:t>Rights in Water and Irrigation Amendment Regulations 2004</w:t>
            </w:r>
          </w:p>
        </w:tc>
        <w:tc>
          <w:tcPr>
            <w:tcW w:w="1276" w:type="dxa"/>
          </w:tcPr>
          <w:p>
            <w:pPr>
              <w:pStyle w:val="nTable"/>
              <w:spacing w:after="40"/>
            </w:pPr>
            <w:r>
              <w:t>30 Dec 2004 p. 7000</w:t>
            </w:r>
          </w:p>
        </w:tc>
        <w:tc>
          <w:tcPr>
            <w:tcW w:w="2693" w:type="dxa"/>
          </w:tcPr>
          <w:p>
            <w:pPr>
              <w:pStyle w:val="nTable"/>
              <w:spacing w:after="40"/>
            </w:pPr>
            <w:r>
              <w:t xml:space="preserve">1 Jan 2005 (see r. 2 and </w:t>
            </w:r>
            <w:r>
              <w:rPr>
                <w:i/>
              </w:rPr>
              <w:t>Gazette</w:t>
            </w:r>
            <w:r>
              <w:t xml:space="preserve"> 31 Dec 2004 p. 7130)</w:t>
            </w:r>
          </w:p>
        </w:tc>
      </w:tr>
      <w:tr>
        <w:trPr>
          <w:cantSplit/>
        </w:trPr>
        <w:tc>
          <w:tcPr>
            <w:tcW w:w="3118" w:type="dxa"/>
          </w:tcPr>
          <w:p>
            <w:pPr>
              <w:pStyle w:val="nTable"/>
              <w:spacing w:after="40"/>
              <w:ind w:right="113"/>
              <w:rPr>
                <w:i/>
              </w:rPr>
            </w:pPr>
            <w:r>
              <w:rPr>
                <w:i/>
              </w:rPr>
              <w:t>Rights in Water and Irrigation Amendment Regulations 2006</w:t>
            </w:r>
          </w:p>
        </w:tc>
        <w:tc>
          <w:tcPr>
            <w:tcW w:w="1276" w:type="dxa"/>
          </w:tcPr>
          <w:p>
            <w:pPr>
              <w:pStyle w:val="nTable"/>
              <w:spacing w:after="40"/>
            </w:pPr>
            <w:r>
              <w:t>5 Sep 2006 p. 3623</w:t>
            </w:r>
            <w:r>
              <w:noBreakHyphen/>
              <w:t>5</w:t>
            </w:r>
          </w:p>
        </w:tc>
        <w:tc>
          <w:tcPr>
            <w:tcW w:w="2693" w:type="dxa"/>
          </w:tcPr>
          <w:p>
            <w:pPr>
              <w:pStyle w:val="nTable"/>
              <w:spacing w:after="40"/>
            </w:pPr>
            <w:r>
              <w:t>5 Sep 2006</w:t>
            </w:r>
          </w:p>
        </w:tc>
      </w:tr>
      <w:tr>
        <w:trPr>
          <w:cantSplit/>
        </w:trPr>
        <w:tc>
          <w:tcPr>
            <w:tcW w:w="7087" w:type="dxa"/>
            <w:gridSpan w:val="3"/>
          </w:tcPr>
          <w:p>
            <w:pPr>
              <w:pStyle w:val="nTable"/>
              <w:spacing w:after="40"/>
            </w:pPr>
            <w:r>
              <w:rPr>
                <w:b/>
                <w:bCs/>
              </w:rPr>
              <w:t xml:space="preserve">Reprint 1:  The </w:t>
            </w:r>
            <w:r>
              <w:rPr>
                <w:b/>
                <w:bCs/>
                <w:i/>
              </w:rPr>
              <w:t xml:space="preserve">Rights in Water and Irrigation Regulations 2000 </w:t>
            </w:r>
            <w:r>
              <w:rPr>
                <w:b/>
                <w:bCs/>
              </w:rPr>
              <w:t xml:space="preserve">as at 9 Feb 2007 </w:t>
            </w:r>
            <w:r>
              <w:t>(includes amendments listed above)</w:t>
            </w:r>
          </w:p>
        </w:tc>
      </w:tr>
      <w:tr>
        <w:trPr>
          <w:cantSplit/>
        </w:trPr>
        <w:tc>
          <w:tcPr>
            <w:tcW w:w="3118" w:type="dxa"/>
          </w:tcPr>
          <w:p>
            <w:pPr>
              <w:pStyle w:val="nTable"/>
              <w:spacing w:after="40"/>
              <w:ind w:right="113"/>
              <w:rPr>
                <w:i/>
              </w:rPr>
            </w:pPr>
            <w:r>
              <w:rPr>
                <w:i/>
              </w:rPr>
              <w:t>Rights in Water and Irrigation Amendment Regulations 2007</w:t>
            </w:r>
            <w:r>
              <w:rPr>
                <w:iCs/>
                <w:vertAlign w:val="superscript"/>
              </w:rPr>
              <w:t> 4</w:t>
            </w:r>
          </w:p>
        </w:tc>
        <w:tc>
          <w:tcPr>
            <w:tcW w:w="1276" w:type="dxa"/>
          </w:tcPr>
          <w:p>
            <w:pPr>
              <w:pStyle w:val="nTable"/>
              <w:spacing w:after="40"/>
            </w:pPr>
            <w:r>
              <w:t>22 Jun 2007 p. 2877</w:t>
            </w:r>
            <w:r>
              <w:noBreakHyphen/>
              <w:t>83</w:t>
            </w:r>
          </w:p>
        </w:tc>
        <w:tc>
          <w:tcPr>
            <w:tcW w:w="2693" w:type="dxa"/>
          </w:tcPr>
          <w:p>
            <w:pPr>
              <w:pStyle w:val="nTable"/>
              <w:spacing w:after="40"/>
            </w:pPr>
            <w:r>
              <w:rPr>
                <w:snapToGrid w:val="0"/>
              </w:rPr>
              <w:t>r. 1 and 2: 22 Jun 2007 (see r. 2(a));</w:t>
            </w:r>
            <w:r>
              <w:rPr>
                <w:snapToGrid w:val="0"/>
              </w:rPr>
              <w:br/>
              <w:t>Regulations other than r. 1 and 2: 1 Jul 2007 (see r. 2(b))</w:t>
            </w:r>
          </w:p>
        </w:tc>
      </w:tr>
      <w:tr>
        <w:trPr>
          <w:cantSplit/>
        </w:trPr>
        <w:tc>
          <w:tcPr>
            <w:tcW w:w="3118" w:type="dxa"/>
          </w:tcPr>
          <w:p>
            <w:pPr>
              <w:pStyle w:val="nTable"/>
              <w:spacing w:after="40"/>
              <w:ind w:right="113"/>
              <w:rPr>
                <w:i/>
              </w:rPr>
            </w:pPr>
            <w:r>
              <w:rPr>
                <w:i/>
              </w:rPr>
              <w:t>Rights in Water and Irrigation Amendment Regulations (No. 2) 2007</w:t>
            </w:r>
          </w:p>
        </w:tc>
        <w:tc>
          <w:tcPr>
            <w:tcW w:w="1276" w:type="dxa"/>
          </w:tcPr>
          <w:p>
            <w:pPr>
              <w:pStyle w:val="nTable"/>
              <w:spacing w:after="40"/>
            </w:pPr>
            <w:r>
              <w:t>12 Oct 2007 p. 5510-11</w:t>
            </w:r>
          </w:p>
        </w:tc>
        <w:tc>
          <w:tcPr>
            <w:tcW w:w="2693" w:type="dxa"/>
          </w:tcPr>
          <w:p>
            <w:pPr>
              <w:pStyle w:val="nTable"/>
              <w:spacing w:after="40"/>
              <w:rPr>
                <w:snapToGrid w:val="0"/>
              </w:rPr>
            </w:pPr>
            <w:r>
              <w:rPr>
                <w:snapToGrid w:val="0"/>
              </w:rPr>
              <w:t>r. 1 and 2: 12 Oct 2007 (see r. 2(a));</w:t>
            </w:r>
            <w:r>
              <w:rPr>
                <w:snapToGrid w:val="0"/>
              </w:rPr>
              <w:br/>
              <w:t>Regulations other than r. 1 and 2: 13 Oct 2007 (see r. 2(b))</w:t>
            </w:r>
          </w:p>
        </w:tc>
      </w:tr>
      <w:tr>
        <w:trPr>
          <w:cantSplit/>
        </w:trPr>
        <w:tc>
          <w:tcPr>
            <w:tcW w:w="3118" w:type="dxa"/>
          </w:tcPr>
          <w:p>
            <w:pPr>
              <w:pStyle w:val="nTable"/>
              <w:spacing w:after="40"/>
              <w:ind w:right="113"/>
              <w:rPr>
                <w:iCs/>
              </w:rPr>
            </w:pPr>
            <w:r>
              <w:rPr>
                <w:i/>
              </w:rPr>
              <w:t>Rights in Water and Irrigation Amendment Regulations (No. 3) 2007</w:t>
            </w:r>
            <w:r>
              <w:rPr>
                <w:iCs/>
                <w:vertAlign w:val="superscript"/>
              </w:rPr>
              <w:t> 5</w:t>
            </w:r>
          </w:p>
        </w:tc>
        <w:tc>
          <w:tcPr>
            <w:tcW w:w="1276" w:type="dxa"/>
          </w:tcPr>
          <w:p>
            <w:pPr>
              <w:pStyle w:val="nTable"/>
              <w:spacing w:after="40"/>
            </w:pPr>
            <w:r>
              <w:t>28 Dec 2007 p. 6425-31</w:t>
            </w:r>
          </w:p>
        </w:tc>
        <w:tc>
          <w:tcPr>
            <w:tcW w:w="2693" w:type="dxa"/>
          </w:tcPr>
          <w:p>
            <w:pPr>
              <w:pStyle w:val="nTable"/>
              <w:spacing w:after="40"/>
              <w:rPr>
                <w:snapToGrid w:val="0"/>
              </w:rPr>
            </w:pPr>
            <w:r>
              <w:rPr>
                <w:snapToGrid w:val="0"/>
              </w:rPr>
              <w:t>r. 1 and 2: 28 Dec 2007 (see r. 2(a));</w:t>
            </w:r>
            <w:r>
              <w:rPr>
                <w:snapToGrid w:val="0"/>
              </w:rPr>
              <w:br/>
              <w:t>Regulations other than r. 1 and 2: 29 Dec 2007 (see r. 2(b))</w:t>
            </w:r>
          </w:p>
        </w:tc>
      </w:tr>
      <w:tr>
        <w:trPr>
          <w:cantSplit/>
        </w:trPr>
        <w:tc>
          <w:tcPr>
            <w:tcW w:w="3118" w:type="dxa"/>
          </w:tcPr>
          <w:p>
            <w:pPr>
              <w:pStyle w:val="nTable"/>
              <w:spacing w:after="40"/>
              <w:ind w:right="113"/>
              <w:rPr>
                <w:i/>
              </w:rPr>
            </w:pPr>
            <w:r>
              <w:rPr>
                <w:i/>
              </w:rPr>
              <w:t>Rights in Water and Irrigation Amendment Regulations 2008</w:t>
            </w:r>
          </w:p>
        </w:tc>
        <w:tc>
          <w:tcPr>
            <w:tcW w:w="1276" w:type="dxa"/>
          </w:tcPr>
          <w:p>
            <w:pPr>
              <w:pStyle w:val="nTable"/>
              <w:spacing w:after="40"/>
            </w:pPr>
            <w:r>
              <w:t>4 Apr 2008 p. 1312-13</w:t>
            </w:r>
          </w:p>
        </w:tc>
        <w:tc>
          <w:tcPr>
            <w:tcW w:w="2693" w:type="dxa"/>
          </w:tcPr>
          <w:p>
            <w:pPr>
              <w:pStyle w:val="nTable"/>
              <w:spacing w:after="40"/>
              <w:rPr>
                <w:snapToGrid w:val="0"/>
              </w:rPr>
            </w:pPr>
            <w:r>
              <w:rPr>
                <w:snapToGrid w:val="0"/>
              </w:rPr>
              <w:t>r. 1 and 2: 4 Apr 2008 (see r. 2(a));</w:t>
            </w:r>
            <w:r>
              <w:rPr>
                <w:snapToGrid w:val="0"/>
              </w:rPr>
              <w:br/>
              <w:t>Regulations other than r. 1 and 2: 5 Apr 2008 (see r. 2(b))</w:t>
            </w:r>
          </w:p>
        </w:tc>
      </w:tr>
      <w:tr>
        <w:trPr>
          <w:cantSplit/>
        </w:trPr>
        <w:tc>
          <w:tcPr>
            <w:tcW w:w="3118" w:type="dxa"/>
          </w:tcPr>
          <w:p>
            <w:pPr>
              <w:pStyle w:val="nTable"/>
              <w:spacing w:after="40"/>
              <w:ind w:right="113"/>
              <w:rPr>
                <w:i/>
              </w:rPr>
            </w:pPr>
            <w:r>
              <w:rPr>
                <w:i/>
              </w:rPr>
              <w:t>Rights in Water and Irrigation Amendment Regulations 2009</w:t>
            </w:r>
          </w:p>
        </w:tc>
        <w:tc>
          <w:tcPr>
            <w:tcW w:w="1276" w:type="dxa"/>
          </w:tcPr>
          <w:p>
            <w:pPr>
              <w:pStyle w:val="nTable"/>
              <w:spacing w:after="40"/>
            </w:pPr>
            <w:r>
              <w:t>23 Jun 2009 p. 2495-501</w:t>
            </w:r>
          </w:p>
        </w:tc>
        <w:tc>
          <w:tcPr>
            <w:tcW w:w="2693" w:type="dxa"/>
          </w:tcPr>
          <w:p>
            <w:pPr>
              <w:pStyle w:val="nTable"/>
              <w:spacing w:after="40"/>
              <w:rPr>
                <w:snapToGrid w:val="0"/>
              </w:rPr>
            </w:pPr>
            <w:r>
              <w:rPr>
                <w:snapToGrid w:val="0"/>
              </w:rPr>
              <w:t>r. 1 and 2: 23 Jun 2009 (see r. 2(a));</w:t>
            </w:r>
            <w:r>
              <w:rPr>
                <w:snapToGrid w:val="0"/>
              </w:rPr>
              <w:br/>
              <w:t>Regulations other than r. 1 and 2: 24 Jun 2009 (see r. 2(b))</w:t>
            </w:r>
          </w:p>
        </w:tc>
      </w:tr>
      <w:tr>
        <w:trPr>
          <w:cantSplit/>
        </w:trPr>
        <w:tc>
          <w:tcPr>
            <w:tcW w:w="7087" w:type="dxa"/>
            <w:gridSpan w:val="3"/>
          </w:tcPr>
          <w:p>
            <w:pPr>
              <w:pStyle w:val="nTable"/>
              <w:spacing w:after="40"/>
              <w:rPr>
                <w:snapToGrid w:val="0"/>
              </w:rPr>
            </w:pPr>
            <w:r>
              <w:rPr>
                <w:b/>
                <w:bCs/>
              </w:rPr>
              <w:t xml:space="preserve">Reprint 2:  The </w:t>
            </w:r>
            <w:r>
              <w:rPr>
                <w:b/>
                <w:bCs/>
                <w:i/>
              </w:rPr>
              <w:t xml:space="preserve">Rights in Water and Irrigation Regulations 2000 </w:t>
            </w:r>
            <w:r>
              <w:rPr>
                <w:b/>
                <w:bCs/>
              </w:rPr>
              <w:t xml:space="preserve">as at 7 Aug 2009 </w:t>
            </w:r>
            <w:r>
              <w:t>(includes amendments listed above)</w:t>
            </w:r>
          </w:p>
        </w:tc>
      </w:tr>
      <w:tr>
        <w:trPr>
          <w:cantSplit/>
        </w:trPr>
        <w:tc>
          <w:tcPr>
            <w:tcW w:w="3118" w:type="dxa"/>
          </w:tcPr>
          <w:p>
            <w:pPr>
              <w:pStyle w:val="nTable"/>
              <w:spacing w:after="40"/>
              <w:ind w:right="113"/>
              <w:rPr>
                <w:i/>
              </w:rPr>
            </w:pPr>
            <w:r>
              <w:rPr>
                <w:i/>
              </w:rPr>
              <w:t>Rights in Water and Irrigation Amendment Regulations (No. 2) 2009</w:t>
            </w:r>
          </w:p>
        </w:tc>
        <w:tc>
          <w:tcPr>
            <w:tcW w:w="1276" w:type="dxa"/>
          </w:tcPr>
          <w:p>
            <w:pPr>
              <w:pStyle w:val="nTable"/>
              <w:spacing w:after="40"/>
            </w:pPr>
            <w:r>
              <w:t>15 Sep 2009 p. 3599</w:t>
            </w:r>
            <w:r>
              <w:noBreakHyphen/>
              <w:t>604</w:t>
            </w:r>
          </w:p>
        </w:tc>
        <w:tc>
          <w:tcPr>
            <w:tcW w:w="2693" w:type="dxa"/>
          </w:tcPr>
          <w:p>
            <w:pPr>
              <w:pStyle w:val="nTable"/>
              <w:spacing w:after="40"/>
              <w:rPr>
                <w:snapToGrid w:val="0"/>
              </w:rPr>
            </w:pPr>
            <w:r>
              <w:rPr>
                <w:snapToGrid w:val="0"/>
              </w:rPr>
              <w:t>r. 1 and 2: 15 Sep 2009 (see r. 2(a));</w:t>
            </w:r>
            <w:r>
              <w:rPr>
                <w:snapToGrid w:val="0"/>
              </w:rPr>
              <w:br/>
              <w:t>Regulations other than r. 1 and 2: 16 Sep 2009 (see r. 2(b))</w:t>
            </w:r>
          </w:p>
        </w:tc>
      </w:tr>
      <w:tr>
        <w:trPr>
          <w:cantSplit/>
        </w:trPr>
        <w:tc>
          <w:tcPr>
            <w:tcW w:w="3118" w:type="dxa"/>
          </w:tcPr>
          <w:p>
            <w:pPr>
              <w:pStyle w:val="nTable"/>
              <w:spacing w:after="40"/>
              <w:ind w:right="113"/>
              <w:rPr>
                <w:i/>
              </w:rPr>
            </w:pPr>
            <w:r>
              <w:rPr>
                <w:i/>
              </w:rPr>
              <w:t>Rights in Water and Irrigation Amendment Regulations 2010</w:t>
            </w:r>
          </w:p>
        </w:tc>
        <w:tc>
          <w:tcPr>
            <w:tcW w:w="1276" w:type="dxa"/>
          </w:tcPr>
          <w:p>
            <w:pPr>
              <w:pStyle w:val="nTable"/>
              <w:spacing w:after="40"/>
            </w:pPr>
            <w:r>
              <w:t>16 Mar 2010 p. 985</w:t>
            </w:r>
          </w:p>
        </w:tc>
        <w:tc>
          <w:tcPr>
            <w:tcW w:w="2693" w:type="dxa"/>
          </w:tcPr>
          <w:p>
            <w:pPr>
              <w:pStyle w:val="nTable"/>
              <w:spacing w:after="40"/>
              <w:rPr>
                <w:snapToGrid w:val="0"/>
              </w:rPr>
            </w:pPr>
            <w:r>
              <w:rPr>
                <w:snapToGrid w:val="0"/>
              </w:rPr>
              <w:t>r. 1 and 2: 16 Mar 2010 (see r. 2(a));</w:t>
            </w:r>
            <w:r>
              <w:rPr>
                <w:snapToGrid w:val="0"/>
              </w:rPr>
              <w:br/>
              <w:t>Regulations other than r. 1 and 2: 1 Apr 2010 (see r. 2(b))</w:t>
            </w:r>
          </w:p>
        </w:tc>
      </w:tr>
      <w:tr>
        <w:trPr>
          <w:cantSplit/>
        </w:trPr>
        <w:tc>
          <w:tcPr>
            <w:tcW w:w="3118" w:type="dxa"/>
          </w:tcPr>
          <w:p>
            <w:pPr>
              <w:pStyle w:val="nTable"/>
              <w:spacing w:after="40"/>
              <w:ind w:right="113"/>
              <w:rPr>
                <w:i/>
              </w:rPr>
            </w:pPr>
            <w:r>
              <w:rPr>
                <w:i/>
              </w:rPr>
              <w:t>Rights in Water and Irrigation Amendment Regulations 2011</w:t>
            </w:r>
          </w:p>
        </w:tc>
        <w:tc>
          <w:tcPr>
            <w:tcW w:w="1276" w:type="dxa"/>
          </w:tcPr>
          <w:p>
            <w:pPr>
              <w:pStyle w:val="nTable"/>
              <w:spacing w:after="40"/>
            </w:pPr>
            <w:r>
              <w:t>20 Dec 2011 p. 5411</w:t>
            </w:r>
          </w:p>
        </w:tc>
        <w:tc>
          <w:tcPr>
            <w:tcW w:w="2693" w:type="dxa"/>
          </w:tcPr>
          <w:p>
            <w:pPr>
              <w:pStyle w:val="nTable"/>
              <w:spacing w:after="40"/>
              <w:rPr>
                <w:snapToGrid w:val="0"/>
              </w:rPr>
            </w:pPr>
            <w:r>
              <w:rPr>
                <w:snapToGrid w:val="0"/>
              </w:rPr>
              <w:t>r. 1 and 2: 20 Dec 2011 (see r. 2(a));</w:t>
            </w:r>
            <w:r>
              <w:rPr>
                <w:snapToGrid w:val="0"/>
              </w:rPr>
              <w:br/>
              <w:t>Regulations other than r. 1 and 2: 21 Dec 2011 (see r. 2(b))</w:t>
            </w:r>
          </w:p>
        </w:tc>
      </w:tr>
      <w:tr>
        <w:trPr>
          <w:cantSplit/>
        </w:trPr>
        <w:tc>
          <w:tcPr>
            <w:tcW w:w="3118" w:type="dxa"/>
          </w:tcPr>
          <w:p>
            <w:pPr>
              <w:pStyle w:val="nTable"/>
              <w:spacing w:after="40"/>
              <w:ind w:right="113"/>
              <w:rPr>
                <w:i/>
              </w:rPr>
            </w:pPr>
            <w:r>
              <w:rPr>
                <w:i/>
              </w:rPr>
              <w:t>Rights in Water and Irrigation Amendment Regulations 2013</w:t>
            </w:r>
          </w:p>
        </w:tc>
        <w:tc>
          <w:tcPr>
            <w:tcW w:w="1276" w:type="dxa"/>
          </w:tcPr>
          <w:p>
            <w:pPr>
              <w:pStyle w:val="nTable"/>
              <w:spacing w:after="40"/>
            </w:pPr>
            <w:r>
              <w:t>20 Aug 2013 p. 3846</w:t>
            </w:r>
          </w:p>
        </w:tc>
        <w:tc>
          <w:tcPr>
            <w:tcW w:w="2693" w:type="dxa"/>
          </w:tcPr>
          <w:p>
            <w:pPr>
              <w:pStyle w:val="nTable"/>
              <w:spacing w:after="40"/>
              <w:rPr>
                <w:snapToGrid w:val="0"/>
              </w:rPr>
            </w:pPr>
            <w:r>
              <w:rPr>
                <w:snapToGrid w:val="0"/>
              </w:rPr>
              <w:t>r. 1 and 2: 20 Aug 2013 (see r. 2(a));</w:t>
            </w:r>
            <w:r>
              <w:rPr>
                <w:snapToGrid w:val="0"/>
              </w:rPr>
              <w:br/>
              <w:t xml:space="preserve">Regulations other than r. 1 and 2: 21 Aug 2013 (see r. 2(b) and </w:t>
            </w:r>
            <w:r>
              <w:rPr>
                <w:i/>
                <w:snapToGrid w:val="0"/>
              </w:rPr>
              <w:t>Gazette</w:t>
            </w:r>
            <w:r>
              <w:rPr>
                <w:snapToGrid w:val="0"/>
              </w:rPr>
              <w:t xml:space="preserve"> 20 Aug 2013 p. 3815)</w:t>
            </w:r>
          </w:p>
        </w:tc>
      </w:tr>
      <w:tr>
        <w:trPr>
          <w:cantSplit/>
        </w:trPr>
        <w:tc>
          <w:tcPr>
            <w:tcW w:w="3118" w:type="dxa"/>
            <w:shd w:val="clear" w:color="auto" w:fill="auto"/>
          </w:tcPr>
          <w:p>
            <w:pPr>
              <w:pStyle w:val="nTable"/>
              <w:spacing w:after="40"/>
              <w:ind w:right="113"/>
              <w:rPr>
                <w:i/>
              </w:rPr>
            </w:pPr>
            <w:r>
              <w:rPr>
                <w:i/>
              </w:rPr>
              <w:t>Rights in Water and Irrigation Amendment Regulations 2014</w:t>
            </w:r>
          </w:p>
        </w:tc>
        <w:tc>
          <w:tcPr>
            <w:tcW w:w="1276" w:type="dxa"/>
            <w:shd w:val="clear" w:color="auto" w:fill="auto"/>
          </w:tcPr>
          <w:p>
            <w:pPr>
              <w:pStyle w:val="nTable"/>
              <w:spacing w:after="40"/>
            </w:pPr>
            <w:r>
              <w:t>16 Dec 2014 p. 4766</w:t>
            </w:r>
          </w:p>
        </w:tc>
        <w:tc>
          <w:tcPr>
            <w:tcW w:w="2693" w:type="dxa"/>
            <w:shd w:val="clear" w:color="auto" w:fill="auto"/>
          </w:tcPr>
          <w:p>
            <w:pPr>
              <w:pStyle w:val="nTable"/>
              <w:spacing w:after="40"/>
              <w:rPr>
                <w:snapToGrid w:val="0"/>
              </w:rPr>
            </w:pPr>
            <w:r>
              <w:rPr>
                <w:bCs/>
                <w:snapToGrid w:val="0"/>
                <w:spacing w:val="-2"/>
              </w:rPr>
              <w:t>r. 1 and 2: 16 Dec 2014 (see r. 2(a));</w:t>
            </w:r>
            <w:r>
              <w:rPr>
                <w:bCs/>
                <w:snapToGrid w:val="0"/>
                <w:spacing w:val="-2"/>
              </w:rPr>
              <w:br/>
              <w:t>Regulations other than r. 1 and 2: 17 Dec 2014 (see r. 2(b))</w:t>
            </w:r>
          </w:p>
        </w:tc>
      </w:tr>
      <w:tr>
        <w:trPr>
          <w:cantSplit/>
        </w:trPr>
        <w:tc>
          <w:tcPr>
            <w:tcW w:w="3118" w:type="dxa"/>
            <w:shd w:val="clear" w:color="auto" w:fill="auto"/>
          </w:tcPr>
          <w:p>
            <w:pPr>
              <w:pStyle w:val="nTable"/>
              <w:spacing w:after="40"/>
              <w:ind w:right="113"/>
            </w:pPr>
            <w:r>
              <w:rPr>
                <w:i/>
              </w:rPr>
              <w:t>Water Legislation Amendment Regulations 2017</w:t>
            </w:r>
            <w:r>
              <w:t xml:space="preserve"> Pt. 2</w:t>
            </w:r>
          </w:p>
        </w:tc>
        <w:tc>
          <w:tcPr>
            <w:tcW w:w="1276" w:type="dxa"/>
            <w:shd w:val="clear" w:color="auto" w:fill="auto"/>
          </w:tcPr>
          <w:p>
            <w:pPr>
              <w:pStyle w:val="nTable"/>
              <w:spacing w:after="40"/>
            </w:pPr>
            <w:r>
              <w:t>15 Sep 2017 p. 4794</w:t>
            </w:r>
            <w:r>
              <w:noBreakHyphen/>
              <w:t>6</w:t>
            </w:r>
          </w:p>
        </w:tc>
        <w:tc>
          <w:tcPr>
            <w:tcW w:w="2693" w:type="dxa"/>
            <w:shd w:val="clear" w:color="auto" w:fill="auto"/>
          </w:tcPr>
          <w:p>
            <w:pPr>
              <w:pStyle w:val="nTable"/>
              <w:spacing w:after="40"/>
              <w:rPr>
                <w:bCs/>
                <w:snapToGrid w:val="0"/>
                <w:spacing w:val="-2"/>
              </w:rPr>
            </w:pPr>
            <w:r>
              <w:rPr>
                <w:bCs/>
                <w:snapToGrid w:val="0"/>
                <w:spacing w:val="-2"/>
              </w:rPr>
              <w:t>16 Sep 2017 (see r. 2(b))</w:t>
            </w:r>
          </w:p>
        </w:tc>
      </w:tr>
      <w:tr>
        <w:trPr>
          <w:cantSplit/>
        </w:trPr>
        <w:tc>
          <w:tcPr>
            <w:tcW w:w="3118" w:type="dxa"/>
            <w:tcBorders>
              <w:bottom w:val="single" w:sz="4" w:space="0" w:color="auto"/>
            </w:tcBorders>
            <w:shd w:val="clear" w:color="auto" w:fill="auto"/>
          </w:tcPr>
          <w:p>
            <w:pPr>
              <w:pStyle w:val="nTable"/>
              <w:spacing w:after="40"/>
              <w:ind w:right="113"/>
              <w:rPr>
                <w:i/>
              </w:rPr>
            </w:pPr>
            <w:r>
              <w:rPr>
                <w:i/>
              </w:rPr>
              <w:t>Rights in Water and Irrigation Amendment Regulations 2018</w:t>
            </w:r>
          </w:p>
        </w:tc>
        <w:tc>
          <w:tcPr>
            <w:tcW w:w="1276" w:type="dxa"/>
            <w:tcBorders>
              <w:bottom w:val="single" w:sz="4" w:space="0" w:color="auto"/>
            </w:tcBorders>
            <w:shd w:val="clear" w:color="auto" w:fill="auto"/>
          </w:tcPr>
          <w:p>
            <w:pPr>
              <w:pStyle w:val="nTable"/>
              <w:spacing w:after="40"/>
            </w:pPr>
            <w:r>
              <w:t>20 Feb 2018 p. 495</w:t>
            </w:r>
            <w:r>
              <w:noBreakHyphen/>
              <w:t>501</w:t>
            </w:r>
          </w:p>
        </w:tc>
        <w:tc>
          <w:tcPr>
            <w:tcW w:w="2693" w:type="dxa"/>
            <w:tcBorders>
              <w:bottom w:val="single" w:sz="4" w:space="0" w:color="auto"/>
            </w:tcBorders>
            <w:shd w:val="clear" w:color="auto" w:fill="auto"/>
          </w:tcPr>
          <w:p>
            <w:pPr>
              <w:pStyle w:val="nTable"/>
              <w:spacing w:after="40"/>
              <w:rPr>
                <w:bCs/>
                <w:snapToGrid w:val="0"/>
                <w:spacing w:val="-2"/>
              </w:rPr>
            </w:pPr>
            <w:r>
              <w:rPr>
                <w:bCs/>
                <w:snapToGrid w:val="0"/>
                <w:spacing w:val="-2"/>
              </w:rPr>
              <w:t>r. 1 and 2: 20 Feb 2018 (see r. 2(a));</w:t>
            </w:r>
            <w:r>
              <w:rPr>
                <w:bCs/>
                <w:snapToGrid w:val="0"/>
                <w:spacing w:val="-2"/>
              </w:rPr>
              <w:br/>
              <w:t>Regulations other than r. 1 and 2: 21 Feb 2018 (see r. 2(b))</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56" w:name="_Toc528669865"/>
      <w:r>
        <w:t>Provisions that have not come into operation</w:t>
      </w:r>
      <w:bookmarkEnd w:id="156"/>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spacing w:after="40"/>
            </w:pPr>
            <w:r>
              <w:rPr>
                <w:i/>
              </w:rPr>
              <w:t>Rights in Water and Irrigation Amendment Regulations (No. 2) 2018</w:t>
            </w:r>
            <w:r>
              <w:t xml:space="preserve"> r. 3</w:t>
            </w:r>
            <w:r>
              <w:noBreakHyphen/>
              <w:t>8</w:t>
            </w:r>
            <w:r>
              <w:rPr>
                <w:vertAlign w:val="superscript"/>
              </w:rPr>
              <w:t> 6</w:t>
            </w:r>
          </w:p>
        </w:tc>
        <w:tc>
          <w:tcPr>
            <w:tcW w:w="1276" w:type="dxa"/>
          </w:tcPr>
          <w:p>
            <w:pPr>
              <w:pStyle w:val="nTable"/>
              <w:spacing w:after="40"/>
            </w:pPr>
            <w:r>
              <w:t>30 Oct 2018 p. 4336</w:t>
            </w:r>
            <w:r>
              <w:noBreakHyphen/>
              <w:t>45</w:t>
            </w:r>
          </w:p>
        </w:tc>
        <w:tc>
          <w:tcPr>
            <w:tcW w:w="2693" w:type="dxa"/>
          </w:tcPr>
          <w:p>
            <w:pPr>
              <w:pStyle w:val="nTable"/>
              <w:spacing w:after="40"/>
            </w:pPr>
            <w:r>
              <w:t>13 Nov 2018 (see r. 2(b))</w:t>
            </w:r>
          </w:p>
        </w:tc>
      </w:tr>
    </w:tbl>
    <w:p>
      <w:pPr>
        <w:pStyle w:val="nSubsection"/>
        <w:spacing w:before="160"/>
      </w:pPr>
      <w:r>
        <w:rPr>
          <w:vertAlign w:val="superscript"/>
        </w:rPr>
        <w:t>2</w:t>
      </w:r>
      <w:r>
        <w:rPr>
          <w:vertAlign w:val="superscript"/>
        </w:rPr>
        <w:tab/>
      </w:r>
      <w:r>
        <w:t xml:space="preserve">These regulations have effect for the purposes of the </w:t>
      </w:r>
      <w:r>
        <w:rPr>
          <w:i/>
          <w:iCs/>
        </w:rPr>
        <w:t>Rights in Water and Irrigation Act 1914</w:t>
      </w:r>
      <w:r>
        <w:t xml:space="preserve"> but the formal power to make them is given by the </w:t>
      </w:r>
      <w:r>
        <w:rPr>
          <w:i/>
          <w:iCs/>
        </w:rPr>
        <w:t>Water Agencies (Powers) Act 1984</w:t>
      </w:r>
      <w:r>
        <w:t xml:space="preserve"> s. 37.</w:t>
      </w:r>
    </w:p>
    <w:p>
      <w:pPr>
        <w:pStyle w:val="nSubsection"/>
      </w:pPr>
      <w:r>
        <w:rPr>
          <w:vertAlign w:val="superscript"/>
        </w:rPr>
        <w:t>3</w:t>
      </w:r>
      <w:r>
        <w:tab/>
        <w:t xml:space="preserve">Under the </w:t>
      </w:r>
      <w:r>
        <w:rPr>
          <w:i/>
          <w:iCs/>
        </w:rPr>
        <w:t>Financial Management (Transitional Provisions) Act 2006</w:t>
      </w:r>
      <w:r>
        <w:t xml:space="preserve"> s. 19 a reference in a written law or other document or instrument to the </w:t>
      </w:r>
      <w:r>
        <w:rPr>
          <w:i/>
          <w:iCs/>
        </w:rPr>
        <w:t>Financial Administration and Audit Act 1985</w:t>
      </w:r>
      <w:r>
        <w:t xml:space="preserve"> may, where the context so requires, be read as if it had been amended to be a reference to the </w:t>
      </w:r>
      <w:r>
        <w:rPr>
          <w:i/>
          <w:iCs/>
        </w:rPr>
        <w:t>Financial Management Act 2006</w:t>
      </w:r>
      <w:r>
        <w:t xml:space="preserve"> or to the </w:t>
      </w:r>
      <w:r>
        <w:rPr>
          <w:i/>
          <w:iCs/>
        </w:rPr>
        <w:t>Auditor General Act 2006</w:t>
      </w:r>
      <w:r>
        <w:t>, or to both those Acts, as the case requires.</w:t>
      </w:r>
    </w:p>
    <w:p>
      <w:pPr>
        <w:pStyle w:val="nSubsection"/>
      </w:pPr>
      <w:r>
        <w:rPr>
          <w:vertAlign w:val="superscript"/>
        </w:rPr>
        <w:t>4</w:t>
      </w:r>
      <w:r>
        <w:tab/>
        <w:t xml:space="preserve">Disallowed 22 Nov 2007 see </w:t>
      </w:r>
      <w:r>
        <w:rPr>
          <w:i/>
          <w:iCs/>
        </w:rPr>
        <w:t>Gazette</w:t>
      </w:r>
      <w:r>
        <w:t xml:space="preserve"> 27 Nov 2007 p. 5910.</w:t>
      </w:r>
    </w:p>
    <w:p>
      <w:pPr>
        <w:pStyle w:val="nSubsection"/>
      </w:pPr>
      <w:r>
        <w:rPr>
          <w:vertAlign w:val="superscript"/>
        </w:rPr>
        <w:t>5</w:t>
      </w:r>
      <w:r>
        <w:tab/>
        <w:t xml:space="preserve">Disallowed 8 Apr 2008 see </w:t>
      </w:r>
      <w:r>
        <w:rPr>
          <w:i/>
          <w:iCs/>
        </w:rPr>
        <w:t>Gazette</w:t>
      </w:r>
      <w:r>
        <w:t xml:space="preserve"> 11 Apr 2008 p. 1396.</w:t>
      </w:r>
    </w:p>
    <w:p>
      <w:pPr>
        <w:pStyle w:val="nSubsection"/>
      </w:pPr>
      <w:r>
        <w:rPr>
          <w:vertAlign w:val="superscript"/>
        </w:rPr>
        <w:t>6</w:t>
      </w:r>
      <w:r>
        <w:tab/>
        <w:t xml:space="preserve">On the date as at which this compilation was prepared, the </w:t>
      </w:r>
      <w:r>
        <w:rPr>
          <w:i/>
        </w:rPr>
        <w:t xml:space="preserve">Rights in Water and Irrigation Amendment Regulations (No. 2) 2018 </w:t>
      </w:r>
      <w:r>
        <w:t>r. 3</w:t>
      </w:r>
      <w:r>
        <w:noBreakHyphen/>
        <w:t>8 had not come into operation. They read as follows:</w:t>
      </w:r>
    </w:p>
    <w:p>
      <w:pPr>
        <w:pStyle w:val="BlankOpen"/>
      </w:pPr>
    </w:p>
    <w:p>
      <w:pPr>
        <w:pStyle w:val="nzHeading5"/>
        <w:rPr>
          <w:snapToGrid w:val="0"/>
        </w:rPr>
      </w:pPr>
      <w:bookmarkStart w:id="157" w:name="_Toc525912932"/>
      <w:bookmarkStart w:id="158" w:name="_Toc525912950"/>
      <w:r>
        <w:rPr>
          <w:rStyle w:val="CharSectno"/>
        </w:rPr>
        <w:t>3</w:t>
      </w:r>
      <w:r>
        <w:rPr>
          <w:snapToGrid w:val="0"/>
        </w:rPr>
        <w:t>.</w:t>
      </w:r>
      <w:r>
        <w:rPr>
          <w:snapToGrid w:val="0"/>
        </w:rPr>
        <w:tab/>
        <w:t>Regulations amended</w:t>
      </w:r>
      <w:bookmarkEnd w:id="157"/>
      <w:bookmarkEnd w:id="158"/>
    </w:p>
    <w:p>
      <w:pPr>
        <w:pStyle w:val="nzSubsection"/>
      </w:pPr>
      <w:r>
        <w:tab/>
      </w:r>
      <w:r>
        <w:tab/>
        <w:t xml:space="preserve">These </w:t>
      </w:r>
      <w:r>
        <w:rPr>
          <w:spacing w:val="-2"/>
        </w:rPr>
        <w:t>regulations amend</w:t>
      </w:r>
      <w:r>
        <w:t xml:space="preserve"> the </w:t>
      </w:r>
      <w:r>
        <w:rPr>
          <w:i/>
        </w:rPr>
        <w:t>Rights in Water and Irrigation Regulations 2000</w:t>
      </w:r>
      <w:r>
        <w:t>.</w:t>
      </w:r>
    </w:p>
    <w:p>
      <w:pPr>
        <w:pStyle w:val="nzHeading5"/>
      </w:pPr>
      <w:bookmarkStart w:id="159" w:name="_Toc525912933"/>
      <w:bookmarkStart w:id="160" w:name="_Toc525912951"/>
      <w:r>
        <w:rPr>
          <w:rStyle w:val="CharSectno"/>
        </w:rPr>
        <w:t>4</w:t>
      </w:r>
      <w:r>
        <w:t>.</w:t>
      </w:r>
      <w:r>
        <w:tab/>
        <w:t>Regulation 4 amended</w:t>
      </w:r>
      <w:bookmarkEnd w:id="159"/>
      <w:bookmarkEnd w:id="160"/>
    </w:p>
    <w:p>
      <w:pPr>
        <w:pStyle w:val="nzSubsection"/>
      </w:pPr>
      <w:r>
        <w:tab/>
      </w:r>
      <w:r>
        <w:tab/>
        <w:t>In regulation 4(1):</w:t>
      </w:r>
    </w:p>
    <w:p>
      <w:pPr>
        <w:pStyle w:val="nzIndenta"/>
      </w:pPr>
      <w:r>
        <w:tab/>
        <w:t>(a)</w:t>
      </w:r>
      <w:r>
        <w:tab/>
        <w:t>in paragraph (b) delete “required.” and insert:</w:t>
      </w:r>
    </w:p>
    <w:p>
      <w:pPr>
        <w:pStyle w:val="BlankOpen"/>
      </w:pPr>
    </w:p>
    <w:p>
      <w:pPr>
        <w:pStyle w:val="nzIndenta"/>
      </w:pPr>
      <w:r>
        <w:tab/>
      </w:r>
      <w:r>
        <w:tab/>
        <w:t>required; and</w:t>
      </w:r>
    </w:p>
    <w:p>
      <w:pPr>
        <w:pStyle w:val="BlankClose"/>
      </w:pPr>
    </w:p>
    <w:p>
      <w:pPr>
        <w:pStyle w:val="nzIndenta"/>
      </w:pPr>
      <w:r>
        <w:tab/>
        <w:t>(b)</w:t>
      </w:r>
      <w:r>
        <w:tab/>
        <w:t>after paragraph (b) insert:</w:t>
      </w:r>
    </w:p>
    <w:p>
      <w:pPr>
        <w:pStyle w:val="BlankOpen"/>
      </w:pPr>
    </w:p>
    <w:p>
      <w:pPr>
        <w:pStyle w:val="nzIndenta"/>
      </w:pPr>
      <w:r>
        <w:tab/>
        <w:t>(c)</w:t>
      </w:r>
      <w:r>
        <w:tab/>
        <w:t>accompanied by the fee (if any) worked out in accordance with Part 7.</w:t>
      </w:r>
    </w:p>
    <w:p>
      <w:pPr>
        <w:pStyle w:val="BlankClose"/>
      </w:pPr>
    </w:p>
    <w:p>
      <w:pPr>
        <w:pStyle w:val="nzHeading5"/>
      </w:pPr>
      <w:bookmarkStart w:id="161" w:name="_Toc525912934"/>
      <w:bookmarkStart w:id="162" w:name="_Toc525912952"/>
      <w:r>
        <w:rPr>
          <w:rStyle w:val="CharSectno"/>
        </w:rPr>
        <w:t>5</w:t>
      </w:r>
      <w:r>
        <w:t>.</w:t>
      </w:r>
      <w:r>
        <w:tab/>
        <w:t>Regulation 33 amended</w:t>
      </w:r>
      <w:bookmarkEnd w:id="161"/>
      <w:bookmarkEnd w:id="162"/>
    </w:p>
    <w:p>
      <w:pPr>
        <w:pStyle w:val="nzSubsection"/>
      </w:pPr>
      <w:r>
        <w:tab/>
      </w:r>
      <w:r>
        <w:tab/>
        <w:t>In regulation 33(2):</w:t>
      </w:r>
    </w:p>
    <w:p>
      <w:pPr>
        <w:pStyle w:val="nzIndenta"/>
      </w:pPr>
      <w:r>
        <w:tab/>
        <w:t>(a)</w:t>
      </w:r>
      <w:r>
        <w:tab/>
        <w:t>in paragraph (a) delete “ascertained;” and insert:</w:t>
      </w:r>
    </w:p>
    <w:p>
      <w:pPr>
        <w:pStyle w:val="BlankOpen"/>
      </w:pPr>
    </w:p>
    <w:p>
      <w:pPr>
        <w:pStyle w:val="nzIndenta"/>
      </w:pPr>
      <w:r>
        <w:tab/>
      </w:r>
      <w:r>
        <w:tab/>
        <w:t>ascertained; and</w:t>
      </w:r>
    </w:p>
    <w:p>
      <w:pPr>
        <w:pStyle w:val="BlankClose"/>
      </w:pPr>
    </w:p>
    <w:p>
      <w:pPr>
        <w:pStyle w:val="nzIndenta"/>
      </w:pPr>
      <w:r>
        <w:tab/>
        <w:t>(b)</w:t>
      </w:r>
      <w:r>
        <w:tab/>
        <w:t>in paragraph (c) delete “put.” and insert:</w:t>
      </w:r>
    </w:p>
    <w:p>
      <w:pPr>
        <w:pStyle w:val="BlankOpen"/>
      </w:pPr>
    </w:p>
    <w:p>
      <w:pPr>
        <w:pStyle w:val="nzIndenta"/>
      </w:pPr>
      <w:r>
        <w:tab/>
      </w:r>
      <w:r>
        <w:tab/>
        <w:t>put; and</w:t>
      </w:r>
    </w:p>
    <w:p>
      <w:pPr>
        <w:pStyle w:val="BlankClose"/>
      </w:pPr>
    </w:p>
    <w:p>
      <w:pPr>
        <w:pStyle w:val="nzIndenta"/>
      </w:pPr>
      <w:r>
        <w:tab/>
        <w:t>(c)</w:t>
      </w:r>
      <w:r>
        <w:tab/>
        <w:t>after paragraph (c) insert:</w:t>
      </w:r>
    </w:p>
    <w:p>
      <w:pPr>
        <w:pStyle w:val="BlankOpen"/>
      </w:pPr>
    </w:p>
    <w:p>
      <w:pPr>
        <w:pStyle w:val="nzIndenta"/>
      </w:pPr>
      <w:r>
        <w:tab/>
        <w:t>(d)</w:t>
      </w:r>
      <w:r>
        <w:tab/>
        <w:t>the fee (if any) worked out in accordance with Part 7.</w:t>
      </w:r>
    </w:p>
    <w:p>
      <w:pPr>
        <w:pStyle w:val="BlankClose"/>
      </w:pPr>
    </w:p>
    <w:p>
      <w:pPr>
        <w:pStyle w:val="nzHeading5"/>
      </w:pPr>
      <w:bookmarkStart w:id="163" w:name="_Toc525912935"/>
      <w:bookmarkStart w:id="164" w:name="_Toc525912953"/>
      <w:r>
        <w:rPr>
          <w:rStyle w:val="CharSectno"/>
        </w:rPr>
        <w:t>6</w:t>
      </w:r>
      <w:r>
        <w:t>.</w:t>
      </w:r>
      <w:r>
        <w:tab/>
        <w:t>Regulation 58 deleted</w:t>
      </w:r>
      <w:bookmarkEnd w:id="163"/>
      <w:bookmarkEnd w:id="164"/>
    </w:p>
    <w:p>
      <w:pPr>
        <w:pStyle w:val="nzSubsection"/>
      </w:pPr>
      <w:r>
        <w:tab/>
      </w:r>
      <w:r>
        <w:tab/>
        <w:t>Delete regulation 58.</w:t>
      </w:r>
    </w:p>
    <w:p>
      <w:pPr>
        <w:pStyle w:val="nzHeading5"/>
      </w:pPr>
      <w:bookmarkStart w:id="165" w:name="_Toc525912936"/>
      <w:bookmarkStart w:id="166" w:name="_Toc525912954"/>
      <w:r>
        <w:rPr>
          <w:rStyle w:val="CharSectno"/>
        </w:rPr>
        <w:t>7</w:t>
      </w:r>
      <w:r>
        <w:t>.</w:t>
      </w:r>
      <w:r>
        <w:tab/>
        <w:t>Part 7 inserted</w:t>
      </w:r>
      <w:bookmarkEnd w:id="165"/>
      <w:bookmarkEnd w:id="166"/>
    </w:p>
    <w:p>
      <w:pPr>
        <w:pStyle w:val="nzSubsection"/>
      </w:pPr>
      <w:r>
        <w:tab/>
      </w:r>
      <w:r>
        <w:tab/>
        <w:t>After Part 6 insert:</w:t>
      </w:r>
    </w:p>
    <w:p>
      <w:pPr>
        <w:pStyle w:val="BlankOpen"/>
      </w:pPr>
    </w:p>
    <w:p>
      <w:pPr>
        <w:pStyle w:val="nzHeading2"/>
      </w:pPr>
      <w:bookmarkStart w:id="167" w:name="_Toc525911748"/>
      <w:bookmarkStart w:id="168" w:name="_Toc525911764"/>
      <w:bookmarkStart w:id="169" w:name="_Toc525912005"/>
      <w:bookmarkStart w:id="170" w:name="_Toc525912937"/>
      <w:bookmarkStart w:id="171" w:name="_Toc525912955"/>
      <w:r>
        <w:t>Part 7 — Fees for applications for permits and section 5C and section 26D licences</w:t>
      </w:r>
      <w:bookmarkEnd w:id="167"/>
      <w:bookmarkEnd w:id="168"/>
      <w:bookmarkEnd w:id="169"/>
      <w:bookmarkEnd w:id="170"/>
      <w:bookmarkEnd w:id="171"/>
    </w:p>
    <w:p>
      <w:pPr>
        <w:pStyle w:val="nzHeading5"/>
      </w:pPr>
      <w:bookmarkStart w:id="172" w:name="_Toc525912938"/>
      <w:bookmarkStart w:id="173" w:name="_Toc525912956"/>
      <w:r>
        <w:t>58.</w:t>
      </w:r>
      <w:r>
        <w:tab/>
        <w:t>Terms used</w:t>
      </w:r>
      <w:bookmarkEnd w:id="172"/>
      <w:bookmarkEnd w:id="173"/>
    </w:p>
    <w:p>
      <w:pPr>
        <w:pStyle w:val="nzSubsection"/>
      </w:pPr>
      <w:r>
        <w:tab/>
      </w:r>
      <w:r>
        <w:tab/>
        <w:t xml:space="preserve">In this Part — </w:t>
      </w:r>
    </w:p>
    <w:p>
      <w:pPr>
        <w:pStyle w:val="nzDefstart"/>
      </w:pPr>
      <w:r>
        <w:tab/>
      </w:r>
      <w:r>
        <w:rPr>
          <w:rStyle w:val="CharDefText"/>
        </w:rPr>
        <w:t>allocation limit</w:t>
      </w:r>
      <w:r>
        <w:t>, of a water resource, means the annual volume of water that is, for the purposes of the Act, allocated for consumptive use;</w:t>
      </w:r>
    </w:p>
    <w:p>
      <w:pPr>
        <w:pStyle w:val="nzPermNoteHeading"/>
      </w:pPr>
      <w:r>
        <w:tab/>
        <w:t>Note for this definition:</w:t>
      </w:r>
    </w:p>
    <w:p>
      <w:pPr>
        <w:pStyle w:val="nzPermNoteText"/>
      </w:pPr>
      <w:r>
        <w:tab/>
      </w:r>
      <w:r>
        <w:tab/>
        <w:t>The allocation limit of a water resource is determined by the Department for the purposes of assessing applications for section 5C licences.</w:t>
      </w:r>
    </w:p>
    <w:p>
      <w:pPr>
        <w:pStyle w:val="nzDefstart"/>
      </w:pPr>
      <w:r>
        <w:tab/>
      </w:r>
      <w:r>
        <w:rPr>
          <w:rStyle w:val="CharDefText"/>
        </w:rPr>
        <w:t>allocation status</w:t>
      </w:r>
      <w:r>
        <w:t xml:space="preserve">, of a water resource at a particular time, means — </w:t>
      </w:r>
    </w:p>
    <w:p>
      <w:pPr>
        <w:pStyle w:val="nzDefpara"/>
      </w:pPr>
      <w:r>
        <w:tab/>
        <w:t>(a)</w:t>
      </w:r>
      <w:r>
        <w:tab/>
        <w:t>the proportion of the allocation limit for the water resource that can be taken under section 5C licences and other rights in effect at that time; or</w:t>
      </w:r>
    </w:p>
    <w:p>
      <w:pPr>
        <w:pStyle w:val="nzDefpara"/>
      </w:pPr>
      <w:r>
        <w:tab/>
        <w:t>(b)</w:t>
      </w:r>
      <w:r>
        <w:tab/>
        <w:t>that there is no allocation limit for the water resource at that time;</w:t>
      </w:r>
    </w:p>
    <w:p>
      <w:pPr>
        <w:pStyle w:val="nzDefstart"/>
      </w:pPr>
      <w:r>
        <w:tab/>
      </w:r>
      <w:r>
        <w:rPr>
          <w:rStyle w:val="CharDefText"/>
        </w:rPr>
        <w:t>applicable allocation status</w:t>
      </w:r>
      <w:r>
        <w:t xml:space="preserve">, of a water resource in relation to an application, means — </w:t>
      </w:r>
    </w:p>
    <w:p>
      <w:pPr>
        <w:pStyle w:val="nzDefpara"/>
      </w:pPr>
      <w:r>
        <w:tab/>
        <w:t>(a)</w:t>
      </w:r>
      <w:r>
        <w:tab/>
        <w:t>the allocation status of the water resource as published on the Department’s website on the day on which the application is made; or</w:t>
      </w:r>
    </w:p>
    <w:p>
      <w:pPr>
        <w:pStyle w:val="nzDefpara"/>
      </w:pPr>
      <w:r>
        <w:tab/>
        <w:t>(b)</w:t>
      </w:r>
      <w:r>
        <w:tab/>
        <w:t>if no allocation status is published on that day — the allocation status of the water resource most recently published on the website;</w:t>
      </w:r>
    </w:p>
    <w:p>
      <w:pPr>
        <w:pStyle w:val="nzDefstart"/>
      </w:pPr>
      <w:r>
        <w:tab/>
      </w:r>
      <w:r>
        <w:rPr>
          <w:rStyle w:val="CharDefText"/>
        </w:rPr>
        <w:t>application</w:t>
      </w:r>
      <w:r>
        <w:t xml:space="preserve"> means an application for — </w:t>
      </w:r>
    </w:p>
    <w:p>
      <w:pPr>
        <w:pStyle w:val="nzDefpara"/>
      </w:pPr>
      <w:r>
        <w:tab/>
        <w:t>(a)</w:t>
      </w:r>
      <w:r>
        <w:tab/>
        <w:t>the grant of a permit; or</w:t>
      </w:r>
    </w:p>
    <w:p>
      <w:pPr>
        <w:pStyle w:val="nzDefpara"/>
      </w:pPr>
      <w:r>
        <w:tab/>
        <w:t>(b)</w:t>
      </w:r>
      <w:r>
        <w:tab/>
        <w:t>the grant, renewal or amendment of a section 5C licence; or</w:t>
      </w:r>
    </w:p>
    <w:p>
      <w:pPr>
        <w:pStyle w:val="nzDefpara"/>
      </w:pPr>
      <w:r>
        <w:tab/>
        <w:t>(c)</w:t>
      </w:r>
      <w:r>
        <w:tab/>
        <w:t>the grant of a section 26D licence;</w:t>
      </w:r>
    </w:p>
    <w:p>
      <w:pPr>
        <w:pStyle w:val="nzDefstart"/>
      </w:pPr>
      <w:r>
        <w:tab/>
      </w:r>
      <w:r>
        <w:rPr>
          <w:rStyle w:val="CharDefText"/>
        </w:rPr>
        <w:t>consumptive use</w:t>
      </w:r>
      <w:r>
        <w:t xml:space="preserve"> means taking water under section 5C licences and other rights (including riparian rights and rights under other written laws);</w:t>
      </w:r>
    </w:p>
    <w:p>
      <w:pPr>
        <w:pStyle w:val="nzDefstart"/>
      </w:pPr>
      <w:r>
        <w:tab/>
      </w:r>
      <w:r>
        <w:rPr>
          <w:rStyle w:val="CharDefText"/>
        </w:rPr>
        <w:t>Department’s website</w:t>
      </w:r>
      <w:r>
        <w:t xml:space="preserve"> means a website maintained by or on behalf of the Department;</w:t>
      </w:r>
    </w:p>
    <w:p>
      <w:pPr>
        <w:pStyle w:val="nzDefstart"/>
      </w:pPr>
      <w:r>
        <w:tab/>
      </w:r>
      <w:r>
        <w:rPr>
          <w:rStyle w:val="CharDefText"/>
        </w:rPr>
        <w:t>extraction operation</w:t>
      </w:r>
      <w:r>
        <w:t xml:space="preserve"> means an operation to remove any of the following from private land for the purpose of sale — </w:t>
      </w:r>
    </w:p>
    <w:p>
      <w:pPr>
        <w:pStyle w:val="nzDefpara"/>
      </w:pPr>
      <w:r>
        <w:tab/>
        <w:t>(a)</w:t>
      </w:r>
      <w:r>
        <w:tab/>
        <w:t>limestone, rock or gravel;</w:t>
      </w:r>
    </w:p>
    <w:p>
      <w:pPr>
        <w:pStyle w:val="nzDefpara"/>
      </w:pPr>
      <w:r>
        <w:tab/>
        <w:t>(b)</w:t>
      </w:r>
      <w:r>
        <w:tab/>
        <w:t>shale, other than oil shale;</w:t>
      </w:r>
    </w:p>
    <w:p>
      <w:pPr>
        <w:pStyle w:val="nzDefpara"/>
      </w:pPr>
      <w:r>
        <w:tab/>
        <w:t>(c)</w:t>
      </w:r>
      <w:r>
        <w:tab/>
        <w:t>sand, other than mineral sand, silica sand or garnet sand;</w:t>
      </w:r>
    </w:p>
    <w:p>
      <w:pPr>
        <w:pStyle w:val="nzDefpara"/>
      </w:pPr>
      <w:r>
        <w:tab/>
        <w:t>(d)</w:t>
      </w:r>
      <w:r>
        <w:tab/>
        <w:t>clay, other than kaolin, bentonite, attapulgite or montmorillonite;</w:t>
      </w:r>
    </w:p>
    <w:p>
      <w:pPr>
        <w:pStyle w:val="nzDefstart"/>
      </w:pPr>
      <w:r>
        <w:tab/>
      </w:r>
      <w:r>
        <w:rPr>
          <w:rStyle w:val="CharDefText"/>
        </w:rPr>
        <w:t>mining operations</w:t>
      </w:r>
      <w:r>
        <w:t xml:space="preserve"> has the meaning given in the </w:t>
      </w:r>
      <w:r>
        <w:rPr>
          <w:i/>
        </w:rPr>
        <w:t>Mining Act 1978</w:t>
      </w:r>
      <w:r>
        <w:t xml:space="preserve"> section 8(1);</w:t>
      </w:r>
    </w:p>
    <w:p>
      <w:pPr>
        <w:pStyle w:val="nzDefstart"/>
      </w:pPr>
      <w:r>
        <w:tab/>
      </w:r>
      <w:r>
        <w:rPr>
          <w:rStyle w:val="CharDefText"/>
        </w:rPr>
        <w:t>mining tenement</w:t>
      </w:r>
      <w:r>
        <w:t xml:space="preserve"> has the meaning given in the </w:t>
      </w:r>
      <w:r>
        <w:rPr>
          <w:i/>
        </w:rPr>
        <w:t>Mining Act 1978</w:t>
      </w:r>
      <w:r>
        <w:t xml:space="preserve"> section 8(1);</w:t>
      </w:r>
    </w:p>
    <w:p>
      <w:pPr>
        <w:pStyle w:val="nzDefstart"/>
      </w:pPr>
      <w:r>
        <w:tab/>
      </w:r>
      <w:r>
        <w:rPr>
          <w:rStyle w:val="CharDefText"/>
        </w:rPr>
        <w:t>petroleum operation</w:t>
      </w:r>
      <w:r>
        <w:t xml:space="preserve"> has the meaning given in the </w:t>
      </w:r>
      <w:r>
        <w:rPr>
          <w:i/>
        </w:rPr>
        <w:t>Petroleum and Geothermal Energy Resources Act 1967</w:t>
      </w:r>
      <w:r>
        <w:t xml:space="preserve"> section 5(1);</w:t>
      </w:r>
    </w:p>
    <w:p>
      <w:pPr>
        <w:pStyle w:val="nzDefstart"/>
      </w:pPr>
      <w:r>
        <w:tab/>
      </w:r>
      <w:r>
        <w:rPr>
          <w:rStyle w:val="CharDefText"/>
        </w:rPr>
        <w:t>petroleum pipeline licence</w:t>
      </w:r>
      <w:r>
        <w:t xml:space="preserve"> means a licence under the </w:t>
      </w:r>
      <w:r>
        <w:rPr>
          <w:i/>
        </w:rPr>
        <w:t>Petroleum Pipelines Act 1969</w:t>
      </w:r>
      <w:r>
        <w:t xml:space="preserve"> section 10;</w:t>
      </w:r>
    </w:p>
    <w:p>
      <w:pPr>
        <w:pStyle w:val="nzDefstart"/>
      </w:pPr>
      <w:r>
        <w:tab/>
      </w:r>
      <w:r>
        <w:rPr>
          <w:rStyle w:val="CharDefText"/>
        </w:rPr>
        <w:t>petroleum or geothermal title</w:t>
      </w:r>
      <w:r>
        <w:t xml:space="preserve"> means a permit, drilling reservation, access authority, special prospecting authority, lease or licence under the </w:t>
      </w:r>
      <w:r>
        <w:rPr>
          <w:i/>
        </w:rPr>
        <w:t>Petroleum and Geothermal Energy Resources Act 1967</w:t>
      </w:r>
      <w:r>
        <w:t>;</w:t>
      </w:r>
    </w:p>
    <w:p>
      <w:pPr>
        <w:pStyle w:val="nzDefstart"/>
      </w:pPr>
      <w:r>
        <w:tab/>
      </w:r>
      <w:r>
        <w:rPr>
          <w:rStyle w:val="CharDefText"/>
        </w:rPr>
        <w:t>pipeline operation</w:t>
      </w:r>
      <w:r>
        <w:t xml:space="preserve"> has the meaning given in the </w:t>
      </w:r>
      <w:r>
        <w:rPr>
          <w:i/>
        </w:rPr>
        <w:t>Petroleum Pipelines Act 1969</w:t>
      </w:r>
      <w:r>
        <w:t xml:space="preserve"> section 4(1);</w:t>
      </w:r>
    </w:p>
    <w:p>
      <w:pPr>
        <w:pStyle w:val="nzDefstart"/>
      </w:pPr>
      <w:r>
        <w:tab/>
      </w:r>
      <w:r>
        <w:rPr>
          <w:rStyle w:val="CharDefText"/>
        </w:rPr>
        <w:t>private land</w:t>
      </w:r>
      <w:r>
        <w:t xml:space="preserve">, for the purposes of the definition of </w:t>
      </w:r>
      <w:r>
        <w:rPr>
          <w:b/>
          <w:i/>
        </w:rPr>
        <w:t>extraction operation</w:t>
      </w:r>
      <w:r>
        <w:t xml:space="preserve">, has the meaning given in the </w:t>
      </w:r>
      <w:r>
        <w:rPr>
          <w:i/>
        </w:rPr>
        <w:t>Mining Act 1978</w:t>
      </w:r>
      <w:r>
        <w:t xml:space="preserve"> section 8(1);</w:t>
      </w:r>
    </w:p>
    <w:p>
      <w:pPr>
        <w:pStyle w:val="nzDefstart"/>
      </w:pPr>
      <w:r>
        <w:tab/>
      </w:r>
      <w:r>
        <w:rPr>
          <w:rStyle w:val="CharDefText"/>
        </w:rPr>
        <w:t>section 5C licence</w:t>
      </w:r>
      <w:r>
        <w:t xml:space="preserve"> means a licence under section 5C;</w:t>
      </w:r>
    </w:p>
    <w:p>
      <w:pPr>
        <w:pStyle w:val="nzDefstart"/>
      </w:pPr>
      <w:r>
        <w:tab/>
      </w:r>
      <w:r>
        <w:rPr>
          <w:rStyle w:val="CharDefText"/>
        </w:rPr>
        <w:t>section 26D licence</w:t>
      </w:r>
      <w:r>
        <w:t xml:space="preserve"> means a licence under section 26D;</w:t>
      </w:r>
    </w:p>
    <w:p>
      <w:pPr>
        <w:pStyle w:val="nzDefstart"/>
      </w:pPr>
      <w:r>
        <w:tab/>
      </w:r>
      <w:r>
        <w:rPr>
          <w:rStyle w:val="CharDefText"/>
        </w:rPr>
        <w:t>water services licence</w:t>
      </w:r>
      <w:r>
        <w:t xml:space="preserve"> means a licence under the </w:t>
      </w:r>
      <w:r>
        <w:rPr>
          <w:i/>
        </w:rPr>
        <w:t>Water Services Act 2012</w:t>
      </w:r>
      <w:r>
        <w:t xml:space="preserve"> Part 2 Division 2;</w:t>
      </w:r>
    </w:p>
    <w:p>
      <w:pPr>
        <w:pStyle w:val="nzDefstart"/>
      </w:pPr>
      <w:r>
        <w:tab/>
      </w:r>
      <w:r>
        <w:rPr>
          <w:rStyle w:val="CharDefText"/>
        </w:rPr>
        <w:t>water supply service</w:t>
      </w:r>
      <w:r>
        <w:t xml:space="preserve"> has the meaning given in the </w:t>
      </w:r>
      <w:r>
        <w:rPr>
          <w:i/>
        </w:rPr>
        <w:t>Water Services Act 2012</w:t>
      </w:r>
      <w:r>
        <w:t xml:space="preserve"> section 3(1).</w:t>
      </w:r>
    </w:p>
    <w:p>
      <w:pPr>
        <w:pStyle w:val="nzHeading5"/>
      </w:pPr>
      <w:bookmarkStart w:id="174" w:name="_Toc525912939"/>
      <w:bookmarkStart w:id="175" w:name="_Toc525912957"/>
      <w:r>
        <w:t>59.</w:t>
      </w:r>
      <w:r>
        <w:tab/>
        <w:t>Mining purposes and public water supply purposes</w:t>
      </w:r>
      <w:bookmarkEnd w:id="174"/>
      <w:bookmarkEnd w:id="175"/>
    </w:p>
    <w:p>
      <w:pPr>
        <w:pStyle w:val="nzSubsection"/>
      </w:pPr>
      <w:r>
        <w:tab/>
        <w:t>(1)</w:t>
      </w:r>
      <w:r>
        <w:tab/>
        <w:t>Water is taken for mining purposes or for public water supply purposes if the proposed use of the water is for mining purposes or for public water supply purposes.</w:t>
      </w:r>
    </w:p>
    <w:p>
      <w:pPr>
        <w:pStyle w:val="nzSubsection"/>
      </w:pPr>
      <w:r>
        <w:tab/>
        <w:t>(2)</w:t>
      </w:r>
      <w:r>
        <w:tab/>
        <w:t xml:space="preserve">Water is used for mining purposes if it is used — </w:t>
      </w:r>
    </w:p>
    <w:p>
      <w:pPr>
        <w:pStyle w:val="nzIndenta"/>
      </w:pPr>
      <w:r>
        <w:tab/>
        <w:t>(a)</w:t>
      </w:r>
      <w:r>
        <w:tab/>
        <w:t>by the holder of a mining tenement in or in relation to a mining operation; or</w:t>
      </w:r>
    </w:p>
    <w:p>
      <w:pPr>
        <w:pStyle w:val="nzIndenta"/>
      </w:pPr>
      <w:r>
        <w:tab/>
        <w:t>(b)</w:t>
      </w:r>
      <w:r>
        <w:tab/>
        <w:t>by the holder of a petroleum or geothermal title in or in relation to a petroleum operation; or</w:t>
      </w:r>
    </w:p>
    <w:p>
      <w:pPr>
        <w:pStyle w:val="nzIndenta"/>
      </w:pPr>
      <w:r>
        <w:tab/>
        <w:t>(c)</w:t>
      </w:r>
      <w:r>
        <w:tab/>
        <w:t>by the holder of a petroleum pipeline licence in or in relation to a pipeline operation; or</w:t>
      </w:r>
    </w:p>
    <w:p>
      <w:pPr>
        <w:pStyle w:val="nzIndenta"/>
      </w:pPr>
      <w:r>
        <w:tab/>
        <w:t>(d)</w:t>
      </w:r>
      <w:r>
        <w:tab/>
        <w:t>in or in relation to an extraction operation.</w:t>
      </w:r>
    </w:p>
    <w:p>
      <w:pPr>
        <w:pStyle w:val="nzSubsection"/>
      </w:pPr>
      <w:r>
        <w:tab/>
        <w:t>(3)</w:t>
      </w:r>
      <w:r>
        <w:tab/>
        <w:t xml:space="preserve">An activity is for mining purposes if it is carried out — </w:t>
      </w:r>
    </w:p>
    <w:p>
      <w:pPr>
        <w:pStyle w:val="nzIndenta"/>
      </w:pPr>
      <w:r>
        <w:tab/>
        <w:t>(a)</w:t>
      </w:r>
      <w:r>
        <w:tab/>
        <w:t>by the holder of a mining tenement in or in relation to a mining operation; or</w:t>
      </w:r>
    </w:p>
    <w:p>
      <w:pPr>
        <w:pStyle w:val="nzIndenta"/>
      </w:pPr>
      <w:r>
        <w:tab/>
        <w:t>(b)</w:t>
      </w:r>
      <w:r>
        <w:tab/>
        <w:t>by the holder of a petroleum or geothermal title in or in relation to a petroleum operation; or</w:t>
      </w:r>
    </w:p>
    <w:p>
      <w:pPr>
        <w:pStyle w:val="nzIndenta"/>
      </w:pPr>
      <w:r>
        <w:tab/>
        <w:t>(c)</w:t>
      </w:r>
      <w:r>
        <w:tab/>
        <w:t>by the holder of a petroleum pipeline licence in or in relation to a pipeline operation; or</w:t>
      </w:r>
    </w:p>
    <w:p>
      <w:pPr>
        <w:pStyle w:val="nzIndenta"/>
      </w:pPr>
      <w:r>
        <w:tab/>
        <w:t>(d)</w:t>
      </w:r>
      <w:r>
        <w:tab/>
        <w:t>in or in relation to an extraction operation.</w:t>
      </w:r>
    </w:p>
    <w:p>
      <w:pPr>
        <w:pStyle w:val="nzSubsection"/>
      </w:pPr>
      <w:r>
        <w:tab/>
        <w:t>(4)</w:t>
      </w:r>
      <w:r>
        <w:tab/>
        <w:t>Water is used for public water supply purposes if it is used by the holder of a water services licence in or in relation to the provision of a potable water supply service.</w:t>
      </w:r>
    </w:p>
    <w:p>
      <w:pPr>
        <w:pStyle w:val="nzSubsection"/>
      </w:pPr>
      <w:r>
        <w:tab/>
        <w:t>(5)</w:t>
      </w:r>
      <w:r>
        <w:tab/>
        <w:t>An activity is for public water supply purposes if it is carried out by or on behalf of the holder of a water services licence in or in relation to the provision of a potable water supply service.</w:t>
      </w:r>
    </w:p>
    <w:p>
      <w:pPr>
        <w:pStyle w:val="nzHeading5"/>
      </w:pPr>
      <w:bookmarkStart w:id="176" w:name="_Toc525912940"/>
      <w:bookmarkStart w:id="177" w:name="_Toc525912958"/>
      <w:r>
        <w:t>60.</w:t>
      </w:r>
      <w:r>
        <w:tab/>
        <w:t>Fee for application for grant of permit</w:t>
      </w:r>
      <w:bookmarkEnd w:id="176"/>
      <w:bookmarkEnd w:id="177"/>
    </w:p>
    <w:p>
      <w:pPr>
        <w:pStyle w:val="nzSubsection"/>
      </w:pPr>
      <w:r>
        <w:tab/>
        <w:t>(1)</w:t>
      </w:r>
      <w:r>
        <w:tab/>
        <w:t xml:space="preserve">For the purposes of regulation 4(1)(c), the fee for an application for the grant of a permit is — </w:t>
      </w:r>
    </w:p>
    <w:p>
      <w:pPr>
        <w:pStyle w:val="nzIndenta"/>
      </w:pPr>
      <w:r>
        <w:tab/>
        <w:t>(a)</w:t>
      </w:r>
      <w:r>
        <w:tab/>
        <w:t>if the activity to be authorised by the permit is, to some extent, for mining purposes or for public water supply purposes (whether or not for the taking of water for such purposes) — the fee worked out under subregulation (2); or</w:t>
      </w:r>
    </w:p>
    <w:p>
      <w:pPr>
        <w:pStyle w:val="nzIndenta"/>
      </w:pPr>
      <w:r>
        <w:tab/>
        <w:t>(b)</w:t>
      </w:r>
      <w:r>
        <w:tab/>
        <w:t>otherwise — nil.</w:t>
      </w:r>
    </w:p>
    <w:p>
      <w:pPr>
        <w:pStyle w:val="nzSubsection"/>
      </w:pPr>
      <w:r>
        <w:tab/>
        <w:t>(2)</w:t>
      </w:r>
      <w:r>
        <w:tab/>
        <w:t>The fee is the applicable fee set out in the Table according to the assessment level applicable to the water resource in respect of which the application is made.</w:t>
      </w:r>
    </w:p>
    <w:p>
      <w:pPr>
        <w:pStyle w:val="zTHeadingNAm"/>
      </w:pPr>
      <w:r>
        <w:t>Table — Applicable fee</w:t>
      </w:r>
    </w:p>
    <w:tbl>
      <w:tblPr>
        <w:tblW w:w="6379"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126"/>
        <w:gridCol w:w="2126"/>
        <w:gridCol w:w="2127"/>
      </w:tblGrid>
      <w:tr>
        <w:trPr>
          <w:tblHeader/>
        </w:trPr>
        <w:tc>
          <w:tcPr>
            <w:tcW w:w="6379" w:type="dxa"/>
            <w:gridSpan w:val="3"/>
          </w:tcPr>
          <w:p>
            <w:pPr>
              <w:pStyle w:val="TableNAm"/>
              <w:jc w:val="center"/>
            </w:pPr>
            <w:r>
              <w:rPr>
                <w:b/>
                <w:bCs/>
              </w:rPr>
              <w:t>Assessment level</w:t>
            </w:r>
          </w:p>
        </w:tc>
      </w:tr>
      <w:tr>
        <w:tc>
          <w:tcPr>
            <w:tcW w:w="2126" w:type="dxa"/>
          </w:tcPr>
          <w:p>
            <w:pPr>
              <w:pStyle w:val="TableNAm"/>
              <w:jc w:val="center"/>
            </w:pPr>
            <w:r>
              <w:t>low</w:t>
            </w:r>
          </w:p>
        </w:tc>
        <w:tc>
          <w:tcPr>
            <w:tcW w:w="2126" w:type="dxa"/>
          </w:tcPr>
          <w:p>
            <w:pPr>
              <w:pStyle w:val="TableNAm"/>
              <w:jc w:val="center"/>
            </w:pPr>
            <w:r>
              <w:t>medium</w:t>
            </w:r>
          </w:p>
        </w:tc>
        <w:tc>
          <w:tcPr>
            <w:tcW w:w="2127" w:type="dxa"/>
          </w:tcPr>
          <w:p>
            <w:pPr>
              <w:pStyle w:val="TableNAm"/>
              <w:jc w:val="center"/>
            </w:pPr>
            <w:r>
              <w:t>high</w:t>
            </w:r>
          </w:p>
        </w:tc>
      </w:tr>
      <w:tr>
        <w:tc>
          <w:tcPr>
            <w:tcW w:w="2126" w:type="dxa"/>
          </w:tcPr>
          <w:p>
            <w:pPr>
              <w:pStyle w:val="TableNAm"/>
            </w:pPr>
            <w:r>
              <w:t>$2 477</w:t>
            </w:r>
          </w:p>
        </w:tc>
        <w:tc>
          <w:tcPr>
            <w:tcW w:w="2126" w:type="dxa"/>
          </w:tcPr>
          <w:p>
            <w:pPr>
              <w:pStyle w:val="TableNAm"/>
            </w:pPr>
            <w:r>
              <w:t>$3 302</w:t>
            </w:r>
          </w:p>
        </w:tc>
        <w:tc>
          <w:tcPr>
            <w:tcW w:w="2127" w:type="dxa"/>
          </w:tcPr>
          <w:p>
            <w:pPr>
              <w:pStyle w:val="TableNAm"/>
            </w:pPr>
            <w:r>
              <w:t>$4 128</w:t>
            </w:r>
          </w:p>
        </w:tc>
      </w:tr>
    </w:tbl>
    <w:p>
      <w:pPr>
        <w:pStyle w:val="nzSubsection"/>
      </w:pPr>
      <w:r>
        <w:tab/>
        <w:t>(3)</w:t>
      </w:r>
      <w:r>
        <w:tab/>
        <w:t xml:space="preserve">The assessment level applicable to the water resource is — </w:t>
      </w:r>
    </w:p>
    <w:p>
      <w:pPr>
        <w:pStyle w:val="nzIndenta"/>
      </w:pPr>
      <w:r>
        <w:tab/>
        <w:t>(a)</w:t>
      </w:r>
      <w:r>
        <w:tab/>
        <w:t>if the allocation status of the water resource is relevant to the application — worked out in accordance with the Table; or</w:t>
      </w:r>
    </w:p>
    <w:p>
      <w:pPr>
        <w:pStyle w:val="nzIndenta"/>
      </w:pPr>
      <w:r>
        <w:tab/>
        <w:t>(b)</w:t>
      </w:r>
      <w:r>
        <w:tab/>
        <w:t>otherwise — low.</w:t>
      </w:r>
    </w:p>
    <w:p>
      <w:pPr>
        <w:pStyle w:val="zTHeadingNAm"/>
      </w:pPr>
      <w:r>
        <w:t>Table — Assessment level</w:t>
      </w:r>
    </w:p>
    <w:tbl>
      <w:tblPr>
        <w:tblW w:w="6379"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275"/>
        <w:gridCol w:w="1276"/>
        <w:gridCol w:w="1276"/>
        <w:gridCol w:w="1276"/>
        <w:gridCol w:w="1276"/>
      </w:tblGrid>
      <w:tr>
        <w:trPr>
          <w:tblHeader/>
        </w:trPr>
        <w:tc>
          <w:tcPr>
            <w:tcW w:w="6379" w:type="dxa"/>
            <w:gridSpan w:val="5"/>
          </w:tcPr>
          <w:p>
            <w:pPr>
              <w:pStyle w:val="TableNAm"/>
              <w:jc w:val="center"/>
            </w:pPr>
            <w:r>
              <w:rPr>
                <w:b/>
                <w:bCs/>
              </w:rPr>
              <w:t>Applicable allocation status of water resource</w:t>
            </w:r>
          </w:p>
        </w:tc>
      </w:tr>
      <w:tr>
        <w:tc>
          <w:tcPr>
            <w:tcW w:w="1275" w:type="dxa"/>
          </w:tcPr>
          <w:p>
            <w:pPr>
              <w:pStyle w:val="TableNAm"/>
              <w:jc w:val="center"/>
            </w:pPr>
            <w:r>
              <w:t>≤</w:t>
            </w:r>
            <w:r>
              <w:rPr>
                <w:sz w:val="16"/>
                <w:szCs w:val="16"/>
              </w:rPr>
              <w:t>  </w:t>
            </w:r>
            <w:r>
              <w:t>30%</w:t>
            </w:r>
          </w:p>
        </w:tc>
        <w:tc>
          <w:tcPr>
            <w:tcW w:w="1276" w:type="dxa"/>
          </w:tcPr>
          <w:p>
            <w:pPr>
              <w:pStyle w:val="TableNAm"/>
              <w:jc w:val="center"/>
            </w:pPr>
            <w:r>
              <w:t>&gt; 30% but ≤</w:t>
            </w:r>
            <w:r>
              <w:rPr>
                <w:sz w:val="16"/>
                <w:szCs w:val="16"/>
              </w:rPr>
              <w:t>  </w:t>
            </w:r>
            <w:r>
              <w:t>70%</w:t>
            </w:r>
          </w:p>
        </w:tc>
        <w:tc>
          <w:tcPr>
            <w:tcW w:w="1276" w:type="dxa"/>
          </w:tcPr>
          <w:p>
            <w:pPr>
              <w:pStyle w:val="TableNAm"/>
              <w:jc w:val="center"/>
            </w:pPr>
            <w:r>
              <w:t>&gt; 70% but ≤</w:t>
            </w:r>
            <w:r>
              <w:rPr>
                <w:sz w:val="16"/>
                <w:szCs w:val="16"/>
              </w:rPr>
              <w:t>  </w:t>
            </w:r>
            <w:r>
              <w:t>100%</w:t>
            </w:r>
          </w:p>
        </w:tc>
        <w:tc>
          <w:tcPr>
            <w:tcW w:w="1276" w:type="dxa"/>
          </w:tcPr>
          <w:p>
            <w:pPr>
              <w:pStyle w:val="TableNAm"/>
              <w:jc w:val="center"/>
            </w:pPr>
            <w:r>
              <w:t>&gt; 100%</w:t>
            </w:r>
          </w:p>
        </w:tc>
        <w:tc>
          <w:tcPr>
            <w:tcW w:w="1276" w:type="dxa"/>
          </w:tcPr>
          <w:p>
            <w:pPr>
              <w:pStyle w:val="TableNAm"/>
              <w:jc w:val="center"/>
            </w:pPr>
            <w:r>
              <w:t>no allocation limit</w:t>
            </w:r>
          </w:p>
        </w:tc>
      </w:tr>
      <w:tr>
        <w:tc>
          <w:tcPr>
            <w:tcW w:w="1275" w:type="dxa"/>
          </w:tcPr>
          <w:p>
            <w:pPr>
              <w:pStyle w:val="TableNAm"/>
            </w:pPr>
            <w:r>
              <w:t>low</w:t>
            </w:r>
          </w:p>
        </w:tc>
        <w:tc>
          <w:tcPr>
            <w:tcW w:w="1276" w:type="dxa"/>
          </w:tcPr>
          <w:p>
            <w:pPr>
              <w:pStyle w:val="TableNAm"/>
            </w:pPr>
            <w:r>
              <w:t>low</w:t>
            </w:r>
          </w:p>
        </w:tc>
        <w:tc>
          <w:tcPr>
            <w:tcW w:w="1276" w:type="dxa"/>
          </w:tcPr>
          <w:p>
            <w:pPr>
              <w:pStyle w:val="TableNAm"/>
            </w:pPr>
            <w:r>
              <w:t>medium</w:t>
            </w:r>
          </w:p>
        </w:tc>
        <w:tc>
          <w:tcPr>
            <w:tcW w:w="1276" w:type="dxa"/>
          </w:tcPr>
          <w:p>
            <w:pPr>
              <w:pStyle w:val="TableNAm"/>
            </w:pPr>
            <w:r>
              <w:t>high</w:t>
            </w:r>
          </w:p>
        </w:tc>
        <w:tc>
          <w:tcPr>
            <w:tcW w:w="1276" w:type="dxa"/>
          </w:tcPr>
          <w:p>
            <w:pPr>
              <w:pStyle w:val="TableNAm"/>
            </w:pPr>
            <w:r>
              <w:t>low</w:t>
            </w:r>
          </w:p>
        </w:tc>
      </w:tr>
    </w:tbl>
    <w:p>
      <w:pPr>
        <w:pStyle w:val="nzPermNoteHeading"/>
      </w:pPr>
      <w:r>
        <w:tab/>
        <w:t>Note for this Table:</w:t>
      </w:r>
    </w:p>
    <w:p>
      <w:pPr>
        <w:pStyle w:val="nzPermNoteText"/>
      </w:pPr>
      <w:r>
        <w:tab/>
      </w:r>
      <w:r>
        <w:tab/>
        <w:t>&gt;</w:t>
      </w:r>
      <w:r>
        <w:tab/>
        <w:t>signifies more than</w:t>
      </w:r>
    </w:p>
    <w:p>
      <w:pPr>
        <w:pStyle w:val="nzPermNoteText"/>
      </w:pPr>
      <w:r>
        <w:tab/>
      </w:r>
      <w:r>
        <w:tab/>
        <w:t>≤</w:t>
      </w:r>
      <w:r>
        <w:tab/>
        <w:t>signifies less than or equal to</w:t>
      </w:r>
    </w:p>
    <w:p>
      <w:pPr>
        <w:pStyle w:val="nzHeading5"/>
      </w:pPr>
      <w:bookmarkStart w:id="178" w:name="_Toc525912941"/>
      <w:bookmarkStart w:id="179" w:name="_Toc525912959"/>
      <w:r>
        <w:t>61.</w:t>
      </w:r>
      <w:r>
        <w:tab/>
        <w:t>Fee for application for grant, renewal or amendment of s. 5C licence</w:t>
      </w:r>
      <w:bookmarkEnd w:id="178"/>
      <w:bookmarkEnd w:id="179"/>
    </w:p>
    <w:p>
      <w:pPr>
        <w:pStyle w:val="nzSubsection"/>
      </w:pPr>
      <w:r>
        <w:tab/>
        <w:t>(1)</w:t>
      </w:r>
      <w:r>
        <w:tab/>
        <w:t xml:space="preserve">For the purposes of Schedule 1 clauses 4(1)(d), 22(1)(b) and 23(3) of the Act, the fee for an application for the grant, renewal or amendment of a section 5C licence is — </w:t>
      </w:r>
    </w:p>
    <w:p>
      <w:pPr>
        <w:pStyle w:val="nzIndenta"/>
      </w:pPr>
      <w:r>
        <w:tab/>
        <w:t>(a)</w:t>
      </w:r>
      <w:r>
        <w:tab/>
        <w:t>if the low volume exemption does not apply and at least some of the water to be taken under the licence is for mining purposes or for public water supply purposes — the fee worked out under subregulation (3); or</w:t>
      </w:r>
    </w:p>
    <w:p>
      <w:pPr>
        <w:pStyle w:val="nzIndenta"/>
      </w:pPr>
      <w:r>
        <w:tab/>
        <w:t>(b)</w:t>
      </w:r>
      <w:r>
        <w:tab/>
        <w:t>if the low volume exemption applies and at least some of the water to be taken under the licence is for mining purposes or for public water supply purposes — $200; or</w:t>
      </w:r>
    </w:p>
    <w:p>
      <w:pPr>
        <w:pStyle w:val="nzIndenta"/>
      </w:pPr>
      <w:r>
        <w:tab/>
        <w:t>(c)</w:t>
      </w:r>
      <w:r>
        <w:tab/>
        <w:t>otherwise — nil.</w:t>
      </w:r>
    </w:p>
    <w:p>
      <w:pPr>
        <w:pStyle w:val="nzSubsection"/>
      </w:pPr>
      <w:r>
        <w:tab/>
        <w:t>(2)</w:t>
      </w:r>
      <w:r>
        <w:tab/>
        <w:t>The low volume exemption applies in relation to an application if the maximum volume of water that may be taken under the licence, if granted, renewed or amended in accordance with the application, does not exceed 1 500 kL/annum.</w:t>
      </w:r>
    </w:p>
    <w:p>
      <w:pPr>
        <w:pStyle w:val="nzSubsection"/>
      </w:pPr>
      <w:r>
        <w:tab/>
        <w:t>(3)</w:t>
      </w:r>
      <w:r>
        <w:tab/>
        <w:t xml:space="preserve">The fee is — </w:t>
      </w:r>
    </w:p>
    <w:p>
      <w:pPr>
        <w:pStyle w:val="nzIndenta"/>
      </w:pPr>
      <w:r>
        <w:tab/>
        <w:t>(a)</w:t>
      </w:r>
      <w:r>
        <w:tab/>
        <w:t>if the application is for the grant of a licence — the applicable fee set out in item 1 of the Table according to the assessment level applicable to the water resource in respect of which the application is made; or</w:t>
      </w:r>
    </w:p>
    <w:p>
      <w:pPr>
        <w:pStyle w:val="nzIndenta"/>
      </w:pPr>
      <w:r>
        <w:tab/>
        <w:t>(b)</w:t>
      </w:r>
      <w:r>
        <w:tab/>
        <w:t>if the application is for the renewal of the licence — the applicable fee set out in item 2 of the Table according to the assessment level applicable to the water resource in respect of which the application is made; or</w:t>
      </w:r>
    </w:p>
    <w:p>
      <w:pPr>
        <w:pStyle w:val="nzIndenta"/>
      </w:pPr>
      <w:r>
        <w:tab/>
        <w:t>(c)</w:t>
      </w:r>
      <w:r>
        <w:tab/>
        <w:t>if the application is for the amendment of the licence and the amendment requires an assessment of the impact on the water resource in respect of which the application is made — the applicable fee set out in item 3 of the Table according to the assessment level applicable to the water resource.</w:t>
      </w:r>
    </w:p>
    <w:p>
      <w:pPr>
        <w:pStyle w:val="zTHeadingNAm"/>
        <w:pageBreakBefore/>
      </w:pPr>
      <w:r>
        <w:t>Table — Applicable fee</w:t>
      </w:r>
    </w:p>
    <w:tbl>
      <w:tblPr>
        <w:tblW w:w="6379"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2551"/>
        <w:gridCol w:w="1039"/>
        <w:gridCol w:w="1040"/>
        <w:gridCol w:w="1040"/>
      </w:tblGrid>
      <w:tr>
        <w:trPr>
          <w:tblHeader/>
        </w:trPr>
        <w:tc>
          <w:tcPr>
            <w:tcW w:w="709" w:type="dxa"/>
            <w:vMerge w:val="restart"/>
          </w:tcPr>
          <w:p>
            <w:pPr>
              <w:pStyle w:val="TableNAm"/>
              <w:jc w:val="center"/>
            </w:pPr>
            <w:r>
              <w:rPr>
                <w:b/>
                <w:bCs/>
              </w:rPr>
              <w:t>Item</w:t>
            </w:r>
          </w:p>
        </w:tc>
        <w:tc>
          <w:tcPr>
            <w:tcW w:w="2551" w:type="dxa"/>
            <w:vMerge w:val="restart"/>
          </w:tcPr>
          <w:p>
            <w:pPr>
              <w:pStyle w:val="TableNAm"/>
              <w:jc w:val="center"/>
            </w:pPr>
            <w:r>
              <w:rPr>
                <w:b/>
                <w:bCs/>
              </w:rPr>
              <w:t>Type of application</w:t>
            </w:r>
          </w:p>
        </w:tc>
        <w:tc>
          <w:tcPr>
            <w:tcW w:w="3119" w:type="dxa"/>
            <w:gridSpan w:val="3"/>
          </w:tcPr>
          <w:p>
            <w:pPr>
              <w:pStyle w:val="TableNAm"/>
              <w:jc w:val="center"/>
            </w:pPr>
            <w:r>
              <w:rPr>
                <w:b/>
                <w:bCs/>
              </w:rPr>
              <w:t>Assessment level</w:t>
            </w:r>
          </w:p>
        </w:tc>
      </w:tr>
      <w:tr>
        <w:tc>
          <w:tcPr>
            <w:tcW w:w="709" w:type="dxa"/>
            <w:vMerge/>
          </w:tcPr>
          <w:p>
            <w:pPr>
              <w:pStyle w:val="zTableNAm"/>
              <w:jc w:val="center"/>
            </w:pPr>
          </w:p>
        </w:tc>
        <w:tc>
          <w:tcPr>
            <w:tcW w:w="2551" w:type="dxa"/>
            <w:vMerge/>
          </w:tcPr>
          <w:p>
            <w:pPr>
              <w:pStyle w:val="zTableNAm"/>
              <w:jc w:val="center"/>
            </w:pPr>
          </w:p>
        </w:tc>
        <w:tc>
          <w:tcPr>
            <w:tcW w:w="1039" w:type="dxa"/>
          </w:tcPr>
          <w:p>
            <w:pPr>
              <w:pStyle w:val="TableNAm"/>
              <w:jc w:val="center"/>
            </w:pPr>
            <w:r>
              <w:t>low</w:t>
            </w:r>
          </w:p>
        </w:tc>
        <w:tc>
          <w:tcPr>
            <w:tcW w:w="1040" w:type="dxa"/>
          </w:tcPr>
          <w:p>
            <w:pPr>
              <w:pStyle w:val="TableNAm"/>
              <w:jc w:val="center"/>
            </w:pPr>
            <w:r>
              <w:t>medium</w:t>
            </w:r>
          </w:p>
        </w:tc>
        <w:tc>
          <w:tcPr>
            <w:tcW w:w="1040" w:type="dxa"/>
          </w:tcPr>
          <w:p>
            <w:pPr>
              <w:pStyle w:val="TableNAm"/>
              <w:jc w:val="center"/>
            </w:pPr>
            <w:r>
              <w:t>high</w:t>
            </w:r>
          </w:p>
        </w:tc>
      </w:tr>
      <w:tr>
        <w:tc>
          <w:tcPr>
            <w:tcW w:w="709" w:type="dxa"/>
          </w:tcPr>
          <w:p>
            <w:pPr>
              <w:pStyle w:val="TableNAm"/>
            </w:pPr>
            <w:r>
              <w:t>1.</w:t>
            </w:r>
          </w:p>
        </w:tc>
        <w:tc>
          <w:tcPr>
            <w:tcW w:w="2551" w:type="dxa"/>
          </w:tcPr>
          <w:p>
            <w:pPr>
              <w:pStyle w:val="TableNAm"/>
            </w:pPr>
            <w:r>
              <w:t>new licence</w:t>
            </w:r>
          </w:p>
        </w:tc>
        <w:tc>
          <w:tcPr>
            <w:tcW w:w="1039" w:type="dxa"/>
          </w:tcPr>
          <w:p>
            <w:pPr>
              <w:pStyle w:val="TableNAm"/>
            </w:pPr>
            <w:r>
              <w:t>$5 357</w:t>
            </w:r>
          </w:p>
        </w:tc>
        <w:tc>
          <w:tcPr>
            <w:tcW w:w="1040" w:type="dxa"/>
          </w:tcPr>
          <w:p>
            <w:pPr>
              <w:pStyle w:val="TableNAm"/>
            </w:pPr>
            <w:r>
              <w:t>$7 143</w:t>
            </w:r>
          </w:p>
        </w:tc>
        <w:tc>
          <w:tcPr>
            <w:tcW w:w="1040" w:type="dxa"/>
          </w:tcPr>
          <w:p>
            <w:pPr>
              <w:pStyle w:val="TableNAm"/>
            </w:pPr>
            <w:r>
              <w:t>$8 929</w:t>
            </w:r>
          </w:p>
        </w:tc>
      </w:tr>
      <w:tr>
        <w:tc>
          <w:tcPr>
            <w:tcW w:w="709" w:type="dxa"/>
          </w:tcPr>
          <w:p>
            <w:pPr>
              <w:pStyle w:val="TableNAm"/>
            </w:pPr>
            <w:r>
              <w:t>2.</w:t>
            </w:r>
          </w:p>
        </w:tc>
        <w:tc>
          <w:tcPr>
            <w:tcW w:w="2551" w:type="dxa"/>
          </w:tcPr>
          <w:p>
            <w:pPr>
              <w:pStyle w:val="TableNAm"/>
            </w:pPr>
            <w:r>
              <w:t>renewal of licence</w:t>
            </w:r>
          </w:p>
        </w:tc>
        <w:tc>
          <w:tcPr>
            <w:tcW w:w="1039" w:type="dxa"/>
          </w:tcPr>
          <w:p>
            <w:pPr>
              <w:pStyle w:val="TableNAm"/>
            </w:pPr>
            <w:r>
              <w:t>$4 001</w:t>
            </w:r>
          </w:p>
        </w:tc>
        <w:tc>
          <w:tcPr>
            <w:tcW w:w="1040" w:type="dxa"/>
          </w:tcPr>
          <w:p>
            <w:pPr>
              <w:pStyle w:val="TableNAm"/>
            </w:pPr>
            <w:r>
              <w:t>$5 335</w:t>
            </w:r>
          </w:p>
        </w:tc>
        <w:tc>
          <w:tcPr>
            <w:tcW w:w="1040" w:type="dxa"/>
          </w:tcPr>
          <w:p>
            <w:pPr>
              <w:pStyle w:val="TableNAm"/>
            </w:pPr>
            <w:r>
              <w:t>$6 668</w:t>
            </w:r>
          </w:p>
        </w:tc>
      </w:tr>
      <w:tr>
        <w:tc>
          <w:tcPr>
            <w:tcW w:w="709" w:type="dxa"/>
          </w:tcPr>
          <w:p>
            <w:pPr>
              <w:pStyle w:val="TableNAm"/>
            </w:pPr>
            <w:r>
              <w:t>3.</w:t>
            </w:r>
          </w:p>
        </w:tc>
        <w:tc>
          <w:tcPr>
            <w:tcW w:w="2551" w:type="dxa"/>
          </w:tcPr>
          <w:p>
            <w:pPr>
              <w:pStyle w:val="TableNAm"/>
            </w:pPr>
            <w:r>
              <w:t>amendment of licence</w:t>
            </w:r>
          </w:p>
        </w:tc>
        <w:tc>
          <w:tcPr>
            <w:tcW w:w="1039" w:type="dxa"/>
          </w:tcPr>
          <w:p>
            <w:pPr>
              <w:pStyle w:val="TableNAm"/>
            </w:pPr>
            <w:r>
              <w:t>$4 407</w:t>
            </w:r>
          </w:p>
        </w:tc>
        <w:tc>
          <w:tcPr>
            <w:tcW w:w="1040" w:type="dxa"/>
          </w:tcPr>
          <w:p>
            <w:pPr>
              <w:pStyle w:val="TableNAm"/>
            </w:pPr>
            <w:r>
              <w:t>$5 876</w:t>
            </w:r>
          </w:p>
        </w:tc>
        <w:tc>
          <w:tcPr>
            <w:tcW w:w="1040" w:type="dxa"/>
          </w:tcPr>
          <w:p>
            <w:pPr>
              <w:pStyle w:val="TableNAm"/>
            </w:pPr>
            <w:r>
              <w:t>$7 345</w:t>
            </w:r>
          </w:p>
        </w:tc>
      </w:tr>
    </w:tbl>
    <w:p>
      <w:pPr>
        <w:pStyle w:val="nzSubsection"/>
      </w:pPr>
      <w:r>
        <w:tab/>
        <w:t>(4)</w:t>
      </w:r>
      <w:r>
        <w:tab/>
        <w:t xml:space="preserve">The assessment level applicable to the water resource is — </w:t>
      </w:r>
    </w:p>
    <w:p>
      <w:pPr>
        <w:pStyle w:val="nzIndenta"/>
      </w:pPr>
      <w:r>
        <w:tab/>
        <w:t>(a)</w:t>
      </w:r>
      <w:r>
        <w:tab/>
        <w:t>if the allocation status of the water resource is relevant to the application — worked out in accordance with the Table; or</w:t>
      </w:r>
    </w:p>
    <w:p>
      <w:pPr>
        <w:pStyle w:val="nzIndenta"/>
      </w:pPr>
      <w:r>
        <w:tab/>
        <w:t>(b)</w:t>
      </w:r>
      <w:r>
        <w:tab/>
        <w:t>otherwise — low.</w:t>
      </w:r>
    </w:p>
    <w:p>
      <w:pPr>
        <w:pStyle w:val="zTHeadingNAm"/>
      </w:pPr>
      <w:r>
        <w:t>Table — Assessment level</w:t>
      </w:r>
    </w:p>
    <w:tbl>
      <w:tblPr>
        <w:tblW w:w="652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276"/>
        <w:gridCol w:w="1048"/>
        <w:gridCol w:w="1049"/>
        <w:gridCol w:w="1049"/>
        <w:gridCol w:w="1049"/>
        <w:gridCol w:w="1049"/>
      </w:tblGrid>
      <w:tr>
        <w:trPr>
          <w:tblHeader/>
        </w:trPr>
        <w:tc>
          <w:tcPr>
            <w:tcW w:w="1276" w:type="dxa"/>
            <w:vMerge w:val="restart"/>
          </w:tcPr>
          <w:p>
            <w:pPr>
              <w:pStyle w:val="TableNAm"/>
              <w:jc w:val="center"/>
            </w:pPr>
            <w:r>
              <w:rPr>
                <w:b/>
                <w:bCs/>
              </w:rPr>
              <w:t>Volume</w:t>
            </w:r>
          </w:p>
        </w:tc>
        <w:tc>
          <w:tcPr>
            <w:tcW w:w="5244" w:type="dxa"/>
            <w:gridSpan w:val="5"/>
          </w:tcPr>
          <w:p>
            <w:pPr>
              <w:pStyle w:val="TableNAm"/>
              <w:jc w:val="center"/>
            </w:pPr>
            <w:r>
              <w:rPr>
                <w:b/>
                <w:bCs/>
              </w:rPr>
              <w:t>Applicable allocation status of water resource</w:t>
            </w:r>
          </w:p>
        </w:tc>
      </w:tr>
      <w:tr>
        <w:tc>
          <w:tcPr>
            <w:tcW w:w="1276" w:type="dxa"/>
            <w:vMerge/>
          </w:tcPr>
          <w:p>
            <w:pPr>
              <w:pStyle w:val="zTableNAm"/>
              <w:jc w:val="center"/>
            </w:pPr>
          </w:p>
        </w:tc>
        <w:tc>
          <w:tcPr>
            <w:tcW w:w="1048" w:type="dxa"/>
          </w:tcPr>
          <w:p>
            <w:pPr>
              <w:pStyle w:val="TableNAm"/>
              <w:jc w:val="center"/>
            </w:pPr>
            <w:r>
              <w:t>≤</w:t>
            </w:r>
            <w:r>
              <w:rPr>
                <w:sz w:val="16"/>
                <w:szCs w:val="16"/>
              </w:rPr>
              <w:t>  </w:t>
            </w:r>
            <w:r>
              <w:t>30%</w:t>
            </w:r>
          </w:p>
        </w:tc>
        <w:tc>
          <w:tcPr>
            <w:tcW w:w="1049" w:type="dxa"/>
          </w:tcPr>
          <w:p>
            <w:pPr>
              <w:pStyle w:val="TableNAm"/>
              <w:jc w:val="center"/>
            </w:pPr>
            <w:r>
              <w:t>&gt; 30% but ≤</w:t>
            </w:r>
            <w:r>
              <w:rPr>
                <w:sz w:val="16"/>
                <w:szCs w:val="16"/>
              </w:rPr>
              <w:t>  </w:t>
            </w:r>
            <w:r>
              <w:t>70%</w:t>
            </w:r>
          </w:p>
        </w:tc>
        <w:tc>
          <w:tcPr>
            <w:tcW w:w="1049" w:type="dxa"/>
          </w:tcPr>
          <w:p>
            <w:pPr>
              <w:pStyle w:val="TableNAm"/>
              <w:jc w:val="center"/>
            </w:pPr>
            <w:r>
              <w:t>&gt; 70% but ≤</w:t>
            </w:r>
            <w:r>
              <w:rPr>
                <w:sz w:val="16"/>
                <w:szCs w:val="16"/>
              </w:rPr>
              <w:t>  </w:t>
            </w:r>
            <w:r>
              <w:t>100%</w:t>
            </w:r>
          </w:p>
        </w:tc>
        <w:tc>
          <w:tcPr>
            <w:tcW w:w="1049" w:type="dxa"/>
          </w:tcPr>
          <w:p>
            <w:pPr>
              <w:pStyle w:val="TableNAm"/>
              <w:jc w:val="center"/>
            </w:pPr>
            <w:r>
              <w:t>&gt; 100%</w:t>
            </w:r>
          </w:p>
        </w:tc>
        <w:tc>
          <w:tcPr>
            <w:tcW w:w="1049" w:type="dxa"/>
          </w:tcPr>
          <w:p>
            <w:pPr>
              <w:pStyle w:val="TableNAm"/>
              <w:jc w:val="center"/>
            </w:pPr>
            <w:r>
              <w:t xml:space="preserve">no </w:t>
            </w:r>
            <w:r>
              <w:rPr>
                <w:spacing w:val="-12"/>
                <w:kern w:val="24"/>
              </w:rPr>
              <w:t>allocation</w:t>
            </w:r>
            <w:r>
              <w:t xml:space="preserve"> limit</w:t>
            </w:r>
          </w:p>
        </w:tc>
      </w:tr>
      <w:tr>
        <w:tc>
          <w:tcPr>
            <w:tcW w:w="1276" w:type="dxa"/>
          </w:tcPr>
          <w:p>
            <w:pPr>
              <w:pStyle w:val="TableNAm"/>
            </w:pPr>
            <w:r>
              <w:t>&lt; 50 000 kL/annum</w:t>
            </w:r>
          </w:p>
        </w:tc>
        <w:tc>
          <w:tcPr>
            <w:tcW w:w="1048" w:type="dxa"/>
          </w:tcPr>
          <w:p>
            <w:pPr>
              <w:pStyle w:val="TableNAm"/>
            </w:pPr>
            <w:r>
              <w:t>low</w:t>
            </w:r>
          </w:p>
        </w:tc>
        <w:tc>
          <w:tcPr>
            <w:tcW w:w="1049" w:type="dxa"/>
          </w:tcPr>
          <w:p>
            <w:pPr>
              <w:pStyle w:val="TableNAm"/>
            </w:pPr>
            <w:r>
              <w:t>low</w:t>
            </w:r>
          </w:p>
        </w:tc>
        <w:tc>
          <w:tcPr>
            <w:tcW w:w="1049" w:type="dxa"/>
          </w:tcPr>
          <w:p>
            <w:pPr>
              <w:pStyle w:val="TableNAm"/>
            </w:pPr>
            <w:r>
              <w:t>medium</w:t>
            </w:r>
          </w:p>
        </w:tc>
        <w:tc>
          <w:tcPr>
            <w:tcW w:w="1049" w:type="dxa"/>
          </w:tcPr>
          <w:p>
            <w:pPr>
              <w:pStyle w:val="TableNAm"/>
            </w:pPr>
            <w:r>
              <w:t>high</w:t>
            </w:r>
          </w:p>
        </w:tc>
        <w:tc>
          <w:tcPr>
            <w:tcW w:w="1049" w:type="dxa"/>
          </w:tcPr>
          <w:p>
            <w:pPr>
              <w:pStyle w:val="TableNAm"/>
            </w:pPr>
            <w:r>
              <w:t>low</w:t>
            </w:r>
          </w:p>
        </w:tc>
      </w:tr>
      <w:tr>
        <w:tc>
          <w:tcPr>
            <w:tcW w:w="1276" w:type="dxa"/>
          </w:tcPr>
          <w:p>
            <w:pPr>
              <w:pStyle w:val="TableNAm"/>
            </w:pPr>
            <w:r>
              <w:t>≥  50 000 but &lt; 500 000 kL/annum</w:t>
            </w:r>
          </w:p>
        </w:tc>
        <w:tc>
          <w:tcPr>
            <w:tcW w:w="1048" w:type="dxa"/>
          </w:tcPr>
          <w:p>
            <w:pPr>
              <w:pStyle w:val="TableNAm"/>
            </w:pPr>
            <w:r>
              <w:t>low</w:t>
            </w:r>
          </w:p>
        </w:tc>
        <w:tc>
          <w:tcPr>
            <w:tcW w:w="1049" w:type="dxa"/>
          </w:tcPr>
          <w:p>
            <w:pPr>
              <w:pStyle w:val="TableNAm"/>
            </w:pPr>
            <w:r>
              <w:t>medium</w:t>
            </w:r>
          </w:p>
        </w:tc>
        <w:tc>
          <w:tcPr>
            <w:tcW w:w="1049" w:type="dxa"/>
          </w:tcPr>
          <w:p>
            <w:pPr>
              <w:pStyle w:val="TableNAm"/>
            </w:pPr>
            <w:r>
              <w:t>high</w:t>
            </w:r>
          </w:p>
        </w:tc>
        <w:tc>
          <w:tcPr>
            <w:tcW w:w="1049" w:type="dxa"/>
          </w:tcPr>
          <w:p>
            <w:pPr>
              <w:pStyle w:val="TableNAm"/>
            </w:pPr>
            <w:r>
              <w:t>high</w:t>
            </w:r>
          </w:p>
        </w:tc>
        <w:tc>
          <w:tcPr>
            <w:tcW w:w="1049" w:type="dxa"/>
          </w:tcPr>
          <w:p>
            <w:pPr>
              <w:pStyle w:val="TableNAm"/>
            </w:pPr>
            <w:r>
              <w:t>low</w:t>
            </w:r>
          </w:p>
        </w:tc>
      </w:tr>
      <w:tr>
        <w:tc>
          <w:tcPr>
            <w:tcW w:w="1276" w:type="dxa"/>
          </w:tcPr>
          <w:p>
            <w:pPr>
              <w:pStyle w:val="TableNAm"/>
            </w:pPr>
            <w:r>
              <w:t>≥  500 000 kL/annum</w:t>
            </w:r>
          </w:p>
        </w:tc>
        <w:tc>
          <w:tcPr>
            <w:tcW w:w="1048" w:type="dxa"/>
          </w:tcPr>
          <w:p>
            <w:pPr>
              <w:pStyle w:val="TableNAm"/>
            </w:pPr>
            <w:r>
              <w:t>high</w:t>
            </w:r>
          </w:p>
        </w:tc>
        <w:tc>
          <w:tcPr>
            <w:tcW w:w="1049" w:type="dxa"/>
          </w:tcPr>
          <w:p>
            <w:pPr>
              <w:pStyle w:val="TableNAm"/>
            </w:pPr>
            <w:r>
              <w:t>high</w:t>
            </w:r>
          </w:p>
        </w:tc>
        <w:tc>
          <w:tcPr>
            <w:tcW w:w="1049" w:type="dxa"/>
          </w:tcPr>
          <w:p>
            <w:pPr>
              <w:pStyle w:val="TableNAm"/>
            </w:pPr>
            <w:r>
              <w:t>high</w:t>
            </w:r>
          </w:p>
        </w:tc>
        <w:tc>
          <w:tcPr>
            <w:tcW w:w="1049" w:type="dxa"/>
          </w:tcPr>
          <w:p>
            <w:pPr>
              <w:pStyle w:val="TableNAm"/>
            </w:pPr>
            <w:r>
              <w:t>high</w:t>
            </w:r>
          </w:p>
        </w:tc>
        <w:tc>
          <w:tcPr>
            <w:tcW w:w="1049" w:type="dxa"/>
          </w:tcPr>
          <w:p>
            <w:pPr>
              <w:pStyle w:val="TableNAm"/>
            </w:pPr>
            <w:r>
              <w:t>low</w:t>
            </w:r>
          </w:p>
        </w:tc>
      </w:tr>
    </w:tbl>
    <w:p>
      <w:pPr>
        <w:pStyle w:val="nzPermNoteHeading"/>
      </w:pPr>
      <w:r>
        <w:tab/>
        <w:t>Note for this Table:</w:t>
      </w:r>
    </w:p>
    <w:p>
      <w:pPr>
        <w:pStyle w:val="nzPermNoteText"/>
      </w:pPr>
      <w:r>
        <w:tab/>
      </w:r>
      <w:r>
        <w:tab/>
        <w:t>&gt;</w:t>
      </w:r>
      <w:r>
        <w:tab/>
        <w:t>signifies more than</w:t>
      </w:r>
    </w:p>
    <w:p>
      <w:pPr>
        <w:pStyle w:val="nzPermNoteText"/>
      </w:pPr>
      <w:r>
        <w:tab/>
      </w:r>
      <w:r>
        <w:tab/>
        <w:t>≥</w:t>
      </w:r>
      <w:r>
        <w:tab/>
        <w:t>signifies more than or equal to</w:t>
      </w:r>
    </w:p>
    <w:p>
      <w:pPr>
        <w:pStyle w:val="nzPermNoteText"/>
      </w:pPr>
      <w:r>
        <w:tab/>
      </w:r>
      <w:r>
        <w:tab/>
        <w:t>&lt;</w:t>
      </w:r>
      <w:r>
        <w:tab/>
        <w:t>signifies less than</w:t>
      </w:r>
    </w:p>
    <w:p>
      <w:pPr>
        <w:pStyle w:val="nzPermNoteText"/>
      </w:pPr>
      <w:r>
        <w:tab/>
      </w:r>
      <w:r>
        <w:tab/>
        <w:t>≤</w:t>
      </w:r>
      <w:r>
        <w:tab/>
        <w:t>signifies less than or equal to</w:t>
      </w:r>
    </w:p>
    <w:p>
      <w:pPr>
        <w:pStyle w:val="nzSubsection"/>
      </w:pPr>
      <w:r>
        <w:tab/>
        <w:t>(5)</w:t>
      </w:r>
      <w:r>
        <w:tab/>
        <w:t xml:space="preserve">For the purposes of the Table to subregulation (4) — </w:t>
      </w:r>
    </w:p>
    <w:p>
      <w:pPr>
        <w:pStyle w:val="nzDefstart"/>
      </w:pPr>
      <w:r>
        <w:tab/>
      </w:r>
      <w:r>
        <w:rPr>
          <w:rStyle w:val="CharDefText"/>
        </w:rPr>
        <w:t>volume</w:t>
      </w:r>
      <w:r>
        <w:t>, in relation to an application, means the maximum volume of water that may be taken under the licence if granted, renewed or amended in accordance with the application, regardless of whether only some of the water is to be taken for mining purposes or for public water supply purposes.</w:t>
      </w:r>
    </w:p>
    <w:p>
      <w:pPr>
        <w:pStyle w:val="nzHeading5"/>
      </w:pPr>
      <w:bookmarkStart w:id="180" w:name="_Toc525912942"/>
      <w:bookmarkStart w:id="181" w:name="_Toc525912960"/>
      <w:r>
        <w:t>62.</w:t>
      </w:r>
      <w:r>
        <w:tab/>
        <w:t>Fee for application for grant of s. 26D licence</w:t>
      </w:r>
      <w:bookmarkEnd w:id="180"/>
      <w:bookmarkEnd w:id="181"/>
    </w:p>
    <w:p>
      <w:pPr>
        <w:pStyle w:val="nzSubsection"/>
      </w:pPr>
      <w:r>
        <w:tab/>
        <w:t>(1)</w:t>
      </w:r>
      <w:r>
        <w:tab/>
        <w:t xml:space="preserve">For the purposes of regulation 33(2)(d), the fee for an application for the grant of a section 26D licence is — </w:t>
      </w:r>
    </w:p>
    <w:p>
      <w:pPr>
        <w:pStyle w:val="nzIndenta"/>
      </w:pPr>
      <w:r>
        <w:tab/>
        <w:t>(a)</w:t>
      </w:r>
      <w:r>
        <w:tab/>
        <w:t>if the proposed use of the water is, to some extent, for mining purposes or for public water supply purposes — the fee worked out under subregulation (2); or</w:t>
      </w:r>
    </w:p>
    <w:p>
      <w:pPr>
        <w:pStyle w:val="nzIndenta"/>
      </w:pPr>
      <w:r>
        <w:tab/>
        <w:t>(b)</w:t>
      </w:r>
      <w:r>
        <w:tab/>
        <w:t>otherwise — nil.</w:t>
      </w:r>
    </w:p>
    <w:p>
      <w:pPr>
        <w:pStyle w:val="nzSubsection"/>
      </w:pPr>
      <w:r>
        <w:tab/>
        <w:t>(2)</w:t>
      </w:r>
      <w:r>
        <w:tab/>
        <w:t>The fee is the applicable fee set out in the Table according to the assessment level applicable to the water resource in respect of which the application is made.</w:t>
      </w:r>
    </w:p>
    <w:p>
      <w:pPr>
        <w:pStyle w:val="zTHeadingNAm"/>
      </w:pPr>
      <w:r>
        <w:t>Table — Applicable fee</w:t>
      </w:r>
    </w:p>
    <w:tbl>
      <w:tblPr>
        <w:tblW w:w="6379"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126"/>
        <w:gridCol w:w="2126"/>
        <w:gridCol w:w="2127"/>
      </w:tblGrid>
      <w:tr>
        <w:trPr>
          <w:tblHeader/>
        </w:trPr>
        <w:tc>
          <w:tcPr>
            <w:tcW w:w="6379" w:type="dxa"/>
            <w:gridSpan w:val="3"/>
          </w:tcPr>
          <w:p>
            <w:pPr>
              <w:pStyle w:val="TableNAm"/>
              <w:jc w:val="center"/>
            </w:pPr>
            <w:r>
              <w:rPr>
                <w:b/>
                <w:bCs/>
              </w:rPr>
              <w:t>Assessment level</w:t>
            </w:r>
          </w:p>
        </w:tc>
      </w:tr>
      <w:tr>
        <w:tc>
          <w:tcPr>
            <w:tcW w:w="2126" w:type="dxa"/>
          </w:tcPr>
          <w:p>
            <w:pPr>
              <w:pStyle w:val="TableNAm"/>
              <w:jc w:val="center"/>
            </w:pPr>
            <w:r>
              <w:t>low</w:t>
            </w:r>
          </w:p>
        </w:tc>
        <w:tc>
          <w:tcPr>
            <w:tcW w:w="2126" w:type="dxa"/>
          </w:tcPr>
          <w:p>
            <w:pPr>
              <w:pStyle w:val="TableNAm"/>
              <w:jc w:val="center"/>
            </w:pPr>
            <w:r>
              <w:t>medium</w:t>
            </w:r>
          </w:p>
        </w:tc>
        <w:tc>
          <w:tcPr>
            <w:tcW w:w="2127" w:type="dxa"/>
          </w:tcPr>
          <w:p>
            <w:pPr>
              <w:pStyle w:val="TableNAm"/>
              <w:jc w:val="center"/>
            </w:pPr>
            <w:r>
              <w:t>high</w:t>
            </w:r>
          </w:p>
        </w:tc>
      </w:tr>
      <w:tr>
        <w:tc>
          <w:tcPr>
            <w:tcW w:w="2126" w:type="dxa"/>
          </w:tcPr>
          <w:p>
            <w:pPr>
              <w:pStyle w:val="TableNAm"/>
            </w:pPr>
            <w:r>
              <w:t>$172</w:t>
            </w:r>
          </w:p>
        </w:tc>
        <w:tc>
          <w:tcPr>
            <w:tcW w:w="2126" w:type="dxa"/>
          </w:tcPr>
          <w:p>
            <w:pPr>
              <w:pStyle w:val="TableNAm"/>
            </w:pPr>
            <w:r>
              <w:t>$215</w:t>
            </w:r>
          </w:p>
        </w:tc>
        <w:tc>
          <w:tcPr>
            <w:tcW w:w="2127" w:type="dxa"/>
          </w:tcPr>
          <w:p>
            <w:pPr>
              <w:pStyle w:val="TableNAm"/>
            </w:pPr>
            <w:r>
              <w:t>$269</w:t>
            </w:r>
          </w:p>
        </w:tc>
      </w:tr>
    </w:tbl>
    <w:p>
      <w:pPr>
        <w:pStyle w:val="nzSubsection"/>
      </w:pPr>
      <w:r>
        <w:tab/>
        <w:t>(3)</w:t>
      </w:r>
      <w:r>
        <w:tab/>
        <w:t xml:space="preserve">The assessment level applicable to the water resource is — </w:t>
      </w:r>
    </w:p>
    <w:p>
      <w:pPr>
        <w:pStyle w:val="nzIndenta"/>
      </w:pPr>
      <w:r>
        <w:tab/>
        <w:t>(a)</w:t>
      </w:r>
      <w:r>
        <w:tab/>
        <w:t>if the allocation status of the water resource is relevant to the application — worked out in accordance with the Table; or</w:t>
      </w:r>
    </w:p>
    <w:p>
      <w:pPr>
        <w:pStyle w:val="nzIndenta"/>
      </w:pPr>
      <w:r>
        <w:tab/>
        <w:t>(b)</w:t>
      </w:r>
      <w:r>
        <w:tab/>
        <w:t>otherwise — low.</w:t>
      </w:r>
    </w:p>
    <w:p>
      <w:pPr>
        <w:pStyle w:val="zTHeadingNAm"/>
      </w:pPr>
      <w:r>
        <w:t>Table — Assessment level</w:t>
      </w:r>
    </w:p>
    <w:tbl>
      <w:tblPr>
        <w:tblW w:w="6379"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275"/>
        <w:gridCol w:w="1276"/>
        <w:gridCol w:w="1276"/>
        <w:gridCol w:w="1276"/>
        <w:gridCol w:w="1276"/>
      </w:tblGrid>
      <w:tr>
        <w:trPr>
          <w:tblHeader/>
        </w:trPr>
        <w:tc>
          <w:tcPr>
            <w:tcW w:w="6379" w:type="dxa"/>
            <w:gridSpan w:val="5"/>
          </w:tcPr>
          <w:p>
            <w:pPr>
              <w:pStyle w:val="TableNAm"/>
              <w:jc w:val="center"/>
            </w:pPr>
            <w:r>
              <w:rPr>
                <w:b/>
                <w:bCs/>
              </w:rPr>
              <w:t>Applicable allocation status of water resource</w:t>
            </w:r>
          </w:p>
        </w:tc>
      </w:tr>
      <w:tr>
        <w:tc>
          <w:tcPr>
            <w:tcW w:w="1275" w:type="dxa"/>
          </w:tcPr>
          <w:p>
            <w:pPr>
              <w:pStyle w:val="TableNAm"/>
              <w:jc w:val="center"/>
            </w:pPr>
            <w:r>
              <w:t>≤</w:t>
            </w:r>
            <w:r>
              <w:rPr>
                <w:sz w:val="16"/>
                <w:szCs w:val="16"/>
              </w:rPr>
              <w:t>  </w:t>
            </w:r>
            <w:r>
              <w:t>30%</w:t>
            </w:r>
          </w:p>
        </w:tc>
        <w:tc>
          <w:tcPr>
            <w:tcW w:w="1276" w:type="dxa"/>
          </w:tcPr>
          <w:p>
            <w:pPr>
              <w:pStyle w:val="TableNAm"/>
              <w:jc w:val="center"/>
            </w:pPr>
            <w:r>
              <w:t>&gt; 30% but ≤</w:t>
            </w:r>
            <w:r>
              <w:rPr>
                <w:sz w:val="16"/>
                <w:szCs w:val="16"/>
              </w:rPr>
              <w:t>  </w:t>
            </w:r>
            <w:r>
              <w:t>70%</w:t>
            </w:r>
          </w:p>
        </w:tc>
        <w:tc>
          <w:tcPr>
            <w:tcW w:w="1276" w:type="dxa"/>
          </w:tcPr>
          <w:p>
            <w:pPr>
              <w:pStyle w:val="TableNAm"/>
              <w:jc w:val="center"/>
            </w:pPr>
            <w:r>
              <w:t>&gt; 70% but ≤</w:t>
            </w:r>
            <w:r>
              <w:rPr>
                <w:sz w:val="16"/>
                <w:szCs w:val="16"/>
              </w:rPr>
              <w:t>  </w:t>
            </w:r>
            <w:r>
              <w:t>100%</w:t>
            </w:r>
          </w:p>
        </w:tc>
        <w:tc>
          <w:tcPr>
            <w:tcW w:w="1276" w:type="dxa"/>
          </w:tcPr>
          <w:p>
            <w:pPr>
              <w:pStyle w:val="TableNAm"/>
              <w:jc w:val="center"/>
            </w:pPr>
            <w:r>
              <w:t>&gt; 100%</w:t>
            </w:r>
          </w:p>
        </w:tc>
        <w:tc>
          <w:tcPr>
            <w:tcW w:w="1276" w:type="dxa"/>
          </w:tcPr>
          <w:p>
            <w:pPr>
              <w:pStyle w:val="TableNAm"/>
              <w:jc w:val="center"/>
            </w:pPr>
            <w:r>
              <w:t>no allocation limit</w:t>
            </w:r>
          </w:p>
        </w:tc>
      </w:tr>
      <w:tr>
        <w:tc>
          <w:tcPr>
            <w:tcW w:w="1275" w:type="dxa"/>
          </w:tcPr>
          <w:p>
            <w:pPr>
              <w:pStyle w:val="TableNAm"/>
            </w:pPr>
            <w:r>
              <w:t>low</w:t>
            </w:r>
          </w:p>
        </w:tc>
        <w:tc>
          <w:tcPr>
            <w:tcW w:w="1276" w:type="dxa"/>
          </w:tcPr>
          <w:p>
            <w:pPr>
              <w:pStyle w:val="TableNAm"/>
            </w:pPr>
            <w:r>
              <w:t>low</w:t>
            </w:r>
          </w:p>
        </w:tc>
        <w:tc>
          <w:tcPr>
            <w:tcW w:w="1276" w:type="dxa"/>
          </w:tcPr>
          <w:p>
            <w:pPr>
              <w:pStyle w:val="TableNAm"/>
            </w:pPr>
            <w:r>
              <w:t>medium</w:t>
            </w:r>
          </w:p>
        </w:tc>
        <w:tc>
          <w:tcPr>
            <w:tcW w:w="1276" w:type="dxa"/>
          </w:tcPr>
          <w:p>
            <w:pPr>
              <w:pStyle w:val="TableNAm"/>
            </w:pPr>
            <w:r>
              <w:t>high</w:t>
            </w:r>
          </w:p>
        </w:tc>
        <w:tc>
          <w:tcPr>
            <w:tcW w:w="1276" w:type="dxa"/>
          </w:tcPr>
          <w:p>
            <w:pPr>
              <w:pStyle w:val="TableNAm"/>
            </w:pPr>
            <w:r>
              <w:t>low</w:t>
            </w:r>
          </w:p>
        </w:tc>
      </w:tr>
    </w:tbl>
    <w:p>
      <w:pPr>
        <w:pStyle w:val="nzPermNoteHeading"/>
      </w:pPr>
      <w:r>
        <w:tab/>
        <w:t>Note for this Table:</w:t>
      </w:r>
    </w:p>
    <w:p>
      <w:pPr>
        <w:pStyle w:val="nzPermNoteText"/>
      </w:pPr>
      <w:r>
        <w:tab/>
      </w:r>
      <w:r>
        <w:tab/>
        <w:t>&gt;</w:t>
      </w:r>
      <w:r>
        <w:tab/>
        <w:t>signifies more than</w:t>
      </w:r>
    </w:p>
    <w:p>
      <w:pPr>
        <w:pStyle w:val="nzPermNoteText"/>
      </w:pPr>
      <w:r>
        <w:tab/>
      </w:r>
      <w:r>
        <w:tab/>
        <w:t>≤</w:t>
      </w:r>
      <w:r>
        <w:tab/>
        <w:t>signifies less than or equal to</w:t>
      </w:r>
    </w:p>
    <w:p>
      <w:pPr>
        <w:pStyle w:val="nzHeading5"/>
      </w:pPr>
      <w:bookmarkStart w:id="182" w:name="_Toc525912943"/>
      <w:bookmarkStart w:id="183" w:name="_Toc525912961"/>
      <w:r>
        <w:t>63.</w:t>
      </w:r>
      <w:r>
        <w:tab/>
        <w:t>Publication of applicable allocation status of water resources</w:t>
      </w:r>
      <w:bookmarkEnd w:id="182"/>
      <w:bookmarkEnd w:id="183"/>
    </w:p>
    <w:p>
      <w:pPr>
        <w:pStyle w:val="nzSubsection"/>
      </w:pPr>
      <w:r>
        <w:tab/>
      </w:r>
      <w:r>
        <w:tab/>
        <w:t xml:space="preserve">For the purposes of the definition of </w:t>
      </w:r>
      <w:r>
        <w:rPr>
          <w:b/>
          <w:i/>
        </w:rPr>
        <w:t>applicable allocation status</w:t>
      </w:r>
      <w:r>
        <w:t xml:space="preserve"> in regulation 58, the CEO must, for each water resource to which section 5C applies, publish its allocation status on the Department’s website and, to the extent practicable, keep that status up</w:t>
      </w:r>
      <w:r>
        <w:noBreakHyphen/>
        <w:t>to</w:t>
      </w:r>
      <w:r>
        <w:noBreakHyphen/>
        <w:t>date.</w:t>
      </w:r>
    </w:p>
    <w:p>
      <w:pPr>
        <w:pStyle w:val="nzHeading5"/>
      </w:pPr>
      <w:bookmarkStart w:id="184" w:name="_Toc525912944"/>
      <w:bookmarkStart w:id="185" w:name="_Toc525912962"/>
      <w:r>
        <w:t>64.</w:t>
      </w:r>
      <w:r>
        <w:tab/>
        <w:t>Fee waiver, reduction or refund</w:t>
      </w:r>
      <w:bookmarkEnd w:id="184"/>
      <w:bookmarkEnd w:id="185"/>
    </w:p>
    <w:p>
      <w:pPr>
        <w:pStyle w:val="nzSubsection"/>
      </w:pPr>
      <w:r>
        <w:tab/>
      </w:r>
      <w:r>
        <w:tab/>
        <w:t>The CEO may, in a particular case, refund, reduce or waive, in whole or in part, a fee paid or payable under this Part if the CEO considers it appropriate to do so.</w:t>
      </w:r>
    </w:p>
    <w:p>
      <w:pPr>
        <w:pStyle w:val="BlankClose"/>
      </w:pPr>
    </w:p>
    <w:p>
      <w:pPr>
        <w:pStyle w:val="nzHeading5"/>
      </w:pPr>
      <w:bookmarkStart w:id="186" w:name="_Toc525912945"/>
      <w:bookmarkStart w:id="187" w:name="_Toc525912963"/>
      <w:r>
        <w:rPr>
          <w:rStyle w:val="CharSectno"/>
        </w:rPr>
        <w:t>8</w:t>
      </w:r>
      <w:r>
        <w:t>.</w:t>
      </w:r>
      <w:r>
        <w:tab/>
        <w:t>Schedule 3 Form 1 amended</w:t>
      </w:r>
      <w:bookmarkEnd w:id="186"/>
      <w:bookmarkEnd w:id="187"/>
    </w:p>
    <w:p>
      <w:pPr>
        <w:pStyle w:val="nzSubsection"/>
      </w:pPr>
      <w:r>
        <w:tab/>
        <w:t>(1)</w:t>
      </w:r>
      <w:r>
        <w:tab/>
        <w:t>In Schedule 3 Form 1 delete the row relating to Description of the land and insert:</w:t>
      </w:r>
    </w:p>
    <w:p>
      <w:pPr>
        <w:pStyle w:val="BlankOpen"/>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3840"/>
      </w:tblGrid>
      <w:tr>
        <w:trPr>
          <w:cantSplit/>
        </w:trPr>
        <w:tc>
          <w:tcPr>
            <w:tcW w:w="3240" w:type="dxa"/>
            <w:tcBorders>
              <w:top w:val="single" w:sz="4" w:space="0" w:color="auto"/>
              <w:left w:val="single" w:sz="4" w:space="0" w:color="auto"/>
              <w:bottom w:val="single" w:sz="4" w:space="0" w:color="auto"/>
              <w:right w:val="single" w:sz="4" w:space="0" w:color="auto"/>
            </w:tcBorders>
          </w:tcPr>
          <w:p>
            <w:pPr>
              <w:pStyle w:val="yTableNAm"/>
              <w:spacing w:before="60"/>
              <w:rPr>
                <w:bCs/>
                <w:sz w:val="20"/>
              </w:rPr>
            </w:pPr>
            <w:r>
              <w:rPr>
                <w:b/>
                <w:bCs/>
                <w:sz w:val="20"/>
              </w:rPr>
              <w:t>Description of the land in respect of which the application is made</w:t>
            </w:r>
          </w:p>
          <w:p>
            <w:pPr>
              <w:pStyle w:val="yTableNAm"/>
              <w:spacing w:before="60"/>
              <w:rPr>
                <w:b/>
                <w:bCs/>
                <w:i/>
                <w:sz w:val="20"/>
              </w:rPr>
            </w:pPr>
            <w:r>
              <w:rPr>
                <w:bCs/>
                <w:i/>
                <w:sz w:val="20"/>
              </w:rPr>
              <w:t>[Land descriptions to be as they appear on Certificate of Title, certificate of Crown land title or TENGRAPH]</w:t>
            </w:r>
          </w:p>
        </w:tc>
        <w:tc>
          <w:tcPr>
            <w:tcW w:w="3840" w:type="dxa"/>
            <w:tcBorders>
              <w:top w:val="single" w:sz="4" w:space="0" w:color="auto"/>
              <w:left w:val="single" w:sz="4" w:space="0" w:color="auto"/>
              <w:bottom w:val="single" w:sz="4" w:space="0" w:color="auto"/>
              <w:right w:val="single" w:sz="4" w:space="0" w:color="auto"/>
            </w:tcBorders>
          </w:tcPr>
          <w:p>
            <w:pPr>
              <w:pStyle w:val="TableNAm"/>
              <w:tabs>
                <w:tab w:val="clear" w:pos="567"/>
                <w:tab w:val="left" w:leader="dot" w:pos="3611"/>
              </w:tabs>
              <w:spacing w:before="60"/>
              <w:rPr>
                <w:sz w:val="20"/>
              </w:rPr>
            </w:pPr>
            <w:r>
              <w:rPr>
                <w:sz w:val="20"/>
              </w:rPr>
              <w:t>......................................................................................................................................................................................................................................................................................................................................................................................................................................................................................................................................</w:t>
            </w:r>
          </w:p>
        </w:tc>
      </w:tr>
    </w:tbl>
    <w:p>
      <w:pPr>
        <w:pStyle w:val="BlankClose"/>
      </w:pPr>
    </w:p>
    <w:p>
      <w:pPr>
        <w:pStyle w:val="nzSubsection"/>
      </w:pPr>
      <w:r>
        <w:tab/>
        <w:t>(2)</w:t>
      </w:r>
      <w:r>
        <w:tab/>
        <w:t>In Schedule 3 Form 1 delete the row relating to Proposed water use and insert:</w:t>
      </w:r>
    </w:p>
    <w:p>
      <w:pPr>
        <w:pStyle w:val="BlankOpen"/>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3840"/>
      </w:tblGrid>
      <w:tr>
        <w:trPr>
          <w:cantSplit/>
        </w:trPr>
        <w:tc>
          <w:tcPr>
            <w:tcW w:w="3240" w:type="dxa"/>
          </w:tcPr>
          <w:p>
            <w:pPr>
              <w:spacing w:before="120"/>
              <w:rPr>
                <w:b/>
                <w:sz w:val="22"/>
                <w:szCs w:val="22"/>
              </w:rPr>
            </w:pPr>
            <w:r>
              <w:rPr>
                <w:b/>
                <w:sz w:val="22"/>
                <w:szCs w:val="22"/>
              </w:rPr>
              <w:t>If the applicant is a water services licensee, specify water services provider name and licence number</w:t>
            </w:r>
          </w:p>
        </w:tc>
        <w:tc>
          <w:tcPr>
            <w:tcW w:w="3840" w:type="dxa"/>
          </w:tcPr>
          <w:p>
            <w:pPr>
              <w:rPr>
                <w:szCs w:val="24"/>
              </w:rPr>
            </w:pPr>
            <w:r>
              <w:rPr>
                <w:szCs w:val="24"/>
              </w:rPr>
              <w:t>........................................................................................................................</w:t>
            </w:r>
            <w:r>
              <w:t>.................................................................</w:t>
            </w:r>
            <w:r>
              <w:rPr>
                <w:szCs w:val="24"/>
              </w:rPr>
              <w:t>...................................................</w:t>
            </w:r>
          </w:p>
        </w:tc>
      </w:tr>
      <w:tr>
        <w:trPr>
          <w:cantSplit/>
        </w:trPr>
        <w:tc>
          <w:tcPr>
            <w:tcW w:w="3240" w:type="dxa"/>
          </w:tcPr>
          <w:p>
            <w:pPr>
              <w:spacing w:before="120"/>
              <w:rPr>
                <w:b/>
                <w:sz w:val="22"/>
                <w:szCs w:val="22"/>
              </w:rPr>
            </w:pPr>
            <w:r>
              <w:rPr>
                <w:b/>
                <w:sz w:val="22"/>
                <w:szCs w:val="22"/>
              </w:rPr>
              <w:t>Is the application related to public water supply purposes?</w:t>
            </w:r>
          </w:p>
        </w:tc>
        <w:tc>
          <w:tcPr>
            <w:tcW w:w="3840" w:type="dxa"/>
          </w:tcPr>
          <w:p>
            <w:pPr>
              <w:rPr>
                <w:szCs w:val="24"/>
              </w:rPr>
            </w:pPr>
            <w:r>
              <w:rPr>
                <w:szCs w:val="24"/>
              </w:rPr>
              <w:t>............................................................</w:t>
            </w:r>
            <w:r>
              <w:t>..........................................................</w:t>
            </w:r>
          </w:p>
        </w:tc>
      </w:tr>
      <w:tr>
        <w:trPr>
          <w:cantSplit/>
        </w:trPr>
        <w:tc>
          <w:tcPr>
            <w:tcW w:w="3240" w:type="dxa"/>
          </w:tcPr>
          <w:p>
            <w:pPr>
              <w:spacing w:before="120"/>
              <w:rPr>
                <w:b/>
                <w:sz w:val="22"/>
                <w:szCs w:val="22"/>
              </w:rPr>
            </w:pPr>
            <w:r>
              <w:rPr>
                <w:b/>
                <w:sz w:val="22"/>
                <w:szCs w:val="22"/>
              </w:rPr>
              <w:t>Is the application related to mining purposes?</w:t>
            </w:r>
            <w:r>
              <w:rPr>
                <w:b/>
                <w:sz w:val="22"/>
                <w:szCs w:val="22"/>
              </w:rPr>
              <w:br/>
              <w:t>If so, include details as relevant:</w:t>
            </w:r>
          </w:p>
          <w:p>
            <w:pPr>
              <w:numPr>
                <w:ilvl w:val="0"/>
                <w:numId w:val="14"/>
              </w:numPr>
              <w:spacing w:before="120"/>
              <w:ind w:left="227" w:hanging="238"/>
              <w:rPr>
                <w:b/>
                <w:sz w:val="22"/>
                <w:szCs w:val="22"/>
              </w:rPr>
            </w:pPr>
            <w:r>
              <w:rPr>
                <w:b/>
                <w:sz w:val="22"/>
                <w:szCs w:val="22"/>
              </w:rPr>
              <w:t>mining tenement number(s), mine name and mine field</w:t>
            </w:r>
          </w:p>
          <w:p>
            <w:pPr>
              <w:numPr>
                <w:ilvl w:val="0"/>
                <w:numId w:val="14"/>
              </w:numPr>
              <w:spacing w:before="120"/>
              <w:ind w:left="227" w:hanging="238"/>
              <w:rPr>
                <w:b/>
                <w:sz w:val="22"/>
                <w:szCs w:val="22"/>
              </w:rPr>
            </w:pPr>
            <w:r>
              <w:rPr>
                <w:b/>
                <w:sz w:val="22"/>
                <w:szCs w:val="22"/>
              </w:rPr>
              <w:t>details of petroleum or geothermal title(s)</w:t>
            </w:r>
          </w:p>
          <w:p>
            <w:pPr>
              <w:numPr>
                <w:ilvl w:val="0"/>
                <w:numId w:val="14"/>
              </w:numPr>
              <w:spacing w:before="120"/>
              <w:ind w:left="227" w:hanging="238"/>
              <w:rPr>
                <w:b/>
                <w:sz w:val="22"/>
                <w:szCs w:val="22"/>
              </w:rPr>
            </w:pPr>
            <w:r>
              <w:rPr>
                <w:b/>
                <w:sz w:val="22"/>
                <w:szCs w:val="22"/>
              </w:rPr>
              <w:t>petroleum pipeline licence number(s)</w:t>
            </w:r>
          </w:p>
        </w:tc>
        <w:tc>
          <w:tcPr>
            <w:tcW w:w="3840" w:type="dxa"/>
          </w:tcPr>
          <w:p>
            <w:pPr>
              <w:rPr>
                <w:szCs w:val="24"/>
              </w:rPr>
            </w:pPr>
            <w:r>
              <w:rPr>
                <w:szCs w:val="24"/>
              </w:rPr>
              <w:t>....................................................................................................................................................................................</w:t>
            </w:r>
            <w:r>
              <w:t>.................................................................</w:t>
            </w:r>
            <w:r>
              <w:rPr>
                <w:szCs w:val="24"/>
              </w:rPr>
              <w:t>...................................................................................................................</w:t>
            </w:r>
            <w:r>
              <w:t>.................................................................</w:t>
            </w:r>
            <w:r>
              <w:rPr>
                <w:szCs w:val="24"/>
              </w:rPr>
              <w:t>...................................................................................................................</w:t>
            </w:r>
            <w:r>
              <w:t>..................................................</w:t>
            </w:r>
          </w:p>
        </w:tc>
      </w:tr>
      <w:tr>
        <w:tc>
          <w:tcPr>
            <w:tcW w:w="3240" w:type="dxa"/>
          </w:tcPr>
          <w:p>
            <w:pPr>
              <w:pStyle w:val="yTableNAm"/>
              <w:keepNext/>
              <w:keepLines/>
              <w:rPr>
                <w:b/>
                <w:bCs/>
              </w:rPr>
            </w:pPr>
            <w:r>
              <w:rPr>
                <w:b/>
                <w:bCs/>
              </w:rPr>
              <w:t>Proposed water use:</w:t>
            </w:r>
          </w:p>
          <w:p>
            <w:pPr>
              <w:pStyle w:val="yTableNAm"/>
              <w:keepNext/>
              <w:keepLines/>
              <w:numPr>
                <w:ilvl w:val="0"/>
                <w:numId w:val="13"/>
              </w:numPr>
              <w:tabs>
                <w:tab w:val="clear" w:pos="567"/>
                <w:tab w:val="clear" w:pos="720"/>
                <w:tab w:val="left" w:pos="230"/>
              </w:tabs>
              <w:ind w:left="227" w:hanging="238"/>
              <w:rPr>
                <w:b/>
              </w:rPr>
            </w:pPr>
            <w:r>
              <w:rPr>
                <w:b/>
              </w:rPr>
              <w:t>specify whether the use is commercial or not</w:t>
            </w:r>
          </w:p>
          <w:p>
            <w:pPr>
              <w:pStyle w:val="yTableNAm"/>
              <w:keepNext/>
              <w:keepLines/>
              <w:numPr>
                <w:ilvl w:val="0"/>
                <w:numId w:val="13"/>
              </w:numPr>
              <w:tabs>
                <w:tab w:val="clear" w:pos="567"/>
                <w:tab w:val="clear" w:pos="720"/>
                <w:tab w:val="left" w:pos="230"/>
              </w:tabs>
              <w:ind w:left="230" w:hanging="240"/>
              <w:rPr>
                <w:b/>
              </w:rPr>
            </w:pPr>
            <w:r>
              <w:rPr>
                <w:b/>
              </w:rPr>
              <w:t>specify volume of water to be used</w:t>
            </w:r>
          </w:p>
          <w:p>
            <w:pPr>
              <w:pStyle w:val="yTableNAm"/>
              <w:keepNext/>
              <w:keepLines/>
              <w:numPr>
                <w:ilvl w:val="0"/>
                <w:numId w:val="13"/>
              </w:numPr>
              <w:tabs>
                <w:tab w:val="clear" w:pos="567"/>
                <w:tab w:val="clear" w:pos="720"/>
                <w:tab w:val="left" w:pos="230"/>
              </w:tabs>
              <w:ind w:left="230" w:hanging="240"/>
              <w:rPr>
                <w:b/>
              </w:rPr>
            </w:pPr>
            <w:r>
              <w:rPr>
                <w:b/>
              </w:rPr>
              <w:t>include detailed description of purposes for which water to be used</w:t>
            </w:r>
          </w:p>
          <w:p>
            <w:pPr>
              <w:pStyle w:val="yTableNAm"/>
              <w:keepNext/>
              <w:keepLines/>
              <w:numPr>
                <w:ilvl w:val="0"/>
                <w:numId w:val="13"/>
              </w:numPr>
              <w:tabs>
                <w:tab w:val="clear" w:pos="567"/>
                <w:tab w:val="clear" w:pos="720"/>
                <w:tab w:val="left" w:pos="230"/>
              </w:tabs>
              <w:ind w:left="230" w:hanging="240"/>
              <w:rPr>
                <w:b/>
                <w:bCs/>
              </w:rPr>
            </w:pPr>
            <w:r>
              <w:rPr>
                <w:b/>
              </w:rPr>
              <w:t>specify duration of use and licence</w:t>
            </w:r>
          </w:p>
        </w:tc>
        <w:tc>
          <w:tcPr>
            <w:tcW w:w="3840" w:type="dxa"/>
          </w:tcPr>
          <w:p>
            <w:pPr>
              <w:pStyle w:val="TableNAm"/>
              <w:keepNext/>
              <w:keepLines/>
              <w:tabs>
                <w:tab w:val="clear" w:pos="567"/>
                <w:tab w:val="left" w:leader="dot" w:pos="3611"/>
              </w:tabs>
              <w:spacing w:before="60"/>
              <w:rPr>
                <w:szCs w:val="24"/>
              </w:rPr>
            </w:pPr>
            <w:r>
              <w:rPr>
                <w:szCs w:val="24"/>
              </w:rPr>
              <w:t>....................................................................................................................................................................................</w:t>
            </w:r>
            <w:r>
              <w:t>................................................................................................................................................................................................................................................................................................................................................................................................................................................................................................................................................</w:t>
            </w:r>
          </w:p>
        </w:tc>
      </w:tr>
    </w:tbl>
    <w:p>
      <w:pPr>
        <w:pStyle w:val="BlankClose"/>
      </w:pPr>
    </w:p>
    <w:p/>
    <w:p>
      <w:pPr>
        <w:sectPr>
          <w:headerReference w:type="even" r:id="rId29"/>
          <w:headerReference w:type="default" r:id="rId30"/>
          <w:headerReference w:type="first" r:id="rId31"/>
          <w:pgSz w:w="11907" w:h="16840" w:code="9"/>
          <w:pgMar w:top="2376" w:right="2404" w:bottom="3544" w:left="2404" w:header="720" w:footer="3380" w:gutter="0"/>
          <w:cols w:space="720"/>
          <w:noEndnote/>
          <w:docGrid w:linePitch="326"/>
        </w:sectPr>
      </w:pPr>
    </w:p>
    <w:p>
      <w:pPr>
        <w:pStyle w:val="nHeading2"/>
        <w:rPr>
          <w:sz w:val="28"/>
        </w:rPr>
      </w:pPr>
      <w:bookmarkStart w:id="189" w:name="_Toc506886900"/>
      <w:bookmarkStart w:id="190" w:name="_Toc528669133"/>
      <w:bookmarkStart w:id="191" w:name="_Toc528669866"/>
      <w:r>
        <w:rPr>
          <w:sz w:val="28"/>
        </w:rPr>
        <w:t>Defined terms</w:t>
      </w:r>
      <w:bookmarkEnd w:id="189"/>
      <w:bookmarkEnd w:id="190"/>
      <w:bookmarkEnd w:id="19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w:t>
      </w:r>
      <w:r>
        <w:tab/>
        <w:t>3</w:t>
      </w:r>
    </w:p>
    <w:p>
      <w:pPr>
        <w:pStyle w:val="DefinedTerms"/>
      </w:pPr>
      <w:r>
        <w:t>approved</w:t>
      </w:r>
      <w:r>
        <w:tab/>
        <w:t>3</w:t>
      </w:r>
    </w:p>
    <w:p>
      <w:pPr>
        <w:pStyle w:val="DefinedTerms"/>
      </w:pPr>
      <w:r>
        <w:t>clause</w:t>
      </w:r>
      <w:r>
        <w:tab/>
        <w:t>47</w:t>
      </w:r>
    </w:p>
    <w:p>
      <w:pPr>
        <w:pStyle w:val="DefinedTerms"/>
      </w:pPr>
      <w:r>
        <w:t>coordinate references</w:t>
      </w:r>
      <w:r>
        <w:tab/>
        <w:t>41A</w:t>
      </w:r>
    </w:p>
    <w:p>
      <w:pPr>
        <w:pStyle w:val="DefinedTerms"/>
      </w:pPr>
      <w:r>
        <w:t>Department</w:t>
      </w:r>
      <w:r>
        <w:tab/>
        <w:t>3</w:t>
      </w:r>
    </w:p>
    <w:p>
      <w:pPr>
        <w:pStyle w:val="DefinedTerms"/>
      </w:pPr>
      <w:r>
        <w:t>form</w:t>
      </w:r>
      <w:r>
        <w:tab/>
        <w:t>3</w:t>
      </w:r>
    </w:p>
    <w:p>
      <w:pPr>
        <w:pStyle w:val="DefinedTerms"/>
      </w:pPr>
      <w:r>
        <w:t>Gnangara groundwater plan area</w:t>
      </w:r>
      <w:r>
        <w:tab/>
        <w:t>41A</w:t>
      </w:r>
    </w:p>
    <w:p>
      <w:pPr>
        <w:pStyle w:val="DefinedTerms"/>
      </w:pPr>
      <w:r>
        <w:t>licence</w:t>
      </w:r>
      <w:r>
        <w:tab/>
        <w:t>3, 32</w:t>
      </w:r>
    </w:p>
    <w:p>
      <w:pPr>
        <w:pStyle w:val="DefinedTerms"/>
      </w:pPr>
      <w:r>
        <w:t>meter</w:t>
      </w:r>
      <w:r>
        <w:tab/>
        <w:t>41A</w:t>
      </w:r>
    </w:p>
    <w:p>
      <w:pPr>
        <w:pStyle w:val="DefinedTerms"/>
      </w:pPr>
      <w:r>
        <w:t>new owner</w:t>
      </w:r>
      <w:r>
        <w:tab/>
        <w:t>16(1)</w:t>
      </w:r>
    </w:p>
    <w:p>
      <w:pPr>
        <w:pStyle w:val="DefinedTerms"/>
      </w:pPr>
      <w:r>
        <w:t>permit</w:t>
      </w:r>
      <w:r>
        <w:tab/>
        <w:t>3</w:t>
      </w:r>
    </w:p>
    <w:p>
      <w:pPr>
        <w:pStyle w:val="DefinedTerms"/>
      </w:pPr>
      <w:r>
        <w:t>register</w:t>
      </w:r>
      <w:r>
        <w:tab/>
        <w:t>47</w:t>
      </w:r>
    </w:p>
    <w:p>
      <w:pPr>
        <w:pStyle w:val="DefinedTerms"/>
      </w:pPr>
      <w:r>
        <w:t>section</w:t>
      </w:r>
      <w:r>
        <w:tab/>
        <w:t>3</w:t>
      </w:r>
    </w:p>
    <w:p>
      <w:pPr>
        <w:pStyle w:val="DefinedTerms"/>
      </w:pPr>
      <w:r>
        <w:t>water entitlement</w:t>
      </w:r>
      <w:r>
        <w:tab/>
        <w:t>23(1), 41A</w:t>
      </w:r>
    </w:p>
    <w:p>
      <w:pPr>
        <w:pStyle w:val="DefinedTerms"/>
      </w:pPr>
      <w:r>
        <w:t>water year</w:t>
      </w:r>
      <w:r>
        <w:tab/>
        <w:t>41A</w:t>
      </w:r>
    </w:p>
    <w:p>
      <w:pPr>
        <w:pStyle w:val="DefinedTerms"/>
      </w:pPr>
      <w:r>
        <w:t>well</w:t>
      </w:r>
      <w:r>
        <w:tab/>
        <w:t>32</w:t>
      </w:r>
    </w:p>
    <w:p/>
    <w:p>
      <w:pPr>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02-j0-00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30 Oct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Oct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02-j0-00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Oct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02-j0-00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02-j0-00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30 Oct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Oct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02-j0-00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69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Oct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02-j0-00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Rights in Water and Irrigation Regulations 2000</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Rights in Water and Irrigation Regulations 2000</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49" w:name="Schedule"/>
    <w:bookmarkEnd w:id="14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Rights in Water and Irrigation Regulations 2000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Rights in Water and Irrigation Regulations 2000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188" w:name="Compilation"/>
    <w:bookmarkEnd w:id="188"/>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Rights in Water and Irrigation Regulations 2000</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Rights in Water and Irrigation Regulations 2000</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92" w:name="DefinedTerms"/>
    <w:bookmarkEnd w:id="192"/>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93" w:name="Coversheet"/>
    <w:bookmarkEnd w:id="193"/>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Rights in Water and Irrigation Regulations 2000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Rights in Water and Irrigation Regulations 2000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Rights in Water and Irrigation Regulations 2000</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Rights in Water and Irrigation Regulations 2000</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0B6ADF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1D6B4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BA4AC50"/>
    <w:lvl w:ilvl="0">
      <w:start w:val="1"/>
      <w:numFmt w:val="decimal"/>
      <w:pStyle w:val="ListNumber3"/>
      <w:lvlText w:val="%1."/>
      <w:lvlJc w:val="left"/>
      <w:pPr>
        <w:tabs>
          <w:tab w:val="num" w:pos="926"/>
        </w:tabs>
        <w:ind w:left="926" w:hanging="360"/>
      </w:pPr>
    </w:lvl>
  </w:abstractNum>
  <w:abstractNum w:abstractNumId="3">
    <w:nsid w:val="FFFFFF7F"/>
    <w:multiLevelType w:val="singleLevel"/>
    <w:tmpl w:val="34CA7F8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4F44B6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AE8E8B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004FC7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CDAA06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88C58F6"/>
    <w:lvl w:ilvl="0">
      <w:start w:val="1"/>
      <w:numFmt w:val="decimal"/>
      <w:pStyle w:val="ListNumber"/>
      <w:lvlText w:val="%1."/>
      <w:lvlJc w:val="left"/>
      <w:pPr>
        <w:tabs>
          <w:tab w:val="num" w:pos="360"/>
        </w:tabs>
        <w:ind w:left="360" w:hanging="360"/>
      </w:pPr>
    </w:lvl>
  </w:abstractNum>
  <w:abstractNum w:abstractNumId="9">
    <w:nsid w:val="FFFFFF89"/>
    <w:multiLevelType w:val="singleLevel"/>
    <w:tmpl w:val="EAAA28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23608C7A"/>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A2114E3"/>
    <w:multiLevelType w:val="hybridMultilevel"/>
    <w:tmpl w:val="1EEC9D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6DB5F75"/>
    <w:multiLevelType w:val="hybridMultilevel"/>
    <w:tmpl w:val="AC3E47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17"/>
  </w:num>
  <w:num w:numId="1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914152015"/>
    <w:docVar w:name="WAFER_20140110100112" w:val="RemoveTocBookmarks,RemoveUnusedBookmarks,RemoveLanguageTags,UsedStyles,ResetPageSize,UpdateArrangement"/>
    <w:docVar w:name="WAFER_20140110100112_GUID" w:val="05ac1e4b-45f0-4fb8-9298-468a3ff12880"/>
    <w:docVar w:name="WAFER_20140110100446" w:val="RemoveTocBookmarks,RunningHeaders"/>
    <w:docVar w:name="WAFER_20140110100446_GUID" w:val="ae612553-6efe-4bbf-b95d-08167f57be27"/>
    <w:docVar w:name="WAFER_20150720160817" w:val="ResetPageSize,UpdateArrangement,UpdateNTable"/>
    <w:docVar w:name="WAFER_20150720160817_GUID" w:val="a3f4b5e8-c2d2-4ad0-ad18-785781913fb1"/>
    <w:docVar w:name="WAFER_20151112113912" w:val="UpdateStyles,UsedStyles"/>
    <w:docVar w:name="WAFER_20151112113912_GUID" w:val="fb1093ae-8434-4f96-8c46-b051590021ef"/>
    <w:docVar w:name="WAFER_20151201111350" w:val="RemoveTrackChanges"/>
    <w:docVar w:name="WAFER_20151201111350_GUID" w:val="878377bf-6b9a-4649-8cc3-b22b33ef14d3"/>
    <w:docVar w:name="WAFER_20170914152015" w:val="RemoveTocBookmarks,RemoveUnusedBookmarks,RemoveLanguageTags,UsedStyles,ResetPageSize"/>
    <w:docVar w:name="WAFER_20170914152015_GUID" w:val="b1f0cc07-e5e3-4c04-b01b-887676c265b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CharSDivNo">
    <w:name w:val="CharSDivNo"/>
    <w:basedOn w:val="DefaultParagraphFont"/>
    <w:rPr>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CharSDivNo">
    <w:name w:val="CharSDivNo"/>
    <w:basedOn w:val="DefaultParagraphFont"/>
    <w:rPr>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A2CF57-AC47-41F5-BF62-051AC7B1E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75</Pages>
  <Words>14437</Words>
  <Characters>75362</Characters>
  <Application>Microsoft Office Word</Application>
  <DocSecurity>0</DocSecurity>
  <Lines>2598</Lines>
  <Paragraphs>1522</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88277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Rights in Water and Irrigation Regulations 2000 - 02-j0-00</dc:title>
  <dc:subject/>
  <dc:creator/>
  <cp:keywords/>
  <dc:description/>
  <cp:lastModifiedBy>svcMRProcess</cp:lastModifiedBy>
  <cp:revision>4</cp:revision>
  <cp:lastPrinted>2009-08-21T06:53:00Z</cp:lastPrinted>
  <dcterms:created xsi:type="dcterms:W3CDTF">2018-10-30T05:49:00Z</dcterms:created>
  <dcterms:modified xsi:type="dcterms:W3CDTF">2018-10-30T05:49:00Z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10 January 2001 pp.167-210</vt:lpwstr>
  </property>
  <property fmtid="{D5CDD505-2E9C-101B-9397-08002B2CF9AE}" pid="3" name="DocumentType">
    <vt:lpwstr>Reg</vt:lpwstr>
  </property>
  <property fmtid="{D5CDD505-2E9C-101B-9397-08002B2CF9AE}" pid="4" name="OwlsUID">
    <vt:i4>2584</vt:i4>
  </property>
  <property fmtid="{D5CDD505-2E9C-101B-9397-08002B2CF9AE}" pid="5" name="ReprintNo">
    <vt:lpwstr>2</vt:lpwstr>
  </property>
  <property fmtid="{D5CDD505-2E9C-101B-9397-08002B2CF9AE}" pid="6" name="AsAtDate">
    <vt:lpwstr>30 Oct 2018</vt:lpwstr>
  </property>
  <property fmtid="{D5CDD505-2E9C-101B-9397-08002B2CF9AE}" pid="7" name="Suffix">
    <vt:lpwstr>02-j0-00</vt:lpwstr>
  </property>
  <property fmtid="{D5CDD505-2E9C-101B-9397-08002B2CF9AE}" pid="8" name="CommencementDate">
    <vt:lpwstr>20181030</vt:lpwstr>
  </property>
</Properties>
</file>