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Property Law Act 1969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Property Law Act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_Toc38006100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_Toc38006101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Repeals</w:t>
      </w:r>
      <w:r>
        <w:tab/>
      </w:r>
      <w:r>
        <w:fldChar w:fldCharType="begin"/>
      </w:r>
      <w:r>
        <w:instrText xml:space="preserve"> PAGEREF _Toc38006102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_Toc38006103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of this Act to certain Acts</w:t>
      </w:r>
      <w:r>
        <w:tab/>
      </w:r>
      <w:r>
        <w:fldChar w:fldCharType="begin"/>
      </w:r>
      <w:r>
        <w:instrText xml:space="preserve"> PAGEREF _Toc38006104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 in this Act</w:t>
      </w:r>
      <w:r>
        <w:tab/>
      </w:r>
      <w:r>
        <w:fldChar w:fldCharType="begin"/>
      </w:r>
      <w:r>
        <w:instrText xml:space="preserve"> PAGEREF _Toc38006105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Deeds and other instruments</w:t>
      </w:r>
    </w:p>
    <w:p>
      <w:pPr>
        <w:pStyle w:val="TOC8"/>
        <w:rPr>
          <w:rFonts w:asciiTheme="minorHAnsi" w:eastAsiaTheme="minorEastAsia" w:hAnsiTheme="minorHAnsi" w:cstheme="minorBidi"/>
          <w:szCs w:val="22"/>
        </w:rPr>
      </w:pPr>
      <w:r>
        <w:t>8</w:t>
      </w:r>
      <w:r>
        <w:rPr>
          <w:snapToGrid w:val="0"/>
        </w:rPr>
        <w:t>.</w:t>
      </w:r>
      <w:r>
        <w:rPr>
          <w:snapToGrid w:val="0"/>
        </w:rPr>
        <w:tab/>
        <w:t>Construction of expressions used in deeds and other instruments</w:t>
      </w:r>
      <w:r>
        <w:tab/>
      </w:r>
      <w:r>
        <w:fldChar w:fldCharType="begin"/>
      </w:r>
      <w:r>
        <w:instrText xml:space="preserve"> PAGEREF _Toc38006107 \h </w:instrText>
      </w:r>
      <w:r>
        <w:fldChar w:fldCharType="separate"/>
      </w:r>
      <w:r>
        <w:t>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Other valuation procedures</w:t>
      </w:r>
      <w:r>
        <w:tab/>
      </w:r>
      <w:r>
        <w:fldChar w:fldCharType="begin"/>
      </w:r>
      <w:r>
        <w:instrText xml:space="preserve"> PAGEREF _Toc38006108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Formalities of deed</w:t>
      </w:r>
      <w:r>
        <w:tab/>
      </w:r>
      <w:r>
        <w:fldChar w:fldCharType="begin"/>
      </w:r>
      <w:r>
        <w:instrText xml:space="preserve"> PAGEREF _Toc38006109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Execution of instruments by or on behalf of corporations</w:t>
      </w:r>
      <w:r>
        <w:tab/>
      </w:r>
      <w:r>
        <w:fldChar w:fldCharType="begin"/>
      </w:r>
      <w:r>
        <w:instrText xml:space="preserve"> PAGEREF _Toc38006110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Persons taking who are not parties</w:t>
      </w:r>
      <w:r>
        <w:tab/>
      </w:r>
      <w:r>
        <w:fldChar w:fldCharType="begin"/>
      </w:r>
      <w:r>
        <w:instrText xml:space="preserve"> PAGEREF _Toc38006111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Description of deeds</w:t>
      </w:r>
      <w:r>
        <w:tab/>
      </w:r>
      <w:r>
        <w:fldChar w:fldCharType="begin"/>
      </w:r>
      <w:r>
        <w:instrText xml:space="preserve"> PAGEREF _Toc38006112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Conditions and certain covenants not implied</w:t>
      </w:r>
      <w:r>
        <w:tab/>
      </w:r>
      <w:r>
        <w:fldChar w:fldCharType="begin"/>
      </w:r>
      <w:r>
        <w:instrText xml:space="preserve"> PAGEREF _Toc38006113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Receipt in deed sufficient</w:t>
      </w:r>
      <w:r>
        <w:tab/>
      </w:r>
      <w:r>
        <w:fldChar w:fldCharType="begin"/>
      </w:r>
      <w:r>
        <w:instrText xml:space="preserve"> PAGEREF _Toc38006114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Receipt in deed or endorsed evidence</w:t>
      </w:r>
      <w:r>
        <w:tab/>
      </w:r>
      <w:r>
        <w:fldChar w:fldCharType="begin"/>
      </w:r>
      <w:r>
        <w:instrText xml:space="preserve"> PAGEREF _Toc38006115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Construction of supplemental or annexed instrument</w:t>
      </w:r>
      <w:r>
        <w:tab/>
      </w:r>
      <w:r>
        <w:fldChar w:fldCharType="begin"/>
      </w:r>
      <w:r>
        <w:instrText xml:space="preserve"> PAGEREF _Toc38006116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General rules affecting property</w:t>
      </w:r>
    </w:p>
    <w:p>
      <w:pPr>
        <w:pStyle w:val="TOC8"/>
        <w:rPr>
          <w:rFonts w:asciiTheme="minorHAnsi" w:eastAsiaTheme="minorEastAsia" w:hAnsiTheme="minorHAnsi" w:cstheme="minorBidi"/>
          <w:szCs w:val="22"/>
        </w:rPr>
      </w:pPr>
      <w:r>
        <w:t>17</w:t>
      </w:r>
      <w:r>
        <w:rPr>
          <w:snapToGrid w:val="0"/>
        </w:rPr>
        <w:t>.</w:t>
      </w:r>
      <w:r>
        <w:rPr>
          <w:snapToGrid w:val="0"/>
        </w:rPr>
        <w:tab/>
        <w:t>Tenant for life without impeachment of waste, not to commit equitable waste</w:t>
      </w:r>
      <w:r>
        <w:tab/>
      </w:r>
      <w:r>
        <w:fldChar w:fldCharType="begin"/>
      </w:r>
      <w:r>
        <w:instrText xml:space="preserve"> PAGEREF _Toc38006118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 merger at law where none in equity</w:t>
      </w:r>
      <w:r>
        <w:tab/>
      </w:r>
      <w:r>
        <w:fldChar w:fldCharType="begin"/>
      </w:r>
      <w:r>
        <w:instrText xml:space="preserve"> PAGEREF _Toc38006119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Suits for possession of land by mortgagors</w:t>
      </w:r>
      <w:r>
        <w:tab/>
      </w:r>
      <w:r>
        <w:fldChar w:fldCharType="begin"/>
      </w:r>
      <w:r>
        <w:instrText xml:space="preserve"> PAGEREF _Toc38006120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Assignment of debts and choses in action</w:t>
      </w:r>
      <w:r>
        <w:tab/>
      </w:r>
      <w:r>
        <w:fldChar w:fldCharType="begin"/>
      </w:r>
      <w:r>
        <w:instrText xml:space="preserve"> PAGEREF _Toc38006121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Stipulations not of the essence of a contract</w:t>
      </w:r>
      <w:r>
        <w:tab/>
      </w:r>
      <w:r>
        <w:fldChar w:fldCharType="begin"/>
      </w:r>
      <w:r>
        <w:instrText xml:space="preserve"> PAGEREF _Toc38006122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Satisfied terms, whether created out of freehold or leasehold land, to cease</w:t>
      </w:r>
      <w:r>
        <w:tab/>
      </w:r>
      <w:r>
        <w:fldChar w:fldCharType="begin"/>
      </w:r>
      <w:r>
        <w:instrText xml:space="preserve"> PAGEREF _Toc38006123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Estates tail abolished</w:t>
      </w:r>
      <w:r>
        <w:tab/>
      </w:r>
      <w:r>
        <w:fldChar w:fldCharType="begin"/>
      </w:r>
      <w:r>
        <w:instrText xml:space="preserve"> PAGEREF _Toc38006124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Creation by deed of freehold </w:t>
      </w:r>
      <w:r>
        <w:rPr>
          <w:i/>
          <w:snapToGrid w:val="0"/>
        </w:rPr>
        <w:t>in futuro</w:t>
      </w:r>
      <w:r>
        <w:tab/>
      </w:r>
      <w:r>
        <w:fldChar w:fldCharType="begin"/>
      </w:r>
      <w:r>
        <w:instrText xml:space="preserve"> PAGEREF _Toc38006125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Creation by deed of estate in chattel real</w:t>
      </w:r>
      <w:r>
        <w:tab/>
      </w:r>
      <w:r>
        <w:fldChar w:fldCharType="begin"/>
      </w:r>
      <w:r>
        <w:instrText xml:space="preserve"> PAGEREF _Toc38006126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Contingent remainders to take effect notwithstanding premature failure of preceding estate</w:t>
      </w:r>
      <w:r>
        <w:tab/>
      </w:r>
      <w:r>
        <w:fldChar w:fldCharType="begin"/>
      </w:r>
      <w:r>
        <w:instrText xml:space="preserve"> PAGEREF _Toc38006127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Rule in Shelley’s Case abolished</w:t>
      </w:r>
      <w:r>
        <w:tab/>
      </w:r>
      <w:r>
        <w:fldChar w:fldCharType="begin"/>
      </w:r>
      <w:r>
        <w:instrText xml:space="preserve"> PAGEREF _Toc38006128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Restriction on executory limitations</w:t>
      </w:r>
      <w:r>
        <w:tab/>
      </w:r>
      <w:r>
        <w:fldChar w:fldCharType="begin"/>
      </w:r>
      <w:r>
        <w:instrText xml:space="preserve"> PAGEREF _Toc38006129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Corporations may hold as joint tenants</w:t>
      </w:r>
      <w:r>
        <w:tab/>
      </w:r>
      <w:r>
        <w:fldChar w:fldCharType="begin"/>
      </w:r>
      <w:r>
        <w:instrText xml:space="preserve"> PAGEREF _Toc38006130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Receipts for income by married minors</w:t>
      </w:r>
      <w:r>
        <w:tab/>
      </w:r>
      <w:r>
        <w:fldChar w:fldCharType="begin"/>
      </w:r>
      <w:r>
        <w:instrText xml:space="preserve"> PAGEREF _Toc38006131 \h </w:instrText>
      </w:r>
      <w:r>
        <w:fldChar w:fldCharType="separate"/>
      </w:r>
      <w:r>
        <w:t>18</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Illegitimates to be included in class references</w:t>
      </w:r>
      <w:r>
        <w:tab/>
      </w:r>
      <w:r>
        <w:fldChar w:fldCharType="begin"/>
      </w:r>
      <w:r>
        <w:instrText xml:space="preserve"> PAGEREF _Toc38006132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IV — Conveyances and other instruments</w:t>
      </w:r>
    </w:p>
    <w:p>
      <w:pPr>
        <w:pStyle w:val="TOC8"/>
        <w:rPr>
          <w:rFonts w:asciiTheme="minorHAnsi" w:eastAsiaTheme="minorEastAsia" w:hAnsiTheme="minorHAnsi" w:cstheme="minorBidi"/>
          <w:szCs w:val="22"/>
        </w:rPr>
      </w:pPr>
      <w:r>
        <w:t>32</w:t>
      </w:r>
      <w:r>
        <w:rPr>
          <w:snapToGrid w:val="0"/>
        </w:rPr>
        <w:t>.</w:t>
      </w:r>
      <w:r>
        <w:rPr>
          <w:snapToGrid w:val="0"/>
        </w:rPr>
        <w:tab/>
        <w:t>Lands lie in grant only</w:t>
      </w:r>
      <w:r>
        <w:tab/>
      </w:r>
      <w:r>
        <w:fldChar w:fldCharType="begin"/>
      </w:r>
      <w:r>
        <w:instrText xml:space="preserve"> PAGEREF _Toc38006134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Conveyances to be by deed</w:t>
      </w:r>
      <w:r>
        <w:tab/>
      </w:r>
      <w:r>
        <w:fldChar w:fldCharType="begin"/>
      </w:r>
      <w:r>
        <w:instrText xml:space="preserve"> PAGEREF _Toc38006135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Instruments required to be in writing</w:t>
      </w:r>
      <w:r>
        <w:tab/>
      </w:r>
      <w:r>
        <w:fldChar w:fldCharType="begin"/>
      </w:r>
      <w:r>
        <w:instrText xml:space="preserve"> PAGEREF _Toc38006136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Creation of interests in land by parol</w:t>
      </w:r>
      <w:r>
        <w:tab/>
      </w:r>
      <w:r>
        <w:fldChar w:fldCharType="begin"/>
      </w:r>
      <w:r>
        <w:instrText xml:space="preserve"> PAGEREF _Toc38006137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Savings in regard to sections 34 and 35</w:t>
      </w:r>
      <w:r>
        <w:tab/>
      </w:r>
      <w:r>
        <w:fldChar w:fldCharType="begin"/>
      </w:r>
      <w:r>
        <w:instrText xml:space="preserve"> PAGEREF _Toc38006138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 to dispose of fee simple by deed without words of inheritance</w:t>
      </w:r>
      <w:r>
        <w:tab/>
      </w:r>
      <w:r>
        <w:fldChar w:fldCharType="begin"/>
      </w:r>
      <w:r>
        <w:instrText xml:space="preserve"> PAGEREF _Toc38006139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 use to result from absence of consideration</w:t>
      </w:r>
      <w:r>
        <w:tab/>
      </w:r>
      <w:r>
        <w:fldChar w:fldCharType="begin"/>
      </w:r>
      <w:r>
        <w:instrText xml:space="preserve"> PAGEREF _Toc38006140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Limitations may be by direct conveyance without uses</w:t>
      </w:r>
      <w:r>
        <w:tab/>
      </w:r>
      <w:r>
        <w:fldChar w:fldCharType="begin"/>
      </w:r>
      <w:r>
        <w:instrText xml:space="preserve"> PAGEREF _Toc38006141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conveyance to have tortious operation</w:t>
      </w:r>
      <w:r>
        <w:tab/>
      </w:r>
      <w:r>
        <w:fldChar w:fldCharType="begin"/>
      </w:r>
      <w:r>
        <w:instrText xml:space="preserve"> PAGEREF _Toc38006142 \h </w:instrText>
      </w:r>
      <w:r>
        <w:fldChar w:fldCharType="separate"/>
      </w:r>
      <w:r>
        <w:t>23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words implied in conveyances</w:t>
      </w:r>
      <w:r>
        <w:tab/>
      </w:r>
      <w:r>
        <w:fldChar w:fldCharType="begin"/>
      </w:r>
      <w:r>
        <w:instrText xml:space="preserve"> PAGEREF _Toc38006143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All estate clause implied</w:t>
      </w:r>
      <w:r>
        <w:tab/>
      </w:r>
      <w:r>
        <w:fldChar w:fldCharType="begin"/>
      </w:r>
      <w:r>
        <w:instrText xml:space="preserve"> PAGEREF _Toc38006144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Partial release of land from rent</w:t>
      </w:r>
      <w:r>
        <w:tab/>
      </w:r>
      <w:r>
        <w:fldChar w:fldCharType="begin"/>
      </w:r>
      <w:r>
        <w:instrText xml:space="preserve"> PAGEREF _Toc38006145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person to convey property to himself etc.</w:t>
      </w:r>
      <w:r>
        <w:tab/>
      </w:r>
      <w:r>
        <w:fldChar w:fldCharType="begin"/>
      </w:r>
      <w:r>
        <w:instrText xml:space="preserve"> PAGEREF _Toc38006146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Covenants</w:t>
      </w:r>
    </w:p>
    <w:p>
      <w:pPr>
        <w:pStyle w:val="TOC8"/>
        <w:rPr>
          <w:rFonts w:asciiTheme="minorHAnsi" w:eastAsiaTheme="minorEastAsia" w:hAnsiTheme="minorHAnsi" w:cstheme="minorBidi"/>
          <w:szCs w:val="22"/>
        </w:rPr>
      </w:pPr>
      <w:r>
        <w:t>45</w:t>
      </w:r>
      <w:r>
        <w:rPr>
          <w:snapToGrid w:val="0"/>
        </w:rPr>
        <w:t>.</w:t>
      </w:r>
      <w:r>
        <w:rPr>
          <w:snapToGrid w:val="0"/>
        </w:rPr>
        <w:tab/>
        <w:t>Covenants for title implied</w:t>
      </w:r>
      <w:r>
        <w:tab/>
      </w:r>
      <w:r>
        <w:fldChar w:fldCharType="begin"/>
      </w:r>
      <w:r>
        <w:instrText xml:space="preserve"> PAGEREF _Toc38006148 \h </w:instrText>
      </w:r>
      <w:r>
        <w:fldChar w:fldCharType="separate"/>
      </w:r>
      <w:r>
        <w:t>25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Construction of implied covenants</w:t>
      </w:r>
      <w:r>
        <w:tab/>
      </w:r>
      <w:r>
        <w:fldChar w:fldCharType="begin"/>
      </w:r>
      <w:r>
        <w:instrText xml:space="preserve"> PAGEREF _Toc38006149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Benefits of covenants relating to land</w:t>
      </w:r>
      <w:r>
        <w:tab/>
      </w:r>
      <w:r>
        <w:fldChar w:fldCharType="begin"/>
      </w:r>
      <w:r>
        <w:instrText xml:space="preserve"> PAGEREF _Toc38006150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Burden of covenants relating to land</w:t>
      </w:r>
      <w:r>
        <w:tab/>
      </w:r>
      <w:r>
        <w:fldChar w:fldCharType="begin"/>
      </w:r>
      <w:r>
        <w:instrText xml:space="preserve"> PAGEREF _Toc38006151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Construction of covenants affecting land</w:t>
      </w:r>
      <w:r>
        <w:tab/>
      </w:r>
      <w:r>
        <w:fldChar w:fldCharType="begin"/>
      </w:r>
      <w:r>
        <w:instrText xml:space="preserve"> PAGEREF _Toc38006152 \h </w:instrText>
      </w:r>
      <w:r>
        <w:fldChar w:fldCharType="separate"/>
      </w:r>
      <w:r>
        <w:t>28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Covenants to be joint and several</w:t>
      </w:r>
      <w:r>
        <w:tab/>
      </w:r>
      <w:r>
        <w:fldChar w:fldCharType="begin"/>
      </w:r>
      <w:r>
        <w:instrText xml:space="preserve"> PAGEREF _Toc38006153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Effect of covenant with 2 or more jointly</w:t>
      </w:r>
      <w:r>
        <w:tab/>
      </w:r>
      <w:r>
        <w:fldChar w:fldCharType="begin"/>
      </w:r>
      <w:r>
        <w:instrText xml:space="preserve"> PAGEREF _Toc38006154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Covenants and agreements entered into by a person with himself and another or others</w:t>
      </w:r>
      <w:r>
        <w:tab/>
      </w:r>
      <w:r>
        <w:fldChar w:fldCharType="begin"/>
      </w:r>
      <w:r>
        <w:instrText xml:space="preserve"> PAGEREF _Toc38006155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 — Mortgages</w:t>
      </w:r>
    </w:p>
    <w:p>
      <w:pPr>
        <w:pStyle w:val="TOC8"/>
        <w:rPr>
          <w:rFonts w:asciiTheme="minorHAnsi" w:eastAsiaTheme="minorEastAsia" w:hAnsiTheme="minorHAnsi" w:cstheme="minorBidi"/>
          <w:szCs w:val="22"/>
        </w:rPr>
      </w:pPr>
      <w:r>
        <w:t>53</w:t>
      </w:r>
      <w:r>
        <w:rPr>
          <w:snapToGrid w:val="0"/>
        </w:rPr>
        <w:t>.</w:t>
      </w:r>
      <w:r>
        <w:rPr>
          <w:snapToGrid w:val="0"/>
        </w:rPr>
        <w:tab/>
        <w:t>Foreclosure extinguishes right of action for mortgage debt and equity of redemption</w:t>
      </w:r>
      <w:r>
        <w:tab/>
      </w:r>
      <w:r>
        <w:fldChar w:fldCharType="begin"/>
      </w:r>
      <w:r>
        <w:instrText xml:space="preserve"> PAGEREF _Toc38006157 \h </w:instrText>
      </w:r>
      <w:r>
        <w:fldChar w:fldCharType="separate"/>
      </w:r>
      <w:r>
        <w:t>30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Realisation of equitable charges by the Court</w:t>
      </w:r>
      <w:r>
        <w:tab/>
      </w:r>
      <w:r>
        <w:fldChar w:fldCharType="begin"/>
      </w:r>
      <w:r>
        <w:instrText xml:space="preserve"> PAGEREF _Toc38006158 \h </w:instrText>
      </w:r>
      <w:r>
        <w:fldChar w:fldCharType="separate"/>
      </w:r>
      <w:r>
        <w:t>30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Sale of mortgaged property in action for redemption or foreclosure</w:t>
      </w:r>
      <w:r>
        <w:tab/>
      </w:r>
      <w:r>
        <w:fldChar w:fldCharType="begin"/>
      </w:r>
      <w:r>
        <w:instrText xml:space="preserve"> PAGEREF _Toc38006159 \h </w:instrText>
      </w:r>
      <w:r>
        <w:fldChar w:fldCharType="separate"/>
      </w:r>
      <w:r>
        <w:t>31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Restriction on consolidation of mortgages</w:t>
      </w:r>
      <w:r>
        <w:tab/>
      </w:r>
      <w:r>
        <w:fldChar w:fldCharType="begin"/>
      </w:r>
      <w:r>
        <w:instrText xml:space="preserve"> PAGEREF _Toc38006160 \h </w:instrText>
      </w:r>
      <w:r>
        <w:fldChar w:fldCharType="separate"/>
      </w:r>
      <w:r>
        <w:t>32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Implied powers of mortgagees</w:t>
      </w:r>
      <w:r>
        <w:tab/>
      </w:r>
      <w:r>
        <w:fldChar w:fldCharType="begin"/>
      </w:r>
      <w:r>
        <w:instrText xml:space="preserve"> PAGEREF _Toc38006161 \h </w:instrText>
      </w:r>
      <w:r>
        <w:fldChar w:fldCharType="separate"/>
      </w:r>
      <w:r>
        <w:t>33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 xml:space="preserve">Power to appoint receiver in the case of mortgage under the </w:t>
      </w:r>
      <w:r>
        <w:rPr>
          <w:i/>
          <w:snapToGrid w:val="0"/>
        </w:rPr>
        <w:t>Transfer of Land Act 1893</w:t>
      </w:r>
      <w:r>
        <w:tab/>
      </w:r>
      <w:r>
        <w:fldChar w:fldCharType="begin"/>
      </w:r>
      <w:r>
        <w:instrText xml:space="preserve"> PAGEREF _Toc38006162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 of exercise of power of sale</w:t>
      </w:r>
      <w:r>
        <w:tab/>
      </w:r>
      <w:r>
        <w:fldChar w:fldCharType="begin"/>
      </w:r>
      <w:r>
        <w:instrText xml:space="preserve"> PAGEREF _Toc38006163 \h </w:instrText>
      </w:r>
      <w:r>
        <w:fldChar w:fldCharType="separate"/>
      </w:r>
      <w:r>
        <w:t>35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Conveyance in exercise of power of sale</w:t>
      </w:r>
      <w:r>
        <w:tab/>
      </w:r>
      <w:r>
        <w:fldChar w:fldCharType="begin"/>
      </w:r>
      <w:r>
        <w:instrText xml:space="preserve"> PAGEREF _Toc38006164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Application of proceeds of sale</w:t>
      </w:r>
      <w:r>
        <w:tab/>
      </w:r>
      <w:r>
        <w:fldChar w:fldCharType="begin"/>
      </w:r>
      <w:r>
        <w:instrText xml:space="preserve"> PAGEREF _Toc38006165 \h </w:instrText>
      </w:r>
      <w:r>
        <w:fldChar w:fldCharType="separate"/>
      </w:r>
      <w:r>
        <w:t>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Provisions as to exercise of power of sale</w:t>
      </w:r>
      <w:r>
        <w:tab/>
      </w:r>
      <w:r>
        <w:fldChar w:fldCharType="begin"/>
      </w:r>
      <w:r>
        <w:instrText xml:space="preserve"> PAGEREF _Toc38006166 \h </w:instrText>
      </w:r>
      <w:r>
        <w:fldChar w:fldCharType="separate"/>
      </w:r>
      <w:r>
        <w:t>37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Mortgagee’s receipts, discharges etc.</w:t>
      </w:r>
      <w:r>
        <w:tab/>
      </w:r>
      <w:r>
        <w:fldChar w:fldCharType="begin"/>
      </w:r>
      <w:r>
        <w:instrText xml:space="preserve"> PAGEREF _Toc38006167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Amount and application of insurance money</w:t>
      </w:r>
      <w:r>
        <w:tab/>
      </w:r>
      <w:r>
        <w:fldChar w:fldCharType="begin"/>
      </w:r>
      <w:r>
        <w:instrText xml:space="preserve"> PAGEREF _Toc38006168 \h </w:instrText>
      </w:r>
      <w:r>
        <w:fldChar w:fldCharType="separate"/>
      </w:r>
      <w:r>
        <w:t>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Appointment, powers, remuneration and duties of receiver</w:t>
      </w:r>
      <w:r>
        <w:tab/>
      </w:r>
      <w:r>
        <w:fldChar w:fldCharType="begin"/>
      </w:r>
      <w:r>
        <w:instrText xml:space="preserve"> PAGEREF _Toc38006169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Application of money received by receiver</w:t>
      </w:r>
      <w:r>
        <w:tab/>
      </w:r>
      <w:r>
        <w:fldChar w:fldCharType="begin"/>
      </w:r>
      <w:r>
        <w:instrText xml:space="preserve"> PAGEREF _Toc38006170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Effect of advance on joint account</w:t>
      </w:r>
      <w:r>
        <w:tab/>
      </w:r>
      <w:r>
        <w:fldChar w:fldCharType="begin"/>
      </w:r>
      <w:r>
        <w:instrText xml:space="preserve"> PAGEREF _Toc38006171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trusts affecting mortgage money</w:t>
      </w:r>
      <w:r>
        <w:tab/>
      </w:r>
      <w:r>
        <w:fldChar w:fldCharType="begin"/>
      </w:r>
      <w:r>
        <w:instrText xml:space="preserve"> PAGEREF _Toc38006172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 — Leases and tenancies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68A</w:t>
      </w:r>
      <w:r>
        <w:rPr>
          <w:snapToGrid w:val="0"/>
        </w:rPr>
        <w:t>.</w:t>
      </w:r>
      <w:r>
        <w:rPr>
          <w:snapToGrid w:val="0"/>
        </w:rPr>
        <w:tab/>
        <w:t>Limitation</w:t>
      </w:r>
      <w:r>
        <w:tab/>
      </w:r>
      <w:r>
        <w:fldChar w:fldCharType="begin"/>
      </w:r>
      <w:r>
        <w:instrText xml:space="preserve"> PAGEREF _Toc38006175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General</w:t>
      </w:r>
    </w:p>
    <w:p>
      <w:pPr>
        <w:pStyle w:val="TOC8"/>
        <w:rPr>
          <w:rFonts w:asciiTheme="minorHAnsi" w:eastAsiaTheme="minorEastAsia" w:hAnsiTheme="minorHAnsi" w:cstheme="minorBidi"/>
          <w:szCs w:val="22"/>
        </w:rPr>
      </w:pPr>
      <w:r>
        <w:t>69</w:t>
      </w:r>
      <w:r>
        <w:rPr>
          <w:snapToGrid w:val="0"/>
        </w:rPr>
        <w:t>.</w:t>
      </w:r>
      <w:r>
        <w:rPr>
          <w:snapToGrid w:val="0"/>
        </w:rPr>
        <w:tab/>
        <w:t xml:space="preserve">This Part to apply to leases under the </w:t>
      </w:r>
      <w:r>
        <w:rPr>
          <w:i/>
          <w:snapToGrid w:val="0"/>
        </w:rPr>
        <w:t>Transfer of Land Act 1893</w:t>
      </w:r>
      <w:r>
        <w:tab/>
      </w:r>
      <w:r>
        <w:fldChar w:fldCharType="begin"/>
      </w:r>
      <w:r>
        <w:instrText xml:space="preserve"> PAGEREF _Toc38006177 \h </w:instrText>
      </w:r>
      <w:r>
        <w:fldChar w:fldCharType="separate"/>
      </w:r>
      <w:r>
        <w:t>43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Tenant not prejudiced by assignment before notice</w:t>
      </w:r>
      <w:r>
        <w:tab/>
      </w:r>
      <w:r>
        <w:fldChar w:fldCharType="begin"/>
      </w:r>
      <w:r>
        <w:instrText xml:space="preserve"> PAGEREF _Toc38006178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Tenancy from year to year not implied</w:t>
      </w:r>
      <w:r>
        <w:tab/>
      </w:r>
      <w:r>
        <w:fldChar w:fldCharType="begin"/>
      </w:r>
      <w:r>
        <w:instrText xml:space="preserve"> PAGEREF _Toc38006179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tenancies</w:t>
      </w:r>
      <w:r>
        <w:tab/>
      </w:r>
      <w:r>
        <w:fldChar w:fldCharType="begin"/>
      </w:r>
      <w:r>
        <w:instrText xml:space="preserve"> PAGEREF _Toc38006180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Waiver of a covenant in a lease, not to operate as general waiver</w:t>
      </w:r>
      <w:r>
        <w:tab/>
      </w:r>
      <w:r>
        <w:fldChar w:fldCharType="begin"/>
      </w:r>
      <w:r>
        <w:instrText xml:space="preserve"> PAGEREF _Toc38006181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 xml:space="preserve">Abolition of </w:t>
      </w:r>
      <w:r>
        <w:rPr>
          <w:i/>
          <w:snapToGrid w:val="0"/>
        </w:rPr>
        <w:t>interesse termini</w:t>
      </w:r>
      <w:r>
        <w:rPr>
          <w:snapToGrid w:val="0"/>
        </w:rPr>
        <w:t>, and as to reversionary leases and leases for lives</w:t>
      </w:r>
      <w:r>
        <w:tab/>
      </w:r>
      <w:r>
        <w:fldChar w:fldCharType="begin"/>
      </w:r>
      <w:r>
        <w:instrText xml:space="preserve"> PAGEREF _Toc38006182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extinguishment of reversion</w:t>
      </w:r>
      <w:r>
        <w:tab/>
      </w:r>
      <w:r>
        <w:fldChar w:fldCharType="begin"/>
      </w:r>
      <w:r>
        <w:instrText xml:space="preserve"> PAGEREF _Toc38006183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Apportionment of conditions on severance</w:t>
      </w:r>
      <w:r>
        <w:tab/>
      </w:r>
      <w:r>
        <w:fldChar w:fldCharType="begin"/>
      </w:r>
      <w:r>
        <w:instrText xml:space="preserve"> PAGEREF _Toc38006184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Rent and benefit of lessee’s covenants to run with reversion</w:t>
      </w:r>
      <w:r>
        <w:tab/>
      </w:r>
      <w:r>
        <w:fldChar w:fldCharType="begin"/>
      </w:r>
      <w:r>
        <w:instrText xml:space="preserve"> PAGEREF _Toc38006185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Obligation of lessor’s covenants to run with reversion</w:t>
      </w:r>
      <w:r>
        <w:tab/>
      </w:r>
      <w:r>
        <w:fldChar w:fldCharType="begin"/>
      </w:r>
      <w:r>
        <w:instrText xml:space="preserve"> PAGEREF _Toc38006186 \h </w:instrText>
      </w:r>
      <w:r>
        <w:fldChar w:fldCharType="separate"/>
      </w:r>
      <w:r>
        <w:t>47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Effect of licences granted to lessees</w:t>
      </w:r>
      <w:r>
        <w:tab/>
      </w:r>
      <w:r>
        <w:fldChar w:fldCharType="begin"/>
      </w:r>
      <w:r>
        <w:instrText xml:space="preserve"> PAGEREF _Toc38006187 \h </w:instrText>
      </w:r>
      <w:r>
        <w:fldChar w:fldCharType="separate"/>
      </w:r>
      <w:r>
        <w:t>48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Consent to assign or sublet not to be unreasonably withheld</w:t>
      </w:r>
      <w:r>
        <w:tab/>
      </w:r>
      <w:r>
        <w:fldChar w:fldCharType="begin"/>
      </w:r>
      <w:r>
        <w:instrText xml:space="preserve"> PAGEREF _Toc38006188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Restrictions and relief against forfeiture of leases and under</w:t>
      </w:r>
      <w:r>
        <w:rPr>
          <w:snapToGrid w:val="0"/>
        </w:rPr>
        <w:noBreakHyphen/>
        <w:t>leases</w:t>
      </w:r>
      <w:r>
        <w:tab/>
      </w:r>
      <w:r>
        <w:fldChar w:fldCharType="begin"/>
      </w:r>
      <w:r>
        <w:instrText xml:space="preserve"> PAGEREF _Toc38006189 \h </w:instrText>
      </w:r>
      <w:r>
        <w:fldChar w:fldCharType="separate"/>
      </w:r>
      <w:r>
        <w:t>49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Certain assignments not to be deemed a breach</w:t>
      </w:r>
      <w:r>
        <w:tab/>
      </w:r>
      <w:r>
        <w:fldChar w:fldCharType="begin"/>
      </w:r>
      <w:r>
        <w:instrText xml:space="preserve"> PAGEREF _Toc38006190 \h </w:instrText>
      </w:r>
      <w:r>
        <w:fldChar w:fldCharType="separate"/>
      </w:r>
      <w:r>
        <w:t>53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Surrender of head lease to grant new lease not to prejudice under</w:t>
      </w:r>
      <w:r>
        <w:rPr>
          <w:snapToGrid w:val="0"/>
        </w:rPr>
        <w:noBreakHyphen/>
        <w:t>lease</w:t>
      </w:r>
      <w:r>
        <w:tab/>
      </w:r>
      <w:r>
        <w:fldChar w:fldCharType="begin"/>
      </w:r>
      <w:r>
        <w:instrText xml:space="preserve"> PAGEREF _Toc38006191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Options in leases</w:t>
      </w:r>
    </w:p>
    <w:p>
      <w:pPr>
        <w:pStyle w:val="TOC8"/>
        <w:rPr>
          <w:rFonts w:asciiTheme="minorHAnsi" w:eastAsiaTheme="minorEastAsia" w:hAnsiTheme="minorHAnsi" w:cstheme="minorBidi"/>
          <w:szCs w:val="22"/>
        </w:rPr>
      </w:pPr>
      <w:r>
        <w:t>83A</w:t>
      </w:r>
      <w:r>
        <w:rPr>
          <w:snapToGrid w:val="0"/>
        </w:rPr>
        <w:t>.</w:t>
      </w:r>
      <w:r>
        <w:rPr>
          <w:snapToGrid w:val="0"/>
        </w:rPr>
        <w:tab/>
        <w:t>Interpretation</w:t>
      </w:r>
      <w:r>
        <w:tab/>
      </w:r>
      <w:r>
        <w:fldChar w:fldCharType="begin"/>
      </w:r>
      <w:r>
        <w:instrText xml:space="preserve"> PAGEREF _Toc38006193 \h </w:instrText>
      </w:r>
      <w:r>
        <w:fldChar w:fldCharType="separate"/>
      </w:r>
      <w:r>
        <w:t>55</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Construction and application of Division</w:t>
      </w:r>
      <w:r>
        <w:tab/>
      </w:r>
      <w:r>
        <w:fldChar w:fldCharType="begin"/>
      </w:r>
      <w:r>
        <w:instrText xml:space="preserve"> PAGEREF _Toc38006194 \h </w:instrText>
      </w:r>
      <w:r>
        <w:fldChar w:fldCharType="separate"/>
      </w:r>
      <w:r>
        <w:t>55</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Breach of certain obligations not to preclude lessee from exercising option in certain circumstances</w:t>
      </w:r>
      <w:r>
        <w:tab/>
      </w:r>
      <w:r>
        <w:fldChar w:fldCharType="begin"/>
      </w:r>
      <w:r>
        <w:instrText xml:space="preserve"> PAGEREF _Toc38006195 \h </w:instrText>
      </w:r>
      <w:r>
        <w:fldChar w:fldCharType="separate"/>
      </w:r>
      <w:r>
        <w:t>56</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Court may grant relief from breach of certain obligations</w:t>
      </w:r>
      <w:r>
        <w:tab/>
      </w:r>
      <w:r>
        <w:fldChar w:fldCharType="begin"/>
      </w:r>
      <w:r>
        <w:instrText xml:space="preserve"> PAGEREF _Toc38006196 \h </w:instrText>
      </w:r>
      <w:r>
        <w:fldChar w:fldCharType="separate"/>
      </w:r>
      <w:r>
        <w:t>57</w:t>
      </w:r>
      <w:r>
        <w:fldChar w:fldCharType="end"/>
      </w:r>
    </w:p>
    <w:p>
      <w:pPr>
        <w:pStyle w:val="TOC8"/>
        <w:rPr>
          <w:rFonts w:asciiTheme="minorHAnsi" w:eastAsiaTheme="minorEastAsia" w:hAnsiTheme="minorHAnsi" w:cstheme="minorBidi"/>
          <w:szCs w:val="22"/>
        </w:rPr>
      </w:pPr>
      <w:r>
        <w:t>83E</w:t>
      </w:r>
      <w:r>
        <w:rPr>
          <w:snapToGrid w:val="0"/>
        </w:rPr>
        <w:t>.</w:t>
      </w:r>
      <w:r>
        <w:rPr>
          <w:snapToGrid w:val="0"/>
        </w:rPr>
        <w:tab/>
        <w:t>Lease to continue in force until issue decided</w:t>
      </w:r>
      <w:r>
        <w:tab/>
      </w:r>
      <w:r>
        <w:fldChar w:fldCharType="begin"/>
      </w:r>
      <w:r>
        <w:instrText xml:space="preserve"> PAGEREF _Toc38006197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attorney</w:t>
      </w:r>
    </w:p>
    <w:p>
      <w:pPr>
        <w:pStyle w:val="TOC8"/>
        <w:rPr>
          <w:rFonts w:asciiTheme="minorHAnsi" w:eastAsiaTheme="minorEastAsia" w:hAnsiTheme="minorHAnsi" w:cstheme="minorBidi"/>
          <w:szCs w:val="22"/>
        </w:rPr>
      </w:pPr>
      <w:r>
        <w:t>84</w:t>
      </w:r>
      <w:r>
        <w:rPr>
          <w:snapToGrid w:val="0"/>
        </w:rPr>
        <w:t>.</w:t>
      </w:r>
      <w:r>
        <w:rPr>
          <w:snapToGrid w:val="0"/>
        </w:rPr>
        <w:tab/>
        <w:t>Execution by attorney in his own name</w:t>
      </w:r>
      <w:r>
        <w:tab/>
      </w:r>
      <w:r>
        <w:fldChar w:fldCharType="begin"/>
      </w:r>
      <w:r>
        <w:instrText xml:space="preserve"> PAGEREF _Toc38006199 \h </w:instrText>
      </w:r>
      <w:r>
        <w:fldChar w:fldCharType="separate"/>
      </w:r>
      <w:r>
        <w:t>60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Continuance until notice of death or revocation received</w:t>
      </w:r>
      <w:r>
        <w:tab/>
      </w:r>
      <w:r>
        <w:fldChar w:fldCharType="begin"/>
      </w:r>
      <w:r>
        <w:instrText xml:space="preserve"> PAGEREF _Toc38006200 \h </w:instrText>
      </w:r>
      <w:r>
        <w:fldChar w:fldCharType="separate"/>
      </w:r>
      <w:r>
        <w:t>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Irrevocable power of attorney for value</w:t>
      </w:r>
      <w:r>
        <w:tab/>
      </w:r>
      <w:r>
        <w:fldChar w:fldCharType="begin"/>
      </w:r>
      <w:r>
        <w:instrText xml:space="preserve"> PAGEREF _Toc38006201 \h </w:instrText>
      </w:r>
      <w:r>
        <w:fldChar w:fldCharType="separate"/>
      </w:r>
      <w:r>
        <w:t>61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Power of attorney made irrevocable for fixed time</w:t>
      </w:r>
      <w:r>
        <w:tab/>
      </w:r>
      <w:r>
        <w:fldChar w:fldCharType="begin"/>
      </w:r>
      <w:r>
        <w:instrText xml:space="preserve"> PAGEREF _Toc38006202 \h </w:instrText>
      </w:r>
      <w:r>
        <w:fldChar w:fldCharType="separate"/>
      </w:r>
      <w:r>
        <w:t>62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to corporations</w:t>
      </w:r>
      <w:r>
        <w:tab/>
      </w:r>
      <w:r>
        <w:fldChar w:fldCharType="begin"/>
      </w:r>
      <w:r>
        <w:instrText xml:space="preserve"> PAGEREF _Toc38006203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IX — Voidable dispositions</w:t>
      </w:r>
    </w:p>
    <w:p>
      <w:pPr>
        <w:pStyle w:val="TOC8"/>
        <w:rPr>
          <w:rFonts w:asciiTheme="minorHAnsi" w:eastAsiaTheme="minorEastAsia" w:hAnsiTheme="minorHAnsi" w:cstheme="minorBidi"/>
          <w:szCs w:val="22"/>
        </w:rPr>
      </w:pPr>
      <w:r>
        <w:t>89</w:t>
      </w:r>
      <w:r>
        <w:rPr>
          <w:snapToGrid w:val="0"/>
        </w:rPr>
        <w:t>.</w:t>
      </w:r>
      <w:r>
        <w:rPr>
          <w:snapToGrid w:val="0"/>
        </w:rPr>
        <w:tab/>
        <w:t>Voluntary conveyances to defraud creditors voidable</w:t>
      </w:r>
      <w:r>
        <w:tab/>
      </w:r>
      <w:r>
        <w:fldChar w:fldCharType="begin"/>
      </w:r>
      <w:r>
        <w:instrText xml:space="preserve"> PAGEREF _Toc38006205 \h </w:instrText>
      </w:r>
      <w:r>
        <w:fldChar w:fldCharType="separate"/>
      </w:r>
      <w:r>
        <w:t>64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Voluntary disposition to defraud purchasers voidable</w:t>
      </w:r>
      <w:r>
        <w:tab/>
      </w:r>
      <w:r>
        <w:fldChar w:fldCharType="begin"/>
      </w:r>
      <w:r>
        <w:instrText xml:space="preserve"> PAGEREF _Toc38006206 \h </w:instrText>
      </w:r>
      <w:r>
        <w:fldChar w:fldCharType="separate"/>
      </w:r>
      <w:r>
        <w:t>64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Subsequent conveyance not to be evidence of intent to defraud</w:t>
      </w:r>
      <w:r>
        <w:tab/>
      </w:r>
      <w:r>
        <w:fldChar w:fldCharType="begin"/>
      </w:r>
      <w:r>
        <w:instrText xml:space="preserve"> PAGEREF _Toc38006207 \h </w:instrText>
      </w:r>
      <w:r>
        <w:fldChar w:fldCharType="separate"/>
      </w:r>
      <w:r>
        <w:t>64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Acquisitions of reversions at an under value</w:t>
      </w:r>
      <w:r>
        <w:tab/>
      </w:r>
      <w:r>
        <w:fldChar w:fldCharType="begin"/>
      </w:r>
      <w:r>
        <w:instrText xml:space="preserve"> PAGEREF _Toc38006208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X — Powers of appointment</w:t>
      </w:r>
    </w:p>
    <w:p>
      <w:pPr>
        <w:pStyle w:val="TOC8"/>
        <w:rPr>
          <w:rFonts w:asciiTheme="minorHAnsi" w:eastAsiaTheme="minorEastAsia" w:hAnsiTheme="minorHAnsi" w:cstheme="minorBidi"/>
          <w:szCs w:val="22"/>
        </w:rPr>
      </w:pPr>
      <w:r>
        <w:t>93</w:t>
      </w:r>
      <w:r>
        <w:rPr>
          <w:snapToGrid w:val="0"/>
        </w:rPr>
        <w:t>.</w:t>
      </w:r>
      <w:r>
        <w:rPr>
          <w:snapToGrid w:val="0"/>
        </w:rPr>
        <w:tab/>
        <w:t>Disclaimer etc. of powers</w:t>
      </w:r>
      <w:r>
        <w:tab/>
      </w:r>
      <w:r>
        <w:fldChar w:fldCharType="begin"/>
      </w:r>
      <w:r>
        <w:instrText xml:space="preserve"> PAGEREF _Toc38006210 \h </w:instrText>
      </w:r>
      <w:r>
        <w:fldChar w:fldCharType="separate"/>
      </w:r>
      <w:r>
        <w:t>66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Effect of disclaimer etc.</w:t>
      </w:r>
      <w:r>
        <w:tab/>
      </w:r>
      <w:r>
        <w:fldChar w:fldCharType="begin"/>
      </w:r>
      <w:r>
        <w:instrText xml:space="preserve"> PAGEREF _Toc38006211 \h </w:instrText>
      </w:r>
      <w:r>
        <w:fldChar w:fldCharType="separate"/>
      </w:r>
      <w:r>
        <w:t>66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Protection of purchasers claiming under certain void appointments</w:t>
      </w:r>
      <w:r>
        <w:tab/>
      </w:r>
      <w:r>
        <w:fldChar w:fldCharType="begin"/>
      </w:r>
      <w:r>
        <w:instrText xml:space="preserve"> PAGEREF _Toc38006212 \h </w:instrText>
      </w:r>
      <w:r>
        <w:fldChar w:fldCharType="separate"/>
      </w:r>
      <w:r>
        <w:t>66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Validation of appointments where objects are excluded or take illusory shares</w:t>
      </w:r>
      <w:r>
        <w:tab/>
      </w:r>
      <w:r>
        <w:fldChar w:fldCharType="begin"/>
      </w:r>
      <w:r>
        <w:instrText xml:space="preserve"> PAGEREF _Toc38006213 \h </w:instrText>
      </w:r>
      <w:r>
        <w:fldChar w:fldCharType="separate"/>
      </w:r>
      <w:r>
        <w:t>67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Execution of powers not testamentary</w:t>
      </w:r>
      <w:r>
        <w:tab/>
      </w:r>
      <w:r>
        <w:fldChar w:fldCharType="begin"/>
      </w:r>
      <w:r>
        <w:instrText xml:space="preserve"> PAGEREF _Toc38006214 \h </w:instrText>
      </w:r>
      <w:r>
        <w:fldChar w:fldCharType="separate"/>
      </w:r>
      <w:r>
        <w:t>67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of this Part to existing powers</w:t>
      </w:r>
      <w:r>
        <w:tab/>
      </w:r>
      <w:r>
        <w:fldChar w:fldCharType="begin"/>
      </w:r>
      <w:r>
        <w:instrText xml:space="preserve"> PAGEREF _Toc38006215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XI — Perpetuities and accumulations</w:t>
      </w:r>
    </w:p>
    <w:p>
      <w:pPr>
        <w:pStyle w:val="TOC8"/>
        <w:rPr>
          <w:rFonts w:asciiTheme="minorHAnsi" w:eastAsiaTheme="minorEastAsia" w:hAnsiTheme="minorHAnsi" w:cstheme="minorBidi"/>
          <w:szCs w:val="22"/>
        </w:rPr>
      </w:pPr>
      <w:r>
        <w:t>99</w:t>
      </w:r>
      <w:r>
        <w:rPr>
          <w:snapToGrid w:val="0"/>
        </w:rPr>
        <w:t>.</w:t>
      </w:r>
      <w:r>
        <w:rPr>
          <w:snapToGrid w:val="0"/>
        </w:rPr>
        <w:tab/>
        <w:t>Application</w:t>
      </w:r>
      <w:r>
        <w:tab/>
      </w:r>
      <w:r>
        <w:fldChar w:fldCharType="begin"/>
      </w:r>
      <w:r>
        <w:instrText xml:space="preserve"> PAGEREF _Toc38006217 \h </w:instrText>
      </w:r>
      <w:r>
        <w:fldChar w:fldCharType="separate"/>
      </w:r>
      <w:r>
        <w:t>69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Terms used in this Part</w:t>
      </w:r>
      <w:r>
        <w:tab/>
      </w:r>
      <w:r>
        <w:fldChar w:fldCharType="begin"/>
      </w:r>
      <w:r>
        <w:instrText xml:space="preserve"> PAGEREF _Toc38006218 \h </w:instrText>
      </w:r>
      <w:r>
        <w:fldChar w:fldCharType="separate"/>
      </w:r>
      <w:r>
        <w:t>69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The perpetuity period</w:t>
      </w:r>
      <w:r>
        <w:tab/>
      </w:r>
      <w:r>
        <w:fldChar w:fldCharType="begin"/>
      </w:r>
      <w:r>
        <w:instrText xml:space="preserve"> PAGEREF _Toc38006219 \h </w:instrText>
      </w:r>
      <w:r>
        <w:fldChar w:fldCharType="separate"/>
      </w:r>
      <w:r>
        <w:t>70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Capacity to procreate or bear a child</w:t>
      </w:r>
      <w:r>
        <w:tab/>
      </w:r>
      <w:r>
        <w:fldChar w:fldCharType="begin"/>
      </w:r>
      <w:r>
        <w:instrText xml:space="preserve"> PAGEREF _Toc38006220 \h </w:instrText>
      </w:r>
      <w:r>
        <w:fldChar w:fldCharType="separate"/>
      </w:r>
      <w:r>
        <w:t>70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Wait and see rule</w:t>
      </w:r>
      <w:r>
        <w:tab/>
      </w:r>
      <w:r>
        <w:fldChar w:fldCharType="begin"/>
      </w:r>
      <w:r>
        <w:instrText xml:space="preserve"> PAGEREF _Toc38006221 \h </w:instrText>
      </w:r>
      <w:r>
        <w:fldChar w:fldCharType="separate"/>
      </w:r>
      <w:r>
        <w:t>71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Power of Court to make declaration as to validity of limitations</w:t>
      </w:r>
      <w:r>
        <w:tab/>
      </w:r>
      <w:r>
        <w:fldChar w:fldCharType="begin"/>
      </w:r>
      <w:r>
        <w:instrText xml:space="preserve"> PAGEREF _Toc38006222 \h </w:instrText>
      </w:r>
      <w:r>
        <w:fldChar w:fldCharType="separate"/>
      </w:r>
      <w:r>
        <w:t>72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Invalid age contingencies</w:t>
      </w:r>
      <w:r>
        <w:tab/>
      </w:r>
      <w:r>
        <w:fldChar w:fldCharType="begin"/>
      </w:r>
      <w:r>
        <w:instrText xml:space="preserve"> PAGEREF _Toc38006223 \h </w:instrText>
      </w:r>
      <w:r>
        <w:fldChar w:fldCharType="separate"/>
      </w:r>
      <w:r>
        <w:t>72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Class gifts</w:t>
      </w:r>
      <w:r>
        <w:tab/>
      </w:r>
      <w:r>
        <w:fldChar w:fldCharType="begin"/>
      </w:r>
      <w:r>
        <w:instrText xml:space="preserve"> PAGEREF _Toc38006224 \h </w:instrText>
      </w:r>
      <w:r>
        <w:fldChar w:fldCharType="separate"/>
      </w:r>
      <w:r>
        <w:t>73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Order of applying rules</w:t>
      </w:r>
      <w:r>
        <w:tab/>
      </w:r>
      <w:r>
        <w:fldChar w:fldCharType="begin"/>
      </w:r>
      <w:r>
        <w:instrText xml:space="preserve"> PAGEREF _Toc38006225 \h </w:instrText>
      </w:r>
      <w:r>
        <w:fldChar w:fldCharType="separate"/>
      </w:r>
      <w:r>
        <w:t>73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Unborn spouses or de facto partners</w:t>
      </w:r>
      <w:r>
        <w:tab/>
      </w:r>
      <w:r>
        <w:fldChar w:fldCharType="begin"/>
      </w:r>
      <w:r>
        <w:instrText xml:space="preserve"> PAGEREF _Toc38006226 \h </w:instrText>
      </w:r>
      <w:r>
        <w:fldChar w:fldCharType="separate"/>
      </w:r>
      <w:r>
        <w:t>74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Dependent limitations</w:t>
      </w:r>
      <w:r>
        <w:tab/>
      </w:r>
      <w:r>
        <w:fldChar w:fldCharType="begin"/>
      </w:r>
      <w:r>
        <w:instrText xml:space="preserve"> PAGEREF _Toc38006227 \h </w:instrText>
      </w:r>
      <w:r>
        <w:fldChar w:fldCharType="separate"/>
      </w:r>
      <w:r>
        <w:t>74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Options</w:t>
      </w:r>
      <w:r>
        <w:tab/>
      </w:r>
      <w:r>
        <w:fldChar w:fldCharType="begin"/>
      </w:r>
      <w:r>
        <w:instrText xml:space="preserve"> PAGEREF _Toc38006228 \h </w:instrText>
      </w:r>
      <w:r>
        <w:fldChar w:fldCharType="separate"/>
      </w:r>
      <w:r>
        <w:t>75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Application of the rule to possibilities of reverter, rights of entry and resulting trusts</w:t>
      </w:r>
      <w:r>
        <w:tab/>
      </w:r>
      <w:r>
        <w:fldChar w:fldCharType="begin"/>
      </w:r>
      <w:r>
        <w:instrText xml:space="preserve"> PAGEREF _Toc38006229 \h </w:instrText>
      </w:r>
      <w:r>
        <w:fldChar w:fldCharType="separate"/>
      </w:r>
      <w:r>
        <w:t>75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Powers of appointment</w:t>
      </w:r>
      <w:r>
        <w:tab/>
      </w:r>
      <w:r>
        <w:fldChar w:fldCharType="begin"/>
      </w:r>
      <w:r>
        <w:instrText xml:space="preserve"> PAGEREF _Toc38006230 \h </w:instrText>
      </w:r>
      <w:r>
        <w:fldChar w:fldCharType="separate"/>
      </w:r>
      <w:r>
        <w:t>76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Accumulations of income</w:t>
      </w:r>
      <w:r>
        <w:tab/>
      </w:r>
      <w:r>
        <w:fldChar w:fldCharType="begin"/>
      </w:r>
      <w:r>
        <w:instrText xml:space="preserve"> PAGEREF _Toc38006231 \h </w:instrText>
      </w:r>
      <w:r>
        <w:fldChar w:fldCharType="separate"/>
      </w:r>
      <w:r>
        <w:t>76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Rule in Whitby v. Mitchell abolished</w:t>
      </w:r>
      <w:r>
        <w:tab/>
      </w:r>
      <w:r>
        <w:fldChar w:fldCharType="begin"/>
      </w:r>
      <w:r>
        <w:instrText xml:space="preserve"> PAGEREF _Toc38006232 \h </w:instrText>
      </w:r>
      <w:r>
        <w:fldChar w:fldCharType="separate"/>
      </w:r>
      <w:r>
        <w:t>77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Superannuation funds etc.</w:t>
      </w:r>
      <w:r>
        <w:tab/>
      </w:r>
      <w:r>
        <w:fldChar w:fldCharType="begin"/>
      </w:r>
      <w:r>
        <w:instrText xml:space="preserve"> PAGEREF _Toc38006233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XII — Succession</w:t>
      </w:r>
    </w:p>
    <w:p>
      <w:pPr>
        <w:pStyle w:val="TOC8"/>
        <w:rPr>
          <w:rFonts w:asciiTheme="minorHAnsi" w:eastAsiaTheme="minorEastAsia" w:hAnsiTheme="minorHAnsi" w:cstheme="minorBidi"/>
          <w:szCs w:val="22"/>
        </w:rPr>
      </w:pPr>
      <w:r>
        <w:t>118</w:t>
      </w:r>
      <w:r>
        <w:rPr>
          <w:snapToGrid w:val="0"/>
        </w:rPr>
        <w:t>.</w:t>
      </w:r>
      <w:r>
        <w:rPr>
          <w:snapToGrid w:val="0"/>
        </w:rPr>
        <w:tab/>
        <w:t>Intermediate income of executory or contingent gifts</w:t>
      </w:r>
      <w:r>
        <w:tab/>
      </w:r>
      <w:r>
        <w:fldChar w:fldCharType="begin"/>
      </w:r>
      <w:r>
        <w:instrText xml:space="preserve"> PAGEREF _Toc38006235 \h </w:instrText>
      </w:r>
      <w:r>
        <w:fldChar w:fldCharType="separate"/>
      </w:r>
      <w:r>
        <w:t>79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Application of section 120</w:t>
      </w:r>
      <w:r>
        <w:tab/>
      </w:r>
      <w:r>
        <w:fldChar w:fldCharType="begin"/>
      </w:r>
      <w:r>
        <w:instrText xml:space="preserve"> PAGEREF _Toc38006236 \h </w:instrText>
      </w:r>
      <w:r>
        <w:fldChar w:fldCharType="separate"/>
      </w:r>
      <w:r>
        <w:t>79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Devolution of property in cases of simultaneous deaths</w:t>
      </w:r>
      <w:r>
        <w:tab/>
      </w:r>
      <w:r>
        <w:fldChar w:fldCharType="begin"/>
      </w:r>
      <w:r>
        <w:instrText xml:space="preserve"> PAGEREF _Toc38006237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XIII — Easements, encroachments and mistake</w:t>
      </w:r>
    </w:p>
    <w:p>
      <w:pPr>
        <w:pStyle w:val="TOC8"/>
        <w:rPr>
          <w:rFonts w:asciiTheme="minorHAnsi" w:eastAsiaTheme="minorEastAsia" w:hAnsiTheme="minorHAnsi" w:cstheme="minorBidi"/>
          <w:szCs w:val="22"/>
        </w:rPr>
      </w:pPr>
      <w:r>
        <w:t>121</w:t>
      </w:r>
      <w:r>
        <w:rPr>
          <w:snapToGrid w:val="0"/>
        </w:rPr>
        <w:t>.</w:t>
      </w:r>
      <w:r>
        <w:rPr>
          <w:snapToGrid w:val="0"/>
        </w:rPr>
        <w:tab/>
        <w:t>Easement of light and air only by registered grant or instrument</w:t>
      </w:r>
      <w:r>
        <w:tab/>
      </w:r>
      <w:r>
        <w:fldChar w:fldCharType="begin"/>
      </w:r>
      <w:r>
        <w:instrText xml:space="preserve"> PAGEREF _Toc38006239 \h </w:instrText>
      </w:r>
      <w:r>
        <w:fldChar w:fldCharType="separate"/>
      </w:r>
      <w:r>
        <w:t>83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Power of Court to grant special relief in cases of encroachment</w:t>
      </w:r>
      <w:r>
        <w:tab/>
      </w:r>
      <w:r>
        <w:fldChar w:fldCharType="begin"/>
      </w:r>
      <w:r>
        <w:instrText xml:space="preserve"> PAGEREF _Toc38006240 \h </w:instrText>
      </w:r>
      <w:r>
        <w:fldChar w:fldCharType="separate"/>
      </w:r>
      <w:r>
        <w:t>83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Relief in cases of mistake as to boundaries or identity of land</w:t>
      </w:r>
      <w:r>
        <w:tab/>
      </w:r>
      <w:r>
        <w:fldChar w:fldCharType="begin"/>
      </w:r>
      <w:r>
        <w:instrText xml:space="preserve"> PAGEREF _Toc38006241 \h </w:instrText>
      </w:r>
      <w:r>
        <w:fldChar w:fldCharType="separate"/>
      </w:r>
      <w:r>
        <w:t>85</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Recovery of payments made under mistake of law</w:t>
      </w:r>
      <w:r>
        <w:tab/>
      </w:r>
      <w:r>
        <w:fldChar w:fldCharType="begin"/>
      </w:r>
      <w:r>
        <w:instrText xml:space="preserve"> PAGEREF _Toc38006242 \h </w:instrText>
      </w:r>
      <w:r>
        <w:fldChar w:fldCharType="separate"/>
      </w:r>
      <w:r>
        <w:t>87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Payments made under mistake of law or fact not always recoverable</w:t>
      </w:r>
      <w:r>
        <w:tab/>
      </w:r>
      <w:r>
        <w:fldChar w:fldCharType="begin"/>
      </w:r>
      <w:r>
        <w:instrText xml:space="preserve"> PAGEREF _Toc38006243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XIV — Partition of land and division of chattels</w:t>
      </w:r>
    </w:p>
    <w:p>
      <w:pPr>
        <w:pStyle w:val="TOC8"/>
        <w:rPr>
          <w:rFonts w:asciiTheme="minorHAnsi" w:eastAsiaTheme="minorEastAsia" w:hAnsiTheme="minorHAnsi" w:cstheme="minorBidi"/>
          <w:szCs w:val="22"/>
        </w:rPr>
      </w:pPr>
      <w:r>
        <w:t>126</w:t>
      </w:r>
      <w:r>
        <w:rPr>
          <w:snapToGrid w:val="0"/>
        </w:rPr>
        <w:t>.</w:t>
      </w:r>
      <w:r>
        <w:rPr>
          <w:snapToGrid w:val="0"/>
        </w:rPr>
        <w:tab/>
        <w:t>In action for partition Court may direct land to be sold</w:t>
      </w:r>
      <w:r>
        <w:tab/>
      </w:r>
      <w:r>
        <w:fldChar w:fldCharType="begin"/>
      </w:r>
      <w:r>
        <w:instrText xml:space="preserve"> PAGEREF _Toc38006245 \h </w:instrText>
      </w:r>
      <w:r>
        <w:fldChar w:fldCharType="separate"/>
      </w:r>
      <w:r>
        <w:t>89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Proceeds of sale, how applied</w:t>
      </w:r>
      <w:r>
        <w:tab/>
      </w:r>
      <w:r>
        <w:fldChar w:fldCharType="begin"/>
      </w:r>
      <w:r>
        <w:instrText xml:space="preserve"> PAGEREF _Toc38006246 \h </w:instrText>
      </w:r>
      <w:r>
        <w:fldChar w:fldCharType="separate"/>
      </w:r>
      <w:r>
        <w:t>90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 in partition suits</w:t>
      </w:r>
      <w:r>
        <w:tab/>
      </w:r>
      <w:r>
        <w:fldChar w:fldCharType="begin"/>
      </w:r>
      <w:r>
        <w:instrText xml:space="preserve"> PAGEREF _Toc38006247 \h </w:instrText>
      </w:r>
      <w:r>
        <w:fldChar w:fldCharType="separate"/>
      </w:r>
      <w:r>
        <w:t>91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Division of chattels</w:t>
      </w:r>
      <w:r>
        <w:tab/>
      </w:r>
      <w:r>
        <w:fldChar w:fldCharType="begin"/>
      </w:r>
      <w:r>
        <w:instrText xml:space="preserve"> PAGEREF _Toc38006248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XV — Apportionment</w:t>
      </w:r>
    </w:p>
    <w:p>
      <w:pPr>
        <w:pStyle w:val="TOC8"/>
        <w:rPr>
          <w:rFonts w:asciiTheme="minorHAnsi" w:eastAsiaTheme="minorEastAsia" w:hAnsiTheme="minorHAnsi" w:cstheme="minorBidi"/>
          <w:szCs w:val="22"/>
        </w:rPr>
      </w:pPr>
      <w:r>
        <w:t>130</w:t>
      </w:r>
      <w:r>
        <w:rPr>
          <w:snapToGrid w:val="0"/>
        </w:rPr>
        <w:t>.</w:t>
      </w:r>
      <w:r>
        <w:rPr>
          <w:snapToGrid w:val="0"/>
        </w:rPr>
        <w:tab/>
        <w:t>Terms used in this Part</w:t>
      </w:r>
      <w:r>
        <w:tab/>
      </w:r>
      <w:r>
        <w:fldChar w:fldCharType="begin"/>
      </w:r>
      <w:r>
        <w:instrText xml:space="preserve"> PAGEREF _Toc38006250 \h </w:instrText>
      </w:r>
      <w:r>
        <w:fldChar w:fldCharType="separate"/>
      </w:r>
      <w:r>
        <w:t>92</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Income apportionable in respect of time</w:t>
      </w:r>
      <w:r>
        <w:tab/>
      </w:r>
      <w:r>
        <w:fldChar w:fldCharType="begin"/>
      </w:r>
      <w:r>
        <w:instrText xml:space="preserve"> PAGEREF _Toc38006251 \h </w:instrText>
      </w:r>
      <w:r>
        <w:fldChar w:fldCharType="separate"/>
      </w:r>
      <w:r>
        <w:t>92</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Time when apportioned part payable</w:t>
      </w:r>
      <w:r>
        <w:tab/>
      </w:r>
      <w:r>
        <w:fldChar w:fldCharType="begin"/>
      </w:r>
      <w:r>
        <w:instrText xml:space="preserve"> PAGEREF _Toc38006252 \h </w:instrText>
      </w:r>
      <w:r>
        <w:fldChar w:fldCharType="separate"/>
      </w:r>
      <w:r>
        <w:t>92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Recovery of apportioned parts</w:t>
      </w:r>
      <w:r>
        <w:tab/>
      </w:r>
      <w:r>
        <w:fldChar w:fldCharType="begin"/>
      </w:r>
      <w:r>
        <w:instrText xml:space="preserve"> PAGEREF _Toc38006253 \h </w:instrText>
      </w:r>
      <w:r>
        <w:fldChar w:fldCharType="separate"/>
      </w:r>
      <w:r>
        <w:t>93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Exceptions and application</w:t>
      </w:r>
      <w:r>
        <w:tab/>
      </w:r>
      <w:r>
        <w:fldChar w:fldCharType="begin"/>
      </w:r>
      <w:r>
        <w:instrText xml:space="preserve"> PAGEREF _Toc38006254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XVI — Service of notices</w:t>
      </w:r>
    </w:p>
    <w:p>
      <w:pPr>
        <w:pStyle w:val="TOC8"/>
        <w:rPr>
          <w:rFonts w:asciiTheme="minorHAnsi" w:eastAsiaTheme="minorEastAsia" w:hAnsiTheme="minorHAnsi" w:cstheme="minorBidi"/>
          <w:szCs w:val="22"/>
        </w:rPr>
      </w:pPr>
      <w:r>
        <w:t>135</w:t>
      </w:r>
      <w:r>
        <w:rPr>
          <w:snapToGrid w:val="0"/>
        </w:rPr>
        <w:t>.</w:t>
      </w:r>
      <w:r>
        <w:rPr>
          <w:snapToGrid w:val="0"/>
        </w:rPr>
        <w:tab/>
        <w:t>Mode of service</w:t>
      </w:r>
      <w:r>
        <w:tab/>
      </w:r>
      <w:r>
        <w:fldChar w:fldCharType="begin"/>
      </w:r>
      <w:r>
        <w:instrText xml:space="preserve"> PAGEREF _Toc38006256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First Schedule — Adopted Acts ceasing to have effect</w:t>
      </w:r>
    </w:p>
    <w:p>
      <w:pPr>
        <w:pStyle w:val="TOC2"/>
        <w:tabs>
          <w:tab w:val="right" w:leader="dot" w:pos="7077"/>
        </w:tabs>
        <w:rPr>
          <w:rFonts w:asciiTheme="minorHAnsi" w:eastAsiaTheme="minorEastAsia" w:hAnsiTheme="minorHAnsi" w:cstheme="minorBidi"/>
          <w:b w:val="0"/>
          <w:sz w:val="22"/>
          <w:szCs w:val="22"/>
        </w:rPr>
      </w:pPr>
      <w:r>
        <w:rPr>
          <w:rFonts w:eastAsia="MS Mincho"/>
        </w:rPr>
        <w:t>Second Schedule — Acts repealed</w:t>
      </w:r>
    </w:p>
    <w:p>
      <w:pPr>
        <w:pStyle w:val="TOC2"/>
        <w:tabs>
          <w:tab w:val="right" w:leader="dot" w:pos="7077"/>
        </w:tabs>
        <w:rPr>
          <w:rFonts w:asciiTheme="minorHAnsi" w:eastAsiaTheme="minorEastAsia" w:hAnsiTheme="minorHAnsi" w:cstheme="minorBidi"/>
          <w:b w:val="0"/>
          <w:sz w:val="22"/>
          <w:szCs w:val="22"/>
        </w:rPr>
      </w:pPr>
      <w:r>
        <w:rPr>
          <w:rFonts w:eastAsia="MS Mincho"/>
        </w:rPr>
        <w:t>Third Schedule — Implied covenants</w:t>
      </w:r>
    </w:p>
    <w:p>
      <w:pPr>
        <w:pStyle w:val="TOC4"/>
        <w:tabs>
          <w:tab w:val="right" w:leader="dot" w:pos="7077"/>
        </w:tabs>
        <w:rPr>
          <w:rFonts w:asciiTheme="minorHAnsi" w:eastAsiaTheme="minorEastAsia" w:hAnsiTheme="minorHAnsi" w:cstheme="minorBidi"/>
          <w:b w:val="0"/>
          <w:szCs w:val="22"/>
        </w:rPr>
      </w:pPr>
      <w:r>
        <w:rPr>
          <w:rFonts w:eastAsia="MS Mincho"/>
        </w:rPr>
        <w:t>Part I — Conveyance for valuable consideration</w:t>
      </w:r>
    </w:p>
    <w:p>
      <w:pPr>
        <w:pStyle w:val="TOC4"/>
        <w:tabs>
          <w:tab w:val="right" w:leader="dot" w:pos="7077"/>
        </w:tabs>
        <w:rPr>
          <w:rFonts w:asciiTheme="minorHAnsi" w:eastAsiaTheme="minorEastAsia" w:hAnsiTheme="minorHAnsi" w:cstheme="minorBidi"/>
          <w:b w:val="0"/>
          <w:szCs w:val="22"/>
        </w:rPr>
      </w:pPr>
      <w:r>
        <w:rPr>
          <w:rFonts w:eastAsia="MS Mincho"/>
        </w:rPr>
        <w:t>Part II — Conveyance of leasehold</w:t>
      </w:r>
    </w:p>
    <w:p>
      <w:pPr>
        <w:pStyle w:val="TOC4"/>
        <w:tabs>
          <w:tab w:val="right" w:leader="dot" w:pos="7077"/>
        </w:tabs>
        <w:rPr>
          <w:rFonts w:asciiTheme="minorHAnsi" w:eastAsiaTheme="minorEastAsia" w:hAnsiTheme="minorHAnsi" w:cstheme="minorBidi"/>
          <w:b w:val="0"/>
          <w:szCs w:val="22"/>
        </w:rPr>
      </w:pPr>
      <w:r>
        <w:rPr>
          <w:rFonts w:eastAsia="MS Mincho"/>
        </w:rPr>
        <w:t>Part III — Conveyance by way of mortgage</w:t>
      </w:r>
    </w:p>
    <w:p>
      <w:pPr>
        <w:pStyle w:val="TOC4"/>
        <w:tabs>
          <w:tab w:val="right" w:leader="dot" w:pos="7077"/>
        </w:tabs>
        <w:rPr>
          <w:rFonts w:asciiTheme="minorHAnsi" w:eastAsiaTheme="minorEastAsia" w:hAnsiTheme="minorHAnsi" w:cstheme="minorBidi"/>
          <w:b w:val="0"/>
          <w:szCs w:val="22"/>
        </w:rPr>
      </w:pPr>
      <w:r>
        <w:rPr>
          <w:rFonts w:eastAsia="MS Mincho"/>
        </w:rPr>
        <w:t>Part IV — Conveyance by way of mortgage of leasehold</w:t>
      </w:r>
    </w:p>
    <w:p>
      <w:pPr>
        <w:pStyle w:val="TOC4"/>
        <w:tabs>
          <w:tab w:val="right" w:leader="dot" w:pos="7077"/>
        </w:tabs>
        <w:rPr>
          <w:rFonts w:asciiTheme="minorHAnsi" w:eastAsiaTheme="minorEastAsia" w:hAnsiTheme="minorHAnsi" w:cstheme="minorBidi"/>
          <w:b w:val="0"/>
          <w:szCs w:val="22"/>
        </w:rPr>
      </w:pPr>
      <w:r>
        <w:rPr>
          <w:rFonts w:eastAsia="MS Mincho"/>
        </w:rPr>
        <w:t>Part V — Conveyance by way of settlement</w:t>
      </w:r>
    </w:p>
    <w:p>
      <w:pPr>
        <w:pStyle w:val="TOC4"/>
        <w:tabs>
          <w:tab w:val="right" w:leader="dot" w:pos="7077"/>
        </w:tabs>
        <w:rPr>
          <w:rFonts w:asciiTheme="minorHAnsi" w:eastAsiaTheme="minorEastAsia" w:hAnsiTheme="minorHAnsi" w:cstheme="minorBidi"/>
          <w:b w:val="0"/>
          <w:szCs w:val="22"/>
        </w:rPr>
      </w:pPr>
      <w:r>
        <w:rPr>
          <w:rFonts w:eastAsia="MS Mincho"/>
        </w:rPr>
        <w:t>Part VI — Conveyance by person other than beneficial owner</w:t>
      </w:r>
    </w:p>
    <w:p>
      <w:pPr>
        <w:pStyle w:val="TOC2"/>
        <w:tabs>
          <w:tab w:val="right" w:leader="dot" w:pos="7077"/>
        </w:tabs>
        <w:rPr>
          <w:rFonts w:asciiTheme="minorHAnsi" w:eastAsiaTheme="minorEastAsia" w:hAnsiTheme="minorHAnsi" w:cstheme="minorBidi"/>
          <w:b w:val="0"/>
          <w:sz w:val="22"/>
          <w:szCs w:val="22"/>
        </w:rPr>
      </w:pPr>
      <w:r>
        <w:t>Fourth Schedule — Conveyance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_Toc38006268 \h </w:instrText>
      </w:r>
      <w:r>
        <w:fldChar w:fldCharType="separate"/>
      </w:r>
      <w:r>
        <w:t>104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_Toc38006269 \h </w:instrText>
      </w:r>
      <w:r>
        <w:fldChar w:fldCharType="separate"/>
      </w:r>
      <w:r>
        <w:t>106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_Toc38006270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800"/>
      </w:pPr>
      <w:r>
        <w:t>Property Law Act 1969</w:t>
      </w:r>
    </w:p>
    <w:p>
      <w:pPr>
        <w:pStyle w:val="LongTitle"/>
        <w:rPr>
          <w:snapToGrid w:val="0"/>
        </w:rPr>
      </w:pPr>
      <w:r>
        <w:rPr>
          <w:snapToGrid w:val="0"/>
        </w:rPr>
        <w:t>An Act to amend and consolidate the law relating to property and for incidental purposes.</w:t>
      </w:r>
    </w:p>
    <w:p>
      <w:pPr>
        <w:pStyle w:val="Heading2"/>
      </w:pPr>
      <w:bookmarkStart w:id="3" w:name="_Toc38005753"/>
      <w:bookmarkStart w:id="4" w:name="_Toc38005926"/>
      <w:bookmarkStart w:id="5" w:name="_Toc38006099"/>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180"/>
        <w:rPr>
          <w:snapToGrid w:val="0"/>
        </w:rPr>
      </w:pPr>
      <w:bookmarkStart w:id="6" w:name="_Toc38006100"/>
      <w:r>
        <w:rPr>
          <w:rStyle w:val="CharSectno"/>
        </w:rPr>
        <w:t>1</w:t>
      </w:r>
      <w:r>
        <w:rPr>
          <w:snapToGrid w:val="0"/>
        </w:rPr>
        <w:t>.</w:t>
      </w:r>
      <w:r>
        <w:rPr>
          <w:snapToGrid w:val="0"/>
        </w:rPr>
        <w:tab/>
        <w:t>Short title</w:t>
      </w:r>
      <w:bookmarkEnd w:id="6"/>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w:t>
      </w:r>
    </w:p>
    <w:p>
      <w:pPr>
        <w:pStyle w:val="Heading5"/>
        <w:spacing w:before="180"/>
        <w:rPr>
          <w:snapToGrid w:val="0"/>
        </w:rPr>
      </w:pPr>
      <w:bookmarkStart w:id="7" w:name="_Toc38006101"/>
      <w:r>
        <w:rPr>
          <w:rStyle w:val="CharSectno"/>
        </w:rPr>
        <w:t>2</w:t>
      </w:r>
      <w:r>
        <w:rPr>
          <w:snapToGrid w:val="0"/>
        </w:rPr>
        <w:t>.</w:t>
      </w:r>
      <w:r>
        <w:rPr>
          <w:snapToGrid w:val="0"/>
        </w:rPr>
        <w:tab/>
        <w:t>Commencement</w:t>
      </w:r>
      <w:bookmarkEnd w:id="7"/>
    </w:p>
    <w:p>
      <w:pPr>
        <w:pStyle w:val="Subsection"/>
        <w:spacing w:before="120"/>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Heading5"/>
        <w:spacing w:before="180"/>
        <w:rPr>
          <w:snapToGrid w:val="0"/>
        </w:rPr>
      </w:pPr>
      <w:bookmarkStart w:id="8" w:name="_Toc38006102"/>
      <w:r>
        <w:rPr>
          <w:rStyle w:val="CharSectno"/>
        </w:rPr>
        <w:t>4</w:t>
      </w:r>
      <w:r>
        <w:rPr>
          <w:snapToGrid w:val="0"/>
        </w:rPr>
        <w:t>.</w:t>
      </w:r>
      <w:r>
        <w:rPr>
          <w:snapToGrid w:val="0"/>
        </w:rPr>
        <w:tab/>
        <w:t>Repeals</w:t>
      </w:r>
      <w:bookmarkEnd w:id="8"/>
    </w:p>
    <w:p>
      <w:pPr>
        <w:pStyle w:val="Subsection"/>
        <w:spacing w:before="120"/>
        <w:rPr>
          <w:snapToGrid w:val="0"/>
        </w:rPr>
      </w:pPr>
      <w:r>
        <w:rPr>
          <w:snapToGrid w:val="0"/>
        </w:rPr>
        <w:tab/>
      </w:r>
      <w:r>
        <w:rPr>
          <w:snapToGrid w:val="0"/>
        </w:rPr>
        <w:tab/>
        <w:t>On the coming into operation of this Act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9" w:name="_Toc38006103"/>
      <w:r>
        <w:rPr>
          <w:rStyle w:val="CharSectno"/>
        </w:rPr>
        <w:t>5</w:t>
      </w:r>
      <w:r>
        <w:rPr>
          <w:snapToGrid w:val="0"/>
        </w:rPr>
        <w:t>.</w:t>
      </w:r>
      <w:r>
        <w:rPr>
          <w:snapToGrid w:val="0"/>
        </w:rPr>
        <w:tab/>
        <w:t>Savings</w:t>
      </w:r>
      <w:bookmarkEnd w:id="9"/>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1</w:t>
      </w:r>
      <w:r>
        <w:rPr>
          <w:snapToGrid w:val="0"/>
        </w:rPr>
        <w:t>, any alteration, by this Act, of the law whether by the repeal of an enactment, or otherwise, does not, unless otherwise expressly provided by this Act affect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rPr>
      </w:pPr>
      <w:r>
        <w:rPr>
          <w:snapToGrid w:val="0"/>
        </w:rPr>
        <w:tab/>
        <w:t>(c)</w:t>
      </w:r>
      <w:r>
        <w:rPr>
          <w:snapToGrid w:val="0"/>
        </w:rPr>
        <w:tab/>
        <w:t>any action, proceeding or thing pending on that date or uncompleted on that date and that action, proceeding and thing may be carried on and completed as if the enactment had not been repealed, or the law otherwise altered.</w:t>
      </w:r>
    </w:p>
    <w:p>
      <w:pPr>
        <w:pStyle w:val="Heading5"/>
      </w:pPr>
      <w:bookmarkStart w:id="10" w:name="_Toc38006104"/>
      <w:r>
        <w:rPr>
          <w:rStyle w:val="CharSectno"/>
        </w:rPr>
        <w:t>6</w:t>
      </w:r>
      <w:r>
        <w:t>.</w:t>
      </w:r>
      <w:r>
        <w:tab/>
        <w:t>Application of this Act to certain Acts</w:t>
      </w:r>
      <w:bookmarkEnd w:id="10"/>
    </w:p>
    <w:p>
      <w:pPr>
        <w:pStyle w:val="Subsection"/>
      </w:pPr>
      <w:r>
        <w:tab/>
      </w:r>
      <w:r>
        <w:tab/>
        <w:t xml:space="preserve">Except as in this Act expressly provided, this Act so far as inconsistent with the </w:t>
      </w:r>
      <w:r>
        <w:rPr>
          <w:i/>
        </w:rPr>
        <w:t>Transfer of Land Act 1893</w:t>
      </w:r>
      <w:r>
        <w:t xml:space="preserve">, or the </w:t>
      </w:r>
      <w:r>
        <w:rPr>
          <w:i/>
        </w:rPr>
        <w:t>Strata Titles Act 1985</w:t>
      </w:r>
      <w:r>
        <w:t>, does not apply to land that is under the provisions of either of those Acts.</w:t>
      </w:r>
    </w:p>
    <w:p>
      <w:pPr>
        <w:pStyle w:val="Footnotesection"/>
      </w:pPr>
      <w:r>
        <w:tab/>
        <w:t>[Section 6 inserted: No. 42 of 2011 s. 21.]</w:t>
      </w:r>
    </w:p>
    <w:p>
      <w:pPr>
        <w:pStyle w:val="Heading5"/>
        <w:spacing w:before="180"/>
        <w:rPr>
          <w:snapToGrid w:val="0"/>
        </w:rPr>
      </w:pPr>
      <w:bookmarkStart w:id="11" w:name="_Toc38006105"/>
      <w:r>
        <w:rPr>
          <w:rStyle w:val="CharSectno"/>
        </w:rPr>
        <w:t>7</w:t>
      </w:r>
      <w:r>
        <w:rPr>
          <w:snapToGrid w:val="0"/>
        </w:rPr>
        <w:t>.</w:t>
      </w:r>
      <w:r>
        <w:rPr>
          <w:snapToGrid w:val="0"/>
        </w:rPr>
        <w:tab/>
        <w:t>Terms used in this Act</w:t>
      </w:r>
      <w:bookmarkEnd w:id="11"/>
    </w:p>
    <w:p>
      <w:pPr>
        <w:pStyle w:val="Subsection"/>
        <w:keepNext/>
        <w:spacing w:before="120"/>
        <w:rPr>
          <w:snapToGrid w:val="0"/>
        </w:rPr>
      </w:pPr>
      <w:r>
        <w:rPr>
          <w:snapToGrid w:val="0"/>
        </w:rPr>
        <w:tab/>
      </w:r>
      <w:r>
        <w:rPr>
          <w:snapToGrid w:val="0"/>
        </w:rPr>
        <w:tab/>
        <w:t>In this Act unless the contrary intention appears —</w:t>
      </w:r>
    </w:p>
    <w:p>
      <w:pPr>
        <w:pStyle w:val="Defstart"/>
      </w:pPr>
      <w:r>
        <w:rPr>
          <w:b/>
        </w:rPr>
        <w:tab/>
      </w:r>
      <w:r>
        <w:rPr>
          <w:rStyle w:val="CharDefText"/>
        </w:rPr>
        <w:t>bankruptcy</w:t>
      </w:r>
      <w:r>
        <w:t xml:space="preserve"> includes insolvency and liquidation by arrangement, and also any other act or proceeding in law having under any law for the time being in force, effects or results similar to those of bankruptcy;</w:t>
      </w:r>
    </w:p>
    <w:p>
      <w:pPr>
        <w:pStyle w:val="Defstart"/>
      </w:pPr>
      <w:r>
        <w:rPr>
          <w:b/>
        </w:rPr>
        <w:tab/>
      </w:r>
      <w:r>
        <w:rPr>
          <w:rStyle w:val="CharDefText"/>
        </w:rPr>
        <w:t>conveyance</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rStyle w:val="CharDefText"/>
        </w:rPr>
        <w:t>convey</w:t>
      </w:r>
      <w:r>
        <w:t xml:space="preserve"> has a corresponding meaning;</w:t>
      </w:r>
    </w:p>
    <w:p>
      <w:pPr>
        <w:pStyle w:val="Defstart"/>
      </w:pPr>
      <w:r>
        <w:rPr>
          <w:b/>
        </w:rPr>
        <w:tab/>
      </w:r>
      <w:r>
        <w:rPr>
          <w:rStyle w:val="CharDefText"/>
        </w:rPr>
        <w:t>Court</w:t>
      </w:r>
      <w:r>
        <w:t xml:space="preserve"> means the Supreme Court or a Judge;</w:t>
      </w:r>
    </w:p>
    <w:p>
      <w:pPr>
        <w:pStyle w:val="Defstart"/>
      </w:pPr>
      <w:r>
        <w:rPr>
          <w:b/>
        </w:rPr>
        <w:tab/>
      </w:r>
      <w:r>
        <w:rPr>
          <w:rStyle w:val="CharDefText"/>
        </w:rPr>
        <w:t>deed</w:t>
      </w:r>
      <w:r>
        <w:t xml:space="preserve"> in relation to land under the </w:t>
      </w:r>
      <w:r>
        <w:rPr>
          <w:i/>
        </w:rPr>
        <w:t>Transfer of Land Act 1893</w:t>
      </w:r>
      <w:r>
        <w:t>, includes an instrument having the effect of a deed under that Act;</w:t>
      </w:r>
    </w:p>
    <w:p>
      <w:pPr>
        <w:pStyle w:val="Defstart"/>
      </w:pPr>
      <w:r>
        <w:rPr>
          <w:b/>
        </w:rPr>
        <w:tab/>
      </w:r>
      <w:r>
        <w:rPr>
          <w:rStyle w:val="CharDefText"/>
        </w:rPr>
        <w:t>disposition</w:t>
      </w:r>
      <w:r>
        <w:t xml:space="preserve"> includes a conveyance and also a devise, bequest or an appointment of property contained in a will; and </w:t>
      </w:r>
      <w:r>
        <w:rPr>
          <w:rStyle w:val="CharDefText"/>
        </w:rPr>
        <w:t>dispose of</w:t>
      </w:r>
      <w:r>
        <w:t xml:space="preserve"> has a corresponding meaning;</w:t>
      </w:r>
    </w:p>
    <w:p>
      <w:pPr>
        <w:pStyle w:val="Defstart"/>
      </w:pPr>
      <w:r>
        <w:rPr>
          <w:b/>
        </w:rPr>
        <w:tab/>
      </w:r>
      <w:r>
        <w:rPr>
          <w:rStyle w:val="CharDefText"/>
        </w:rPr>
        <w:t>encumbrance</w:t>
      </w:r>
      <w:r>
        <w:t xml:space="preserve"> includes a legal or equitable mortgage, a trust for securing money, a lien and a charge of a portion, annuity, or other capital or annual sum; and </w:t>
      </w:r>
      <w:r>
        <w:rPr>
          <w:rStyle w:val="CharDefText"/>
        </w:rPr>
        <w:t>encumbrancee</w:t>
      </w:r>
      <w:r>
        <w:t xml:space="preserve"> has a corresponding meaning, and includes every person entitled to the benefit of an encumbrance or entitled to require payment or discharge of the encumbrance;</w:t>
      </w:r>
    </w:p>
    <w:p>
      <w:pPr>
        <w:pStyle w:val="Defstart"/>
      </w:pPr>
      <w:r>
        <w:rPr>
          <w:b/>
        </w:rPr>
        <w:tab/>
      </w:r>
      <w:r>
        <w:rPr>
          <w:rStyle w:val="CharDefText"/>
        </w:rPr>
        <w:t>fine</w:t>
      </w:r>
      <w:r>
        <w:t xml:space="preserve"> includes a premium or foregift and any payment, consideration or benefit in the nature of a fine, premium or foregift;</w:t>
      </w:r>
    </w:p>
    <w:p>
      <w:pPr>
        <w:pStyle w:val="Defstart"/>
        <w:spacing w:before="100"/>
      </w:pPr>
      <w:r>
        <w:rPr>
          <w:b/>
        </w:rPr>
        <w:tab/>
      </w:r>
      <w:r>
        <w:rPr>
          <w:rStyle w:val="CharDefText"/>
        </w:rPr>
        <w:t>income</w:t>
      </w:r>
      <w:r>
        <w:t xml:space="preserve"> in relation to land includes rents and profits;</w:t>
      </w:r>
    </w:p>
    <w:p>
      <w:pPr>
        <w:pStyle w:val="Defstart"/>
        <w:spacing w:before="100"/>
      </w:pPr>
      <w:r>
        <w:rPr>
          <w:b/>
        </w:rPr>
        <w:tab/>
      </w:r>
      <w:r>
        <w:rPr>
          <w:rStyle w:val="CharDefText"/>
        </w:rPr>
        <w:t>instrument</w:t>
      </w:r>
      <w:r>
        <w:t xml:space="preserve"> includes deed and will but does not include a statute, unless the statute creates a settlement;</w:t>
      </w:r>
    </w:p>
    <w:p>
      <w:pPr>
        <w:pStyle w:val="Defstart"/>
        <w:spacing w:before="100"/>
      </w:pPr>
      <w:r>
        <w:rPr>
          <w:b/>
        </w:rPr>
        <w:tab/>
      </w:r>
      <w:r>
        <w:rPr>
          <w:rStyle w:val="CharDefText"/>
        </w:rPr>
        <w:t>land</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r>
      <w:r>
        <w:rPr>
          <w:rStyle w:val="CharDefText"/>
        </w:rPr>
        <w:t xml:space="preserve">land under the </w:t>
      </w:r>
      <w:r>
        <w:rPr>
          <w:rStyle w:val="CharDefText"/>
          <w:i w:val="0"/>
        </w:rPr>
        <w:t>Transfer of Land Act 1893</w:t>
      </w:r>
      <w:r>
        <w:t xml:space="preserve"> means any estate or interest registered under that Act;</w:t>
      </w:r>
    </w:p>
    <w:p>
      <w:pPr>
        <w:pStyle w:val="Defstart"/>
        <w:spacing w:before="100"/>
      </w:pPr>
      <w:r>
        <w:rPr>
          <w:b/>
        </w:rPr>
        <w:tab/>
      </w:r>
      <w:r>
        <w:rPr>
          <w:rStyle w:val="CharDefText"/>
        </w:rPr>
        <w:t>lease</w:t>
      </w:r>
      <w:r>
        <w:t xml:space="preserve"> includes an under</w:t>
      </w:r>
      <w:r>
        <w:noBreakHyphen/>
        <w:t>lease or other tenancy;</w:t>
      </w:r>
    </w:p>
    <w:p>
      <w:pPr>
        <w:pStyle w:val="Defstart"/>
        <w:spacing w:before="100"/>
      </w:pPr>
      <w:r>
        <w:rPr>
          <w:b/>
        </w:rPr>
        <w:tab/>
      </w:r>
      <w:r>
        <w:rPr>
          <w:rStyle w:val="CharDefText"/>
        </w:rPr>
        <w:t>lessee</w:t>
      </w:r>
      <w:r>
        <w:t xml:space="preserve"> includes an under</w:t>
      </w:r>
      <w:r>
        <w:noBreakHyphen/>
        <w:t>lessee and a person deriving title under a lessee or under</w:t>
      </w:r>
      <w:r>
        <w:noBreakHyphen/>
        <w:t>lessee;</w:t>
      </w:r>
    </w:p>
    <w:p>
      <w:pPr>
        <w:pStyle w:val="Defstart"/>
        <w:spacing w:before="100"/>
      </w:pPr>
      <w:r>
        <w:rPr>
          <w:b/>
        </w:rPr>
        <w:tab/>
      </w:r>
      <w:r>
        <w:rPr>
          <w:rStyle w:val="CharDefText"/>
        </w:rPr>
        <w:t>lessor</w:t>
      </w:r>
      <w:r>
        <w:t xml:space="preserve"> includes an under</w:t>
      </w:r>
      <w:r>
        <w:noBreakHyphen/>
        <w:t>lessor and a person deriving title under a lessor or under</w:t>
      </w:r>
      <w:r>
        <w:noBreakHyphen/>
        <w:t>lessor;</w:t>
      </w:r>
    </w:p>
    <w:p>
      <w:pPr>
        <w:pStyle w:val="Defstart"/>
        <w:spacing w:before="100"/>
      </w:pPr>
      <w:r>
        <w:rPr>
          <w:b/>
        </w:rPr>
        <w:tab/>
      </w:r>
      <w:r>
        <w:rPr>
          <w:rStyle w:val="CharDefText"/>
        </w:rPr>
        <w:t>mines and minerals</w:t>
      </w:r>
      <w:r>
        <w:t xml:space="preserve"> include any strata or seam of minerals or substances in or under any land and the right to work and get the minerals and substances;</w:t>
      </w:r>
    </w:p>
    <w:p>
      <w:pPr>
        <w:pStyle w:val="Defstart"/>
        <w:spacing w:before="100"/>
      </w:pPr>
      <w:r>
        <w:rPr>
          <w:b/>
        </w:rPr>
        <w:tab/>
      </w:r>
      <w:r>
        <w:rPr>
          <w:rStyle w:val="CharDefText"/>
        </w:rPr>
        <w:t>mortgage</w:t>
      </w:r>
      <w:r>
        <w:t xml:space="preserve"> includes a charge or lien on any property for securing money or money’s worth;</w:t>
      </w:r>
    </w:p>
    <w:p>
      <w:pPr>
        <w:pStyle w:val="Defstart"/>
        <w:spacing w:before="100"/>
      </w:pPr>
      <w:r>
        <w:rPr>
          <w:b/>
        </w:rPr>
        <w:tab/>
      </w:r>
      <w:r>
        <w:rPr>
          <w:rStyle w:val="CharDefText"/>
        </w:rPr>
        <w:t>mortgage</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r>
      <w:r>
        <w:rPr>
          <w:rStyle w:val="CharDefText"/>
        </w:rPr>
        <w:t>mortgage money</w:t>
      </w:r>
      <w:r>
        <w:t xml:space="preserve"> means the principal interest or other money or money’s worth secured by a mortgage;</w:t>
      </w:r>
    </w:p>
    <w:p>
      <w:pPr>
        <w:pStyle w:val="Defstart"/>
        <w:spacing w:before="100"/>
      </w:pPr>
      <w:r>
        <w:rPr>
          <w:b/>
        </w:rPr>
        <w:tab/>
      </w:r>
      <w:r>
        <w:rPr>
          <w:rStyle w:val="CharDefText"/>
        </w:rPr>
        <w:t>mortgagee</w:t>
      </w:r>
      <w:r>
        <w:t xml:space="preserve"> includes any person from time to time deriving title under the original mortgagee and </w:t>
      </w:r>
      <w:r>
        <w:rPr>
          <w:rStyle w:val="CharDefText"/>
        </w:rPr>
        <w:t>mortgagee in possession</w:t>
      </w:r>
      <w:r>
        <w:t xml:space="preserve"> means a mortgagee who in right of the mortgage has entered into and is in possession of the mortgaged property;</w:t>
      </w:r>
    </w:p>
    <w:p>
      <w:pPr>
        <w:pStyle w:val="Defstart"/>
      </w:pPr>
      <w:r>
        <w:rPr>
          <w:b/>
        </w:rPr>
        <w:tab/>
      </w:r>
      <w:r>
        <w:rPr>
          <w:rStyle w:val="CharDefText"/>
        </w:rPr>
        <w:t>mortgagor</w:t>
      </w:r>
      <w:r>
        <w:t xml:space="preserve"> includes any person from time to time deriving title under the original mortgagor or entitled to redeem a mortgage, according to his estate, interest, or right in the mortgaged property;</w:t>
      </w:r>
    </w:p>
    <w:p>
      <w:pPr>
        <w:pStyle w:val="Defstart"/>
      </w:pPr>
      <w:r>
        <w:rPr>
          <w:b/>
        </w:rPr>
        <w:tab/>
      </w:r>
      <w:r>
        <w:rPr>
          <w:rStyle w:val="CharDefText"/>
        </w:rPr>
        <w:t>notice</w:t>
      </w:r>
      <w:r>
        <w:t xml:space="preserve"> includes constructive notice;</w:t>
      </w:r>
    </w:p>
    <w:p>
      <w:pPr>
        <w:pStyle w:val="Defstart"/>
      </w:pPr>
      <w:r>
        <w:rPr>
          <w:b/>
        </w:rPr>
        <w:tab/>
      </w:r>
      <w:r>
        <w:rPr>
          <w:rStyle w:val="CharDefText"/>
        </w:rPr>
        <w:t>periodic tenancy</w:t>
      </w:r>
      <w:r>
        <w:t xml:space="preserve"> means a tenancy of no fixed duration and in respect of which the rent is payable weekly, monthly, yearly or for any other recurring period;</w:t>
      </w:r>
    </w:p>
    <w:p>
      <w:pPr>
        <w:pStyle w:val="Defstart"/>
      </w:pPr>
      <w:r>
        <w:rPr>
          <w:b/>
        </w:rPr>
        <w:tab/>
      </w:r>
      <w:r>
        <w:rPr>
          <w:rStyle w:val="CharDefText"/>
        </w:rPr>
        <w:t>personal representative</w:t>
      </w:r>
      <w:r>
        <w:t xml:space="preserve"> means the executor, original or by representation or the administrator for the time being of a deceased person;</w:t>
      </w:r>
    </w:p>
    <w:p>
      <w:pPr>
        <w:pStyle w:val="Defstart"/>
      </w:pPr>
      <w:r>
        <w:rPr>
          <w:b/>
        </w:rPr>
        <w:tab/>
      </w:r>
      <w:r>
        <w:rPr>
          <w:rStyle w:val="CharDefText"/>
        </w:rPr>
        <w:t>possession</w:t>
      </w:r>
      <w:r>
        <w:t xml:space="preserve"> in relation to land includes the receipt of income therefrom or the right to receive the income;</w:t>
      </w:r>
    </w:p>
    <w:p>
      <w:pPr>
        <w:pStyle w:val="Defstart"/>
      </w:pPr>
      <w:r>
        <w:rPr>
          <w:b/>
        </w:rPr>
        <w:tab/>
      </w:r>
      <w:r>
        <w:rPr>
          <w:rStyle w:val="CharDefText"/>
        </w:rPr>
        <w:t>property</w:t>
      </w:r>
      <w:r>
        <w:t xml:space="preserve"> includes real and personal property and any estate or interest therein and any thing or chose in action;</w:t>
      </w:r>
    </w:p>
    <w:p>
      <w:pPr>
        <w:pStyle w:val="Defstart"/>
      </w:pPr>
      <w:r>
        <w:rPr>
          <w:b/>
        </w:rPr>
        <w:tab/>
      </w:r>
      <w:r>
        <w:rPr>
          <w:rStyle w:val="CharDefText"/>
        </w:rPr>
        <w:t>purchaser</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rStyle w:val="CharDefText"/>
        </w:rPr>
        <w:t>purchase</w:t>
      </w:r>
      <w:r>
        <w:t xml:space="preserve"> has a corresponding meaning;</w:t>
      </w:r>
    </w:p>
    <w:p>
      <w:pPr>
        <w:pStyle w:val="Defstart"/>
      </w:pPr>
      <w:r>
        <w:rPr>
          <w:b/>
        </w:rPr>
        <w:tab/>
      </w:r>
      <w:r>
        <w:rPr>
          <w:rStyle w:val="CharDefText"/>
        </w:rPr>
        <w:t>registered or duly registered</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r>
      <w:r>
        <w:rPr>
          <w:rStyle w:val="CharDefText"/>
        </w:rPr>
        <w:t>rent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r>
      <w:r>
        <w:rPr>
          <w:rStyle w:val="CharDefText"/>
        </w:rPr>
        <w:t>represented person</w:t>
      </w:r>
      <w:r>
        <w:t xml:space="preserve"> means a person in respect of whom an administration order is in force under Part 6 of the </w:t>
      </w:r>
      <w:r>
        <w:rPr>
          <w:i/>
        </w:rPr>
        <w:t>Guardianship and Administration Act 1990</w:t>
      </w:r>
      <w:r>
        <w:t>;</w:t>
      </w:r>
    </w:p>
    <w:p>
      <w:pPr>
        <w:pStyle w:val="Defstart"/>
      </w:pPr>
      <w:r>
        <w:rPr>
          <w:b/>
        </w:rPr>
        <w:tab/>
      </w:r>
      <w:r>
        <w:rPr>
          <w:rStyle w:val="CharDefText"/>
        </w:rPr>
        <w:t>right of redemption</w:t>
      </w:r>
      <w:r>
        <w:t xml:space="preserve"> in relation to a mortgage includes an option to repurchase only if the option in effect creates a right of redemption;</w:t>
      </w:r>
    </w:p>
    <w:p>
      <w:pPr>
        <w:pStyle w:val="Defstart"/>
      </w:pPr>
      <w:r>
        <w:rPr>
          <w:b/>
        </w:rPr>
        <w:tab/>
      </w:r>
      <w:r>
        <w:rPr>
          <w:rStyle w:val="CharDefText"/>
        </w:rPr>
        <w:t>sale</w:t>
      </w:r>
      <w:r>
        <w:t xml:space="preserve"> means a sale properly so called;</w:t>
      </w:r>
    </w:p>
    <w:p>
      <w:pPr>
        <w:pStyle w:val="Defstart"/>
      </w:pPr>
      <w:r>
        <w:rPr>
          <w:b/>
        </w:rPr>
        <w:tab/>
      </w:r>
      <w:r>
        <w:rPr>
          <w:rStyle w:val="CharDefText"/>
        </w:rPr>
        <w:t>securities</w:t>
      </w:r>
      <w:r>
        <w:t xml:space="preserve"> include stocks, funds and shares;</w:t>
      </w:r>
    </w:p>
    <w:p>
      <w:pPr>
        <w:pStyle w:val="Defstart"/>
      </w:pPr>
      <w:r>
        <w:rPr>
          <w:b/>
        </w:rPr>
        <w:tab/>
      </w:r>
      <w:r>
        <w:rPr>
          <w:rStyle w:val="CharDefText"/>
        </w:rPr>
        <w:t>valuable consideration</w:t>
      </w:r>
      <w:r>
        <w:t xml:space="preserve"> includes marriage but does not include a nominal consideration in money;</w:t>
      </w:r>
    </w:p>
    <w:p>
      <w:pPr>
        <w:pStyle w:val="Defstart"/>
      </w:pPr>
      <w:r>
        <w:rPr>
          <w:b/>
        </w:rPr>
        <w:tab/>
      </w:r>
      <w:r>
        <w:rPr>
          <w:rStyle w:val="CharDefText"/>
        </w:rPr>
        <w:t>will</w:t>
      </w:r>
      <w:r>
        <w:t xml:space="preserve"> includes codicil and every other testamentary disposition.</w:t>
      </w:r>
    </w:p>
    <w:p>
      <w:pPr>
        <w:pStyle w:val="Footnotesection"/>
      </w:pPr>
      <w:r>
        <w:tab/>
        <w:t>[Section 7 amended: No. 24 of 1990 s. 123.]</w:t>
      </w:r>
    </w:p>
    <w:p>
      <w:pPr>
        <w:pStyle w:val="Heading2"/>
      </w:pPr>
      <w:bookmarkStart w:id="12" w:name="_Toc38005760"/>
      <w:bookmarkStart w:id="13" w:name="_Toc38005933"/>
      <w:bookmarkStart w:id="14" w:name="_Toc38006106"/>
      <w:r>
        <w:rPr>
          <w:rStyle w:val="CharPartNo"/>
        </w:rPr>
        <w:t>Part II</w:t>
      </w:r>
      <w:r>
        <w:rPr>
          <w:rStyle w:val="CharDivNo"/>
        </w:rPr>
        <w:t> </w:t>
      </w:r>
      <w:r>
        <w:t>—</w:t>
      </w:r>
      <w:r>
        <w:rPr>
          <w:rStyle w:val="CharDivText"/>
        </w:rPr>
        <w:t> </w:t>
      </w:r>
      <w:r>
        <w:rPr>
          <w:rStyle w:val="CharPartText"/>
        </w:rPr>
        <w:t>Deeds and other instruments</w:t>
      </w:r>
      <w:bookmarkEnd w:id="12"/>
      <w:bookmarkEnd w:id="13"/>
      <w:bookmarkEnd w:id="14"/>
    </w:p>
    <w:p>
      <w:pPr>
        <w:pStyle w:val="Heading5"/>
        <w:spacing w:before="180"/>
        <w:rPr>
          <w:snapToGrid w:val="0"/>
        </w:rPr>
      </w:pPr>
      <w:bookmarkStart w:id="15" w:name="_Toc38006107"/>
      <w:r>
        <w:rPr>
          <w:rStyle w:val="CharSectno"/>
        </w:rPr>
        <w:t>8</w:t>
      </w:r>
      <w:r>
        <w:rPr>
          <w:snapToGrid w:val="0"/>
        </w:rPr>
        <w:t>.</w:t>
      </w:r>
      <w:r>
        <w:rPr>
          <w:snapToGrid w:val="0"/>
        </w:rPr>
        <w:tab/>
        <w:t>Construction of expressions used in deeds and other instruments</w:t>
      </w:r>
      <w:bookmarkEnd w:id="15"/>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pPr>
        <w:pStyle w:val="Indenta"/>
        <w:spacing w:before="60"/>
        <w:rPr>
          <w:snapToGrid w:val="0"/>
        </w:rPr>
      </w:pPr>
      <w:r>
        <w:rPr>
          <w:snapToGrid w:val="0"/>
        </w:rPr>
        <w:tab/>
        <w:t>(a)</w:t>
      </w:r>
      <w:r>
        <w:rPr>
          <w:snapToGrid w:val="0"/>
        </w:rPr>
        <w:tab/>
      </w:r>
      <w:r>
        <w:rPr>
          <w:rStyle w:val="CharDefText"/>
        </w:rPr>
        <w:t>month</w:t>
      </w:r>
      <w:r>
        <w:rPr>
          <w:snapToGrid w:val="0"/>
        </w:rPr>
        <w:t xml:space="preserve"> means a calendar month;</w:t>
      </w:r>
    </w:p>
    <w:p>
      <w:pPr>
        <w:pStyle w:val="Indenta"/>
        <w:spacing w:before="60"/>
        <w:rPr>
          <w:snapToGrid w:val="0"/>
        </w:rPr>
      </w:pPr>
      <w:r>
        <w:rPr>
          <w:snapToGrid w:val="0"/>
        </w:rPr>
        <w:tab/>
        <w:t>(b)</w:t>
      </w:r>
      <w:r>
        <w:rPr>
          <w:snapToGrid w:val="0"/>
        </w:rPr>
        <w:tab/>
      </w:r>
      <w:r>
        <w:rPr>
          <w:rStyle w:val="CharDefText"/>
        </w:rPr>
        <w:t>person</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keepNext/>
        <w:keepLines/>
        <w:rPr>
          <w:snapToGrid w:val="0"/>
        </w:rPr>
      </w:pPr>
      <w:r>
        <w:rPr>
          <w:snapToGrid w:val="0"/>
        </w:rPr>
        <w:tab/>
        <w:t>(ii)</w:t>
      </w:r>
      <w:r>
        <w:rPr>
          <w:snapToGrid w:val="0"/>
        </w:rPr>
        <w:tab/>
        <w:t>in any valuation obtained or to be obtained for the purposes of any such duty or tax,</w:t>
      </w:r>
    </w:p>
    <w:p>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ind w:left="890" w:hanging="890"/>
      </w:pPr>
      <w:r>
        <w:tab/>
        <w:t>[Section 8 amended: No. 102 of 1979 s. 3.]</w:t>
      </w:r>
    </w:p>
    <w:p>
      <w:pPr>
        <w:pStyle w:val="Heading5"/>
        <w:rPr>
          <w:snapToGrid w:val="0"/>
        </w:rPr>
      </w:pPr>
      <w:bookmarkStart w:id="16" w:name="_Toc38006108"/>
      <w:r>
        <w:rPr>
          <w:rStyle w:val="CharSectno"/>
        </w:rPr>
        <w:t>8A</w:t>
      </w:r>
      <w:r>
        <w:rPr>
          <w:snapToGrid w:val="0"/>
        </w:rPr>
        <w:t>.</w:t>
      </w:r>
      <w:r>
        <w:rPr>
          <w:snapToGrid w:val="0"/>
        </w:rPr>
        <w:tab/>
        <w:t>Other valuation procedures</w:t>
      </w:r>
      <w:bookmarkEnd w:id="16"/>
    </w:p>
    <w:p>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ind w:left="890" w:hanging="890"/>
      </w:pPr>
      <w:r>
        <w:tab/>
        <w:t>[Section 8A inserted: No. 102 of 1979 s. 4.]</w:t>
      </w:r>
    </w:p>
    <w:p>
      <w:pPr>
        <w:pStyle w:val="Heading5"/>
        <w:rPr>
          <w:snapToGrid w:val="0"/>
        </w:rPr>
      </w:pPr>
      <w:bookmarkStart w:id="17" w:name="_Toc38006109"/>
      <w:r>
        <w:rPr>
          <w:rStyle w:val="CharSectno"/>
        </w:rPr>
        <w:t>9</w:t>
      </w:r>
      <w:r>
        <w:rPr>
          <w:snapToGrid w:val="0"/>
        </w:rPr>
        <w:t>.</w:t>
      </w:r>
      <w:r>
        <w:rPr>
          <w:snapToGrid w:val="0"/>
        </w:rPr>
        <w:tab/>
        <w:t>Formalities of deed</w:t>
      </w:r>
      <w:bookmarkEnd w:id="17"/>
    </w:p>
    <w:p>
      <w:pPr>
        <w:pStyle w:val="Subsection"/>
        <w:keepNext/>
        <w:rPr>
          <w:snapToGrid w:val="0"/>
        </w:rPr>
      </w:pPr>
      <w:r>
        <w:rPr>
          <w:snapToGrid w:val="0"/>
        </w:rPr>
        <w:tab/>
        <w:t>(1)</w:t>
      </w:r>
      <w:r>
        <w:rPr>
          <w:snapToGrid w:val="0"/>
        </w:rPr>
        <w:tab/>
        <w:t>Every deed, whether or not affecting property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rPr>
          <w:snapToGrid w:val="0"/>
        </w:rPr>
      </w:pPr>
      <w:r>
        <w:rPr>
          <w:snapToGrid w:val="0"/>
        </w:rPr>
        <w:tab/>
        <w:t>(3)</w:t>
      </w:r>
      <w:r>
        <w:rPr>
          <w:snapToGrid w:val="0"/>
        </w:rPr>
        <w:tab/>
        <w:t>Formal delivery and indenting are not necessary in any case.</w:t>
      </w:r>
    </w:p>
    <w:p>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rPr>
          <w:snapToGrid w:val="0"/>
        </w:rPr>
      </w:pPr>
      <w:bookmarkStart w:id="18" w:name="_Toc38006110"/>
      <w:r>
        <w:rPr>
          <w:rStyle w:val="CharSectno"/>
        </w:rPr>
        <w:t>10</w:t>
      </w:r>
      <w:r>
        <w:rPr>
          <w:snapToGrid w:val="0"/>
        </w:rPr>
        <w:t>.</w:t>
      </w:r>
      <w:r>
        <w:rPr>
          <w:snapToGrid w:val="0"/>
        </w:rPr>
        <w:tab/>
        <w:t>Execution of instruments by or on behalf of corporations</w:t>
      </w:r>
      <w:bookmarkEnd w:id="18"/>
    </w:p>
    <w:p>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pPr>
        <w:pStyle w:val="Heading5"/>
        <w:rPr>
          <w:snapToGrid w:val="0"/>
        </w:rPr>
      </w:pPr>
      <w:bookmarkStart w:id="19" w:name="_Toc38006111"/>
      <w:r>
        <w:rPr>
          <w:rStyle w:val="CharSectno"/>
        </w:rPr>
        <w:t>11</w:t>
      </w:r>
      <w:r>
        <w:rPr>
          <w:snapToGrid w:val="0"/>
        </w:rPr>
        <w:t>.</w:t>
      </w:r>
      <w:r>
        <w:rPr>
          <w:snapToGrid w:val="0"/>
        </w:rPr>
        <w:tab/>
        <w:t>Persons taking who are not parties</w:t>
      </w:r>
      <w:bookmarkEnd w:id="19"/>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20" w:name="_Toc38006112"/>
      <w:r>
        <w:rPr>
          <w:rStyle w:val="CharSectno"/>
        </w:rPr>
        <w:t>12</w:t>
      </w:r>
      <w:r>
        <w:rPr>
          <w:snapToGrid w:val="0"/>
        </w:rPr>
        <w:t>.</w:t>
      </w:r>
      <w:r>
        <w:rPr>
          <w:snapToGrid w:val="0"/>
        </w:rPr>
        <w:tab/>
        <w:t>Description of deeds</w:t>
      </w:r>
      <w:bookmarkEnd w:id="20"/>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21" w:name="_Toc38006113"/>
      <w:r>
        <w:rPr>
          <w:rStyle w:val="CharSectno"/>
        </w:rPr>
        <w:t>13</w:t>
      </w:r>
      <w:r>
        <w:rPr>
          <w:snapToGrid w:val="0"/>
        </w:rPr>
        <w:t>.</w:t>
      </w:r>
      <w:r>
        <w:rPr>
          <w:snapToGrid w:val="0"/>
        </w:rPr>
        <w:tab/>
        <w:t>Conditions and certain covenants not implied</w:t>
      </w:r>
      <w:bookmarkEnd w:id="21"/>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22" w:name="_Toc38006114"/>
      <w:r>
        <w:rPr>
          <w:rStyle w:val="CharSectno"/>
        </w:rPr>
        <w:t>14</w:t>
      </w:r>
      <w:r>
        <w:rPr>
          <w:snapToGrid w:val="0"/>
        </w:rPr>
        <w:t>.</w:t>
      </w:r>
      <w:r>
        <w:rPr>
          <w:snapToGrid w:val="0"/>
        </w:rPr>
        <w:tab/>
        <w:t>Receipt in deed sufficient</w:t>
      </w:r>
      <w:bookmarkEnd w:id="22"/>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23" w:name="_Toc38006115"/>
      <w:r>
        <w:rPr>
          <w:rStyle w:val="CharSectno"/>
        </w:rPr>
        <w:t>15</w:t>
      </w:r>
      <w:r>
        <w:rPr>
          <w:snapToGrid w:val="0"/>
        </w:rPr>
        <w:t>.</w:t>
      </w:r>
      <w:r>
        <w:rPr>
          <w:snapToGrid w:val="0"/>
        </w:rPr>
        <w:tab/>
        <w:t>Receipt in deed or endorsed evidence</w:t>
      </w:r>
      <w:bookmarkEnd w:id="23"/>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24" w:name="_Toc38006116"/>
      <w:r>
        <w:rPr>
          <w:rStyle w:val="CharSectno"/>
        </w:rPr>
        <w:t>16</w:t>
      </w:r>
      <w:r>
        <w:rPr>
          <w:snapToGrid w:val="0"/>
        </w:rPr>
        <w:t>.</w:t>
      </w:r>
      <w:r>
        <w:rPr>
          <w:snapToGrid w:val="0"/>
        </w:rPr>
        <w:tab/>
        <w:t>Construction of supplemental or annexed instrument</w:t>
      </w:r>
      <w:bookmarkEnd w:id="24"/>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25" w:name="_Toc38005771"/>
      <w:bookmarkStart w:id="26" w:name="_Toc38005944"/>
      <w:bookmarkStart w:id="27" w:name="_Toc38006117"/>
      <w:r>
        <w:rPr>
          <w:rStyle w:val="CharPartNo"/>
        </w:rPr>
        <w:t>Part III</w:t>
      </w:r>
      <w:r>
        <w:rPr>
          <w:rStyle w:val="CharDivNo"/>
        </w:rPr>
        <w:t> </w:t>
      </w:r>
      <w:r>
        <w:t>—</w:t>
      </w:r>
      <w:r>
        <w:rPr>
          <w:rStyle w:val="CharDivText"/>
        </w:rPr>
        <w:t> </w:t>
      </w:r>
      <w:r>
        <w:rPr>
          <w:rStyle w:val="CharPartText"/>
        </w:rPr>
        <w:t>General rules affecting property</w:t>
      </w:r>
      <w:bookmarkEnd w:id="25"/>
      <w:bookmarkEnd w:id="26"/>
      <w:bookmarkEnd w:id="27"/>
    </w:p>
    <w:p>
      <w:pPr>
        <w:pStyle w:val="Heading5"/>
        <w:rPr>
          <w:snapToGrid w:val="0"/>
        </w:rPr>
      </w:pPr>
      <w:bookmarkStart w:id="28" w:name="_Toc38006118"/>
      <w:r>
        <w:rPr>
          <w:rStyle w:val="CharSectno"/>
        </w:rPr>
        <w:t>17</w:t>
      </w:r>
      <w:r>
        <w:rPr>
          <w:snapToGrid w:val="0"/>
        </w:rPr>
        <w:t>.</w:t>
      </w:r>
      <w:r>
        <w:rPr>
          <w:snapToGrid w:val="0"/>
        </w:rPr>
        <w:tab/>
        <w:t>Tenant for life without impeachment of waste, not to commit equitable waste</w:t>
      </w:r>
      <w:bookmarkEnd w:id="28"/>
    </w:p>
    <w:p>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29" w:name="_Toc38006119"/>
      <w:r>
        <w:rPr>
          <w:rStyle w:val="CharSectno"/>
        </w:rPr>
        <w:t>18</w:t>
      </w:r>
      <w:r>
        <w:rPr>
          <w:snapToGrid w:val="0"/>
        </w:rPr>
        <w:t>.</w:t>
      </w:r>
      <w:r>
        <w:rPr>
          <w:snapToGrid w:val="0"/>
        </w:rPr>
        <w:tab/>
        <w:t>No merger at law where none in equity</w:t>
      </w:r>
      <w:bookmarkEnd w:id="29"/>
    </w:p>
    <w:p>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30" w:name="_Toc38006120"/>
      <w:r>
        <w:rPr>
          <w:rStyle w:val="CharSectno"/>
        </w:rPr>
        <w:t>19</w:t>
      </w:r>
      <w:r>
        <w:rPr>
          <w:snapToGrid w:val="0"/>
        </w:rPr>
        <w:t>.</w:t>
      </w:r>
      <w:r>
        <w:rPr>
          <w:snapToGrid w:val="0"/>
        </w:rPr>
        <w:tab/>
        <w:t>Suits for possession of land by mortgagors</w:t>
      </w:r>
      <w:bookmarkEnd w:id="30"/>
    </w:p>
    <w:p>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31" w:name="_Toc38006121"/>
      <w:r>
        <w:rPr>
          <w:rStyle w:val="CharSectno"/>
        </w:rPr>
        <w:t>20</w:t>
      </w:r>
      <w:r>
        <w:rPr>
          <w:snapToGrid w:val="0"/>
        </w:rPr>
        <w:t>.</w:t>
      </w:r>
      <w:r>
        <w:rPr>
          <w:snapToGrid w:val="0"/>
        </w:rPr>
        <w:tab/>
        <w:t>Assignment of debts and choses in action</w:t>
      </w:r>
      <w:bookmarkEnd w:id="31"/>
    </w:p>
    <w:p>
      <w:pPr>
        <w:pStyle w:val="Subsection"/>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rPr>
      </w:pPr>
      <w:r>
        <w:rPr>
          <w:snapToGrid w:val="0"/>
        </w:rPr>
        <w:tab/>
        <w:t>(3)</w:t>
      </w:r>
      <w:r>
        <w:rPr>
          <w:snapToGrid w:val="0"/>
        </w:rPr>
        <w:tab/>
        <w:t xml:space="preserve">For the purposes of this section </w:t>
      </w:r>
      <w:r>
        <w:rPr>
          <w:rStyle w:val="CharDefText"/>
        </w:rPr>
        <w:t>any debt or other legal chose in action</w:t>
      </w:r>
      <w:r>
        <w:rPr>
          <w:snapToGrid w:val="0"/>
        </w:rPr>
        <w:t xml:space="preserve"> includes a part of any debt or other legal chose in action.</w:t>
      </w:r>
    </w:p>
    <w:p>
      <w:pPr>
        <w:pStyle w:val="Heading5"/>
        <w:rPr>
          <w:snapToGrid w:val="0"/>
        </w:rPr>
      </w:pPr>
      <w:bookmarkStart w:id="32" w:name="_Toc38006122"/>
      <w:r>
        <w:rPr>
          <w:rStyle w:val="CharSectno"/>
        </w:rPr>
        <w:t>21</w:t>
      </w:r>
      <w:r>
        <w:rPr>
          <w:snapToGrid w:val="0"/>
        </w:rPr>
        <w:t>.</w:t>
      </w:r>
      <w:r>
        <w:rPr>
          <w:snapToGrid w:val="0"/>
        </w:rPr>
        <w:tab/>
        <w:t>Stipulations not of the essence of a contract</w:t>
      </w:r>
      <w:bookmarkEnd w:id="32"/>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33" w:name="_Toc38006123"/>
      <w:r>
        <w:rPr>
          <w:rStyle w:val="CharSectno"/>
        </w:rPr>
        <w:t>22</w:t>
      </w:r>
      <w:r>
        <w:rPr>
          <w:snapToGrid w:val="0"/>
        </w:rPr>
        <w:t>.</w:t>
      </w:r>
      <w:r>
        <w:rPr>
          <w:snapToGrid w:val="0"/>
        </w:rPr>
        <w:tab/>
        <w:t>Satisfied terms, whether created out of freehold or leasehold land, to cease</w:t>
      </w:r>
      <w:bookmarkEnd w:id="33"/>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34" w:name="_Toc38006124"/>
      <w:r>
        <w:rPr>
          <w:rStyle w:val="CharSectno"/>
        </w:rPr>
        <w:t>23</w:t>
      </w:r>
      <w:r>
        <w:rPr>
          <w:snapToGrid w:val="0"/>
        </w:rPr>
        <w:t>.</w:t>
      </w:r>
      <w:r>
        <w:rPr>
          <w:snapToGrid w:val="0"/>
        </w:rPr>
        <w:tab/>
        <w:t>Estates tail abolished</w:t>
      </w:r>
      <w:bookmarkEnd w:id="34"/>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rStyle w:val="CharDefText"/>
        </w:rPr>
        <w:t>estate tail</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35" w:name="_Toc38006125"/>
      <w:r>
        <w:rPr>
          <w:rStyle w:val="CharSectno"/>
        </w:rPr>
        <w:t>24</w:t>
      </w:r>
      <w:r>
        <w:rPr>
          <w:snapToGrid w:val="0"/>
        </w:rPr>
        <w:t>.</w:t>
      </w:r>
      <w:r>
        <w:rPr>
          <w:snapToGrid w:val="0"/>
        </w:rPr>
        <w:tab/>
        <w:t xml:space="preserve">Creation by deed of freehold </w:t>
      </w:r>
      <w:r>
        <w:rPr>
          <w:i/>
          <w:snapToGrid w:val="0"/>
        </w:rPr>
        <w:t>in futuro</w:t>
      </w:r>
      <w:bookmarkEnd w:id="35"/>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36" w:name="_Toc38006126"/>
      <w:r>
        <w:rPr>
          <w:rStyle w:val="CharSectno"/>
        </w:rPr>
        <w:t>25</w:t>
      </w:r>
      <w:r>
        <w:rPr>
          <w:snapToGrid w:val="0"/>
        </w:rPr>
        <w:t>.</w:t>
      </w:r>
      <w:r>
        <w:rPr>
          <w:snapToGrid w:val="0"/>
        </w:rPr>
        <w:tab/>
        <w:t>Creation by deed of estate in chattel real</w:t>
      </w:r>
      <w:bookmarkEnd w:id="36"/>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37" w:name="_Toc38006127"/>
      <w:r>
        <w:rPr>
          <w:rStyle w:val="CharSectno"/>
        </w:rPr>
        <w:t>26</w:t>
      </w:r>
      <w:r>
        <w:rPr>
          <w:snapToGrid w:val="0"/>
        </w:rPr>
        <w:t>.</w:t>
      </w:r>
      <w:r>
        <w:rPr>
          <w:snapToGrid w:val="0"/>
        </w:rPr>
        <w:tab/>
        <w:t>Contingent remainders to take effect notwithstanding premature failure of preceding estate</w:t>
      </w:r>
      <w:bookmarkEnd w:id="37"/>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38" w:name="_Toc38006128"/>
      <w:r>
        <w:rPr>
          <w:rStyle w:val="CharSectno"/>
        </w:rPr>
        <w:t>27</w:t>
      </w:r>
      <w:r>
        <w:rPr>
          <w:snapToGrid w:val="0"/>
        </w:rPr>
        <w:t>.</w:t>
      </w:r>
      <w:r>
        <w:rPr>
          <w:snapToGrid w:val="0"/>
        </w:rPr>
        <w:tab/>
        <w:t>Rule in Shelley’s Case abolished</w:t>
      </w:r>
      <w:bookmarkEnd w:id="38"/>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39" w:name="_Toc38006129"/>
      <w:r>
        <w:rPr>
          <w:rStyle w:val="CharSectno"/>
        </w:rPr>
        <w:t>28</w:t>
      </w:r>
      <w:r>
        <w:rPr>
          <w:snapToGrid w:val="0"/>
        </w:rPr>
        <w:t>.</w:t>
      </w:r>
      <w:r>
        <w:rPr>
          <w:snapToGrid w:val="0"/>
        </w:rPr>
        <w:tab/>
        <w:t>Restriction on executory limitations</w:t>
      </w:r>
      <w:bookmarkEnd w:id="39"/>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40" w:name="_Toc38006130"/>
      <w:r>
        <w:rPr>
          <w:rStyle w:val="CharSectno"/>
        </w:rPr>
        <w:t>29</w:t>
      </w:r>
      <w:r>
        <w:rPr>
          <w:snapToGrid w:val="0"/>
        </w:rPr>
        <w:t>.</w:t>
      </w:r>
      <w:r>
        <w:rPr>
          <w:snapToGrid w:val="0"/>
        </w:rPr>
        <w:tab/>
        <w:t>Corporations may hold as joint tenants</w:t>
      </w:r>
      <w:bookmarkEnd w:id="40"/>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41" w:name="_Toc38006131"/>
      <w:r>
        <w:rPr>
          <w:rStyle w:val="CharSectno"/>
        </w:rPr>
        <w:t>30</w:t>
      </w:r>
      <w:r>
        <w:rPr>
          <w:snapToGrid w:val="0"/>
        </w:rPr>
        <w:t>.</w:t>
      </w:r>
      <w:r>
        <w:rPr>
          <w:snapToGrid w:val="0"/>
        </w:rPr>
        <w:tab/>
        <w:t>Receipts for income by married minors</w:t>
      </w:r>
      <w:bookmarkEnd w:id="41"/>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r>
        <w:t>[</w:t>
      </w:r>
      <w:r>
        <w:rPr>
          <w:b/>
        </w:rPr>
        <w:t>31.</w:t>
      </w:r>
      <w:r>
        <w:tab/>
        <w:t>Deleted: No. 28 of 2003 s. 125(2).]</w:t>
      </w:r>
    </w:p>
    <w:p>
      <w:pPr>
        <w:pStyle w:val="Heading5"/>
        <w:rPr>
          <w:snapToGrid w:val="0"/>
        </w:rPr>
      </w:pPr>
      <w:bookmarkStart w:id="42" w:name="_Toc38006132"/>
      <w:r>
        <w:rPr>
          <w:rStyle w:val="CharSectno"/>
        </w:rPr>
        <w:t>31A</w:t>
      </w:r>
      <w:r>
        <w:rPr>
          <w:snapToGrid w:val="0"/>
        </w:rPr>
        <w:t>.</w:t>
      </w:r>
      <w:r>
        <w:rPr>
          <w:snapToGrid w:val="0"/>
        </w:rPr>
        <w:tab/>
        <w:t>Illegitimates to be included in class references</w:t>
      </w:r>
      <w:bookmarkEnd w:id="42"/>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2</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rPr>
          <w:snapToGrid w:val="0"/>
        </w:rPr>
      </w:pPr>
      <w:r>
        <w:rPr>
          <w:snapToGrid w:val="0"/>
        </w:rPr>
        <w:tab/>
        <w:t>(5)</w:t>
      </w:r>
      <w:r>
        <w:rPr>
          <w:snapToGrid w:val="0"/>
        </w:rPr>
        <w:tab/>
        <w:t>For the purposes of this section, the relationship between a parent and his or her illegitimate child, and any other relationship traced in any degree through that relationship, shall be recognised only if parentage is admitted by or established 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[Section 31A inserted: No. 19 of 1971 s. 3; amended: No. 14 of 1985 s. 8; No. 28 of 2003 s. 160.]</w:t>
      </w:r>
    </w:p>
    <w:p>
      <w:pPr>
        <w:pStyle w:val="Heading2"/>
      </w:pPr>
      <w:bookmarkStart w:id="43" w:name="_Toc38005787"/>
      <w:bookmarkStart w:id="44" w:name="_Toc38005960"/>
      <w:bookmarkStart w:id="45" w:name="_Toc38006133"/>
      <w:r>
        <w:rPr>
          <w:rStyle w:val="CharPartNo"/>
        </w:rPr>
        <w:t>Part IV</w:t>
      </w:r>
      <w:r>
        <w:rPr>
          <w:rStyle w:val="CharDivNo"/>
        </w:rPr>
        <w:t> </w:t>
      </w:r>
      <w:r>
        <w:t>—</w:t>
      </w:r>
      <w:r>
        <w:rPr>
          <w:rStyle w:val="CharDivText"/>
        </w:rPr>
        <w:t> </w:t>
      </w:r>
      <w:r>
        <w:rPr>
          <w:rStyle w:val="CharPartText"/>
        </w:rPr>
        <w:t>Conveyances and other instruments</w:t>
      </w:r>
      <w:bookmarkEnd w:id="43"/>
      <w:bookmarkEnd w:id="44"/>
      <w:bookmarkEnd w:id="45"/>
    </w:p>
    <w:p>
      <w:pPr>
        <w:pStyle w:val="Heading5"/>
        <w:rPr>
          <w:snapToGrid w:val="0"/>
        </w:rPr>
      </w:pPr>
      <w:bookmarkStart w:id="46" w:name="_Toc38006134"/>
      <w:r>
        <w:rPr>
          <w:rStyle w:val="CharSectno"/>
        </w:rPr>
        <w:t>32</w:t>
      </w:r>
      <w:r>
        <w:rPr>
          <w:snapToGrid w:val="0"/>
        </w:rPr>
        <w:t>.</w:t>
      </w:r>
      <w:r>
        <w:rPr>
          <w:snapToGrid w:val="0"/>
        </w:rPr>
        <w:tab/>
        <w:t>Lands lie in grant only</w:t>
      </w:r>
      <w:bookmarkEnd w:id="46"/>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47" w:name="_Toc38006135"/>
      <w:r>
        <w:rPr>
          <w:rStyle w:val="CharSectno"/>
        </w:rPr>
        <w:t>33</w:t>
      </w:r>
      <w:r>
        <w:rPr>
          <w:snapToGrid w:val="0"/>
        </w:rPr>
        <w:t>.</w:t>
      </w:r>
      <w:r>
        <w:rPr>
          <w:snapToGrid w:val="0"/>
        </w:rPr>
        <w:tab/>
        <w:t>Conveyances to be by deed</w:t>
      </w:r>
      <w:bookmarkEnd w:id="47"/>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48" w:name="_Toc38006136"/>
      <w:r>
        <w:rPr>
          <w:rStyle w:val="CharSectno"/>
        </w:rPr>
        <w:t>34</w:t>
      </w:r>
      <w:r>
        <w:rPr>
          <w:snapToGrid w:val="0"/>
        </w:rPr>
        <w:t>.</w:t>
      </w:r>
      <w:r>
        <w:rPr>
          <w:snapToGrid w:val="0"/>
        </w:rPr>
        <w:tab/>
        <w:t>Instruments required to be in writing</w:t>
      </w:r>
      <w:bookmarkEnd w:id="48"/>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49" w:name="_Toc38006137"/>
      <w:r>
        <w:rPr>
          <w:rStyle w:val="CharSectno"/>
        </w:rPr>
        <w:t>35</w:t>
      </w:r>
      <w:r>
        <w:rPr>
          <w:snapToGrid w:val="0"/>
        </w:rPr>
        <w:t>.</w:t>
      </w:r>
      <w:r>
        <w:rPr>
          <w:snapToGrid w:val="0"/>
        </w:rPr>
        <w:tab/>
        <w:t>Creation of interests in land by parol</w:t>
      </w:r>
      <w:bookmarkEnd w:id="49"/>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50" w:name="_Toc38006138"/>
      <w:r>
        <w:rPr>
          <w:rStyle w:val="CharSectno"/>
        </w:rPr>
        <w:t>36</w:t>
      </w:r>
      <w:r>
        <w:rPr>
          <w:snapToGrid w:val="0"/>
        </w:rPr>
        <w:t>.</w:t>
      </w:r>
      <w:r>
        <w:rPr>
          <w:snapToGrid w:val="0"/>
        </w:rPr>
        <w:tab/>
        <w:t>Savings in regard to sections 34 and 35</w:t>
      </w:r>
      <w:bookmarkEnd w:id="50"/>
    </w:p>
    <w:p>
      <w:pPr>
        <w:pStyle w:val="Subsection"/>
        <w:keepNext/>
        <w:rPr>
          <w:snapToGrid w:val="0"/>
        </w:rPr>
      </w:pPr>
      <w:r>
        <w:rPr>
          <w:snapToGrid w:val="0"/>
        </w:rPr>
        <w:tab/>
      </w:r>
      <w:r>
        <w:rPr>
          <w:snapToGrid w:val="0"/>
        </w:rPr>
        <w:tab/>
        <w:t>Nothing in sections 34 and 35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51" w:name="_Toc38006139"/>
      <w:r>
        <w:rPr>
          <w:rStyle w:val="CharSectno"/>
        </w:rPr>
        <w:t>37</w:t>
      </w:r>
      <w:r>
        <w:rPr>
          <w:snapToGrid w:val="0"/>
        </w:rPr>
        <w:t>.</w:t>
      </w:r>
      <w:r>
        <w:rPr>
          <w:snapToGrid w:val="0"/>
        </w:rPr>
        <w:tab/>
        <w:t>Power to dispose of fee simple by deed without words of inheritance</w:t>
      </w:r>
      <w:bookmarkEnd w:id="51"/>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52" w:name="_Toc38006140"/>
      <w:r>
        <w:rPr>
          <w:rStyle w:val="CharSectno"/>
        </w:rPr>
        <w:t>38</w:t>
      </w:r>
      <w:r>
        <w:rPr>
          <w:snapToGrid w:val="0"/>
        </w:rPr>
        <w:t>.</w:t>
      </w:r>
      <w:r>
        <w:rPr>
          <w:snapToGrid w:val="0"/>
        </w:rPr>
        <w:tab/>
        <w:t>No use to result from absence of consideration</w:t>
      </w:r>
      <w:bookmarkEnd w:id="52"/>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53" w:name="_Toc38006141"/>
      <w:r>
        <w:rPr>
          <w:rStyle w:val="CharSectno"/>
        </w:rPr>
        <w:t>39</w:t>
      </w:r>
      <w:r>
        <w:rPr>
          <w:snapToGrid w:val="0"/>
        </w:rPr>
        <w:t>.</w:t>
      </w:r>
      <w:r>
        <w:rPr>
          <w:snapToGrid w:val="0"/>
        </w:rPr>
        <w:tab/>
        <w:t>Limitations may be by direct conveyance without uses</w:t>
      </w:r>
      <w:bookmarkEnd w:id="53"/>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54" w:name="_Toc38006142"/>
      <w:r>
        <w:rPr>
          <w:rStyle w:val="CharSectno"/>
        </w:rPr>
        <w:t>40</w:t>
      </w:r>
      <w:r>
        <w:rPr>
          <w:snapToGrid w:val="0"/>
        </w:rPr>
        <w:t>.</w:t>
      </w:r>
      <w:r>
        <w:rPr>
          <w:snapToGrid w:val="0"/>
        </w:rPr>
        <w:tab/>
        <w:t>No conveyance to have tortious operation</w:t>
      </w:r>
      <w:bookmarkEnd w:id="54"/>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55" w:name="_Toc38006143"/>
      <w:r>
        <w:rPr>
          <w:rStyle w:val="CharSectno"/>
        </w:rPr>
        <w:t>41</w:t>
      </w:r>
      <w:r>
        <w:rPr>
          <w:snapToGrid w:val="0"/>
        </w:rPr>
        <w:t>.</w:t>
      </w:r>
      <w:r>
        <w:rPr>
          <w:snapToGrid w:val="0"/>
        </w:rPr>
        <w:tab/>
        <w:t>General words implied in conveyances</w:t>
      </w:r>
      <w:bookmarkEnd w:id="55"/>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56" w:name="_Toc38006144"/>
      <w:r>
        <w:rPr>
          <w:rStyle w:val="CharSectno"/>
        </w:rPr>
        <w:t>42</w:t>
      </w:r>
      <w:r>
        <w:rPr>
          <w:snapToGrid w:val="0"/>
        </w:rPr>
        <w:t>.</w:t>
      </w:r>
      <w:r>
        <w:rPr>
          <w:snapToGrid w:val="0"/>
        </w:rPr>
        <w:tab/>
        <w:t>All estate clause implied</w:t>
      </w:r>
      <w:bookmarkEnd w:id="56"/>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57" w:name="_Toc38006145"/>
      <w:r>
        <w:rPr>
          <w:rStyle w:val="CharSectno"/>
        </w:rPr>
        <w:t>43</w:t>
      </w:r>
      <w:r>
        <w:rPr>
          <w:snapToGrid w:val="0"/>
        </w:rPr>
        <w:t>.</w:t>
      </w:r>
      <w:r>
        <w:rPr>
          <w:snapToGrid w:val="0"/>
        </w:rPr>
        <w:tab/>
        <w:t>Partial release of land from rent</w:t>
      </w:r>
      <w:bookmarkEnd w:id="57"/>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58" w:name="_Toc38006146"/>
      <w:r>
        <w:rPr>
          <w:rStyle w:val="CharSectno"/>
        </w:rPr>
        <w:t>44</w:t>
      </w:r>
      <w:r>
        <w:rPr>
          <w:snapToGrid w:val="0"/>
        </w:rPr>
        <w:t>.</w:t>
      </w:r>
      <w:r>
        <w:rPr>
          <w:snapToGrid w:val="0"/>
        </w:rPr>
        <w:tab/>
        <w:t>Power to person to convey property to himself etc.</w:t>
      </w:r>
      <w:bookmarkEnd w:id="58"/>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59" w:name="_Toc38005801"/>
      <w:bookmarkStart w:id="60" w:name="_Toc38005974"/>
      <w:bookmarkStart w:id="61" w:name="_Toc38006147"/>
      <w:r>
        <w:rPr>
          <w:rStyle w:val="CharPartNo"/>
        </w:rPr>
        <w:t>Part V</w:t>
      </w:r>
      <w:r>
        <w:rPr>
          <w:rStyle w:val="CharDivNo"/>
        </w:rPr>
        <w:t> </w:t>
      </w:r>
      <w:r>
        <w:t>—</w:t>
      </w:r>
      <w:r>
        <w:rPr>
          <w:rStyle w:val="CharDivText"/>
        </w:rPr>
        <w:t> </w:t>
      </w:r>
      <w:r>
        <w:rPr>
          <w:rStyle w:val="CharPartText"/>
        </w:rPr>
        <w:t>Covenants</w:t>
      </w:r>
      <w:bookmarkEnd w:id="59"/>
      <w:bookmarkEnd w:id="60"/>
      <w:bookmarkEnd w:id="61"/>
    </w:p>
    <w:p>
      <w:pPr>
        <w:pStyle w:val="Heading5"/>
        <w:rPr>
          <w:snapToGrid w:val="0"/>
        </w:rPr>
      </w:pPr>
      <w:bookmarkStart w:id="62" w:name="_Toc38006148"/>
      <w:r>
        <w:rPr>
          <w:rStyle w:val="CharSectno"/>
        </w:rPr>
        <w:t>45</w:t>
      </w:r>
      <w:r>
        <w:rPr>
          <w:snapToGrid w:val="0"/>
        </w:rPr>
        <w:t>.</w:t>
      </w:r>
      <w:r>
        <w:rPr>
          <w:snapToGrid w:val="0"/>
        </w:rPr>
        <w:tab/>
        <w:t>Covenants for title implied</w:t>
      </w:r>
      <w:bookmarkEnd w:id="62"/>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rPr>
          <w:snapToGrid w:val="0"/>
        </w:rPr>
      </w:pPr>
      <w:r>
        <w:rPr>
          <w:snapToGrid w:val="0"/>
        </w:rPr>
        <w:tab/>
        <w:t>(5)</w:t>
      </w:r>
      <w:r>
        <w:rPr>
          <w:snapToGrid w:val="0"/>
        </w:rPr>
        <w:tab/>
        <w:t>In this section a conveyance does not include a demise by way of lease at a rent.</w:t>
      </w:r>
    </w:p>
    <w:p>
      <w:pPr>
        <w:pStyle w:val="Subsection"/>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[Section 45 amended: No. 24 of 1990 s. 123.]</w:t>
      </w:r>
    </w:p>
    <w:p>
      <w:pPr>
        <w:pStyle w:val="Heading5"/>
        <w:rPr>
          <w:snapToGrid w:val="0"/>
        </w:rPr>
      </w:pPr>
      <w:bookmarkStart w:id="63" w:name="_Toc38006149"/>
      <w:r>
        <w:rPr>
          <w:rStyle w:val="CharSectno"/>
        </w:rPr>
        <w:t>46</w:t>
      </w:r>
      <w:r>
        <w:rPr>
          <w:snapToGrid w:val="0"/>
        </w:rPr>
        <w:t>.</w:t>
      </w:r>
      <w:r>
        <w:rPr>
          <w:snapToGrid w:val="0"/>
        </w:rPr>
        <w:tab/>
        <w:t>Construction of implied covenants</w:t>
      </w:r>
      <w:bookmarkEnd w:id="63"/>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64" w:name="_Toc38006150"/>
      <w:r>
        <w:rPr>
          <w:rStyle w:val="CharSectno"/>
        </w:rPr>
        <w:t>47</w:t>
      </w:r>
      <w:r>
        <w:rPr>
          <w:snapToGrid w:val="0"/>
        </w:rPr>
        <w:t>.</w:t>
      </w:r>
      <w:r>
        <w:rPr>
          <w:snapToGrid w:val="0"/>
        </w:rPr>
        <w:tab/>
        <w:t>Benefits of covenants relating to land</w:t>
      </w:r>
      <w:bookmarkEnd w:id="64"/>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rStyle w:val="CharDefText"/>
        </w:rPr>
        <w:t>successors in title</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Lines w:val="0"/>
        <w:rPr>
          <w:snapToGrid w:val="0"/>
        </w:rPr>
      </w:pPr>
      <w:bookmarkStart w:id="65" w:name="_Toc38006151"/>
      <w:r>
        <w:rPr>
          <w:rStyle w:val="CharSectno"/>
        </w:rPr>
        <w:t>48</w:t>
      </w:r>
      <w:r>
        <w:rPr>
          <w:snapToGrid w:val="0"/>
        </w:rPr>
        <w:t>.</w:t>
      </w:r>
      <w:r>
        <w:rPr>
          <w:snapToGrid w:val="0"/>
        </w:rPr>
        <w:tab/>
        <w:t>Burden of covenants relating to land</w:t>
      </w:r>
      <w:bookmarkEnd w:id="65"/>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rStyle w:val="CharDefText"/>
        </w:rPr>
        <w:t>successors in title</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66" w:name="_Toc38006152"/>
      <w:r>
        <w:rPr>
          <w:rStyle w:val="CharSectno"/>
        </w:rPr>
        <w:t>49</w:t>
      </w:r>
      <w:r>
        <w:rPr>
          <w:snapToGrid w:val="0"/>
        </w:rPr>
        <w:t>.</w:t>
      </w:r>
      <w:r>
        <w:rPr>
          <w:snapToGrid w:val="0"/>
        </w:rPr>
        <w:tab/>
        <w:t>Construction of covenants affecting land</w:t>
      </w:r>
      <w:bookmarkEnd w:id="66"/>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rStyle w:val="CharDefText"/>
        </w:rPr>
        <w:t>land</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67" w:name="_Toc38006153"/>
      <w:r>
        <w:rPr>
          <w:rStyle w:val="CharSectno"/>
        </w:rPr>
        <w:t>50</w:t>
      </w:r>
      <w:r>
        <w:rPr>
          <w:snapToGrid w:val="0"/>
        </w:rPr>
        <w:t>.</w:t>
      </w:r>
      <w:r>
        <w:rPr>
          <w:snapToGrid w:val="0"/>
        </w:rPr>
        <w:tab/>
        <w:t>Covenants to be joint and several</w:t>
      </w:r>
      <w:bookmarkEnd w:id="67"/>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68" w:name="_Toc38006154"/>
      <w:r>
        <w:rPr>
          <w:rStyle w:val="CharSectno"/>
        </w:rPr>
        <w:t>51</w:t>
      </w:r>
      <w:r>
        <w:rPr>
          <w:snapToGrid w:val="0"/>
        </w:rPr>
        <w:t>.</w:t>
      </w:r>
      <w:r>
        <w:rPr>
          <w:snapToGrid w:val="0"/>
        </w:rPr>
        <w:tab/>
        <w:t>Effect of covenant with 2 or more jointly</w:t>
      </w:r>
      <w:bookmarkEnd w:id="68"/>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69" w:name="_Toc38006155"/>
      <w:r>
        <w:rPr>
          <w:rStyle w:val="CharSectno"/>
        </w:rPr>
        <w:t>52</w:t>
      </w:r>
      <w:r>
        <w:rPr>
          <w:snapToGrid w:val="0"/>
        </w:rPr>
        <w:t>.</w:t>
      </w:r>
      <w:r>
        <w:rPr>
          <w:snapToGrid w:val="0"/>
        </w:rPr>
        <w:tab/>
        <w:t>Covenants and agreements entered into by a person with himself and another or others</w:t>
      </w:r>
      <w:bookmarkEnd w:id="69"/>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70" w:name="_Toc38005810"/>
      <w:bookmarkStart w:id="71" w:name="_Toc38005983"/>
      <w:bookmarkStart w:id="72" w:name="_Toc38006156"/>
      <w:r>
        <w:rPr>
          <w:rStyle w:val="CharPartNo"/>
        </w:rPr>
        <w:t>Part VI</w:t>
      </w:r>
      <w:r>
        <w:rPr>
          <w:rStyle w:val="CharDivNo"/>
        </w:rPr>
        <w:t> </w:t>
      </w:r>
      <w:r>
        <w:t>—</w:t>
      </w:r>
      <w:r>
        <w:rPr>
          <w:rStyle w:val="CharDivText"/>
        </w:rPr>
        <w:t> </w:t>
      </w:r>
      <w:r>
        <w:rPr>
          <w:rStyle w:val="CharPartText"/>
        </w:rPr>
        <w:t>Mortgages</w:t>
      </w:r>
      <w:bookmarkEnd w:id="70"/>
      <w:bookmarkEnd w:id="71"/>
      <w:bookmarkEnd w:id="72"/>
    </w:p>
    <w:p>
      <w:pPr>
        <w:pStyle w:val="Heading5"/>
        <w:rPr>
          <w:snapToGrid w:val="0"/>
        </w:rPr>
      </w:pPr>
      <w:bookmarkStart w:id="73" w:name="_Toc38006157"/>
      <w:r>
        <w:rPr>
          <w:rStyle w:val="CharSectno"/>
        </w:rPr>
        <w:t>53</w:t>
      </w:r>
      <w:r>
        <w:rPr>
          <w:snapToGrid w:val="0"/>
        </w:rPr>
        <w:t>.</w:t>
      </w:r>
      <w:r>
        <w:rPr>
          <w:snapToGrid w:val="0"/>
        </w:rPr>
        <w:tab/>
        <w:t>Foreclosure extinguishes right of action for mortgage debt and equity of redemption</w:t>
      </w:r>
      <w:bookmarkEnd w:id="73"/>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rStyle w:val="CharDefText"/>
        </w:rPr>
        <w:t>order absolute</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[Section 53 amended: No. 81 of 1996 s. 153(1).]</w:t>
      </w:r>
    </w:p>
    <w:p>
      <w:pPr>
        <w:pStyle w:val="Heading5"/>
        <w:rPr>
          <w:snapToGrid w:val="0"/>
        </w:rPr>
      </w:pPr>
      <w:bookmarkStart w:id="74" w:name="_Toc38006158"/>
      <w:r>
        <w:rPr>
          <w:rStyle w:val="CharSectno"/>
        </w:rPr>
        <w:t>54</w:t>
      </w:r>
      <w:r>
        <w:rPr>
          <w:snapToGrid w:val="0"/>
        </w:rPr>
        <w:t>.</w:t>
      </w:r>
      <w:r>
        <w:rPr>
          <w:snapToGrid w:val="0"/>
        </w:rPr>
        <w:tab/>
        <w:t>Realisation of equitable charges by the Court</w:t>
      </w:r>
      <w:bookmarkEnd w:id="74"/>
    </w:p>
    <w:p>
      <w:pPr>
        <w:pStyle w:val="Subsection"/>
        <w:rPr>
          <w:snapToGrid w:val="0"/>
        </w:rPr>
      </w:pPr>
      <w:r>
        <w:rPr>
          <w:snapToGrid w:val="0"/>
        </w:rPr>
        <w:tab/>
        <w:t>(1)</w:t>
      </w:r>
      <w:r>
        <w:rPr>
          <w:snapToGrid w:val="0"/>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75" w:name="_Toc38006159"/>
      <w:r>
        <w:rPr>
          <w:rStyle w:val="CharSectno"/>
        </w:rPr>
        <w:t>55</w:t>
      </w:r>
      <w:r>
        <w:rPr>
          <w:snapToGrid w:val="0"/>
        </w:rPr>
        <w:t>.</w:t>
      </w:r>
      <w:r>
        <w:rPr>
          <w:snapToGrid w:val="0"/>
        </w:rPr>
        <w:tab/>
        <w:t>Sale of mortgaged property in action for redemption or foreclosure</w:t>
      </w:r>
      <w:bookmarkEnd w:id="75"/>
    </w:p>
    <w:p>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rPr>
          <w:snapToGrid w:val="0"/>
        </w:rPr>
      </w:pPr>
      <w:r>
        <w:rPr>
          <w:snapToGrid w:val="0"/>
        </w:rPr>
        <w:tab/>
        <w:t>(3)</w:t>
      </w:r>
      <w:r>
        <w:rPr>
          <w:snapToGrid w:val="0"/>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rPr>
          <w:snapToGrid w:val="0"/>
        </w:rPr>
      </w:pPr>
      <w:r>
        <w:rPr>
          <w:snapToGrid w:val="0"/>
        </w:rPr>
        <w:tab/>
        <w:t>(5)</w:t>
      </w:r>
      <w:r>
        <w:rPr>
          <w:snapToGrid w:val="0"/>
        </w:rPr>
        <w:tab/>
        <w:t>This section applies to actions brought either before or after the coming into operation of this Act.</w:t>
      </w:r>
    </w:p>
    <w:p>
      <w:pPr>
        <w:pStyle w:val="Subsection"/>
        <w:rPr>
          <w:snapToGrid w:val="0"/>
        </w:rPr>
      </w:pPr>
      <w:r>
        <w:rPr>
          <w:snapToGrid w:val="0"/>
        </w:rPr>
        <w:tab/>
        <w:t>(6)</w:t>
      </w:r>
      <w:r>
        <w:rPr>
          <w:snapToGrid w:val="0"/>
        </w:rPr>
        <w:tab/>
        <w:t xml:space="preserve">In this section </w:t>
      </w:r>
      <w:r>
        <w:rPr>
          <w:rStyle w:val="CharDefText"/>
        </w:rPr>
        <w:t>mortgaged property</w:t>
      </w:r>
      <w:r>
        <w:rPr>
          <w:snapToGrid w:val="0"/>
        </w:rPr>
        <w:t xml:space="preserve"> includes the estate or interest that a mortgagee would have had power to convey if the statutory power of sale were applicable.</w:t>
      </w:r>
    </w:p>
    <w:p>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rPr>
          <w:snapToGrid w:val="0"/>
        </w:rPr>
      </w:pPr>
      <w:bookmarkStart w:id="76" w:name="_Toc38006160"/>
      <w:r>
        <w:rPr>
          <w:rStyle w:val="CharSectno"/>
        </w:rPr>
        <w:t>56</w:t>
      </w:r>
      <w:r>
        <w:rPr>
          <w:snapToGrid w:val="0"/>
        </w:rPr>
        <w:t>.</w:t>
      </w:r>
      <w:r>
        <w:rPr>
          <w:snapToGrid w:val="0"/>
        </w:rPr>
        <w:tab/>
        <w:t>Restriction on consolidation of mortgages</w:t>
      </w:r>
      <w:bookmarkEnd w:id="76"/>
    </w:p>
    <w:p>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rPr>
          <w:snapToGrid w:val="0"/>
        </w:rPr>
      </w:pPr>
      <w:r>
        <w:rPr>
          <w:snapToGrid w:val="0"/>
        </w:rPr>
        <w:tab/>
        <w:t>(2)</w:t>
      </w:r>
      <w:r>
        <w:rPr>
          <w:snapToGrid w:val="0"/>
        </w:rPr>
        <w:tab/>
        <w:t>This section has effect notwithstanding any stipulation to the contrary.</w:t>
      </w:r>
    </w:p>
    <w:p>
      <w:pPr>
        <w:pStyle w:val="Subsection"/>
        <w:rPr>
          <w:snapToGrid w:val="0"/>
        </w:rPr>
      </w:pPr>
      <w:r>
        <w:rPr>
          <w:snapToGrid w:val="0"/>
        </w:rPr>
        <w:tab/>
        <w:t>(3)</w:t>
      </w:r>
      <w:r>
        <w:rPr>
          <w:snapToGrid w:val="0"/>
        </w:rPr>
        <w:tab/>
        <w:t>This section applies only where the mortgages or one of them are or is made after the coming into operation of this Act.</w:t>
      </w:r>
    </w:p>
    <w:p>
      <w:pPr>
        <w:pStyle w:val="Heading5"/>
        <w:rPr>
          <w:snapToGrid w:val="0"/>
        </w:rPr>
      </w:pPr>
      <w:bookmarkStart w:id="77" w:name="_Toc38006161"/>
      <w:r>
        <w:rPr>
          <w:rStyle w:val="CharSectno"/>
        </w:rPr>
        <w:t>57</w:t>
      </w:r>
      <w:r>
        <w:rPr>
          <w:snapToGrid w:val="0"/>
        </w:rPr>
        <w:t>.</w:t>
      </w:r>
      <w:r>
        <w:rPr>
          <w:snapToGrid w:val="0"/>
        </w:rPr>
        <w:tab/>
        <w:t>Implied powers of mortgagees</w:t>
      </w:r>
      <w:bookmarkEnd w:id="77"/>
    </w:p>
    <w:p>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keepNext/>
        <w:keepLines/>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78" w:name="_Toc38006162"/>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78"/>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79" w:name="_Toc38006163"/>
      <w:r>
        <w:rPr>
          <w:rStyle w:val="CharSectno"/>
        </w:rPr>
        <w:t>59</w:t>
      </w:r>
      <w:r>
        <w:rPr>
          <w:snapToGrid w:val="0"/>
        </w:rPr>
        <w:t>.</w:t>
      </w:r>
      <w:r>
        <w:rPr>
          <w:snapToGrid w:val="0"/>
        </w:rPr>
        <w:tab/>
        <w:t>Regulation of exercise of power of sale</w:t>
      </w:r>
      <w:bookmarkEnd w:id="79"/>
    </w:p>
    <w:p>
      <w:pPr>
        <w:pStyle w:val="Subsection"/>
        <w:keepNext/>
        <w:rPr>
          <w:snapToGrid w:val="0"/>
        </w:rPr>
      </w:pPr>
      <w:r>
        <w:rPr>
          <w:snapToGrid w:val="0"/>
        </w:rPr>
        <w:tab/>
        <w:t>(1)</w:t>
      </w:r>
      <w:r>
        <w:rPr>
          <w:snapToGrid w:val="0"/>
        </w:rPr>
        <w:tab/>
        <w:t>A mortgagee shall not exercise the power of sale conferred by this Part unless and until —</w:t>
      </w:r>
    </w:p>
    <w:p>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keepNext/>
        <w:keepLines/>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spacing w:before="180"/>
        <w:rPr>
          <w:snapToGrid w:val="0"/>
        </w:rPr>
      </w:pPr>
      <w:bookmarkStart w:id="80" w:name="_Toc38006164"/>
      <w:r>
        <w:rPr>
          <w:rStyle w:val="CharSectno"/>
        </w:rPr>
        <w:t>60</w:t>
      </w:r>
      <w:r>
        <w:rPr>
          <w:snapToGrid w:val="0"/>
        </w:rPr>
        <w:t>.</w:t>
      </w:r>
      <w:r>
        <w:rPr>
          <w:snapToGrid w:val="0"/>
        </w:rPr>
        <w:tab/>
        <w:t>Conveyance in exercise of power of sale</w:t>
      </w:r>
      <w:bookmarkEnd w:id="80"/>
    </w:p>
    <w:p>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pPr>
        <w:pStyle w:val="Indenta"/>
        <w:spacing w:before="60"/>
        <w:rPr>
          <w:snapToGrid w:val="0"/>
        </w:rPr>
      </w:pPr>
      <w:r>
        <w:rPr>
          <w:snapToGrid w:val="0"/>
        </w:rPr>
        <w:tab/>
        <w:t>(a)</w:t>
      </w:r>
      <w:r>
        <w:rPr>
          <w:snapToGrid w:val="0"/>
        </w:rPr>
        <w:tab/>
        <w:t>that no case had arisen to authorise the sale; or</w:t>
      </w:r>
    </w:p>
    <w:p>
      <w:pPr>
        <w:pStyle w:val="Indenta"/>
        <w:spacing w:before="60"/>
        <w:rPr>
          <w:snapToGrid w:val="0"/>
        </w:rPr>
      </w:pPr>
      <w:r>
        <w:rPr>
          <w:snapToGrid w:val="0"/>
        </w:rPr>
        <w:tab/>
        <w:t>(b)</w:t>
      </w:r>
      <w:r>
        <w:rPr>
          <w:snapToGrid w:val="0"/>
        </w:rPr>
        <w:tab/>
        <w:t>that due notice was not given to the mortgagor; or</w:t>
      </w:r>
    </w:p>
    <w:p>
      <w:pPr>
        <w:pStyle w:val="Indenta"/>
        <w:spacing w:before="60"/>
        <w:rPr>
          <w:snapToGrid w:val="0"/>
        </w:rPr>
      </w:pPr>
      <w:r>
        <w:rPr>
          <w:snapToGrid w:val="0"/>
        </w:rPr>
        <w:tab/>
        <w:t>(c)</w:t>
      </w:r>
      <w:r>
        <w:rPr>
          <w:snapToGrid w:val="0"/>
        </w:rPr>
        <w:tab/>
        <w:t>that the power was otherwise improperly or irregularly exercised,</w:t>
      </w:r>
    </w:p>
    <w:p>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spacing w:before="180"/>
        <w:rPr>
          <w:snapToGrid w:val="0"/>
        </w:rPr>
      </w:pPr>
      <w:bookmarkStart w:id="81" w:name="_Toc38006165"/>
      <w:r>
        <w:rPr>
          <w:rStyle w:val="CharSectno"/>
        </w:rPr>
        <w:t>61</w:t>
      </w:r>
      <w:r>
        <w:rPr>
          <w:snapToGrid w:val="0"/>
        </w:rPr>
        <w:t>.</w:t>
      </w:r>
      <w:r>
        <w:rPr>
          <w:snapToGrid w:val="0"/>
        </w:rPr>
        <w:tab/>
        <w:t>Application of proceeds of sale</w:t>
      </w:r>
      <w:bookmarkEnd w:id="81"/>
    </w:p>
    <w:p>
      <w:pPr>
        <w:pStyle w:val="Subsection"/>
        <w:spacing w:before="120"/>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pPr>
        <w:pStyle w:val="Heading5"/>
        <w:rPr>
          <w:snapToGrid w:val="0"/>
        </w:rPr>
      </w:pPr>
      <w:bookmarkStart w:id="82" w:name="_Toc38006166"/>
      <w:r>
        <w:rPr>
          <w:rStyle w:val="CharSectno"/>
        </w:rPr>
        <w:t>62</w:t>
      </w:r>
      <w:r>
        <w:rPr>
          <w:snapToGrid w:val="0"/>
        </w:rPr>
        <w:t>.</w:t>
      </w:r>
      <w:r>
        <w:rPr>
          <w:snapToGrid w:val="0"/>
        </w:rPr>
        <w:tab/>
        <w:t>Provisions as to exercise of power of sale</w:t>
      </w:r>
      <w:bookmarkEnd w:id="82"/>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83" w:name="_Toc38006167"/>
      <w:r>
        <w:rPr>
          <w:rStyle w:val="CharSectno"/>
        </w:rPr>
        <w:t>63</w:t>
      </w:r>
      <w:r>
        <w:rPr>
          <w:snapToGrid w:val="0"/>
        </w:rPr>
        <w:t>.</w:t>
      </w:r>
      <w:r>
        <w:rPr>
          <w:snapToGrid w:val="0"/>
        </w:rPr>
        <w:tab/>
        <w:t>Mortgagee’s receipts, discharges etc.</w:t>
      </w:r>
      <w:bookmarkEnd w:id="83"/>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84" w:name="_Toc38006168"/>
      <w:r>
        <w:rPr>
          <w:rStyle w:val="CharSectno"/>
        </w:rPr>
        <w:t>64</w:t>
      </w:r>
      <w:r>
        <w:rPr>
          <w:snapToGrid w:val="0"/>
        </w:rPr>
        <w:t>.</w:t>
      </w:r>
      <w:r>
        <w:rPr>
          <w:snapToGrid w:val="0"/>
        </w:rPr>
        <w:tab/>
        <w:t>Amount and application of insurance money</w:t>
      </w:r>
      <w:bookmarkEnd w:id="84"/>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85" w:name="_Toc38006169"/>
      <w:r>
        <w:rPr>
          <w:rStyle w:val="CharSectno"/>
        </w:rPr>
        <w:t>65</w:t>
      </w:r>
      <w:r>
        <w:rPr>
          <w:snapToGrid w:val="0"/>
        </w:rPr>
        <w:t>.</w:t>
      </w:r>
      <w:r>
        <w:rPr>
          <w:snapToGrid w:val="0"/>
        </w:rPr>
        <w:tab/>
        <w:t>Appointment, powers, remuneration and duties of receiver</w:t>
      </w:r>
      <w:bookmarkEnd w:id="85"/>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86" w:name="_Toc38006170"/>
      <w:r>
        <w:rPr>
          <w:rStyle w:val="CharSectno"/>
        </w:rPr>
        <w:t>66</w:t>
      </w:r>
      <w:r>
        <w:rPr>
          <w:snapToGrid w:val="0"/>
        </w:rPr>
        <w:t>.</w:t>
      </w:r>
      <w:r>
        <w:rPr>
          <w:snapToGrid w:val="0"/>
        </w:rPr>
        <w:tab/>
        <w:t>Application of money received by receiver</w:t>
      </w:r>
      <w:bookmarkEnd w:id="86"/>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87" w:name="_Toc38006171"/>
      <w:r>
        <w:rPr>
          <w:rStyle w:val="CharSectno"/>
        </w:rPr>
        <w:t>67</w:t>
      </w:r>
      <w:r>
        <w:rPr>
          <w:snapToGrid w:val="0"/>
        </w:rPr>
        <w:t>.</w:t>
      </w:r>
      <w:r>
        <w:rPr>
          <w:snapToGrid w:val="0"/>
        </w:rPr>
        <w:tab/>
        <w:t>Effect of advance on joint account</w:t>
      </w:r>
      <w:bookmarkEnd w:id="8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88" w:name="_Toc38006172"/>
      <w:r>
        <w:rPr>
          <w:rStyle w:val="CharSectno"/>
        </w:rPr>
        <w:t>68</w:t>
      </w:r>
      <w:r>
        <w:rPr>
          <w:snapToGrid w:val="0"/>
        </w:rPr>
        <w:t>.</w:t>
      </w:r>
      <w:r>
        <w:rPr>
          <w:snapToGrid w:val="0"/>
        </w:rPr>
        <w:tab/>
        <w:t>Notice of trusts affecting mortgage money</w:t>
      </w:r>
      <w:bookmarkEnd w:id="88"/>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89" w:name="_Toc38005827"/>
      <w:bookmarkStart w:id="90" w:name="_Toc38006000"/>
      <w:bookmarkStart w:id="91" w:name="_Toc38006173"/>
      <w:r>
        <w:rPr>
          <w:rStyle w:val="CharPartNo"/>
        </w:rPr>
        <w:t>Part VII</w:t>
      </w:r>
      <w:r>
        <w:t> — </w:t>
      </w:r>
      <w:r>
        <w:rPr>
          <w:rStyle w:val="CharPartText"/>
        </w:rPr>
        <w:t>Leases and tenancies</w:t>
      </w:r>
      <w:bookmarkEnd w:id="89"/>
      <w:bookmarkEnd w:id="90"/>
      <w:bookmarkEnd w:id="91"/>
    </w:p>
    <w:p>
      <w:pPr>
        <w:pStyle w:val="Heading3"/>
      </w:pPr>
      <w:bookmarkStart w:id="92" w:name="_Toc38005828"/>
      <w:bookmarkStart w:id="93" w:name="_Toc38006001"/>
      <w:bookmarkStart w:id="94" w:name="_Toc38006174"/>
      <w:r>
        <w:rPr>
          <w:rStyle w:val="CharDivNo"/>
        </w:rPr>
        <w:t>Division 1</w:t>
      </w:r>
      <w:r>
        <w:rPr>
          <w:snapToGrid w:val="0"/>
        </w:rPr>
        <w:t> — </w:t>
      </w:r>
      <w:r>
        <w:rPr>
          <w:rStyle w:val="CharDivText"/>
        </w:rPr>
        <w:t>Application of this Part</w:t>
      </w:r>
      <w:bookmarkEnd w:id="92"/>
      <w:bookmarkEnd w:id="93"/>
      <w:bookmarkEnd w:id="94"/>
    </w:p>
    <w:p>
      <w:pPr>
        <w:pStyle w:val="Footnoteheading"/>
        <w:rPr>
          <w:snapToGrid w:val="0"/>
        </w:rPr>
      </w:pPr>
      <w:r>
        <w:rPr>
          <w:snapToGrid w:val="0"/>
        </w:rPr>
        <w:tab/>
        <w:t>[Heading inserted: No. 128 of 1987 s. 89.]</w:t>
      </w:r>
    </w:p>
    <w:p>
      <w:pPr>
        <w:pStyle w:val="Heading5"/>
        <w:rPr>
          <w:snapToGrid w:val="0"/>
        </w:rPr>
      </w:pPr>
      <w:bookmarkStart w:id="95" w:name="_Toc38006175"/>
      <w:r>
        <w:rPr>
          <w:rStyle w:val="CharSectno"/>
        </w:rPr>
        <w:t>68A</w:t>
      </w:r>
      <w:r>
        <w:rPr>
          <w:snapToGrid w:val="0"/>
        </w:rPr>
        <w:t>.</w:t>
      </w:r>
      <w:r>
        <w:rPr>
          <w:snapToGrid w:val="0"/>
        </w:rPr>
        <w:tab/>
        <w:t>Limitation</w:t>
      </w:r>
      <w:bookmarkEnd w:id="95"/>
    </w:p>
    <w:p>
      <w:pPr>
        <w:pStyle w:val="Subsection"/>
        <w:rPr>
          <w:snapToGrid w:val="0"/>
        </w:rPr>
      </w:pPr>
      <w:r>
        <w:rPr>
          <w:snapToGrid w:val="0"/>
        </w:rPr>
        <w:tab/>
      </w:r>
      <w:r>
        <w:rPr>
          <w:snapToGrid w:val="0"/>
        </w:rPr>
        <w:tab/>
        <w:t xml:space="preserve">This Part has effect subject to the </w:t>
      </w:r>
      <w:r>
        <w:rPr>
          <w:i/>
          <w:snapToGrid w:val="0"/>
        </w:rPr>
        <w:t>Residential Tenancies Act 1987</w:t>
      </w:r>
      <w:r>
        <w:rPr>
          <w:snapToGrid w:val="0"/>
        </w:rPr>
        <w:t>.</w:t>
      </w:r>
    </w:p>
    <w:p>
      <w:pPr>
        <w:pStyle w:val="Footnotesection"/>
      </w:pPr>
      <w:r>
        <w:tab/>
        <w:t>[Section 68A inserted: No. 128 of 1987 s. 89.]</w:t>
      </w:r>
    </w:p>
    <w:p>
      <w:pPr>
        <w:pStyle w:val="Heading3"/>
      </w:pPr>
      <w:bookmarkStart w:id="96" w:name="_Toc38005830"/>
      <w:bookmarkStart w:id="97" w:name="_Toc38006003"/>
      <w:bookmarkStart w:id="98" w:name="_Toc38006176"/>
      <w:r>
        <w:rPr>
          <w:rStyle w:val="CharDivNo"/>
        </w:rPr>
        <w:t>Division 1a</w:t>
      </w:r>
      <w:r>
        <w:rPr>
          <w:snapToGrid w:val="0"/>
        </w:rPr>
        <w:t> — </w:t>
      </w:r>
      <w:r>
        <w:rPr>
          <w:rStyle w:val="CharDivText"/>
        </w:rPr>
        <w:t>General</w:t>
      </w:r>
      <w:bookmarkEnd w:id="96"/>
      <w:bookmarkEnd w:id="97"/>
      <w:bookmarkEnd w:id="98"/>
    </w:p>
    <w:p>
      <w:pPr>
        <w:pStyle w:val="Footnoteheading"/>
        <w:rPr>
          <w:snapToGrid w:val="0"/>
        </w:rPr>
      </w:pPr>
      <w:r>
        <w:rPr>
          <w:snapToGrid w:val="0"/>
        </w:rPr>
        <w:tab/>
        <w:t>[Heading inserted: No. 35 of 1973 s. 3; amended: No. 128 of 1987 s. 89.]</w:t>
      </w:r>
    </w:p>
    <w:p>
      <w:pPr>
        <w:pStyle w:val="Heading5"/>
        <w:rPr>
          <w:snapToGrid w:val="0"/>
        </w:rPr>
      </w:pPr>
      <w:bookmarkStart w:id="99" w:name="_Toc38006177"/>
      <w:r>
        <w:rPr>
          <w:rStyle w:val="CharSectno"/>
        </w:rPr>
        <w:t>69</w:t>
      </w:r>
      <w:r>
        <w:rPr>
          <w:snapToGrid w:val="0"/>
        </w:rPr>
        <w:t>.</w:t>
      </w:r>
      <w:r>
        <w:rPr>
          <w:snapToGrid w:val="0"/>
        </w:rPr>
        <w:tab/>
        <w:t xml:space="preserve">This Part to apply to leases under the </w:t>
      </w:r>
      <w:r>
        <w:rPr>
          <w:i/>
          <w:snapToGrid w:val="0"/>
        </w:rPr>
        <w:t>Transfer of Land Act 1893</w:t>
      </w:r>
      <w:bookmarkEnd w:id="99"/>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rStyle w:val="CharDefText"/>
        </w:rPr>
        <w:t>lease</w:t>
      </w:r>
      <w:r>
        <w:rPr>
          <w:snapToGrid w:val="0"/>
        </w:rPr>
        <w:t xml:space="preserve"> includes so far as circumstances will admit any instrument of letting whether under seal or not.</w:t>
      </w:r>
    </w:p>
    <w:p>
      <w:pPr>
        <w:pStyle w:val="Footnotesection"/>
      </w:pPr>
      <w:r>
        <w:tab/>
        <w:t>[Section 69 amended: No. 35 of 1973 s. 3.]</w:t>
      </w:r>
    </w:p>
    <w:p>
      <w:pPr>
        <w:pStyle w:val="Heading5"/>
        <w:rPr>
          <w:snapToGrid w:val="0"/>
        </w:rPr>
      </w:pPr>
      <w:bookmarkStart w:id="100" w:name="_Toc38006178"/>
      <w:r>
        <w:rPr>
          <w:rStyle w:val="CharSectno"/>
        </w:rPr>
        <w:t>70</w:t>
      </w:r>
      <w:r>
        <w:rPr>
          <w:snapToGrid w:val="0"/>
        </w:rPr>
        <w:t>.</w:t>
      </w:r>
      <w:r>
        <w:rPr>
          <w:snapToGrid w:val="0"/>
        </w:rPr>
        <w:tab/>
        <w:t>Tenant not prejudiced by assignment before notice</w:t>
      </w:r>
      <w:bookmarkEnd w:id="100"/>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101" w:name="_Toc38006179"/>
      <w:r>
        <w:rPr>
          <w:rStyle w:val="CharSectno"/>
        </w:rPr>
        <w:t>71</w:t>
      </w:r>
      <w:r>
        <w:rPr>
          <w:snapToGrid w:val="0"/>
        </w:rPr>
        <w:t>.</w:t>
      </w:r>
      <w:r>
        <w:rPr>
          <w:snapToGrid w:val="0"/>
        </w:rPr>
        <w:tab/>
        <w:t>Tenancy from year to year not implied</w:t>
      </w:r>
      <w:bookmarkEnd w:id="101"/>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102" w:name="_Toc38006180"/>
      <w:r>
        <w:rPr>
          <w:rStyle w:val="CharSectno"/>
        </w:rPr>
        <w:t>72</w:t>
      </w:r>
      <w:r>
        <w:rPr>
          <w:snapToGrid w:val="0"/>
        </w:rPr>
        <w:t>.</w:t>
      </w:r>
      <w:r>
        <w:rPr>
          <w:snapToGrid w:val="0"/>
        </w:rPr>
        <w:tab/>
        <w:t>Termination of tenancies</w:t>
      </w:r>
      <w:bookmarkEnd w:id="102"/>
    </w:p>
    <w:p>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103" w:name="_Toc38006181"/>
      <w:r>
        <w:rPr>
          <w:rStyle w:val="CharSectno"/>
        </w:rPr>
        <w:t>73</w:t>
      </w:r>
      <w:r>
        <w:rPr>
          <w:snapToGrid w:val="0"/>
        </w:rPr>
        <w:t>.</w:t>
      </w:r>
      <w:r>
        <w:rPr>
          <w:snapToGrid w:val="0"/>
        </w:rPr>
        <w:tab/>
        <w:t>Waiver of a covenant in a lease, not to operate as general waiver</w:t>
      </w:r>
      <w:bookmarkEnd w:id="103"/>
    </w:p>
    <w:p>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104" w:name="_Toc38006182"/>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104"/>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105" w:name="_Toc38006183"/>
      <w:r>
        <w:rPr>
          <w:rStyle w:val="CharSectno"/>
        </w:rPr>
        <w:t>75</w:t>
      </w:r>
      <w:r>
        <w:rPr>
          <w:snapToGrid w:val="0"/>
        </w:rPr>
        <w:t>.</w:t>
      </w:r>
      <w:r>
        <w:rPr>
          <w:snapToGrid w:val="0"/>
        </w:rPr>
        <w:tab/>
        <w:t>Effect of extinguishment of reversion</w:t>
      </w:r>
      <w:bookmarkEnd w:id="105"/>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106" w:name="_Toc38006184"/>
      <w:r>
        <w:rPr>
          <w:rStyle w:val="CharSectno"/>
        </w:rPr>
        <w:t>76</w:t>
      </w:r>
      <w:r>
        <w:rPr>
          <w:snapToGrid w:val="0"/>
        </w:rPr>
        <w:t>.</w:t>
      </w:r>
      <w:r>
        <w:rPr>
          <w:snapToGrid w:val="0"/>
        </w:rPr>
        <w:tab/>
        <w:t>Apportionment of conditions on severance</w:t>
      </w:r>
      <w:bookmarkEnd w:id="106"/>
    </w:p>
    <w:p>
      <w:pPr>
        <w:pStyle w:val="Subsection"/>
        <w:keepNext/>
        <w:rPr>
          <w:snapToGrid w:val="0"/>
        </w:rPr>
      </w:pPr>
      <w:r>
        <w:rPr>
          <w:snapToGrid w:val="0"/>
        </w:rPr>
        <w:tab/>
        <w:t>(1)</w:t>
      </w:r>
      <w:r>
        <w:rPr>
          <w:snapToGrid w:val="0"/>
        </w:rPr>
        <w:tab/>
        <w:t>Notwithstanding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rPr>
          <w:snapToGrid w:val="0"/>
        </w:rPr>
      </w:pPr>
      <w:r>
        <w:rPr>
          <w:snapToGrid w:val="0"/>
        </w:rPr>
        <w:tab/>
        <w:t>(2)</w:t>
      </w:r>
      <w:r>
        <w:rPr>
          <w:snapToGrid w:val="0"/>
        </w:rPr>
        <w:tab/>
        <w:t xml:space="preserve">In this section </w:t>
      </w:r>
      <w:r>
        <w:rPr>
          <w:rStyle w:val="CharDefText"/>
        </w:rPr>
        <w:t>right of re</w:t>
      </w:r>
      <w:r>
        <w:rPr>
          <w:rStyle w:val="CharDefText"/>
        </w:rPr>
        <w:noBreakHyphen/>
        <w:t>entry</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107" w:name="_Toc38006185"/>
      <w:r>
        <w:rPr>
          <w:rStyle w:val="CharSectno"/>
        </w:rPr>
        <w:t>77</w:t>
      </w:r>
      <w:r>
        <w:rPr>
          <w:snapToGrid w:val="0"/>
        </w:rPr>
        <w:t>.</w:t>
      </w:r>
      <w:r>
        <w:rPr>
          <w:snapToGrid w:val="0"/>
        </w:rPr>
        <w:tab/>
        <w:t>Rent and benefit of lessee’s covenants to run with reversion</w:t>
      </w:r>
      <w:bookmarkEnd w:id="107"/>
    </w:p>
    <w:p>
      <w:pPr>
        <w:pStyle w:val="Subsection"/>
        <w:keepNext/>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108" w:name="_Toc38006186"/>
      <w:r>
        <w:rPr>
          <w:rStyle w:val="CharSectno"/>
        </w:rPr>
        <w:t>78</w:t>
      </w:r>
      <w:r>
        <w:rPr>
          <w:snapToGrid w:val="0"/>
        </w:rPr>
        <w:t>.</w:t>
      </w:r>
      <w:r>
        <w:rPr>
          <w:snapToGrid w:val="0"/>
        </w:rPr>
        <w:tab/>
        <w:t>Obligation of lessor’s covenants to run with reversion</w:t>
      </w:r>
      <w:bookmarkEnd w:id="108"/>
    </w:p>
    <w:p>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rPr>
          <w:snapToGrid w:val="0"/>
        </w:rPr>
      </w:pPr>
      <w:r>
        <w:rPr>
          <w:snapToGrid w:val="0"/>
        </w:rPr>
        <w:tab/>
        <w:t>(3)</w:t>
      </w:r>
      <w:r>
        <w:rPr>
          <w:snapToGrid w:val="0"/>
        </w:rPr>
        <w:tab/>
        <w:t>This section takes effect without prejudice to any liability affecting a covenantor or his estate.</w:t>
      </w:r>
    </w:p>
    <w:p>
      <w:pPr>
        <w:pStyle w:val="Heading5"/>
        <w:rPr>
          <w:snapToGrid w:val="0"/>
        </w:rPr>
      </w:pPr>
      <w:bookmarkStart w:id="109" w:name="_Toc38006187"/>
      <w:r>
        <w:rPr>
          <w:rStyle w:val="CharSectno"/>
        </w:rPr>
        <w:t>79</w:t>
      </w:r>
      <w:r>
        <w:rPr>
          <w:snapToGrid w:val="0"/>
        </w:rPr>
        <w:t>.</w:t>
      </w:r>
      <w:r>
        <w:rPr>
          <w:snapToGrid w:val="0"/>
        </w:rPr>
        <w:tab/>
        <w:t>Effect of licences granted to lessees</w:t>
      </w:r>
      <w:bookmarkEnd w:id="109"/>
    </w:p>
    <w:p>
      <w:pPr>
        <w:pStyle w:val="Subsection"/>
        <w:rPr>
          <w:snapToGrid w:val="0"/>
        </w:rPr>
      </w:pPr>
      <w:r>
        <w:rPr>
          <w:snapToGrid w:val="0"/>
        </w:rPr>
        <w:tab/>
        <w:t>(1)</w:t>
      </w:r>
      <w:r>
        <w:rPr>
          <w:snapToGrid w:val="0"/>
        </w:rPr>
        <w:tab/>
        <w:t>Where a licence is granted to a lessee to do any act, the licence, unless otherwise expressed, extends only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authorised thereby,</w:t>
      </w:r>
    </w:p>
    <w:p>
      <w:pPr>
        <w:pStyle w:val="Subsection"/>
        <w:rPr>
          <w:snapToGrid w:val="0"/>
        </w:rPr>
      </w:pPr>
      <w:r>
        <w:rPr>
          <w:snapToGrid w:val="0"/>
        </w:rPr>
        <w:tab/>
      </w:r>
      <w:r>
        <w:rPr>
          <w:snapToGrid w:val="0"/>
        </w:rPr>
        <w:tab/>
        <w:t>and the licence does not prevent any proceeding for any subsequent breach unless otherwise so specified.</w:t>
      </w:r>
    </w:p>
    <w:p>
      <w:pPr>
        <w:pStyle w:val="Subsection"/>
        <w:rPr>
          <w:snapToGrid w:val="0"/>
        </w:rPr>
      </w:pPr>
      <w:r>
        <w:rPr>
          <w:snapToGrid w:val="0"/>
        </w:rPr>
        <w:tab/>
        <w:t>(2)</w:t>
      </w:r>
      <w:r>
        <w:rPr>
          <w:snapToGrid w:val="0"/>
        </w:rPr>
        <w:tab/>
        <w:t>Notwithstanding any such licence —</w:t>
      </w:r>
    </w:p>
    <w:p>
      <w:pPr>
        <w:pStyle w:val="Indenta"/>
        <w:rPr>
          <w:snapToGrid w:val="0"/>
        </w:rPr>
      </w:pPr>
      <w:r>
        <w:rPr>
          <w:snapToGrid w:val="0"/>
        </w:rPr>
        <w:tab/>
        <w:t>(a)</w:t>
      </w:r>
      <w:r>
        <w:rPr>
          <w:snapToGrid w:val="0"/>
        </w:rPr>
        <w:tab/>
        <w:t>all rights under covenants and powers of re</w:t>
      </w:r>
      <w:r>
        <w:rPr>
          <w:snapToGrid w:val="0"/>
        </w:rPr>
        <w:noBreakHyphen/>
        <w:t>entry contained in the lease remain in full force and are available as against any subsequent breach of covenant, condition or other matter not specifically authorised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110" w:name="_Toc38006188"/>
      <w:r>
        <w:rPr>
          <w:rStyle w:val="CharSectno"/>
        </w:rPr>
        <w:t>80</w:t>
      </w:r>
      <w:r>
        <w:rPr>
          <w:snapToGrid w:val="0"/>
        </w:rPr>
        <w:t>.</w:t>
      </w:r>
      <w:r>
        <w:rPr>
          <w:snapToGrid w:val="0"/>
        </w:rPr>
        <w:tab/>
        <w:t>Consent to assign or sublet not to be unreasonably withheld</w:t>
      </w:r>
      <w:bookmarkEnd w:id="110"/>
    </w:p>
    <w:p>
      <w:pPr>
        <w:pStyle w:val="Subsection"/>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vertAlign w:val="superscript"/>
        </w:rPr>
        <w:t> 3</w:t>
      </w:r>
      <w:r>
        <w:rPr>
          <w:snapToGrid w:val="0"/>
        </w:rPr>
        <w:t xml:space="preserve"> shall be read and construed as a reference to this section.</w:t>
      </w:r>
    </w:p>
    <w:p>
      <w:pPr>
        <w:pStyle w:val="Heading5"/>
        <w:keepLines w:val="0"/>
        <w:rPr>
          <w:snapToGrid w:val="0"/>
        </w:rPr>
      </w:pPr>
      <w:bookmarkStart w:id="111" w:name="_Toc38006189"/>
      <w:r>
        <w:rPr>
          <w:rStyle w:val="CharSectno"/>
        </w:rPr>
        <w:t>81</w:t>
      </w:r>
      <w:r>
        <w:rPr>
          <w:snapToGrid w:val="0"/>
        </w:rPr>
        <w:t>.</w:t>
      </w:r>
      <w:r>
        <w:rPr>
          <w:snapToGrid w:val="0"/>
        </w:rPr>
        <w:tab/>
        <w:t>Restrictions and relief against forfeiture of leases and under</w:t>
      </w:r>
      <w:r>
        <w:rPr>
          <w:snapToGrid w:val="0"/>
        </w:rPr>
        <w:noBreakHyphen/>
        <w:t>leases</w:t>
      </w:r>
      <w:bookmarkEnd w:id="111"/>
    </w:p>
    <w:p>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rPr>
          <w:snapToGrid w:val="0"/>
        </w:rPr>
      </w:pPr>
      <w:r>
        <w:rPr>
          <w:snapToGrid w:val="0"/>
        </w:rPr>
        <w:tab/>
        <w:t>(3B)</w:t>
      </w:r>
      <w:r>
        <w:rPr>
          <w:snapToGrid w:val="0"/>
        </w:rPr>
        <w:tab/>
        <w:t>The lessor is so entitled to recover whether the lessee has or has not rendered forfeiture unenforceable against him under that subsection.</w:t>
      </w:r>
    </w:p>
    <w:p>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rPr>
          <w:snapToGrid w:val="0"/>
        </w:rPr>
      </w:pPr>
      <w:r>
        <w:rPr>
          <w:snapToGrid w:val="0"/>
        </w:rPr>
        <w:tab/>
        <w:t>(5)</w:t>
      </w:r>
      <w:r>
        <w:rPr>
          <w:snapToGrid w:val="0"/>
        </w:rPr>
        <w:tab/>
        <w:t>For the purposes of this section except so far as is otherwise provided —</w:t>
      </w:r>
    </w:p>
    <w:p>
      <w:pPr>
        <w:pStyle w:val="Defstart"/>
      </w:pPr>
      <w:r>
        <w:tab/>
      </w:r>
      <w:r>
        <w:rPr>
          <w:rStyle w:val="CharDefText"/>
        </w:rPr>
        <w:t>lease</w:t>
      </w:r>
      <w:r>
        <w:t xml:space="preserve"> includes an original or derivative under</w:t>
      </w:r>
      <w:r>
        <w:noBreakHyphen/>
        <w:t>lease; an agreement for a lease where the lessee has become entitled to have his lease granted, and a grant securing a rent by condition;</w:t>
      </w:r>
    </w:p>
    <w:p>
      <w:pPr>
        <w:pStyle w:val="Defstart"/>
      </w:pPr>
      <w:r>
        <w:tab/>
      </w:r>
      <w:r>
        <w:rPr>
          <w:rStyle w:val="CharDefText"/>
        </w:rPr>
        <w:t>lessee</w:t>
      </w:r>
      <w:r>
        <w:t xml:space="preserve"> includes an original or derivative under</w:t>
      </w:r>
      <w:r>
        <w:noBreakHyphen/>
        <w:t>lessee, and the persons deriving title under a lessee, and a grantee under any grant securing a rent by condition and the persons deriving title under him;</w:t>
      </w:r>
    </w:p>
    <w:p>
      <w:pPr>
        <w:pStyle w:val="Defstart"/>
      </w:pPr>
      <w:r>
        <w:tab/>
      </w:r>
      <w:r>
        <w:rPr>
          <w:rStyle w:val="CharDefText"/>
        </w:rPr>
        <w:t>lessor</w:t>
      </w:r>
      <w:r>
        <w:t xml:space="preserve"> includes an original or derivative under</w:t>
      </w:r>
      <w:r>
        <w:noBreakHyphen/>
        <w:t>lessor, and the persons deriving title under a lessor, a person making a grant securing a rent by condition and the persons deriving title under him;</w:t>
      </w:r>
    </w:p>
    <w:p>
      <w:pPr>
        <w:pStyle w:val="Defstart"/>
      </w:pPr>
      <w:r>
        <w:tab/>
      </w:r>
      <w:r>
        <w:rPr>
          <w:rStyle w:val="CharDefText"/>
        </w:rPr>
        <w:t>under</w:t>
      </w:r>
      <w:r>
        <w:rPr>
          <w:rStyle w:val="CharDefText"/>
        </w:rPr>
        <w:noBreakHyphen/>
        <w:t>lease</w:t>
      </w:r>
      <w:r>
        <w:t xml:space="preserve"> includes an agreement for an under</w:t>
      </w:r>
      <w:r>
        <w:noBreakHyphen/>
        <w:t>lease where the under</w:t>
      </w:r>
      <w:r>
        <w:noBreakHyphen/>
        <w:t>lessee has become entitled to have his under</w:t>
      </w:r>
      <w:r>
        <w:noBreakHyphen/>
        <w:t>lease granted;</w:t>
      </w:r>
    </w:p>
    <w:p>
      <w:pPr>
        <w:pStyle w:val="Defstart"/>
      </w:pPr>
      <w:r>
        <w:tab/>
      </w:r>
      <w:r>
        <w:rPr>
          <w:rStyle w:val="CharDefText"/>
        </w:rPr>
        <w:t>under</w:t>
      </w:r>
      <w:r>
        <w:rPr>
          <w:rStyle w:val="CharDefText"/>
        </w:rPr>
        <w:noBreakHyphen/>
        <w:t>lessee</w:t>
      </w:r>
      <w:r>
        <w:t xml:space="preserve"> includes any person deriving title under an under</w:t>
      </w:r>
      <w:r>
        <w:noBreakHyphen/>
        <w:t>lessee.</w:t>
      </w:r>
    </w:p>
    <w:p>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rPr>
          <w:snapToGrid w:val="0"/>
        </w:rPr>
      </w:pPr>
      <w:r>
        <w:rPr>
          <w:snapToGrid w:val="0"/>
        </w:rPr>
        <w:tab/>
        <w:t>(8)</w:t>
      </w:r>
      <w:r>
        <w:rPr>
          <w:snapToGrid w:val="0"/>
        </w:rPr>
        <w:tab/>
        <w:t>This section does not extend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keepNext/>
        <w:keepLines/>
        <w:rPr>
          <w:snapToGrid w:val="0"/>
        </w:rPr>
      </w:pPr>
      <w:r>
        <w:rPr>
          <w:snapToGrid w:val="0"/>
        </w:rPr>
        <w:tab/>
        <w:t>(10)</w:t>
      </w:r>
      <w:r>
        <w:rPr>
          <w:snapToGrid w:val="0"/>
        </w:rPr>
        <w:tab/>
        <w:t>This section has effect notwithstanding any stipulation to the contrary.</w:t>
      </w:r>
    </w:p>
    <w:p>
      <w:pPr>
        <w:pStyle w:val="Footnotesection"/>
      </w:pPr>
      <w:r>
        <w:tab/>
        <w:t>[Section 81 amended: No. 73 of 2006 s. 115; No. 19 of 2010 s. 51.]</w:t>
      </w:r>
    </w:p>
    <w:p>
      <w:pPr>
        <w:pStyle w:val="Heading5"/>
        <w:rPr>
          <w:snapToGrid w:val="0"/>
        </w:rPr>
      </w:pPr>
      <w:bookmarkStart w:id="112" w:name="_Toc38006190"/>
      <w:r>
        <w:rPr>
          <w:rStyle w:val="CharSectno"/>
        </w:rPr>
        <w:t>82</w:t>
      </w:r>
      <w:r>
        <w:rPr>
          <w:snapToGrid w:val="0"/>
        </w:rPr>
        <w:t>.</w:t>
      </w:r>
      <w:r>
        <w:rPr>
          <w:snapToGrid w:val="0"/>
        </w:rPr>
        <w:tab/>
        <w:t>Certain assignments not to be deemed a breach</w:t>
      </w:r>
      <w:bookmarkEnd w:id="112"/>
    </w:p>
    <w:p>
      <w:pPr>
        <w:pStyle w:val="Subsection"/>
        <w:keepNext/>
        <w:rPr>
          <w:snapToGrid w:val="0"/>
        </w:rPr>
      </w:pPr>
      <w:r>
        <w:rPr>
          <w:snapToGrid w:val="0"/>
        </w:rPr>
        <w:tab/>
      </w:r>
      <w:r>
        <w:rPr>
          <w:snapToGrid w:val="0"/>
        </w:rPr>
        <w:tab/>
        <w:t>No assignment or underletting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rPr>
      </w:pPr>
      <w:r>
        <w:rPr>
          <w:snapToGrid w:val="0"/>
        </w:rPr>
        <w:tab/>
        <w:t>(d)</w:t>
      </w:r>
      <w:r>
        <w:rPr>
          <w:snapToGrid w:val="0"/>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rPr>
          <w:snapToGrid w:val="0"/>
        </w:rPr>
      </w:pPr>
      <w:bookmarkStart w:id="113" w:name="_Toc38006191"/>
      <w:r>
        <w:rPr>
          <w:rStyle w:val="CharSectno"/>
        </w:rPr>
        <w:t>83</w:t>
      </w:r>
      <w:r>
        <w:rPr>
          <w:snapToGrid w:val="0"/>
        </w:rPr>
        <w:t>.</w:t>
      </w:r>
      <w:r>
        <w:rPr>
          <w:snapToGrid w:val="0"/>
        </w:rPr>
        <w:tab/>
        <w:t>Surrender of head lease to grant new lease not to prejudice under</w:t>
      </w:r>
      <w:r>
        <w:rPr>
          <w:snapToGrid w:val="0"/>
        </w:rPr>
        <w:noBreakHyphen/>
        <w:t>lease</w:t>
      </w:r>
      <w:bookmarkEnd w:id="113"/>
    </w:p>
    <w:p>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rPr>
          <w:snapToGrid w:val="0"/>
        </w:rPr>
      </w:pPr>
      <w:r>
        <w:rPr>
          <w:snapToGrid w:val="0"/>
        </w:rPr>
        <w:tab/>
        <w:t>(6)</w:t>
      </w:r>
      <w:r>
        <w:rPr>
          <w:snapToGrid w:val="0"/>
        </w:rPr>
        <w:tab/>
        <w:t>This section does not affect the powers of the Court to give relief against forfeiture.</w:t>
      </w:r>
    </w:p>
    <w:p>
      <w:pPr>
        <w:pStyle w:val="Heading3"/>
        <w:keepLines/>
      </w:pPr>
      <w:bookmarkStart w:id="114" w:name="_Toc38005846"/>
      <w:bookmarkStart w:id="115" w:name="_Toc38006019"/>
      <w:bookmarkStart w:id="116" w:name="_Toc38006192"/>
      <w:r>
        <w:rPr>
          <w:rStyle w:val="CharDivNo"/>
        </w:rPr>
        <w:t>Division 2</w:t>
      </w:r>
      <w:r>
        <w:rPr>
          <w:snapToGrid w:val="0"/>
        </w:rPr>
        <w:t> — </w:t>
      </w:r>
      <w:r>
        <w:rPr>
          <w:rStyle w:val="CharDivText"/>
        </w:rPr>
        <w:t>Options in leases</w:t>
      </w:r>
      <w:bookmarkEnd w:id="114"/>
      <w:bookmarkEnd w:id="115"/>
      <w:bookmarkEnd w:id="116"/>
    </w:p>
    <w:p>
      <w:pPr>
        <w:pStyle w:val="Footnoteheading"/>
        <w:keepNext/>
        <w:keepLines/>
        <w:rPr>
          <w:snapToGrid w:val="0"/>
        </w:rPr>
      </w:pPr>
      <w:r>
        <w:rPr>
          <w:snapToGrid w:val="0"/>
        </w:rPr>
        <w:tab/>
        <w:t>[Heading inserted: No. 35 of 1973 s. 3.]</w:t>
      </w:r>
    </w:p>
    <w:p>
      <w:pPr>
        <w:pStyle w:val="Heading5"/>
        <w:spacing w:before="180"/>
        <w:rPr>
          <w:snapToGrid w:val="0"/>
        </w:rPr>
      </w:pPr>
      <w:bookmarkStart w:id="117" w:name="_Toc38006193"/>
      <w:r>
        <w:rPr>
          <w:rStyle w:val="CharSectno"/>
        </w:rPr>
        <w:t>83A</w:t>
      </w:r>
      <w:r>
        <w:rPr>
          <w:snapToGrid w:val="0"/>
        </w:rPr>
        <w:t>.</w:t>
      </w:r>
      <w:r>
        <w:rPr>
          <w:snapToGrid w:val="0"/>
        </w:rPr>
        <w:tab/>
        <w:t>Interpretation</w:t>
      </w:r>
      <w:bookmarkEnd w:id="117"/>
    </w:p>
    <w:p>
      <w:pPr>
        <w:pStyle w:val="Subsection"/>
        <w:keepNext/>
        <w:keepLines/>
        <w:rPr>
          <w:snapToGrid w:val="0"/>
        </w:rPr>
      </w:pPr>
      <w:r>
        <w:rPr>
          <w:snapToGrid w:val="0"/>
        </w:rPr>
        <w:tab/>
      </w:r>
      <w:r>
        <w:rPr>
          <w:snapToGrid w:val="0"/>
        </w:rPr>
        <w:tab/>
        <w:t>In this Division —</w:t>
      </w:r>
    </w:p>
    <w:p>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[Section 83A inserted: No. 35 of 1973 s. 3.]</w:t>
      </w:r>
    </w:p>
    <w:p>
      <w:pPr>
        <w:pStyle w:val="Heading5"/>
        <w:rPr>
          <w:snapToGrid w:val="0"/>
        </w:rPr>
      </w:pPr>
      <w:bookmarkStart w:id="118" w:name="_Toc38006194"/>
      <w:r>
        <w:rPr>
          <w:rStyle w:val="CharSectno"/>
        </w:rPr>
        <w:t>83B</w:t>
      </w:r>
      <w:r>
        <w:rPr>
          <w:snapToGrid w:val="0"/>
        </w:rPr>
        <w:t>.</w:t>
      </w:r>
      <w:r>
        <w:rPr>
          <w:snapToGrid w:val="0"/>
        </w:rPr>
        <w:tab/>
        <w:t>Construction and application of Division</w:t>
      </w:r>
      <w:bookmarkEnd w:id="118"/>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[Section 83B inserted: No. 35 of 1973 s. 3.]</w:t>
      </w:r>
    </w:p>
    <w:p>
      <w:pPr>
        <w:pStyle w:val="Heading5"/>
        <w:rPr>
          <w:snapToGrid w:val="0"/>
        </w:rPr>
      </w:pPr>
      <w:bookmarkStart w:id="119" w:name="_Toc38006195"/>
      <w:r>
        <w:rPr>
          <w:rStyle w:val="CharSectno"/>
        </w:rPr>
        <w:t>83C</w:t>
      </w:r>
      <w:r>
        <w:rPr>
          <w:snapToGrid w:val="0"/>
        </w:rPr>
        <w:t>.</w:t>
      </w:r>
      <w:r>
        <w:rPr>
          <w:snapToGrid w:val="0"/>
        </w:rPr>
        <w:tab/>
        <w:t>Breach of certain obligations not to preclude lessee from exercising option in certain circumstances</w:t>
      </w:r>
      <w:bookmarkEnd w:id="119"/>
    </w:p>
    <w:p>
      <w:pPr>
        <w:pStyle w:val="Subsection"/>
        <w:keepNext/>
        <w:rPr>
          <w:snapToGrid w:val="0"/>
        </w:rPr>
      </w:pPr>
      <w:r>
        <w:rPr>
          <w:snapToGrid w:val="0"/>
        </w:rPr>
        <w:tab/>
        <w:t>(1)</w:t>
      </w:r>
      <w:r>
        <w:rPr>
          <w:snapToGrid w:val="0"/>
        </w:rPr>
        <w:tab/>
        <w:t xml:space="preserve">In this Division </w:t>
      </w:r>
      <w:r>
        <w:rPr>
          <w:rStyle w:val="CharDefText"/>
        </w:rPr>
        <w:t>prescribed notice</w:t>
      </w:r>
      <w:r>
        <w:rPr>
          <w:snapToGrid w:val="0"/>
        </w:rPr>
        <w:t xml:space="preserve"> means a notice in writing that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[Section 83C inserted: No. 35 of 1973 s. 3.]</w:t>
      </w:r>
    </w:p>
    <w:p>
      <w:pPr>
        <w:pStyle w:val="Heading5"/>
        <w:rPr>
          <w:snapToGrid w:val="0"/>
        </w:rPr>
      </w:pPr>
      <w:bookmarkStart w:id="120" w:name="_Toc38006196"/>
      <w:r>
        <w:rPr>
          <w:rStyle w:val="CharSectno"/>
        </w:rPr>
        <w:t>83D</w:t>
      </w:r>
      <w:r>
        <w:rPr>
          <w:snapToGrid w:val="0"/>
        </w:rPr>
        <w:t>.</w:t>
      </w:r>
      <w:r>
        <w:rPr>
          <w:snapToGrid w:val="0"/>
        </w:rPr>
        <w:tab/>
        <w:t>Court may grant relief from breach of certain obligations</w:t>
      </w:r>
      <w:bookmarkEnd w:id="120"/>
    </w:p>
    <w:p>
      <w:pPr>
        <w:pStyle w:val="Subsection"/>
        <w:rPr>
          <w:snapToGrid w:val="0"/>
        </w:rPr>
      </w:pPr>
      <w:r>
        <w:rPr>
          <w:snapToGrid w:val="0"/>
        </w:rPr>
        <w:tab/>
        <w:t>(1)</w:t>
      </w:r>
      <w:r>
        <w:rPr>
          <w:snapToGrid w:val="0"/>
        </w:rPr>
        <w:tab/>
        <w:t>Relief referred to in section 83C may be sought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[Section 83D inserted: No. 35 of 1973 s. 3.]</w:t>
      </w:r>
    </w:p>
    <w:p>
      <w:pPr>
        <w:pStyle w:val="Heading5"/>
        <w:rPr>
          <w:snapToGrid w:val="0"/>
        </w:rPr>
      </w:pPr>
      <w:bookmarkStart w:id="121" w:name="_Toc38006197"/>
      <w:r>
        <w:rPr>
          <w:rStyle w:val="CharSectno"/>
        </w:rPr>
        <w:t>83E</w:t>
      </w:r>
      <w:r>
        <w:rPr>
          <w:snapToGrid w:val="0"/>
        </w:rPr>
        <w:t>.</w:t>
      </w:r>
      <w:r>
        <w:rPr>
          <w:snapToGrid w:val="0"/>
        </w:rPr>
        <w:tab/>
        <w:t>Lease to continue in force until issue decided</w:t>
      </w:r>
      <w:bookmarkEnd w:id="121"/>
    </w:p>
    <w:p>
      <w:pPr>
        <w:pStyle w:val="Subsection"/>
        <w:keepNext/>
        <w:rPr>
          <w:snapToGrid w:val="0"/>
        </w:rPr>
      </w:pPr>
      <w:r>
        <w:rPr>
          <w:snapToGrid w:val="0"/>
        </w:rPr>
        <w:tab/>
        <w:t>(1)</w:t>
      </w:r>
      <w:r>
        <w:rPr>
          <w:snapToGrid w:val="0"/>
        </w:rPr>
        <w:tab/>
        <w:t>Subject to any order of the Court and to this section —</w:t>
      </w:r>
    </w:p>
    <w:p>
      <w:pPr>
        <w:pStyle w:val="Indenta"/>
        <w:keepNext/>
        <w:rPr>
          <w:snapToGrid w:val="0"/>
        </w:rPr>
      </w:pPr>
      <w:r>
        <w:rPr>
          <w:snapToGrid w:val="0"/>
        </w:rPr>
        <w:tab/>
        <w:t>(a)</w:t>
      </w:r>
      <w:r>
        <w:rPr>
          <w:snapToGrid w:val="0"/>
        </w:rPr>
        <w:tab/>
        <w:t>where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w:t>
      </w:r>
    </w:p>
    <w:p>
      <w:pPr>
        <w:pStyle w:val="Indenti"/>
        <w:spacing w:before="60"/>
        <w:rPr>
          <w:snapToGrid w:val="0"/>
        </w:rPr>
      </w:pPr>
      <w:r>
        <w:rPr>
          <w:snapToGrid w:val="0"/>
        </w:rPr>
        <w:tab/>
        <w:t>(i)</w:t>
      </w:r>
      <w:r>
        <w:rPr>
          <w:snapToGrid w:val="0"/>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[Section 83E inserted: No. 35 of 1973 s. 3.]</w:t>
      </w:r>
    </w:p>
    <w:p>
      <w:pPr>
        <w:pStyle w:val="Heading2"/>
      </w:pPr>
      <w:bookmarkStart w:id="122" w:name="_Toc38005852"/>
      <w:bookmarkStart w:id="123" w:name="_Toc38006025"/>
      <w:bookmarkStart w:id="124" w:name="_Toc38006198"/>
      <w:r>
        <w:rPr>
          <w:rStyle w:val="CharPartNo"/>
        </w:rPr>
        <w:t>Part VIII</w:t>
      </w:r>
      <w:r>
        <w:rPr>
          <w:rStyle w:val="CharDivNo"/>
        </w:rPr>
        <w:t> </w:t>
      </w:r>
      <w:r>
        <w:t>—</w:t>
      </w:r>
      <w:r>
        <w:rPr>
          <w:rStyle w:val="CharDivText"/>
        </w:rPr>
        <w:t> </w:t>
      </w:r>
      <w:r>
        <w:rPr>
          <w:rStyle w:val="CharPartText"/>
        </w:rPr>
        <w:t>Powers of attorney</w:t>
      </w:r>
      <w:bookmarkEnd w:id="122"/>
      <w:bookmarkEnd w:id="123"/>
      <w:bookmarkEnd w:id="124"/>
    </w:p>
    <w:p>
      <w:pPr>
        <w:pStyle w:val="Heading5"/>
        <w:rPr>
          <w:snapToGrid w:val="0"/>
        </w:rPr>
      </w:pPr>
      <w:bookmarkStart w:id="125" w:name="_Toc38006199"/>
      <w:r>
        <w:rPr>
          <w:rStyle w:val="CharSectno"/>
        </w:rPr>
        <w:t>84</w:t>
      </w:r>
      <w:r>
        <w:rPr>
          <w:snapToGrid w:val="0"/>
        </w:rPr>
        <w:t>.</w:t>
      </w:r>
      <w:r>
        <w:rPr>
          <w:snapToGrid w:val="0"/>
        </w:rPr>
        <w:tab/>
        <w:t>Execution by attorney in his own name</w:t>
      </w:r>
      <w:bookmarkEnd w:id="125"/>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126" w:name="_Toc38006200"/>
      <w:r>
        <w:rPr>
          <w:rStyle w:val="CharSectno"/>
        </w:rPr>
        <w:t>85</w:t>
      </w:r>
      <w:r>
        <w:rPr>
          <w:snapToGrid w:val="0"/>
        </w:rPr>
        <w:t>.</w:t>
      </w:r>
      <w:r>
        <w:rPr>
          <w:snapToGrid w:val="0"/>
        </w:rPr>
        <w:tab/>
        <w:t>Continuance until notice of death or revocation received</w:t>
      </w:r>
      <w:bookmarkEnd w:id="126"/>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127" w:name="_Toc38006201"/>
      <w:r>
        <w:rPr>
          <w:rStyle w:val="CharSectno"/>
        </w:rPr>
        <w:t>86</w:t>
      </w:r>
      <w:r>
        <w:rPr>
          <w:snapToGrid w:val="0"/>
        </w:rPr>
        <w:t>.</w:t>
      </w:r>
      <w:r>
        <w:rPr>
          <w:snapToGrid w:val="0"/>
        </w:rPr>
        <w:tab/>
        <w:t>Irrevocable power of attorney for value</w:t>
      </w:r>
      <w:bookmarkEnd w:id="127"/>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128" w:name="_Toc38006202"/>
      <w:r>
        <w:rPr>
          <w:rStyle w:val="CharSectno"/>
        </w:rPr>
        <w:t>87</w:t>
      </w:r>
      <w:r>
        <w:rPr>
          <w:snapToGrid w:val="0"/>
        </w:rPr>
        <w:t>.</w:t>
      </w:r>
      <w:r>
        <w:rPr>
          <w:snapToGrid w:val="0"/>
        </w:rPr>
        <w:tab/>
        <w:t>Power of attorney made irrevocable for fixed time</w:t>
      </w:r>
      <w:bookmarkEnd w:id="128"/>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129" w:name="_Toc38006203"/>
      <w:r>
        <w:rPr>
          <w:rStyle w:val="CharSectno"/>
        </w:rPr>
        <w:t>88</w:t>
      </w:r>
      <w:r>
        <w:rPr>
          <w:snapToGrid w:val="0"/>
        </w:rPr>
        <w:t>.</w:t>
      </w:r>
      <w:r>
        <w:rPr>
          <w:snapToGrid w:val="0"/>
        </w:rPr>
        <w:tab/>
        <w:t>Application to corporations</w:t>
      </w:r>
      <w:bookmarkEnd w:id="129"/>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No. 20 of 2003 s. 41.]</w:t>
      </w:r>
    </w:p>
    <w:p>
      <w:pPr>
        <w:pStyle w:val="Heading2"/>
      </w:pPr>
      <w:bookmarkStart w:id="130" w:name="_Toc38005858"/>
      <w:bookmarkStart w:id="131" w:name="_Toc38006031"/>
      <w:bookmarkStart w:id="132" w:name="_Toc38006204"/>
      <w:r>
        <w:rPr>
          <w:rStyle w:val="CharPartNo"/>
        </w:rPr>
        <w:t>Part IX</w:t>
      </w:r>
      <w:r>
        <w:rPr>
          <w:rStyle w:val="CharDivNo"/>
        </w:rPr>
        <w:t> </w:t>
      </w:r>
      <w:r>
        <w:t>—</w:t>
      </w:r>
      <w:r>
        <w:rPr>
          <w:rStyle w:val="CharDivText"/>
        </w:rPr>
        <w:t> </w:t>
      </w:r>
      <w:r>
        <w:rPr>
          <w:rStyle w:val="CharPartText"/>
        </w:rPr>
        <w:t>Voidable dispositions</w:t>
      </w:r>
      <w:bookmarkEnd w:id="130"/>
      <w:bookmarkEnd w:id="131"/>
      <w:bookmarkEnd w:id="132"/>
    </w:p>
    <w:p>
      <w:pPr>
        <w:pStyle w:val="Heading5"/>
        <w:spacing w:before="180"/>
        <w:rPr>
          <w:snapToGrid w:val="0"/>
        </w:rPr>
      </w:pPr>
      <w:bookmarkStart w:id="133" w:name="_Toc38006205"/>
      <w:r>
        <w:rPr>
          <w:rStyle w:val="CharSectno"/>
        </w:rPr>
        <w:t>89</w:t>
      </w:r>
      <w:r>
        <w:rPr>
          <w:snapToGrid w:val="0"/>
        </w:rPr>
        <w:t>.</w:t>
      </w:r>
      <w:r>
        <w:rPr>
          <w:snapToGrid w:val="0"/>
        </w:rPr>
        <w:tab/>
        <w:t>Voluntary conveyances to defraud creditors voidable</w:t>
      </w:r>
      <w:bookmarkEnd w:id="133"/>
    </w:p>
    <w:p>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rPr>
          <w:snapToGrid w:val="0"/>
        </w:rPr>
      </w:pPr>
      <w:r>
        <w:rPr>
          <w:snapToGrid w:val="0"/>
        </w:rPr>
        <w:tab/>
        <w:t>(2)</w:t>
      </w:r>
      <w:r>
        <w:rPr>
          <w:snapToGrid w:val="0"/>
        </w:rPr>
        <w:tab/>
        <w:t>This section does not affect the law of bankruptcy for the time being in force.</w:t>
      </w:r>
    </w:p>
    <w:p>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rPr>
          <w:snapToGrid w:val="0"/>
        </w:rPr>
      </w:pPr>
      <w:bookmarkStart w:id="134" w:name="_Toc38006206"/>
      <w:r>
        <w:rPr>
          <w:rStyle w:val="CharSectno"/>
        </w:rPr>
        <w:t>90</w:t>
      </w:r>
      <w:r>
        <w:rPr>
          <w:snapToGrid w:val="0"/>
        </w:rPr>
        <w:t>.</w:t>
      </w:r>
      <w:r>
        <w:rPr>
          <w:snapToGrid w:val="0"/>
        </w:rPr>
        <w:tab/>
        <w:t>Voluntary disposition to defraud purchasers voidable</w:t>
      </w:r>
      <w:bookmarkEnd w:id="134"/>
    </w:p>
    <w:p>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pPr>
        <w:pStyle w:val="Heading5"/>
        <w:rPr>
          <w:snapToGrid w:val="0"/>
        </w:rPr>
      </w:pPr>
      <w:bookmarkStart w:id="135" w:name="_Toc38006207"/>
      <w:r>
        <w:rPr>
          <w:rStyle w:val="CharSectno"/>
        </w:rPr>
        <w:t>91</w:t>
      </w:r>
      <w:r>
        <w:rPr>
          <w:snapToGrid w:val="0"/>
        </w:rPr>
        <w:t>.</w:t>
      </w:r>
      <w:r>
        <w:rPr>
          <w:snapToGrid w:val="0"/>
        </w:rPr>
        <w:tab/>
        <w:t>Subsequent conveyance not to be evidence of intent to defraud</w:t>
      </w:r>
      <w:bookmarkEnd w:id="135"/>
    </w:p>
    <w:p>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rPr>
          <w:snapToGrid w:val="0"/>
        </w:rPr>
      </w:pPr>
      <w:bookmarkStart w:id="136" w:name="_Toc38006208"/>
      <w:r>
        <w:rPr>
          <w:rStyle w:val="CharSectno"/>
        </w:rPr>
        <w:t>92</w:t>
      </w:r>
      <w:r>
        <w:rPr>
          <w:snapToGrid w:val="0"/>
        </w:rPr>
        <w:t>.</w:t>
      </w:r>
      <w:r>
        <w:rPr>
          <w:snapToGrid w:val="0"/>
        </w:rPr>
        <w:tab/>
        <w:t>Acquisitions of reversions at an under value</w:t>
      </w:r>
      <w:bookmarkEnd w:id="136"/>
    </w:p>
    <w:p>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keepNext/>
        <w:keepLines/>
        <w:spacing w:before="140"/>
        <w:rPr>
          <w:snapToGrid w:val="0"/>
        </w:rPr>
      </w:pPr>
      <w:r>
        <w:rPr>
          <w:snapToGrid w:val="0"/>
        </w:rPr>
        <w:tab/>
        <w:t>(2)</w:t>
      </w:r>
      <w:r>
        <w:rPr>
          <w:snapToGrid w:val="0"/>
        </w:rPr>
        <w:tab/>
        <w:t xml:space="preserve">In this section </w:t>
      </w:r>
      <w:r>
        <w:rPr>
          <w:rStyle w:val="CharDefText"/>
        </w:rPr>
        <w:t>reversionary interest</w:t>
      </w:r>
      <w:r>
        <w:rPr>
          <w:snapToGrid w:val="0"/>
        </w:rPr>
        <w:t xml:space="preserve"> includes an expectancy or possibility.</w:t>
      </w:r>
    </w:p>
    <w:p>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137" w:name="_Toc38005863"/>
      <w:bookmarkStart w:id="138" w:name="_Toc38006036"/>
      <w:bookmarkStart w:id="139" w:name="_Toc38006209"/>
      <w:r>
        <w:rPr>
          <w:rStyle w:val="CharPartNo"/>
        </w:rPr>
        <w:t>Part X</w:t>
      </w:r>
      <w:r>
        <w:rPr>
          <w:rStyle w:val="CharDivNo"/>
        </w:rPr>
        <w:t> </w:t>
      </w:r>
      <w:r>
        <w:t>—</w:t>
      </w:r>
      <w:r>
        <w:rPr>
          <w:rStyle w:val="CharDivText"/>
        </w:rPr>
        <w:t> </w:t>
      </w:r>
      <w:r>
        <w:rPr>
          <w:rStyle w:val="CharPartText"/>
        </w:rPr>
        <w:t>Powers of appointment</w:t>
      </w:r>
      <w:bookmarkEnd w:id="137"/>
      <w:bookmarkEnd w:id="138"/>
      <w:bookmarkEnd w:id="139"/>
    </w:p>
    <w:p>
      <w:pPr>
        <w:pStyle w:val="Heading5"/>
        <w:spacing w:before="180"/>
        <w:rPr>
          <w:snapToGrid w:val="0"/>
        </w:rPr>
      </w:pPr>
      <w:bookmarkStart w:id="140" w:name="_Toc38006210"/>
      <w:r>
        <w:rPr>
          <w:rStyle w:val="CharSectno"/>
        </w:rPr>
        <w:t>93</w:t>
      </w:r>
      <w:r>
        <w:rPr>
          <w:snapToGrid w:val="0"/>
        </w:rPr>
        <w:t>.</w:t>
      </w:r>
      <w:r>
        <w:rPr>
          <w:snapToGrid w:val="0"/>
        </w:rPr>
        <w:tab/>
        <w:t>Disclaimer etc. of powers</w:t>
      </w:r>
      <w:bookmarkEnd w:id="140"/>
    </w:p>
    <w:p>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rPr>
          <w:snapToGrid w:val="0"/>
        </w:rPr>
      </w:pPr>
      <w:bookmarkStart w:id="141" w:name="_Toc38006211"/>
      <w:r>
        <w:rPr>
          <w:rStyle w:val="CharSectno"/>
        </w:rPr>
        <w:t>94</w:t>
      </w:r>
      <w:r>
        <w:rPr>
          <w:snapToGrid w:val="0"/>
        </w:rPr>
        <w:t>.</w:t>
      </w:r>
      <w:r>
        <w:rPr>
          <w:snapToGrid w:val="0"/>
        </w:rPr>
        <w:tab/>
        <w:t>Effect of disclaimer etc.</w:t>
      </w:r>
      <w:bookmarkEnd w:id="141"/>
    </w:p>
    <w:p>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rPr>
          <w:snapToGrid w:val="0"/>
        </w:rPr>
      </w:pPr>
      <w:bookmarkStart w:id="142" w:name="_Toc38006212"/>
      <w:r>
        <w:rPr>
          <w:rStyle w:val="CharSectno"/>
        </w:rPr>
        <w:t>95</w:t>
      </w:r>
      <w:r>
        <w:rPr>
          <w:snapToGrid w:val="0"/>
        </w:rPr>
        <w:t>.</w:t>
      </w:r>
      <w:r>
        <w:rPr>
          <w:snapToGrid w:val="0"/>
        </w:rPr>
        <w:tab/>
        <w:t>Protection of purchasers claiming under certain void appointments</w:t>
      </w:r>
      <w:bookmarkEnd w:id="142"/>
    </w:p>
    <w:p>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rPr>
          <w:snapToGrid w:val="0"/>
        </w:rPr>
      </w:pPr>
      <w:r>
        <w:rPr>
          <w:snapToGrid w:val="0"/>
        </w:rPr>
        <w:tab/>
        <w:t>(3)</w:t>
      </w:r>
      <w:r>
        <w:rPr>
          <w:snapToGrid w:val="0"/>
        </w:rPr>
        <w:tab/>
        <w:t xml:space="preserve">In this section </w:t>
      </w:r>
      <w:r>
        <w:rPr>
          <w:rStyle w:val="CharDefText"/>
        </w:rPr>
        <w:t>a purchaser in good faith</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143" w:name="_Toc38006213"/>
      <w:r>
        <w:rPr>
          <w:rStyle w:val="CharSectno"/>
        </w:rPr>
        <w:t>96</w:t>
      </w:r>
      <w:r>
        <w:rPr>
          <w:snapToGrid w:val="0"/>
        </w:rPr>
        <w:t>.</w:t>
      </w:r>
      <w:r>
        <w:rPr>
          <w:snapToGrid w:val="0"/>
        </w:rPr>
        <w:tab/>
        <w:t>Validation of appointments where objects are excluded or take illusory shares</w:t>
      </w:r>
      <w:bookmarkEnd w:id="143"/>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144" w:name="_Toc38006214"/>
      <w:r>
        <w:rPr>
          <w:rStyle w:val="CharSectno"/>
        </w:rPr>
        <w:t>97</w:t>
      </w:r>
      <w:r>
        <w:rPr>
          <w:snapToGrid w:val="0"/>
        </w:rPr>
        <w:t>.</w:t>
      </w:r>
      <w:r>
        <w:rPr>
          <w:snapToGrid w:val="0"/>
        </w:rPr>
        <w:tab/>
        <w:t>Execution of powers not testamentary</w:t>
      </w:r>
      <w:bookmarkEnd w:id="144"/>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145" w:name="_Toc38006215"/>
      <w:r>
        <w:rPr>
          <w:rStyle w:val="CharSectno"/>
        </w:rPr>
        <w:t>98</w:t>
      </w:r>
      <w:r>
        <w:rPr>
          <w:snapToGrid w:val="0"/>
        </w:rPr>
        <w:t>.</w:t>
      </w:r>
      <w:r>
        <w:rPr>
          <w:snapToGrid w:val="0"/>
        </w:rPr>
        <w:tab/>
        <w:t>Application of this Part to existing powers</w:t>
      </w:r>
      <w:bookmarkEnd w:id="145"/>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146" w:name="_Toc38005870"/>
      <w:bookmarkStart w:id="147" w:name="_Toc38006043"/>
      <w:bookmarkStart w:id="148" w:name="_Toc38006216"/>
      <w:r>
        <w:rPr>
          <w:rStyle w:val="CharPartNo"/>
        </w:rPr>
        <w:t>Part XI</w:t>
      </w:r>
      <w:r>
        <w:rPr>
          <w:rStyle w:val="CharDivNo"/>
        </w:rPr>
        <w:t> </w:t>
      </w:r>
      <w:r>
        <w:t>—</w:t>
      </w:r>
      <w:r>
        <w:rPr>
          <w:rStyle w:val="CharDivText"/>
        </w:rPr>
        <w:t> </w:t>
      </w:r>
      <w:r>
        <w:rPr>
          <w:rStyle w:val="CharPartText"/>
        </w:rPr>
        <w:t>Perpetuities and accumulations</w:t>
      </w:r>
      <w:bookmarkEnd w:id="146"/>
      <w:bookmarkEnd w:id="147"/>
      <w:bookmarkEnd w:id="148"/>
    </w:p>
    <w:p>
      <w:pPr>
        <w:pStyle w:val="Heading5"/>
        <w:spacing w:before="180"/>
        <w:rPr>
          <w:snapToGrid w:val="0"/>
        </w:rPr>
      </w:pPr>
      <w:bookmarkStart w:id="149" w:name="_Toc38006217"/>
      <w:r>
        <w:rPr>
          <w:rStyle w:val="CharSectno"/>
        </w:rPr>
        <w:t>99</w:t>
      </w:r>
      <w:r>
        <w:rPr>
          <w:snapToGrid w:val="0"/>
        </w:rPr>
        <w:t>.</w:t>
      </w:r>
      <w:r>
        <w:rPr>
          <w:snapToGrid w:val="0"/>
        </w:rPr>
        <w:tab/>
        <w:t>Application</w:t>
      </w:r>
      <w:bookmarkEnd w:id="149"/>
    </w:p>
    <w:p>
      <w:pPr>
        <w:pStyle w:val="Subsection"/>
        <w:rPr>
          <w:snapToGrid w:val="0"/>
        </w:rPr>
      </w:pPr>
      <w:r>
        <w:rPr>
          <w:snapToGrid w:val="0"/>
        </w:rPr>
        <w:tab/>
        <w:t>(1)</w:t>
      </w:r>
      <w:r>
        <w:rPr>
          <w:snapToGrid w:val="0"/>
        </w:rPr>
        <w:tab/>
        <w:t>Except where otherwise expressly provided in this Part, this Part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rPr>
          <w:snapToGrid w:val="0"/>
        </w:rPr>
      </w:pPr>
      <w:r>
        <w:rPr>
          <w:snapToGrid w:val="0"/>
        </w:rPr>
        <w:tab/>
        <w:t>(2)</w:t>
      </w:r>
      <w:r>
        <w:rPr>
          <w:snapToGrid w:val="0"/>
        </w:rPr>
        <w:tab/>
        <w:t>This Part binds the Crown.</w:t>
      </w:r>
    </w:p>
    <w:p>
      <w:pPr>
        <w:pStyle w:val="Heading5"/>
        <w:rPr>
          <w:snapToGrid w:val="0"/>
        </w:rPr>
      </w:pPr>
      <w:bookmarkStart w:id="150" w:name="_Toc38006218"/>
      <w:r>
        <w:rPr>
          <w:rStyle w:val="CharSectno"/>
        </w:rPr>
        <w:t>100</w:t>
      </w:r>
      <w:r>
        <w:rPr>
          <w:snapToGrid w:val="0"/>
        </w:rPr>
        <w:t>.</w:t>
      </w:r>
      <w:r>
        <w:rPr>
          <w:snapToGrid w:val="0"/>
        </w:rPr>
        <w:tab/>
        <w:t>Terms used in this Part</w:t>
      </w:r>
      <w:bookmarkEnd w:id="150"/>
    </w:p>
    <w:p>
      <w:pPr>
        <w:pStyle w:val="Subsection"/>
        <w:rPr>
          <w:snapToGrid w:val="0"/>
        </w:rPr>
      </w:pPr>
      <w:r>
        <w:rPr>
          <w:snapToGrid w:val="0"/>
        </w:rPr>
        <w:tab/>
      </w:r>
      <w:r>
        <w:rPr>
          <w:snapToGrid w:val="0"/>
        </w:rPr>
        <w:tab/>
        <w:t>In this Part, unless the context otherwise requires —</w:t>
      </w:r>
    </w:p>
    <w:p>
      <w:pPr>
        <w:pStyle w:val="Defstart"/>
        <w:spacing w:before="60"/>
      </w:pPr>
      <w:r>
        <w:rPr>
          <w:b/>
        </w:rPr>
        <w:tab/>
      </w:r>
      <w:r>
        <w:rPr>
          <w:rStyle w:val="CharDefText"/>
        </w:rPr>
        <w:t>Court</w:t>
      </w:r>
      <w:r>
        <w:t xml:space="preserve"> means the Supreme Court or a Judge;</w:t>
      </w:r>
    </w:p>
    <w:p>
      <w:pPr>
        <w:pStyle w:val="Defstart"/>
        <w:spacing w:before="60"/>
      </w:pPr>
      <w:r>
        <w:rPr>
          <w:b/>
        </w:rPr>
        <w:tab/>
      </w:r>
      <w:r>
        <w:rPr>
          <w:rStyle w:val="CharDefText"/>
        </w:rPr>
        <w:t>decision of the Court</w:t>
      </w:r>
      <w:r>
        <w:t xml:space="preserve"> includes the decision of a court hearing an appeal from the Court;</w:t>
      </w:r>
    </w:p>
    <w:p>
      <w:pPr>
        <w:pStyle w:val="Defstart"/>
        <w:spacing w:before="60"/>
      </w:pPr>
      <w:r>
        <w:rPr>
          <w:b/>
        </w:rPr>
        <w:tab/>
      </w:r>
      <w:r>
        <w:rPr>
          <w:rStyle w:val="CharDefText"/>
        </w:rPr>
        <w:t>instrument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r>
      <w:r>
        <w:rPr>
          <w:rStyle w:val="CharDefText"/>
        </w:rPr>
        <w:t>limitation</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r>
      <w:r>
        <w:rPr>
          <w:rStyle w:val="CharDefText"/>
        </w:rPr>
        <w:t>property</w:t>
      </w:r>
      <w:r>
        <w:t xml:space="preserve"> includes any thing in action, and any interest in real or personal property;</w:t>
      </w:r>
    </w:p>
    <w:p>
      <w:pPr>
        <w:pStyle w:val="Defstart"/>
        <w:spacing w:before="60"/>
      </w:pPr>
      <w:r>
        <w:rPr>
          <w:b/>
        </w:rPr>
        <w:tab/>
      </w:r>
      <w:r>
        <w:rPr>
          <w:rStyle w:val="CharDefText"/>
        </w:rPr>
        <w:t>trust</w:t>
      </w:r>
      <w:r>
        <w:t xml:space="preserve"> and </w:t>
      </w:r>
      <w:r>
        <w:rPr>
          <w:rStyle w:val="CharDefText"/>
        </w:rPr>
        <w:t>trustee</w:t>
      </w:r>
      <w:r>
        <w:t xml:space="preserve"> have the same meaning as in the </w:t>
      </w:r>
      <w:r>
        <w:rPr>
          <w:i/>
        </w:rPr>
        <w:t>Trustees Act 1962</w:t>
      </w:r>
      <w:r>
        <w:t>;</w:t>
      </w:r>
    </w:p>
    <w:p>
      <w:pPr>
        <w:pStyle w:val="Defstart"/>
        <w:spacing w:before="60"/>
      </w:pPr>
      <w:r>
        <w:rPr>
          <w:b/>
        </w:rPr>
        <w:tab/>
      </w:r>
      <w:r>
        <w:rPr>
          <w:rStyle w:val="CharDefText"/>
        </w:rPr>
        <w:t>will</w:t>
      </w:r>
      <w:r>
        <w:t xml:space="preserve"> includes a codicil.</w:t>
      </w:r>
    </w:p>
    <w:p>
      <w:pPr>
        <w:pStyle w:val="Heading5"/>
        <w:spacing w:before="180"/>
        <w:rPr>
          <w:snapToGrid w:val="0"/>
        </w:rPr>
      </w:pPr>
      <w:bookmarkStart w:id="151" w:name="_Toc38006219"/>
      <w:r>
        <w:rPr>
          <w:rStyle w:val="CharSectno"/>
        </w:rPr>
        <w:t>101</w:t>
      </w:r>
      <w:r>
        <w:rPr>
          <w:snapToGrid w:val="0"/>
        </w:rPr>
        <w:t>.</w:t>
      </w:r>
      <w:r>
        <w:rPr>
          <w:snapToGrid w:val="0"/>
        </w:rPr>
        <w:tab/>
        <w:t>The perpetuity period</w:t>
      </w:r>
      <w:bookmarkEnd w:id="151"/>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rPr>
          <w:snapToGrid w:val="0"/>
        </w:rPr>
      </w:pPr>
      <w:bookmarkStart w:id="152" w:name="_Toc38006220"/>
      <w:r>
        <w:rPr>
          <w:rStyle w:val="CharSectno"/>
        </w:rPr>
        <w:t>102</w:t>
      </w:r>
      <w:r>
        <w:rPr>
          <w:snapToGrid w:val="0"/>
        </w:rPr>
        <w:t>.</w:t>
      </w:r>
      <w:r>
        <w:rPr>
          <w:snapToGrid w:val="0"/>
        </w:rPr>
        <w:tab/>
        <w:t>Capacity to procreate or bear a child</w:t>
      </w:r>
      <w:bookmarkEnd w:id="152"/>
    </w:p>
    <w:p>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or child</w:t>
      </w:r>
      <w:r>
        <w:rPr>
          <w:snapToGrid w:val="0"/>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[Section 102 amended: No. 25 of 1972 s. 3; No. 28 of 2003 s. 161.]</w:t>
      </w:r>
    </w:p>
    <w:p>
      <w:pPr>
        <w:pStyle w:val="Heading5"/>
        <w:rPr>
          <w:snapToGrid w:val="0"/>
        </w:rPr>
      </w:pPr>
      <w:bookmarkStart w:id="153" w:name="_Toc38006221"/>
      <w:r>
        <w:rPr>
          <w:rStyle w:val="CharSectno"/>
        </w:rPr>
        <w:t>103</w:t>
      </w:r>
      <w:r>
        <w:rPr>
          <w:snapToGrid w:val="0"/>
        </w:rPr>
        <w:t>.</w:t>
      </w:r>
      <w:r>
        <w:rPr>
          <w:snapToGrid w:val="0"/>
        </w:rPr>
        <w:tab/>
        <w:t>Wait and see rule</w:t>
      </w:r>
      <w:bookmarkEnd w:id="153"/>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rPr>
          <w:snapToGrid w:val="0"/>
        </w:rPr>
      </w:pPr>
      <w:bookmarkStart w:id="154" w:name="_Toc38006222"/>
      <w:r>
        <w:rPr>
          <w:rStyle w:val="CharSectno"/>
        </w:rPr>
        <w:t>104</w:t>
      </w:r>
      <w:r>
        <w:rPr>
          <w:snapToGrid w:val="0"/>
        </w:rPr>
        <w:t>.</w:t>
      </w:r>
      <w:r>
        <w:rPr>
          <w:snapToGrid w:val="0"/>
        </w:rPr>
        <w:tab/>
        <w:t>Power of Court to make declaration as to validity of limitations</w:t>
      </w:r>
      <w:bookmarkEnd w:id="154"/>
    </w:p>
    <w:p>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rPr>
          <w:snapToGrid w:val="0"/>
        </w:rPr>
      </w:pPr>
      <w:bookmarkStart w:id="155" w:name="_Toc38006223"/>
      <w:r>
        <w:rPr>
          <w:rStyle w:val="CharSectno"/>
        </w:rPr>
        <w:t>105</w:t>
      </w:r>
      <w:r>
        <w:rPr>
          <w:snapToGrid w:val="0"/>
        </w:rPr>
        <w:t>.</w:t>
      </w:r>
      <w:r>
        <w:rPr>
          <w:snapToGrid w:val="0"/>
        </w:rPr>
        <w:tab/>
        <w:t>Invalid age contingencies</w:t>
      </w:r>
      <w:bookmarkEnd w:id="155"/>
    </w:p>
    <w:p>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No. 28 of 2003 s. 162.]</w:t>
      </w:r>
    </w:p>
    <w:p>
      <w:pPr>
        <w:pStyle w:val="Heading5"/>
        <w:rPr>
          <w:snapToGrid w:val="0"/>
        </w:rPr>
      </w:pPr>
      <w:bookmarkStart w:id="156" w:name="_Toc38006224"/>
      <w:r>
        <w:rPr>
          <w:rStyle w:val="CharSectno"/>
        </w:rPr>
        <w:t>106</w:t>
      </w:r>
      <w:r>
        <w:rPr>
          <w:snapToGrid w:val="0"/>
        </w:rPr>
        <w:t>.</w:t>
      </w:r>
      <w:r>
        <w:rPr>
          <w:snapToGrid w:val="0"/>
        </w:rPr>
        <w:tab/>
        <w:t>Class gifts</w:t>
      </w:r>
      <w:bookmarkEnd w:id="156"/>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157" w:name="_Toc38006225"/>
      <w:r>
        <w:rPr>
          <w:rStyle w:val="CharSectno"/>
        </w:rPr>
        <w:t>107</w:t>
      </w:r>
      <w:r>
        <w:rPr>
          <w:snapToGrid w:val="0"/>
        </w:rPr>
        <w:t>.</w:t>
      </w:r>
      <w:r>
        <w:rPr>
          <w:snapToGrid w:val="0"/>
        </w:rPr>
        <w:tab/>
        <w:t>Order of applying rules</w:t>
      </w:r>
      <w:bookmarkEnd w:id="157"/>
    </w:p>
    <w:p>
      <w:pPr>
        <w:pStyle w:val="Subsection"/>
        <w:rPr>
          <w:snapToGrid w:val="0"/>
        </w:rPr>
      </w:pPr>
      <w:r>
        <w:rPr>
          <w:snapToGrid w:val="0"/>
        </w:rPr>
        <w:tab/>
        <w:t>(1)</w:t>
      </w:r>
      <w:r>
        <w:rPr>
          <w:snapToGrid w:val="0"/>
        </w:rPr>
        <w:tab/>
        <w:t>The provisions of section 105 shall not be applied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158" w:name="_Toc38006226"/>
      <w:r>
        <w:rPr>
          <w:rStyle w:val="CharSectno"/>
        </w:rPr>
        <w:t>108</w:t>
      </w:r>
      <w:r>
        <w:rPr>
          <w:snapToGrid w:val="0"/>
        </w:rPr>
        <w:t>.</w:t>
      </w:r>
      <w:r>
        <w:rPr>
          <w:snapToGrid w:val="0"/>
        </w:rPr>
        <w:tab/>
        <w:t>Unborn spouses or de facto partners</w:t>
      </w:r>
      <w:bookmarkEnd w:id="158"/>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r>
        <w:tab/>
        <w:t>(2)</w:t>
      </w:r>
      <w:r>
        <w:tab/>
        <w:t>The de facto partner of a person who is a life in being for the purpose of the rule against perpetuities shall be deemed a life in being for the purpose of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No. 28 of 2003 s. 163.]</w:t>
      </w:r>
    </w:p>
    <w:p>
      <w:pPr>
        <w:pStyle w:val="Heading5"/>
        <w:rPr>
          <w:snapToGrid w:val="0"/>
        </w:rPr>
      </w:pPr>
      <w:bookmarkStart w:id="159" w:name="_Toc38006227"/>
      <w:r>
        <w:rPr>
          <w:rStyle w:val="CharSectno"/>
        </w:rPr>
        <w:t>109</w:t>
      </w:r>
      <w:r>
        <w:rPr>
          <w:snapToGrid w:val="0"/>
        </w:rPr>
        <w:t>.</w:t>
      </w:r>
      <w:r>
        <w:rPr>
          <w:snapToGrid w:val="0"/>
        </w:rPr>
        <w:tab/>
        <w:t>Dependent limitations</w:t>
      </w:r>
      <w:bookmarkEnd w:id="159"/>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160" w:name="_Toc38006228"/>
      <w:r>
        <w:rPr>
          <w:rStyle w:val="CharSectno"/>
        </w:rPr>
        <w:t>110</w:t>
      </w:r>
      <w:r>
        <w:rPr>
          <w:snapToGrid w:val="0"/>
        </w:rPr>
        <w:t>.</w:t>
      </w:r>
      <w:r>
        <w:rPr>
          <w:snapToGrid w:val="0"/>
        </w:rPr>
        <w:tab/>
        <w:t>Options</w:t>
      </w:r>
      <w:bookmarkEnd w:id="160"/>
    </w:p>
    <w:p>
      <w:pPr>
        <w:pStyle w:val="Subsection"/>
        <w:rPr>
          <w:snapToGrid w:val="0"/>
        </w:rPr>
      </w:pPr>
      <w:r>
        <w:rPr>
          <w:snapToGrid w:val="0"/>
        </w:rPr>
        <w:tab/>
        <w:t>(1)</w:t>
      </w:r>
      <w:r>
        <w:rPr>
          <w:snapToGrid w:val="0"/>
        </w:rPr>
        <w:tab/>
        <w:t>The rule against perpetuities does not apply to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161" w:name="_Toc38006229"/>
      <w:r>
        <w:rPr>
          <w:rStyle w:val="CharSectno"/>
        </w:rPr>
        <w:t>111</w:t>
      </w:r>
      <w:r>
        <w:rPr>
          <w:snapToGrid w:val="0"/>
        </w:rPr>
        <w:t>.</w:t>
      </w:r>
      <w:r>
        <w:rPr>
          <w:snapToGrid w:val="0"/>
        </w:rPr>
        <w:tab/>
        <w:t>Application of the rule to possibilities of reverter, rights of entry and resulting trusts</w:t>
      </w:r>
      <w:bookmarkEnd w:id="161"/>
    </w:p>
    <w:p>
      <w:pPr>
        <w:pStyle w:val="Subsection"/>
        <w:keepNext/>
        <w:rPr>
          <w:snapToGrid w:val="0"/>
        </w:rPr>
      </w:pPr>
      <w:r>
        <w:rPr>
          <w:snapToGrid w:val="0"/>
        </w:rPr>
        <w:tab/>
        <w:t>(1)</w:t>
      </w:r>
      <w:r>
        <w:rPr>
          <w:snapToGrid w:val="0"/>
        </w:rPr>
        <w:tab/>
        <w:t>The rule against perpetuities as amended by this Part applies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162" w:name="_Toc38006230"/>
      <w:r>
        <w:rPr>
          <w:rStyle w:val="CharSectno"/>
        </w:rPr>
        <w:t>112</w:t>
      </w:r>
      <w:r>
        <w:rPr>
          <w:snapToGrid w:val="0"/>
        </w:rPr>
        <w:t>.</w:t>
      </w:r>
      <w:r>
        <w:rPr>
          <w:snapToGrid w:val="0"/>
        </w:rPr>
        <w:tab/>
        <w:t>Powers of appointment</w:t>
      </w:r>
      <w:bookmarkEnd w:id="162"/>
    </w:p>
    <w:p>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163" w:name="_Toc38006231"/>
      <w:r>
        <w:rPr>
          <w:rStyle w:val="CharSectno"/>
        </w:rPr>
        <w:t>113</w:t>
      </w:r>
      <w:r>
        <w:rPr>
          <w:snapToGrid w:val="0"/>
        </w:rPr>
        <w:t>.</w:t>
      </w:r>
      <w:r>
        <w:rPr>
          <w:snapToGrid w:val="0"/>
        </w:rPr>
        <w:tab/>
        <w:t>Accumulations of income</w:t>
      </w:r>
      <w:bookmarkEnd w:id="163"/>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164" w:name="_Toc38006232"/>
      <w:r>
        <w:rPr>
          <w:rStyle w:val="CharSectno"/>
        </w:rPr>
        <w:t>114</w:t>
      </w:r>
      <w:r>
        <w:rPr>
          <w:snapToGrid w:val="0"/>
        </w:rPr>
        <w:t>.</w:t>
      </w:r>
      <w:r>
        <w:rPr>
          <w:snapToGrid w:val="0"/>
        </w:rPr>
        <w:tab/>
        <w:t>Rule in Whitby v. Mitchell abolished</w:t>
      </w:r>
      <w:bookmarkEnd w:id="164"/>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165" w:name="_Toc38006233"/>
      <w:r>
        <w:rPr>
          <w:rStyle w:val="CharSectno"/>
        </w:rPr>
        <w:t>115</w:t>
      </w:r>
      <w:r>
        <w:rPr>
          <w:snapToGrid w:val="0"/>
        </w:rPr>
        <w:t>.</w:t>
      </w:r>
      <w:r>
        <w:rPr>
          <w:snapToGrid w:val="0"/>
        </w:rPr>
        <w:tab/>
        <w:t>Superannuation funds etc.</w:t>
      </w:r>
      <w:bookmarkEnd w:id="165"/>
    </w:p>
    <w:p>
      <w:pPr>
        <w:pStyle w:val="Subsection"/>
        <w:rPr>
          <w:snapToGrid w:val="0"/>
        </w:rPr>
      </w:pPr>
      <w:r>
        <w:rPr>
          <w:snapToGrid w:val="0"/>
        </w:rPr>
        <w:tab/>
        <w:t>(1)</w:t>
      </w:r>
      <w:r>
        <w:rPr>
          <w:snapToGrid w:val="0"/>
        </w:rPr>
        <w:tab/>
        <w:t>The rule against perpetuities does not apply and shall be deemed never to have applied to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rStyle w:val="CharDefText"/>
        </w:rPr>
        <w:t>employee</w:t>
      </w:r>
      <w:r>
        <w:rPr>
          <w:snapToGrid w:val="0"/>
        </w:rPr>
        <w:t xml:space="preserve"> includes any director, officer, servant or person at any time in the employment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rStyle w:val="CharDefText"/>
        </w:rPr>
        <w:t>employer</w:t>
      </w:r>
      <w:r>
        <w:rPr>
          <w:snapToGrid w:val="0"/>
        </w:rPr>
        <w:t xml:space="preserve"> includes a company.</w:t>
      </w:r>
    </w:p>
    <w:p>
      <w:pPr>
        <w:pStyle w:val="Footnotesection"/>
      </w:pPr>
      <w:r>
        <w:tab/>
        <w:t>[Section 115 amended: No. 28 of 2003 s. 164.]</w:t>
      </w:r>
    </w:p>
    <w:p>
      <w:pPr>
        <w:pStyle w:val="Heading2"/>
      </w:pPr>
      <w:bookmarkStart w:id="166" w:name="_Toc38005888"/>
      <w:bookmarkStart w:id="167" w:name="_Toc38006061"/>
      <w:bookmarkStart w:id="168" w:name="_Toc38006234"/>
      <w:r>
        <w:rPr>
          <w:rStyle w:val="CharPartNo"/>
        </w:rPr>
        <w:t>Part XII</w:t>
      </w:r>
      <w:r>
        <w:rPr>
          <w:rStyle w:val="CharDivNo"/>
        </w:rPr>
        <w:t> </w:t>
      </w:r>
      <w:r>
        <w:t>—</w:t>
      </w:r>
      <w:r>
        <w:rPr>
          <w:rStyle w:val="CharDivText"/>
        </w:rPr>
        <w:t> </w:t>
      </w:r>
      <w:r>
        <w:rPr>
          <w:rStyle w:val="CharPartText"/>
        </w:rPr>
        <w:t>Succession</w:t>
      </w:r>
      <w:bookmarkEnd w:id="166"/>
      <w:bookmarkEnd w:id="167"/>
      <w:bookmarkEnd w:id="168"/>
    </w:p>
    <w:p>
      <w:pPr>
        <w:pStyle w:val="Ednotesection"/>
      </w:pPr>
      <w:r>
        <w:t>[</w:t>
      </w:r>
      <w:r>
        <w:rPr>
          <w:b/>
        </w:rPr>
        <w:t>116</w:t>
      </w:r>
      <w:r>
        <w:rPr>
          <w:b/>
        </w:rPr>
        <w:noBreakHyphen/>
        <w:t>117.</w:t>
      </w:r>
      <w:r>
        <w:tab/>
        <w:t>Deleted: No. 12 of 1970 s. 3.]</w:t>
      </w:r>
    </w:p>
    <w:p>
      <w:pPr>
        <w:pStyle w:val="Heading5"/>
        <w:rPr>
          <w:snapToGrid w:val="0"/>
        </w:rPr>
      </w:pPr>
      <w:bookmarkStart w:id="169" w:name="_Toc38006235"/>
      <w:r>
        <w:rPr>
          <w:rStyle w:val="CharSectno"/>
        </w:rPr>
        <w:t>118</w:t>
      </w:r>
      <w:r>
        <w:rPr>
          <w:snapToGrid w:val="0"/>
        </w:rPr>
        <w:t>.</w:t>
      </w:r>
      <w:r>
        <w:rPr>
          <w:snapToGrid w:val="0"/>
        </w:rPr>
        <w:tab/>
        <w:t>Intermediate income of executory or contingent gifts</w:t>
      </w:r>
      <w:bookmarkEnd w:id="169"/>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170" w:name="_Toc38006236"/>
      <w:r>
        <w:rPr>
          <w:rStyle w:val="CharSectno"/>
        </w:rPr>
        <w:t>119</w:t>
      </w:r>
      <w:r>
        <w:rPr>
          <w:snapToGrid w:val="0"/>
        </w:rPr>
        <w:t>.</w:t>
      </w:r>
      <w:r>
        <w:rPr>
          <w:snapToGrid w:val="0"/>
        </w:rPr>
        <w:tab/>
        <w:t>Application of section 120</w:t>
      </w:r>
      <w:bookmarkEnd w:id="170"/>
    </w:p>
    <w:p>
      <w:pPr>
        <w:pStyle w:val="Subsection"/>
        <w:keepNext/>
        <w:rPr>
          <w:snapToGrid w:val="0"/>
        </w:rPr>
      </w:pPr>
      <w:r>
        <w:rPr>
          <w:snapToGrid w:val="0"/>
        </w:rPr>
        <w:tab/>
        <w:t>(1)</w:t>
      </w:r>
      <w:r>
        <w:rPr>
          <w:snapToGrid w:val="0"/>
        </w:rPr>
        <w:tab/>
        <w:t>Section 120 applies in respect of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171" w:name="_Toc38006237"/>
      <w:r>
        <w:rPr>
          <w:rStyle w:val="CharSectno"/>
        </w:rPr>
        <w:t>120</w:t>
      </w:r>
      <w:r>
        <w:rPr>
          <w:snapToGrid w:val="0"/>
        </w:rPr>
        <w:t>.</w:t>
      </w:r>
      <w:r>
        <w:rPr>
          <w:snapToGrid w:val="0"/>
        </w:rPr>
        <w:tab/>
        <w:t>Devolution of property in cases of simultaneous deaths</w:t>
      </w:r>
      <w:bookmarkEnd w:id="171"/>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w:t>
      </w:r>
      <w:r>
        <w:t xml:space="preserve"> disposition</w:t>
      </w:r>
      <w:r>
        <w:rPr>
          <w:snapToGrid w:val="0"/>
        </w:rPr>
        <w:t>, any property is devised or bequeathed or appointed to the survivor of 2 or more of the testator’s children or other issue within the meaning of section 117</w:t>
      </w:r>
      <w:r>
        <w:rPr>
          <w:snapToGrid w:val="0"/>
          <w:vertAlign w:val="superscript"/>
        </w:rPr>
        <w:t> 4</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Footnotesection"/>
      </w:pPr>
      <w:r>
        <w:tab/>
        <w:t>[Section 120 amended: No. 27 of 2007 s. 25.]</w:t>
      </w:r>
    </w:p>
    <w:p>
      <w:pPr>
        <w:pStyle w:val="Heading2"/>
      </w:pPr>
      <w:bookmarkStart w:id="172" w:name="_Toc38005892"/>
      <w:bookmarkStart w:id="173" w:name="_Toc38006065"/>
      <w:bookmarkStart w:id="174" w:name="_Toc38006238"/>
      <w:r>
        <w:rPr>
          <w:rStyle w:val="CharPartNo"/>
        </w:rPr>
        <w:t>Part XIII</w:t>
      </w:r>
      <w:r>
        <w:rPr>
          <w:rStyle w:val="CharDivNo"/>
        </w:rPr>
        <w:t> </w:t>
      </w:r>
      <w:r>
        <w:t>—</w:t>
      </w:r>
      <w:r>
        <w:rPr>
          <w:rStyle w:val="CharDivText"/>
        </w:rPr>
        <w:t> </w:t>
      </w:r>
      <w:r>
        <w:rPr>
          <w:rStyle w:val="CharPartText"/>
        </w:rPr>
        <w:t>Easements, encroachments and mistake</w:t>
      </w:r>
      <w:bookmarkEnd w:id="172"/>
      <w:bookmarkEnd w:id="173"/>
      <w:bookmarkEnd w:id="174"/>
    </w:p>
    <w:p>
      <w:pPr>
        <w:pStyle w:val="Heading5"/>
        <w:spacing w:before="180"/>
        <w:rPr>
          <w:snapToGrid w:val="0"/>
        </w:rPr>
      </w:pPr>
      <w:bookmarkStart w:id="175" w:name="_Toc38006239"/>
      <w:r>
        <w:rPr>
          <w:rStyle w:val="CharSectno"/>
        </w:rPr>
        <w:t>121</w:t>
      </w:r>
      <w:r>
        <w:rPr>
          <w:snapToGrid w:val="0"/>
        </w:rPr>
        <w:t>.</w:t>
      </w:r>
      <w:r>
        <w:rPr>
          <w:snapToGrid w:val="0"/>
        </w:rPr>
        <w:tab/>
        <w:t>Easement of light and air only by registered grant or instrument</w:t>
      </w:r>
      <w:bookmarkEnd w:id="175"/>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176" w:name="_Toc38006240"/>
      <w:r>
        <w:rPr>
          <w:rStyle w:val="CharSectno"/>
        </w:rPr>
        <w:t>122</w:t>
      </w:r>
      <w:r>
        <w:rPr>
          <w:snapToGrid w:val="0"/>
        </w:rPr>
        <w:t>.</w:t>
      </w:r>
      <w:r>
        <w:rPr>
          <w:snapToGrid w:val="0"/>
        </w:rPr>
        <w:tab/>
        <w:t>Power of Court to grant special relief in cases of encroachment</w:t>
      </w:r>
      <w:bookmarkEnd w:id="176"/>
    </w:p>
    <w:p>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rPr>
          <w:snapToGrid w:val="0"/>
        </w:rPr>
      </w:pPr>
      <w:r>
        <w:rPr>
          <w:snapToGrid w:val="0"/>
        </w:rPr>
        <w:tab/>
        <w:t>(5B)</w:t>
      </w:r>
      <w:r>
        <w:rPr>
          <w:snapToGrid w:val="0"/>
        </w:rPr>
        <w:tab/>
        <w:t>For the purposes of subsection (5A), the Court may, if in its opinion notice of the application or proposal should be given to any person referred to in subsection (5A),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rStyle w:val="CharDefText"/>
        </w:rPr>
        <w:t>building</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pPr>
      <w:r>
        <w:tab/>
        <w:t>[Section 122 amended: No. 84 of 1994 s. 46(11); No. 14 of 1996 s. 4; No. 38 of 2005 s. 15; No. 19 of 2010 s. 51.]</w:t>
      </w:r>
    </w:p>
    <w:p>
      <w:pPr>
        <w:pStyle w:val="Heading5"/>
        <w:rPr>
          <w:snapToGrid w:val="0"/>
        </w:rPr>
      </w:pPr>
      <w:bookmarkStart w:id="177" w:name="_Toc38006241"/>
      <w:r>
        <w:rPr>
          <w:rStyle w:val="CharSectno"/>
        </w:rPr>
        <w:t>123</w:t>
      </w:r>
      <w:r>
        <w:rPr>
          <w:snapToGrid w:val="0"/>
        </w:rPr>
        <w:t>.</w:t>
      </w:r>
      <w:r>
        <w:rPr>
          <w:snapToGrid w:val="0"/>
        </w:rPr>
        <w:tab/>
        <w:t>Relief in cases of mistake as to boundaries or identity of land</w:t>
      </w:r>
      <w:bookmarkEnd w:id="177"/>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pPr>
      <w:r>
        <w:tab/>
        <w:t>[Section 123 amended: No. 84 of 1994 s. 46(11); No. 14 of 1996 s. 4; No. 38 of 2005 s. 15.]</w:t>
      </w:r>
    </w:p>
    <w:p>
      <w:pPr>
        <w:pStyle w:val="Heading5"/>
        <w:keepLines w:val="0"/>
        <w:rPr>
          <w:snapToGrid w:val="0"/>
        </w:rPr>
      </w:pPr>
      <w:bookmarkStart w:id="178" w:name="_Toc38006242"/>
      <w:r>
        <w:rPr>
          <w:rStyle w:val="CharSectno"/>
        </w:rPr>
        <w:t>124</w:t>
      </w:r>
      <w:r>
        <w:rPr>
          <w:snapToGrid w:val="0"/>
        </w:rPr>
        <w:t>.</w:t>
      </w:r>
      <w:r>
        <w:rPr>
          <w:snapToGrid w:val="0"/>
        </w:rPr>
        <w:tab/>
        <w:t>Recovery of payments made under mistake of law</w:t>
      </w:r>
      <w:bookmarkEnd w:id="178"/>
    </w:p>
    <w:p>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Lines w:val="0"/>
        <w:rPr>
          <w:snapToGrid w:val="0"/>
        </w:rPr>
      </w:pPr>
      <w:bookmarkStart w:id="179" w:name="_Toc38006243"/>
      <w:r>
        <w:rPr>
          <w:rStyle w:val="CharSectno"/>
        </w:rPr>
        <w:t>125</w:t>
      </w:r>
      <w:r>
        <w:rPr>
          <w:snapToGrid w:val="0"/>
        </w:rPr>
        <w:t>.</w:t>
      </w:r>
      <w:r>
        <w:rPr>
          <w:snapToGrid w:val="0"/>
        </w:rPr>
        <w:tab/>
        <w:t>Payments made under mistake of law or fact not always recoverable</w:t>
      </w:r>
      <w:bookmarkEnd w:id="179"/>
    </w:p>
    <w:p>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180" w:name="_Toc38005898"/>
      <w:bookmarkStart w:id="181" w:name="_Toc38006071"/>
      <w:bookmarkStart w:id="182" w:name="_Toc38006244"/>
      <w:r>
        <w:rPr>
          <w:rStyle w:val="CharPartNo"/>
        </w:rPr>
        <w:t>Part XIV</w:t>
      </w:r>
      <w:r>
        <w:rPr>
          <w:rStyle w:val="CharDivNo"/>
        </w:rPr>
        <w:t> </w:t>
      </w:r>
      <w:r>
        <w:t>—</w:t>
      </w:r>
      <w:r>
        <w:rPr>
          <w:rStyle w:val="CharDivText"/>
        </w:rPr>
        <w:t> </w:t>
      </w:r>
      <w:r>
        <w:rPr>
          <w:rStyle w:val="CharPartText"/>
        </w:rPr>
        <w:t>Partition of land and division of chattels</w:t>
      </w:r>
      <w:bookmarkEnd w:id="180"/>
      <w:bookmarkEnd w:id="181"/>
      <w:bookmarkEnd w:id="182"/>
    </w:p>
    <w:p>
      <w:pPr>
        <w:pStyle w:val="Heading5"/>
        <w:spacing w:before="180"/>
        <w:rPr>
          <w:snapToGrid w:val="0"/>
        </w:rPr>
      </w:pPr>
      <w:bookmarkStart w:id="183" w:name="_Toc38006245"/>
      <w:r>
        <w:rPr>
          <w:rStyle w:val="CharSectno"/>
        </w:rPr>
        <w:t>126</w:t>
      </w:r>
      <w:r>
        <w:rPr>
          <w:snapToGrid w:val="0"/>
        </w:rPr>
        <w:t>.</w:t>
      </w:r>
      <w:r>
        <w:rPr>
          <w:snapToGrid w:val="0"/>
        </w:rPr>
        <w:tab/>
        <w:t>In action for partition Court may direct land to be sold</w:t>
      </w:r>
      <w:bookmarkEnd w:id="183"/>
    </w:p>
    <w:p>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rPr>
          <w:snapToGrid w:val="0"/>
        </w:rPr>
      </w:pPr>
      <w:bookmarkStart w:id="184" w:name="_Toc38006246"/>
      <w:r>
        <w:rPr>
          <w:rStyle w:val="CharSectno"/>
        </w:rPr>
        <w:t>127</w:t>
      </w:r>
      <w:r>
        <w:rPr>
          <w:snapToGrid w:val="0"/>
        </w:rPr>
        <w:t>.</w:t>
      </w:r>
      <w:r>
        <w:rPr>
          <w:snapToGrid w:val="0"/>
        </w:rPr>
        <w:tab/>
        <w:t>Proceeds of sale, how applied</w:t>
      </w:r>
      <w:bookmarkEnd w:id="184"/>
    </w:p>
    <w:p>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185" w:name="_Toc38006247"/>
      <w:r>
        <w:rPr>
          <w:rStyle w:val="CharSectno"/>
        </w:rPr>
        <w:t>128</w:t>
      </w:r>
      <w:r>
        <w:rPr>
          <w:snapToGrid w:val="0"/>
        </w:rPr>
        <w:t>.</w:t>
      </w:r>
      <w:r>
        <w:rPr>
          <w:snapToGrid w:val="0"/>
        </w:rPr>
        <w:tab/>
        <w:t>Costs in partition suits</w:t>
      </w:r>
      <w:bookmarkEnd w:id="185"/>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186" w:name="_Toc38006248"/>
      <w:r>
        <w:rPr>
          <w:rStyle w:val="CharSectno"/>
        </w:rPr>
        <w:t>129</w:t>
      </w:r>
      <w:r>
        <w:rPr>
          <w:snapToGrid w:val="0"/>
        </w:rPr>
        <w:t>.</w:t>
      </w:r>
      <w:r>
        <w:rPr>
          <w:snapToGrid w:val="0"/>
        </w:rPr>
        <w:tab/>
        <w:t>Division of chattels</w:t>
      </w:r>
      <w:bookmarkEnd w:id="186"/>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187" w:name="_Toc38005903"/>
      <w:bookmarkStart w:id="188" w:name="_Toc38006076"/>
      <w:bookmarkStart w:id="189" w:name="_Toc38006249"/>
      <w:r>
        <w:rPr>
          <w:rStyle w:val="CharPartNo"/>
        </w:rPr>
        <w:t>Part XV</w:t>
      </w:r>
      <w:r>
        <w:rPr>
          <w:rStyle w:val="CharDivNo"/>
        </w:rPr>
        <w:t> </w:t>
      </w:r>
      <w:r>
        <w:t>—</w:t>
      </w:r>
      <w:r>
        <w:rPr>
          <w:rStyle w:val="CharDivText"/>
        </w:rPr>
        <w:t> </w:t>
      </w:r>
      <w:r>
        <w:rPr>
          <w:rStyle w:val="CharPartText"/>
        </w:rPr>
        <w:t>Apportionment</w:t>
      </w:r>
      <w:bookmarkEnd w:id="187"/>
      <w:bookmarkEnd w:id="188"/>
      <w:bookmarkEnd w:id="189"/>
    </w:p>
    <w:p>
      <w:pPr>
        <w:pStyle w:val="Heading5"/>
        <w:rPr>
          <w:snapToGrid w:val="0"/>
        </w:rPr>
      </w:pPr>
      <w:bookmarkStart w:id="190" w:name="_Toc38006250"/>
      <w:r>
        <w:rPr>
          <w:rStyle w:val="CharSectno"/>
        </w:rPr>
        <w:t>130</w:t>
      </w:r>
      <w:r>
        <w:rPr>
          <w:snapToGrid w:val="0"/>
        </w:rPr>
        <w:t>.</w:t>
      </w:r>
      <w:r>
        <w:rPr>
          <w:snapToGrid w:val="0"/>
        </w:rPr>
        <w:tab/>
        <w:t>Terms used in this Part</w:t>
      </w:r>
      <w:bookmarkEnd w:id="190"/>
    </w:p>
    <w:p>
      <w:pPr>
        <w:pStyle w:val="Subsection"/>
        <w:keepNext/>
        <w:rPr>
          <w:snapToGrid w:val="0"/>
        </w:rPr>
      </w:pPr>
      <w:r>
        <w:rPr>
          <w:snapToGrid w:val="0"/>
        </w:rPr>
        <w:tab/>
        <w:t>(1)</w:t>
      </w:r>
      <w:r>
        <w:rPr>
          <w:snapToGrid w:val="0"/>
        </w:rPr>
        <w:tab/>
        <w:t>In this Part, unless the contrary intention appears —</w:t>
      </w:r>
    </w:p>
    <w:p>
      <w:pPr>
        <w:pStyle w:val="Defstart"/>
      </w:pPr>
      <w:r>
        <w:rPr>
          <w:b/>
        </w:rPr>
        <w:tab/>
      </w:r>
      <w:r>
        <w:rPr>
          <w:rStyle w:val="CharDefText"/>
        </w:rPr>
        <w:t>annuities</w:t>
      </w:r>
      <w:r>
        <w:t xml:space="preserve"> includes salaries and pensions;</w:t>
      </w:r>
    </w:p>
    <w:p>
      <w:pPr>
        <w:pStyle w:val="Defstart"/>
      </w:pPr>
      <w:r>
        <w:rPr>
          <w:b/>
        </w:rPr>
        <w:tab/>
      </w:r>
      <w:r>
        <w:rPr>
          <w:rStyle w:val="CharDefText"/>
        </w:rPr>
        <w:t>dividends</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r>
      <w:r>
        <w:rPr>
          <w:rStyle w:val="CharDefText"/>
        </w:rPr>
        <w:t>rent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191" w:name="_Toc38006251"/>
      <w:r>
        <w:rPr>
          <w:rStyle w:val="CharSectno"/>
        </w:rPr>
        <w:t>131</w:t>
      </w:r>
      <w:r>
        <w:rPr>
          <w:snapToGrid w:val="0"/>
        </w:rPr>
        <w:t>.</w:t>
      </w:r>
      <w:r>
        <w:rPr>
          <w:snapToGrid w:val="0"/>
        </w:rPr>
        <w:tab/>
        <w:t>Income apportionable in respect of time</w:t>
      </w:r>
      <w:bookmarkEnd w:id="191"/>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192" w:name="_Toc38006252"/>
      <w:r>
        <w:rPr>
          <w:rStyle w:val="CharSectno"/>
        </w:rPr>
        <w:t>132</w:t>
      </w:r>
      <w:r>
        <w:rPr>
          <w:snapToGrid w:val="0"/>
        </w:rPr>
        <w:t>.</w:t>
      </w:r>
      <w:r>
        <w:rPr>
          <w:snapToGrid w:val="0"/>
        </w:rPr>
        <w:tab/>
        <w:t>Time when apportioned part payable</w:t>
      </w:r>
      <w:bookmarkEnd w:id="192"/>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193" w:name="_Toc38006253"/>
      <w:r>
        <w:rPr>
          <w:rStyle w:val="CharSectno"/>
        </w:rPr>
        <w:t>133</w:t>
      </w:r>
      <w:r>
        <w:rPr>
          <w:snapToGrid w:val="0"/>
        </w:rPr>
        <w:t>.</w:t>
      </w:r>
      <w:r>
        <w:rPr>
          <w:snapToGrid w:val="0"/>
        </w:rPr>
        <w:tab/>
        <w:t>Recovery of apportioned parts</w:t>
      </w:r>
      <w:bookmarkEnd w:id="193"/>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194" w:name="_Toc38006254"/>
      <w:r>
        <w:rPr>
          <w:rStyle w:val="CharSectno"/>
        </w:rPr>
        <w:t>134</w:t>
      </w:r>
      <w:r>
        <w:rPr>
          <w:snapToGrid w:val="0"/>
        </w:rPr>
        <w:t>.</w:t>
      </w:r>
      <w:r>
        <w:rPr>
          <w:snapToGrid w:val="0"/>
        </w:rPr>
        <w:tab/>
        <w:t>Exceptions and application</w:t>
      </w:r>
      <w:bookmarkEnd w:id="194"/>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195" w:name="_Toc38005909"/>
      <w:bookmarkStart w:id="196" w:name="_Toc38006082"/>
      <w:bookmarkStart w:id="197" w:name="_Toc38006255"/>
      <w:r>
        <w:rPr>
          <w:rStyle w:val="CharPartNo"/>
        </w:rPr>
        <w:t>Part XVI</w:t>
      </w:r>
      <w:r>
        <w:rPr>
          <w:rStyle w:val="CharDivNo"/>
        </w:rPr>
        <w:t> </w:t>
      </w:r>
      <w:r>
        <w:t>—</w:t>
      </w:r>
      <w:r>
        <w:rPr>
          <w:rStyle w:val="CharDivText"/>
        </w:rPr>
        <w:t> </w:t>
      </w:r>
      <w:r>
        <w:rPr>
          <w:rStyle w:val="CharPartText"/>
        </w:rPr>
        <w:t>Service of notices</w:t>
      </w:r>
      <w:bookmarkEnd w:id="195"/>
      <w:bookmarkEnd w:id="196"/>
      <w:bookmarkEnd w:id="197"/>
    </w:p>
    <w:p>
      <w:pPr>
        <w:pStyle w:val="Heading5"/>
        <w:rPr>
          <w:snapToGrid w:val="0"/>
        </w:rPr>
      </w:pPr>
      <w:bookmarkStart w:id="198" w:name="_Toc38006256"/>
      <w:r>
        <w:rPr>
          <w:rStyle w:val="CharSectno"/>
        </w:rPr>
        <w:t>135</w:t>
      </w:r>
      <w:r>
        <w:rPr>
          <w:snapToGrid w:val="0"/>
        </w:rPr>
        <w:t>.</w:t>
      </w:r>
      <w:r>
        <w:rPr>
          <w:snapToGrid w:val="0"/>
        </w:rPr>
        <w:tab/>
        <w:t>Mode of service</w:t>
      </w:r>
      <w:bookmarkEnd w:id="198"/>
    </w:p>
    <w:p>
      <w:pPr>
        <w:pStyle w:val="Subsection"/>
        <w:rPr>
          <w:snapToGrid w:val="0"/>
        </w:rPr>
      </w:pPr>
      <w:r>
        <w:rPr>
          <w:snapToGrid w:val="0"/>
        </w:rPr>
        <w:tab/>
        <w:t>(1A)</w:t>
      </w:r>
      <w:r>
        <w:rPr>
          <w:snapToGrid w:val="0"/>
        </w:rPr>
        <w:tab/>
        <w:t>A notice required or authorised by this Act to be served on any person or any notice served on any person under any instrument or agreement that relates to property may be served on that person —</w:t>
      </w:r>
    </w:p>
    <w:p>
      <w:pPr>
        <w:pStyle w:val="Indenta"/>
        <w:rPr>
          <w:snapToGrid w:val="0"/>
        </w:rPr>
      </w:pPr>
      <w:r>
        <w:rPr>
          <w:snapToGrid w:val="0"/>
        </w:rPr>
        <w:tab/>
        <w:t>(a)</w:t>
      </w:r>
      <w:r>
        <w:rPr>
          <w:snapToGrid w:val="0"/>
        </w:rPr>
        <w:tab/>
        <w:t>by delivering the notice to him personally;</w:t>
      </w:r>
    </w:p>
    <w:p>
      <w:pPr>
        <w:pStyle w:val="Indenta"/>
        <w:rPr>
          <w:snapToGrid w:val="0"/>
        </w:rPr>
      </w:pPr>
      <w:r>
        <w:rPr>
          <w:snapToGrid w:val="0"/>
        </w:rPr>
        <w:tab/>
        <w:t>(b)</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(c)</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(d)</w:t>
      </w:r>
      <w:r>
        <w:rPr>
          <w:snapToGrid w:val="0"/>
        </w:rPr>
        <w:tab/>
        <w:t>in the case of a corporation by leaving it or by posting it as a letter addressed in either case to the corporation at its registered office or principal place of business in the State.</w:t>
      </w:r>
    </w:p>
    <w:p>
      <w:pPr>
        <w:pStyle w:val="Subsection"/>
        <w:rPr>
          <w:snapToGrid w:val="0"/>
        </w:rPr>
      </w:pPr>
      <w:r>
        <w:rPr>
          <w:snapToGrid w:val="0"/>
        </w:rPr>
        <w:tab/>
        <w:t>(1B)</w:t>
      </w:r>
      <w:r>
        <w:rPr>
          <w:snapToGrid w:val="0"/>
        </w:rPr>
        <w:tab/>
        <w:t xml:space="preserve">A notice </w:t>
      </w:r>
      <w:r>
        <w:t xml:space="preserve">posted as provided in subsection (1A) </w:t>
      </w:r>
      <w:r>
        <w:rPr>
          <w:snapToGrid w:val="0"/>
        </w:rPr>
        <w:t>shall be deemed to have been served, unless the contrary is shown, at the time when by the ordinary course of post the notice would be delivered.</w:t>
      </w:r>
    </w:p>
    <w:p>
      <w:pPr>
        <w:pStyle w:val="Subsection"/>
        <w:rPr>
          <w:snapToGrid w:val="0"/>
        </w:rPr>
      </w:pPr>
      <w:r>
        <w:rPr>
          <w:snapToGrid w:val="0"/>
        </w:rPr>
        <w:tab/>
        <w:t>(2A)</w:t>
      </w:r>
      <w:r>
        <w:rPr>
          <w:snapToGrid w:val="0"/>
        </w:rPr>
        <w:tab/>
        <w:t>If the person is absent from the State, the notice may be delivered as provided in subsection (1A) to his agent in the State.</w:t>
      </w:r>
    </w:p>
    <w:p>
      <w:pPr>
        <w:pStyle w:val="Subsection"/>
        <w:rPr>
          <w:snapToGrid w:val="0"/>
        </w:rPr>
      </w:pPr>
      <w:r>
        <w:rPr>
          <w:snapToGrid w:val="0"/>
        </w:rPr>
        <w:tab/>
        <w:t>(2B)</w:t>
      </w:r>
      <w:r>
        <w:rPr>
          <w:snapToGrid w:val="0"/>
        </w:rPr>
        <w:tab/>
        <w:t xml:space="preserve">If the person is deceased, the notice may be </w:t>
      </w:r>
      <w:r>
        <w:t xml:space="preserve">delivered as provided in subsection (1A) </w:t>
      </w:r>
      <w:r>
        <w:rPr>
          <w:snapToGrid w:val="0"/>
        </w:rPr>
        <w:t>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pStyle w:val="Footnotesection"/>
      </w:pPr>
      <w:r>
        <w:tab/>
        <w:t xml:space="preserve">[Section 135 amended: No. 19 of 2010 s. 51.]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99" w:name="_Toc38005911"/>
      <w:bookmarkStart w:id="200" w:name="_Toc38006084"/>
      <w:bookmarkStart w:id="201" w:name="_Toc38006257"/>
      <w:r>
        <w:rPr>
          <w:rStyle w:val="CharSchNo"/>
        </w:rPr>
        <w:t>First Schedule </w:t>
      </w:r>
      <w:r>
        <w:t>— </w:t>
      </w:r>
      <w:r>
        <w:rPr>
          <w:rStyle w:val="CharSchText"/>
        </w:rPr>
        <w:t>Adopted Acts ceasing to have effect</w:t>
      </w:r>
      <w:bookmarkEnd w:id="199"/>
      <w:bookmarkEnd w:id="200"/>
      <w:bookmarkEnd w:id="201"/>
    </w:p>
    <w:p>
      <w:pPr>
        <w:pStyle w:val="yShoulderClause"/>
        <w:rPr>
          <w:snapToGrid w:val="0"/>
        </w:rPr>
      </w:pPr>
    </w:p>
    <w:p>
      <w:pPr>
        <w:pStyle w:val="yShoulderClause"/>
      </w:pPr>
      <w:r>
        <w:t>[s. 4(a)]</w:t>
      </w:r>
    </w:p>
    <w:p>
      <w:pPr>
        <w:pStyle w:val="yFootnoteheading"/>
      </w:pPr>
      <w:r>
        <w:tab/>
        <w:t>[Heading amended: No. 19 of 2010 s. 26(2).]</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pPr>
              <w:pStyle w:val="yTable"/>
              <w:spacing w:after="60"/>
              <w:jc w:val="center"/>
              <w:rPr>
                <w:b/>
                <w:bCs/>
              </w:rPr>
            </w:pPr>
            <w:r>
              <w:rPr>
                <w:b/>
                <w:bCs/>
              </w:rP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ScheduleHeading"/>
        <w:rPr>
          <w:rFonts w:eastAsia="MS Mincho"/>
        </w:rPr>
      </w:pPr>
      <w:bookmarkStart w:id="202" w:name="_Toc38005912"/>
      <w:bookmarkStart w:id="203" w:name="_Toc38006085"/>
      <w:bookmarkStart w:id="204" w:name="_Toc38006258"/>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202"/>
      <w:bookmarkEnd w:id="203"/>
      <w:bookmarkEnd w:id="204"/>
    </w:p>
    <w:p>
      <w:pPr>
        <w:pStyle w:val="yShoulderClause"/>
        <w:rPr>
          <w:rFonts w:eastAsia="MS Mincho"/>
        </w:rPr>
      </w:pPr>
      <w:r>
        <w:rPr>
          <w:rFonts w:eastAsia="MS Mincho"/>
        </w:rPr>
        <w:t>[s. 4(b)]</w:t>
      </w:r>
    </w:p>
    <w:p>
      <w:pPr>
        <w:pStyle w:val="yFootnoteheading"/>
      </w:pPr>
      <w:r>
        <w:tab/>
        <w:t>[Heading inserted: No. 19 of 2010 s. 26(3).]</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spacing w:after="60"/>
              <w:jc w:val="center"/>
              <w:rPr>
                <w:b/>
                <w:bCs/>
              </w:rPr>
            </w:pPr>
            <w:r>
              <w:rPr>
                <w:b/>
                <w:bCs/>
              </w:rPr>
              <w:t>Reference to Act</w:t>
            </w:r>
          </w:p>
        </w:tc>
        <w:tc>
          <w:tcPr>
            <w:tcW w:w="2835" w:type="dxa"/>
            <w:tcBorders>
              <w:top w:val="single" w:sz="4" w:space="0" w:color="auto"/>
              <w:bottom w:val="single" w:sz="4" w:space="0" w:color="auto"/>
            </w:tcBorders>
          </w:tcPr>
          <w:p>
            <w:pPr>
              <w:pStyle w:val="yTable"/>
              <w:spacing w:after="60"/>
              <w:jc w:val="center"/>
              <w:rPr>
                <w:b/>
                <w:bCs/>
              </w:rPr>
            </w:pPr>
            <w:r>
              <w:rPr>
                <w:b/>
                <w:bCs/>
              </w:rPr>
              <w:t>Subject or Title</w:t>
            </w:r>
          </w:p>
        </w:tc>
        <w:tc>
          <w:tcPr>
            <w:tcW w:w="1418" w:type="dxa"/>
            <w:tcBorders>
              <w:top w:val="single" w:sz="4" w:space="0" w:color="auto"/>
              <w:bottom w:val="single" w:sz="4" w:space="0" w:color="auto"/>
            </w:tcBorders>
          </w:tcPr>
          <w:p>
            <w:pPr>
              <w:pStyle w:val="yTable"/>
              <w:spacing w:after="60"/>
              <w:jc w:val="center"/>
              <w:rPr>
                <w:b/>
                <w:bCs/>
              </w:rPr>
            </w:pPr>
            <w:r>
              <w:rPr>
                <w:b/>
                <w:bCs/>
              </w:rPr>
              <w:t>Extent of Repeal</w:t>
            </w:r>
          </w:p>
        </w:tc>
      </w:tr>
      <w:tr>
        <w:tc>
          <w:tcPr>
            <w:tcW w:w="2835" w:type="dxa"/>
          </w:tcPr>
          <w:p>
            <w:pPr>
              <w:pStyle w:val="yTable"/>
            </w:pPr>
            <w:r>
              <w:t>2 Gul. IV No. 7.</w:t>
            </w:r>
          </w:p>
        </w:tc>
        <w:tc>
          <w:tcPr>
            <w:tcW w:w="2835" w:type="dxa"/>
          </w:tcPr>
          <w:p>
            <w:pPr>
              <w:pStyle w:val="yTable"/>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rPr>
          <w:rFonts w:eastAsia="MS Mincho"/>
        </w:rPr>
      </w:pPr>
      <w:bookmarkStart w:id="205" w:name="_Toc38005913"/>
      <w:bookmarkStart w:id="206" w:name="_Toc38006086"/>
      <w:bookmarkStart w:id="207" w:name="_Toc38006259"/>
      <w:r>
        <w:rPr>
          <w:rStyle w:val="CharSchNo"/>
          <w:rFonts w:eastAsia="MS Mincho"/>
        </w:rPr>
        <w:t>Third Schedule</w:t>
      </w:r>
      <w:r>
        <w:rPr>
          <w:rFonts w:eastAsia="MS Mincho"/>
        </w:rPr>
        <w:t> — </w:t>
      </w:r>
      <w:r>
        <w:rPr>
          <w:rStyle w:val="CharSchText"/>
          <w:rFonts w:eastAsia="MS Mincho"/>
        </w:rPr>
        <w:t>Implied covenants</w:t>
      </w:r>
      <w:bookmarkEnd w:id="205"/>
      <w:bookmarkEnd w:id="206"/>
      <w:bookmarkEnd w:id="207"/>
    </w:p>
    <w:p>
      <w:pPr>
        <w:pStyle w:val="yShoulderClause"/>
        <w:rPr>
          <w:rFonts w:eastAsia="MS Mincho"/>
        </w:rPr>
      </w:pPr>
      <w:r>
        <w:rPr>
          <w:rFonts w:eastAsia="MS Mincho"/>
        </w:rPr>
        <w:t>[s. 45(1)]</w:t>
      </w:r>
    </w:p>
    <w:p>
      <w:pPr>
        <w:pStyle w:val="yFootnoteheading"/>
      </w:pPr>
      <w:r>
        <w:tab/>
        <w:t>[Heading inserted: No. 19 of 2010 s. 26(4).]</w:t>
      </w:r>
    </w:p>
    <w:p>
      <w:pPr>
        <w:pStyle w:val="yHeading3"/>
        <w:rPr>
          <w:rFonts w:eastAsia="MS Mincho"/>
        </w:rPr>
      </w:pPr>
      <w:bookmarkStart w:id="208" w:name="_Toc38005914"/>
      <w:bookmarkStart w:id="209" w:name="_Toc38006087"/>
      <w:bookmarkStart w:id="210" w:name="_Toc38006260"/>
      <w:r>
        <w:rPr>
          <w:rStyle w:val="CharSDivNo"/>
          <w:rFonts w:eastAsia="MS Mincho"/>
        </w:rPr>
        <w:t>Part I</w:t>
      </w:r>
      <w:r>
        <w:rPr>
          <w:rFonts w:eastAsia="MS Mincho"/>
        </w:rPr>
        <w:t> — </w:t>
      </w:r>
      <w:r>
        <w:rPr>
          <w:rStyle w:val="CharSDivText"/>
          <w:rFonts w:eastAsia="MS Mincho"/>
        </w:rPr>
        <w:t>Conveyance for valuable consideration</w:t>
      </w:r>
      <w:bookmarkEnd w:id="208"/>
      <w:bookmarkEnd w:id="209"/>
      <w:bookmarkEnd w:id="210"/>
    </w:p>
    <w:p>
      <w:pPr>
        <w:pStyle w:val="yFootnoteheading"/>
      </w:pPr>
      <w:r>
        <w:tab/>
        <w:t>[Heading inserted: No. 19 of 2010 s. 26(4).]</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yHeading3"/>
        <w:rPr>
          <w:rFonts w:eastAsia="MS Mincho"/>
        </w:rPr>
      </w:pPr>
      <w:bookmarkStart w:id="211" w:name="_Toc38005915"/>
      <w:bookmarkStart w:id="212" w:name="_Toc38006088"/>
      <w:bookmarkStart w:id="213" w:name="_Toc38006261"/>
      <w:r>
        <w:rPr>
          <w:rStyle w:val="CharSDivNo"/>
          <w:rFonts w:eastAsia="MS Mincho"/>
        </w:rPr>
        <w:t>Part II</w:t>
      </w:r>
      <w:r>
        <w:rPr>
          <w:rFonts w:eastAsia="MS Mincho"/>
        </w:rPr>
        <w:t> — </w:t>
      </w:r>
      <w:r>
        <w:rPr>
          <w:rStyle w:val="CharSDivText"/>
          <w:rFonts w:eastAsia="MS Mincho"/>
        </w:rPr>
        <w:t>Conveyance of leasehold</w:t>
      </w:r>
      <w:bookmarkEnd w:id="211"/>
      <w:bookmarkEnd w:id="212"/>
      <w:bookmarkEnd w:id="213"/>
    </w:p>
    <w:p>
      <w:pPr>
        <w:pStyle w:val="yFootnoteheading"/>
      </w:pPr>
      <w:r>
        <w:tab/>
        <w:t>[Heading inserted: No. 19 of 2010 s. 26(5).]</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yHeading3"/>
        <w:rPr>
          <w:rFonts w:eastAsia="MS Mincho"/>
        </w:rPr>
      </w:pPr>
      <w:bookmarkStart w:id="214" w:name="_Toc38005916"/>
      <w:bookmarkStart w:id="215" w:name="_Toc38006089"/>
      <w:bookmarkStart w:id="216" w:name="_Toc38006262"/>
      <w:r>
        <w:rPr>
          <w:rStyle w:val="CharSDivNo"/>
          <w:rFonts w:eastAsia="MS Mincho"/>
        </w:rPr>
        <w:t>Part III</w:t>
      </w:r>
      <w:r>
        <w:rPr>
          <w:rFonts w:eastAsia="MS Mincho"/>
        </w:rPr>
        <w:t> — </w:t>
      </w:r>
      <w:r>
        <w:rPr>
          <w:rStyle w:val="CharSDivText"/>
          <w:rFonts w:eastAsia="MS Mincho"/>
        </w:rPr>
        <w:t>Conveyance by way of mortgage</w:t>
      </w:r>
      <w:bookmarkEnd w:id="214"/>
      <w:bookmarkEnd w:id="215"/>
      <w:bookmarkEnd w:id="216"/>
    </w:p>
    <w:p>
      <w:pPr>
        <w:pStyle w:val="yFootnoteheading"/>
      </w:pPr>
      <w:r>
        <w:tab/>
        <w:t>[Heading inserted: No. 19 of 2010 s. 26(6).]</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yHeading3"/>
        <w:rPr>
          <w:rFonts w:eastAsia="MS Mincho"/>
        </w:rPr>
      </w:pPr>
      <w:bookmarkStart w:id="217" w:name="_Toc38005917"/>
      <w:bookmarkStart w:id="218" w:name="_Toc38006090"/>
      <w:bookmarkStart w:id="219" w:name="_Toc38006263"/>
      <w:r>
        <w:rPr>
          <w:rStyle w:val="CharSDivNo"/>
          <w:rFonts w:eastAsia="MS Mincho"/>
        </w:rPr>
        <w:t>Part IV</w:t>
      </w:r>
      <w:r>
        <w:rPr>
          <w:rFonts w:eastAsia="MS Mincho"/>
        </w:rPr>
        <w:t> — </w:t>
      </w:r>
      <w:r>
        <w:rPr>
          <w:rStyle w:val="CharSDivText"/>
          <w:rFonts w:eastAsia="MS Mincho"/>
        </w:rPr>
        <w:t>Conveyance by way of mortgage of leasehold</w:t>
      </w:r>
      <w:bookmarkEnd w:id="217"/>
      <w:bookmarkEnd w:id="218"/>
      <w:bookmarkEnd w:id="219"/>
    </w:p>
    <w:p>
      <w:pPr>
        <w:pStyle w:val="yFootnoteheading"/>
      </w:pPr>
      <w:r>
        <w:tab/>
        <w:t>[Heading inserted: No. 19 of 2010 s. 26(7).]</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yHeading3"/>
        <w:rPr>
          <w:rFonts w:eastAsia="MS Mincho"/>
        </w:rPr>
      </w:pPr>
      <w:bookmarkStart w:id="220" w:name="_Toc38005918"/>
      <w:bookmarkStart w:id="221" w:name="_Toc38006091"/>
      <w:bookmarkStart w:id="222" w:name="_Toc38006264"/>
      <w:r>
        <w:rPr>
          <w:rStyle w:val="CharSDivNo"/>
          <w:rFonts w:eastAsia="MS Mincho"/>
        </w:rPr>
        <w:t>Part V</w:t>
      </w:r>
      <w:r>
        <w:rPr>
          <w:rFonts w:eastAsia="MS Mincho"/>
        </w:rPr>
        <w:t> — </w:t>
      </w:r>
      <w:r>
        <w:rPr>
          <w:rStyle w:val="CharSDivText"/>
          <w:rFonts w:eastAsia="MS Mincho"/>
        </w:rPr>
        <w:t>Conveyance by way of settlement</w:t>
      </w:r>
      <w:bookmarkEnd w:id="220"/>
      <w:bookmarkEnd w:id="221"/>
      <w:bookmarkEnd w:id="222"/>
    </w:p>
    <w:p>
      <w:pPr>
        <w:pStyle w:val="yFootnoteheading"/>
      </w:pPr>
      <w:r>
        <w:tab/>
        <w:t>[Heading inserted: No. 19 of 2010 s. 26(8).]</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yHeading3"/>
        <w:rPr>
          <w:rFonts w:eastAsia="MS Mincho"/>
        </w:rPr>
      </w:pPr>
      <w:bookmarkStart w:id="223" w:name="_Toc38005919"/>
      <w:bookmarkStart w:id="224" w:name="_Toc38006092"/>
      <w:bookmarkStart w:id="225" w:name="_Toc38006265"/>
      <w:r>
        <w:rPr>
          <w:rStyle w:val="CharSDivNo"/>
          <w:rFonts w:eastAsia="MS Mincho"/>
        </w:rPr>
        <w:t>Part VI</w:t>
      </w:r>
      <w:r>
        <w:rPr>
          <w:rFonts w:eastAsia="MS Mincho"/>
        </w:rPr>
        <w:t> — </w:t>
      </w:r>
      <w:r>
        <w:rPr>
          <w:rStyle w:val="CharSDivText"/>
          <w:rFonts w:eastAsia="MS Mincho"/>
        </w:rPr>
        <w:t>Conveyance by person other than beneficial owner</w:t>
      </w:r>
      <w:bookmarkEnd w:id="223"/>
      <w:bookmarkEnd w:id="224"/>
      <w:bookmarkEnd w:id="225"/>
    </w:p>
    <w:p>
      <w:pPr>
        <w:pStyle w:val="yFootnoteheading"/>
      </w:pPr>
      <w:r>
        <w:tab/>
        <w:t>[Heading inserted: No. 19 of 2010 s. 26(9).]</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Cs/>
        </w:rPr>
        <w:t>Third Schedule</w:t>
      </w:r>
      <w:r>
        <w:rPr>
          <w:b/>
        </w:rPr>
        <w:t xml:space="preserve"> </w:t>
      </w:r>
      <w:r>
        <w:t>amended: No. 24 of 1990 s. 123.]</w:t>
      </w:r>
    </w:p>
    <w:p>
      <w:pPr>
        <w:pStyle w:val="yScheduleHeading"/>
      </w:pPr>
      <w:bookmarkStart w:id="226" w:name="_Toc38005920"/>
      <w:bookmarkStart w:id="227" w:name="_Toc38006093"/>
      <w:bookmarkStart w:id="228" w:name="_Toc38006266"/>
      <w:r>
        <w:rPr>
          <w:rStyle w:val="CharSchNo"/>
        </w:rPr>
        <w:t>Fourth Schedule</w:t>
      </w:r>
      <w:r>
        <w:rPr>
          <w:rStyle w:val="CharSDivNo"/>
        </w:rPr>
        <w:t> </w:t>
      </w:r>
      <w:r>
        <w:t>—</w:t>
      </w:r>
      <w:r>
        <w:rPr>
          <w:rStyle w:val="CharSDivText"/>
        </w:rPr>
        <w:t> </w:t>
      </w:r>
      <w:r>
        <w:rPr>
          <w:rStyle w:val="CharSchText"/>
        </w:rPr>
        <w:t>Conveyance</w:t>
      </w:r>
      <w:bookmarkEnd w:id="226"/>
      <w:bookmarkEnd w:id="227"/>
      <w:bookmarkEnd w:id="228"/>
    </w:p>
    <w:p>
      <w:pPr>
        <w:pStyle w:val="yShoulderClause"/>
      </w:pPr>
      <w:r>
        <w:t>[s. 37]</w:t>
      </w:r>
    </w:p>
    <w:p>
      <w:pPr>
        <w:pStyle w:val="yFootnoteheading"/>
      </w:pPr>
      <w:r>
        <w:tab/>
        <w:t>[Heading amended: No. 19 of 2010 s. 26(10).]</w:t>
      </w:r>
    </w:p>
    <w:tbl>
      <w:tblPr>
        <w:tblW w:w="0" w:type="auto"/>
        <w:tblInd w:w="708" w:type="dxa"/>
        <w:tblLook w:val="0000" w:firstRow="0" w:lastRow="0" w:firstColumn="0" w:lastColumn="0" w:noHBand="0" w:noVBand="0"/>
      </w:tblPr>
      <w:tblGrid>
        <w:gridCol w:w="2640"/>
        <w:gridCol w:w="3120"/>
      </w:tblGrid>
      <w:tr>
        <w:trPr>
          <w:cantSplit/>
          <w:trHeight w:val="1680"/>
        </w:trPr>
        <w:tc>
          <w:tcPr>
            <w:tcW w:w="5760" w:type="dxa"/>
            <w:gridSpan w:val="2"/>
            <w:tcBorders>
              <w:bottom w:val="nil"/>
            </w:tcBorders>
          </w:tcPr>
          <w:p>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pPr>
              <w:pStyle w:val="MiscellaneousBody"/>
              <w:spacing w:after="120"/>
              <w:jc w:val="center"/>
              <w:rPr>
                <w:sz w:val="22"/>
              </w:rPr>
            </w:pPr>
            <w:r>
              <w:rPr>
                <w:sz w:val="22"/>
              </w:rPr>
              <w:t>(description of land)</w:t>
            </w:r>
          </w:p>
        </w:tc>
      </w:tr>
      <w:tr>
        <w:trPr>
          <w:cantSplit/>
          <w:trHeight w:val="840"/>
        </w:trPr>
        <w:tc>
          <w:tcPr>
            <w:tcW w:w="2640" w:type="dxa"/>
            <w:tcBorders>
              <w:bottom w:val="nil"/>
            </w:tcBorders>
          </w:tcPr>
          <w:p>
            <w:pPr>
              <w:pStyle w:val="MiscellaneousBody"/>
              <w:ind w:left="720" w:hanging="720"/>
              <w:rPr>
                <w:sz w:val="22"/>
              </w:rPr>
            </w:pPr>
            <w:r>
              <w:rPr>
                <w:sz w:val="22"/>
              </w:rPr>
              <w:t>SIGNED by the said A.B. in the presence of:</w:t>
            </w:r>
          </w:p>
        </w:tc>
        <w:tc>
          <w:tcPr>
            <w:tcW w:w="3120" w:type="dxa"/>
            <w:tcBorders>
              <w:bottom w:val="nil"/>
            </w:tcBorders>
          </w:tcPr>
          <w:p>
            <w:pPr>
              <w:pStyle w:val="MiscellaneousBody"/>
              <w:rPr>
                <w:sz w:val="22"/>
              </w:rPr>
            </w:pPr>
            <w:r>
              <w:rPr>
                <w:noProof/>
                <w:sz w:val="22"/>
              </w:rPr>
              <w:drawing>
                <wp:inline distT="0" distB="0" distL="0" distR="0">
                  <wp:extent cx="127000" cy="2546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635"/>
                          </a:xfrm>
                          <a:prstGeom prst="rect">
                            <a:avLst/>
                          </a:prstGeom>
                          <a:noFill/>
                          <a:ln>
                            <a:noFill/>
                          </a:ln>
                        </pic:spPr>
                      </pic:pic>
                    </a:graphicData>
                  </a:graphic>
                </wp:inline>
              </w:drawing>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4" w:bottom="3544" w:left="2404" w:header="709" w:footer="3380" w:gutter="0"/>
          <w:cols w:space="720"/>
          <w:noEndnote/>
          <w:docGrid w:linePitch="326"/>
        </w:sectPr>
      </w:pPr>
    </w:p>
    <w:p>
      <w:pPr>
        <w:pStyle w:val="nHeading2"/>
      </w:pPr>
      <w:bookmarkStart w:id="230" w:name="_Toc38005921"/>
      <w:bookmarkStart w:id="231" w:name="_Toc38006094"/>
      <w:bookmarkStart w:id="232" w:name="_Toc38006267"/>
      <w:r>
        <w:t>Notes</w:t>
      </w:r>
      <w:bookmarkEnd w:id="230"/>
      <w:bookmarkEnd w:id="231"/>
      <w:bookmarkEnd w:id="232"/>
    </w:p>
    <w:p>
      <w:pPr>
        <w:pStyle w:val="nStatement"/>
      </w:pPr>
      <w:r>
        <w:t xml:space="preserve">This is a compilation of the </w:t>
      </w:r>
      <w:r>
        <w:rPr>
          <w:i/>
          <w:noProof/>
        </w:rPr>
        <w:t>Property Law Act 1969</w:t>
      </w:r>
      <w:r>
        <w:t xml:space="preserve"> and includes amendments made by other written laws </w:t>
      </w:r>
      <w:r>
        <w:rPr>
          <w:snapToGrid w:val="0"/>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233" w:name="_Toc38006268"/>
      <w:r>
        <w:t>Compilation table</w:t>
      </w:r>
      <w:bookmarkEnd w:id="23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ind w:right="17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70"/>
            </w:pPr>
            <w:r>
              <w:rPr>
                <w:i/>
              </w:rPr>
              <w:t>Property Law Act 1969</w:t>
            </w:r>
          </w:p>
        </w:tc>
        <w:tc>
          <w:tcPr>
            <w:tcW w:w="1138" w:type="dxa"/>
            <w:tcBorders>
              <w:top w:val="single" w:sz="8" w:space="0" w:color="auto"/>
            </w:tcBorders>
          </w:tcPr>
          <w:p>
            <w:pPr>
              <w:pStyle w:val="nTable"/>
              <w:spacing w:after="40"/>
            </w:pPr>
            <w:r>
              <w:t>32 of 1969</w:t>
            </w:r>
          </w:p>
        </w:tc>
        <w:tc>
          <w:tcPr>
            <w:tcW w:w="1135" w:type="dxa"/>
            <w:tcBorders>
              <w:top w:val="single" w:sz="8" w:space="0" w:color="auto"/>
            </w:tcBorders>
          </w:tcPr>
          <w:p>
            <w:pPr>
              <w:pStyle w:val="nTable"/>
              <w:spacing w:after="40"/>
            </w:pPr>
            <w:r>
              <w:t>19 May 1969</w:t>
            </w:r>
          </w:p>
        </w:tc>
        <w:tc>
          <w:tcPr>
            <w:tcW w:w="2553" w:type="dxa"/>
            <w:tcBorders>
              <w:top w:val="single" w:sz="8" w:space="0" w:color="auto"/>
            </w:tcBorders>
          </w:tcPr>
          <w:p>
            <w:pPr>
              <w:pStyle w:val="nTable"/>
              <w:spacing w:after="40"/>
            </w:pPr>
            <w:r>
              <w:t xml:space="preserve">1 Aug 1969 (see s. 2 and </w:t>
            </w:r>
            <w:r>
              <w:rPr>
                <w:i/>
              </w:rPr>
              <w:t>Gazette</w:t>
            </w:r>
            <w:r>
              <w:t xml:space="preserve"> 27 Jun 1969 p. 1873)</w:t>
            </w:r>
          </w:p>
        </w:tc>
      </w:tr>
      <w:tr>
        <w:trPr>
          <w:cantSplit/>
        </w:trPr>
        <w:tc>
          <w:tcPr>
            <w:tcW w:w="2273" w:type="dxa"/>
          </w:tcPr>
          <w:p>
            <w:pPr>
              <w:pStyle w:val="nTable"/>
              <w:spacing w:after="40"/>
              <w:ind w:right="170"/>
            </w:pPr>
            <w:r>
              <w:rPr>
                <w:i/>
              </w:rPr>
              <w:t>Wills Act 1970</w:t>
            </w:r>
            <w:r>
              <w:t xml:space="preserve"> s. 3</w:t>
            </w:r>
          </w:p>
        </w:tc>
        <w:tc>
          <w:tcPr>
            <w:tcW w:w="1138" w:type="dxa"/>
          </w:tcPr>
          <w:p>
            <w:pPr>
              <w:pStyle w:val="nTable"/>
              <w:spacing w:after="40"/>
            </w:pPr>
            <w:r>
              <w:t>12 of 1970</w:t>
            </w:r>
          </w:p>
        </w:tc>
        <w:tc>
          <w:tcPr>
            <w:tcW w:w="1135" w:type="dxa"/>
          </w:tcPr>
          <w:p>
            <w:pPr>
              <w:pStyle w:val="nTable"/>
              <w:spacing w:after="40"/>
            </w:pPr>
            <w:r>
              <w:t>29 Apr 1970</w:t>
            </w:r>
          </w:p>
        </w:tc>
        <w:tc>
          <w:tcPr>
            <w:tcW w:w="2553" w:type="dxa"/>
          </w:tcPr>
          <w:p>
            <w:pPr>
              <w:pStyle w:val="nTable"/>
              <w:spacing w:after="40"/>
            </w:pPr>
            <w:r>
              <w:t>1 Jul 1970 (see s. 2 and </w:t>
            </w:r>
            <w:r>
              <w:rPr>
                <w:i/>
              </w:rPr>
              <w:t>Gazette</w:t>
            </w:r>
            <w:r>
              <w:t xml:space="preserve"> 5 Jun 1970 p. 1521)</w:t>
            </w:r>
          </w:p>
        </w:tc>
      </w:tr>
      <w:tr>
        <w:trPr>
          <w:cantSplit/>
        </w:trPr>
        <w:tc>
          <w:tcPr>
            <w:tcW w:w="2273" w:type="dxa"/>
          </w:tcPr>
          <w:p>
            <w:pPr>
              <w:pStyle w:val="nTable"/>
              <w:spacing w:after="40"/>
              <w:ind w:right="170"/>
            </w:pPr>
            <w:r>
              <w:rPr>
                <w:i/>
              </w:rPr>
              <w:t>Property Law Act Amendment Act 1971</w:t>
            </w:r>
          </w:p>
        </w:tc>
        <w:tc>
          <w:tcPr>
            <w:tcW w:w="1138" w:type="dxa"/>
          </w:tcPr>
          <w:p>
            <w:pPr>
              <w:pStyle w:val="nTable"/>
              <w:spacing w:after="40"/>
            </w:pPr>
            <w:r>
              <w:t>19 of 1971</w:t>
            </w:r>
          </w:p>
        </w:tc>
        <w:tc>
          <w:tcPr>
            <w:tcW w:w="1135" w:type="dxa"/>
          </w:tcPr>
          <w:p>
            <w:pPr>
              <w:pStyle w:val="nTable"/>
              <w:spacing w:after="40"/>
            </w:pPr>
            <w:r>
              <w:t>1 Dec 1971</w:t>
            </w:r>
          </w:p>
        </w:tc>
        <w:tc>
          <w:tcPr>
            <w:tcW w:w="2553" w:type="dxa"/>
          </w:tcPr>
          <w:p>
            <w:pPr>
              <w:pStyle w:val="nTable"/>
              <w:spacing w:after="40"/>
            </w:pPr>
            <w:r>
              <w:t>1 Dec 1971</w:t>
            </w:r>
          </w:p>
        </w:tc>
      </w:tr>
      <w:tr>
        <w:trPr>
          <w:cantSplit/>
        </w:trPr>
        <w:tc>
          <w:tcPr>
            <w:tcW w:w="2273" w:type="dxa"/>
          </w:tcPr>
          <w:p>
            <w:pPr>
              <w:pStyle w:val="nTable"/>
              <w:spacing w:after="40"/>
              <w:ind w:right="170"/>
            </w:pPr>
            <w:r>
              <w:rPr>
                <w:i/>
              </w:rPr>
              <w:t>Property Law Act Amendment Act (No. 2) 1971</w:t>
            </w:r>
          </w:p>
        </w:tc>
        <w:tc>
          <w:tcPr>
            <w:tcW w:w="1138" w:type="dxa"/>
          </w:tcPr>
          <w:p>
            <w:pPr>
              <w:pStyle w:val="nTable"/>
              <w:spacing w:after="40"/>
            </w:pPr>
            <w:r>
              <w:t>25 of 1971</w:t>
            </w:r>
          </w:p>
        </w:tc>
        <w:tc>
          <w:tcPr>
            <w:tcW w:w="1135" w:type="dxa"/>
          </w:tcPr>
          <w:p>
            <w:pPr>
              <w:pStyle w:val="nTable"/>
              <w:spacing w:after="40"/>
            </w:pPr>
            <w:r>
              <w:t>1 Dec 1971</w:t>
            </w:r>
          </w:p>
        </w:tc>
        <w:tc>
          <w:tcPr>
            <w:tcW w:w="2553" w:type="dxa"/>
          </w:tcPr>
          <w:p>
            <w:pPr>
              <w:pStyle w:val="nTable"/>
              <w:spacing w:after="40"/>
            </w:pPr>
            <w:r>
              <w:t xml:space="preserve">22 Dec 1972 (see s. 2 and </w:t>
            </w:r>
            <w:r>
              <w:rPr>
                <w:i/>
              </w:rPr>
              <w:t xml:space="preserve">Gazette </w:t>
            </w:r>
            <w:r>
              <w:t>22 Dec 1972 p. 4755)</w:t>
            </w:r>
          </w:p>
        </w:tc>
      </w:tr>
      <w:tr>
        <w:trPr>
          <w:cantSplit/>
        </w:trPr>
        <w:tc>
          <w:tcPr>
            <w:tcW w:w="2273" w:type="dxa"/>
          </w:tcPr>
          <w:p>
            <w:pPr>
              <w:pStyle w:val="nTable"/>
              <w:spacing w:after="40"/>
              <w:ind w:right="170"/>
            </w:pPr>
            <w:r>
              <w:rPr>
                <w:i/>
              </w:rPr>
              <w:t>Property Law Act Amendment Act 1973</w:t>
            </w:r>
          </w:p>
        </w:tc>
        <w:tc>
          <w:tcPr>
            <w:tcW w:w="1138" w:type="dxa"/>
          </w:tcPr>
          <w:p>
            <w:pPr>
              <w:pStyle w:val="nTable"/>
              <w:spacing w:after="40"/>
            </w:pPr>
            <w:r>
              <w:t>35 of 1973</w:t>
            </w:r>
          </w:p>
        </w:tc>
        <w:tc>
          <w:tcPr>
            <w:tcW w:w="1135" w:type="dxa"/>
          </w:tcPr>
          <w:p>
            <w:pPr>
              <w:pStyle w:val="nTable"/>
              <w:spacing w:after="40"/>
            </w:pPr>
            <w:r>
              <w:t>18 Oct 1973</w:t>
            </w:r>
          </w:p>
        </w:tc>
        <w:tc>
          <w:tcPr>
            <w:tcW w:w="2553" w:type="dxa"/>
          </w:tcPr>
          <w:p>
            <w:pPr>
              <w:pStyle w:val="nTable"/>
              <w:spacing w:after="40"/>
            </w:pPr>
            <w:r>
              <w:t>18 Oct 1973</w:t>
            </w:r>
          </w:p>
        </w:tc>
      </w:tr>
      <w:tr>
        <w:trPr>
          <w:cantSplit/>
        </w:trPr>
        <w:tc>
          <w:tcPr>
            <w:tcW w:w="7099" w:type="dxa"/>
            <w:gridSpan w:val="4"/>
          </w:tcPr>
          <w:p>
            <w:pPr>
              <w:pStyle w:val="nTable"/>
              <w:spacing w:after="40"/>
            </w:pPr>
            <w:r>
              <w:rPr>
                <w:b/>
                <w:bCs/>
              </w:rPr>
              <w:t xml:space="preserve">Reprint of the </w:t>
            </w:r>
            <w:r>
              <w:rPr>
                <w:b/>
                <w:bCs/>
                <w:i/>
              </w:rPr>
              <w:t>Property Law Act 1969</w:t>
            </w:r>
            <w:r>
              <w:rPr>
                <w:b/>
                <w:bCs/>
              </w:rPr>
              <w:t xml:space="preserve"> approved 1 Apr 1976</w:t>
            </w:r>
            <w:r>
              <w:t xml:space="preserve"> (includes amendments listed above)</w:t>
            </w:r>
          </w:p>
        </w:tc>
      </w:tr>
      <w:tr>
        <w:trPr>
          <w:cantSplit/>
        </w:trPr>
        <w:tc>
          <w:tcPr>
            <w:tcW w:w="2273" w:type="dxa"/>
          </w:tcPr>
          <w:p>
            <w:pPr>
              <w:pStyle w:val="nTable"/>
              <w:spacing w:after="40"/>
              <w:ind w:right="170"/>
            </w:pPr>
            <w:r>
              <w:rPr>
                <w:i/>
              </w:rPr>
              <w:t>Property Law Act Amendment Act 1979</w:t>
            </w:r>
          </w:p>
        </w:tc>
        <w:tc>
          <w:tcPr>
            <w:tcW w:w="1138" w:type="dxa"/>
          </w:tcPr>
          <w:p>
            <w:pPr>
              <w:pStyle w:val="nTable"/>
              <w:spacing w:after="40"/>
            </w:pPr>
            <w:r>
              <w:t>102 of 1979</w:t>
            </w:r>
          </w:p>
        </w:tc>
        <w:tc>
          <w:tcPr>
            <w:tcW w:w="1135" w:type="dxa"/>
          </w:tcPr>
          <w:p>
            <w:pPr>
              <w:pStyle w:val="nTable"/>
              <w:spacing w:after="40"/>
            </w:pPr>
            <w:r>
              <w:t>17 Dec 1979</w:t>
            </w:r>
          </w:p>
        </w:tc>
        <w:tc>
          <w:tcPr>
            <w:tcW w:w="2553" w:type="dxa"/>
          </w:tcPr>
          <w:p>
            <w:pPr>
              <w:pStyle w:val="nTable"/>
              <w:spacing w:after="40"/>
            </w:pPr>
            <w:r>
              <w:t xml:space="preserve">24 Apr 1980 (see s. 2 and </w:t>
            </w:r>
            <w:r>
              <w:rPr>
                <w:i/>
              </w:rPr>
              <w:t>Gazette</w:t>
            </w:r>
            <w:r>
              <w:t> 24 Apr 1980 p. 1180)</w:t>
            </w:r>
          </w:p>
        </w:tc>
      </w:tr>
      <w:tr>
        <w:trPr>
          <w:cantSplit/>
        </w:trPr>
        <w:tc>
          <w:tcPr>
            <w:tcW w:w="2273" w:type="dxa"/>
          </w:tcPr>
          <w:p>
            <w:pPr>
              <w:pStyle w:val="nTable"/>
              <w:spacing w:after="40"/>
              <w:ind w:right="170"/>
            </w:pPr>
            <w:r>
              <w:rPr>
                <w:i/>
              </w:rPr>
              <w:t>Artificial Conception Act 1985</w:t>
            </w:r>
            <w:r>
              <w:t xml:space="preserve"> s. 8</w:t>
            </w:r>
          </w:p>
        </w:tc>
        <w:tc>
          <w:tcPr>
            <w:tcW w:w="1138" w:type="dxa"/>
          </w:tcPr>
          <w:p>
            <w:pPr>
              <w:pStyle w:val="nTable"/>
              <w:spacing w:after="40"/>
            </w:pPr>
            <w:r>
              <w:t>14 of 1985</w:t>
            </w:r>
          </w:p>
        </w:tc>
        <w:tc>
          <w:tcPr>
            <w:tcW w:w="1135" w:type="dxa"/>
          </w:tcPr>
          <w:p>
            <w:pPr>
              <w:pStyle w:val="nTable"/>
              <w:spacing w:after="40"/>
            </w:pPr>
            <w:r>
              <w:t>12 Apr 1985</w:t>
            </w:r>
          </w:p>
        </w:tc>
        <w:tc>
          <w:tcPr>
            <w:tcW w:w="2553" w:type="dxa"/>
          </w:tcPr>
          <w:p>
            <w:pPr>
              <w:pStyle w:val="nTable"/>
              <w:spacing w:after="40"/>
            </w:pPr>
            <w:r>
              <w:t xml:space="preserve">1 Jul 1985 (see s. 2 and </w:t>
            </w:r>
            <w:r>
              <w:rPr>
                <w:i/>
              </w:rPr>
              <w:t>Gazette</w:t>
            </w:r>
            <w:r>
              <w:t> 28 Jun 1985 p. 2291)</w:t>
            </w:r>
          </w:p>
        </w:tc>
      </w:tr>
      <w:tr>
        <w:trPr>
          <w:cantSplit/>
        </w:trPr>
        <w:tc>
          <w:tcPr>
            <w:tcW w:w="7099" w:type="dxa"/>
            <w:gridSpan w:val="4"/>
          </w:tcPr>
          <w:p>
            <w:pPr>
              <w:pStyle w:val="nTable"/>
              <w:spacing w:after="40"/>
            </w:pPr>
            <w:r>
              <w:rPr>
                <w:b/>
                <w:bCs/>
              </w:rPr>
              <w:t xml:space="preserve">Reprint of the </w:t>
            </w:r>
            <w:r>
              <w:rPr>
                <w:b/>
                <w:bCs/>
                <w:i/>
              </w:rPr>
              <w:t>Property Law Act 1969</w:t>
            </w:r>
            <w:r>
              <w:rPr>
                <w:b/>
                <w:bCs/>
              </w:rPr>
              <w:t xml:space="preserve"> as at 17 Mar 1987</w:t>
            </w:r>
            <w:r>
              <w:t xml:space="preserve"> (includes amendments listed above)</w:t>
            </w:r>
          </w:p>
        </w:tc>
      </w:tr>
      <w:tr>
        <w:trPr>
          <w:cantSplit/>
        </w:trPr>
        <w:tc>
          <w:tcPr>
            <w:tcW w:w="2273" w:type="dxa"/>
          </w:tcPr>
          <w:p>
            <w:pPr>
              <w:pStyle w:val="nTable"/>
              <w:spacing w:after="40"/>
              <w:ind w:right="170"/>
            </w:pPr>
            <w:r>
              <w:rPr>
                <w:i/>
              </w:rPr>
              <w:t>Residential Tenancies Act 1987</w:t>
            </w:r>
            <w:r>
              <w:t xml:space="preserve"> s. 89</w:t>
            </w:r>
          </w:p>
        </w:tc>
        <w:tc>
          <w:tcPr>
            <w:tcW w:w="1138" w:type="dxa"/>
          </w:tcPr>
          <w:p>
            <w:pPr>
              <w:pStyle w:val="nTable"/>
              <w:spacing w:after="40"/>
            </w:pPr>
            <w:r>
              <w:t>128 of 1987</w:t>
            </w:r>
          </w:p>
        </w:tc>
        <w:tc>
          <w:tcPr>
            <w:tcW w:w="1135" w:type="dxa"/>
          </w:tcPr>
          <w:p>
            <w:pPr>
              <w:pStyle w:val="nTable"/>
              <w:spacing w:after="40"/>
            </w:pPr>
            <w:r>
              <w:t>21 Jan 1988</w:t>
            </w:r>
          </w:p>
        </w:tc>
        <w:tc>
          <w:tcPr>
            <w:tcW w:w="2553" w:type="dxa"/>
          </w:tcPr>
          <w:p>
            <w:pPr>
              <w:pStyle w:val="nTable"/>
              <w:spacing w:after="40"/>
            </w:pPr>
            <w:r>
              <w:t xml:space="preserve">1 Oct 1989 (see s. 2 and </w:t>
            </w:r>
            <w:r>
              <w:rPr>
                <w:i/>
              </w:rPr>
              <w:t>Gazette</w:t>
            </w:r>
            <w:r>
              <w:t> 18 Aug 1989 p. 2748)</w:t>
            </w:r>
          </w:p>
        </w:tc>
      </w:tr>
      <w:tr>
        <w:trPr>
          <w:cantSplit/>
        </w:trPr>
        <w:tc>
          <w:tcPr>
            <w:tcW w:w="2273" w:type="dxa"/>
          </w:tcPr>
          <w:p>
            <w:pPr>
              <w:pStyle w:val="nTable"/>
              <w:spacing w:after="40"/>
              <w:ind w:right="170"/>
            </w:pPr>
            <w:r>
              <w:rPr>
                <w:i/>
              </w:rPr>
              <w:t>Guardianship and Administration Act 1990</w:t>
            </w:r>
            <w:r>
              <w:t xml:space="preserve"> s. 123</w:t>
            </w:r>
          </w:p>
        </w:tc>
        <w:tc>
          <w:tcPr>
            <w:tcW w:w="1138" w:type="dxa"/>
          </w:tcPr>
          <w:p>
            <w:pPr>
              <w:pStyle w:val="nTable"/>
              <w:keepNext/>
              <w:spacing w:after="40"/>
            </w:pPr>
            <w:r>
              <w:t>24 of 1990</w:t>
            </w:r>
          </w:p>
        </w:tc>
        <w:tc>
          <w:tcPr>
            <w:tcW w:w="1135" w:type="dxa"/>
          </w:tcPr>
          <w:p>
            <w:pPr>
              <w:pStyle w:val="nTable"/>
              <w:spacing w:after="40"/>
            </w:pPr>
            <w:r>
              <w:t>7 Sept 1990</w:t>
            </w:r>
          </w:p>
        </w:tc>
        <w:tc>
          <w:tcPr>
            <w:tcW w:w="2553" w:type="dxa"/>
          </w:tcPr>
          <w:p>
            <w:pPr>
              <w:pStyle w:val="nTable"/>
              <w:spacing w:after="40"/>
            </w:pPr>
            <w:r>
              <w:t xml:space="preserve">20 Oct 1992 (see s. 2 and </w:t>
            </w:r>
            <w:r>
              <w:rPr>
                <w:i/>
              </w:rPr>
              <w:t xml:space="preserve">Gazette </w:t>
            </w:r>
            <w:r>
              <w:t>2 Oct 1992 p. 4811)</w:t>
            </w:r>
          </w:p>
        </w:tc>
      </w:tr>
      <w:tr>
        <w:trPr>
          <w:cantSplit/>
        </w:trPr>
        <w:tc>
          <w:tcPr>
            <w:tcW w:w="2273" w:type="dxa"/>
          </w:tcPr>
          <w:p>
            <w:pPr>
              <w:pStyle w:val="nTable"/>
              <w:spacing w:after="40"/>
              <w:ind w:right="170"/>
            </w:pPr>
            <w:r>
              <w:rPr>
                <w:i/>
              </w:rPr>
              <w:t>Planning Legislation Amendment Act (No. 2) 1994</w:t>
            </w:r>
            <w:r>
              <w:t xml:space="preserve"> s. 46(11)</w:t>
            </w:r>
          </w:p>
        </w:tc>
        <w:tc>
          <w:tcPr>
            <w:tcW w:w="1138" w:type="dxa"/>
          </w:tcPr>
          <w:p>
            <w:pPr>
              <w:pStyle w:val="nTable"/>
              <w:spacing w:after="40"/>
            </w:pPr>
            <w:r>
              <w:t>84 of 1994</w:t>
            </w:r>
          </w:p>
        </w:tc>
        <w:tc>
          <w:tcPr>
            <w:tcW w:w="1135" w:type="dxa"/>
          </w:tcPr>
          <w:p>
            <w:pPr>
              <w:pStyle w:val="nTable"/>
              <w:spacing w:after="40"/>
            </w:pPr>
            <w:r>
              <w:t>13 Jan 1995</w:t>
            </w:r>
          </w:p>
        </w:tc>
        <w:tc>
          <w:tcPr>
            <w:tcW w:w="2553" w:type="dxa"/>
          </w:tcPr>
          <w:p>
            <w:pPr>
              <w:pStyle w:val="nTable"/>
              <w:spacing w:after="40"/>
            </w:pPr>
            <w:r>
              <w:t xml:space="preserve">1 Mar 1995 (see s. 2 and </w:t>
            </w:r>
            <w:r>
              <w:rPr>
                <w:i/>
              </w:rPr>
              <w:t>Gazette</w:t>
            </w:r>
            <w:r>
              <w:t> 21 Feb 1995 p. 567)</w:t>
            </w:r>
          </w:p>
        </w:tc>
      </w:tr>
      <w:tr>
        <w:trPr>
          <w:cantSplit/>
        </w:trPr>
        <w:tc>
          <w:tcPr>
            <w:tcW w:w="2273" w:type="dxa"/>
          </w:tcPr>
          <w:p>
            <w:pPr>
              <w:pStyle w:val="nTable"/>
              <w:spacing w:after="40"/>
              <w:ind w:right="17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3" w:type="dxa"/>
          </w:tcPr>
          <w:p>
            <w:pPr>
              <w:pStyle w:val="nTable"/>
              <w:spacing w:after="40"/>
            </w:pPr>
            <w:r>
              <w:t>1 Jul 1996 (see s. 2)</w:t>
            </w:r>
          </w:p>
        </w:tc>
      </w:tr>
      <w:tr>
        <w:trPr>
          <w:cantSplit/>
        </w:trPr>
        <w:tc>
          <w:tcPr>
            <w:tcW w:w="2273" w:type="dxa"/>
          </w:tcPr>
          <w:p>
            <w:pPr>
              <w:pStyle w:val="nTable"/>
              <w:spacing w:after="40"/>
              <w:ind w:right="170"/>
            </w:pPr>
            <w:r>
              <w:rPr>
                <w:i/>
              </w:rPr>
              <w:t>Transfer of Land Amendment Act 1996</w:t>
            </w:r>
            <w:r>
              <w:t> s. 153(1)</w:t>
            </w:r>
          </w:p>
        </w:tc>
        <w:tc>
          <w:tcPr>
            <w:tcW w:w="1138" w:type="dxa"/>
          </w:tcPr>
          <w:p>
            <w:pPr>
              <w:pStyle w:val="nTable"/>
              <w:spacing w:after="40"/>
            </w:pPr>
            <w:r>
              <w:t>81 of 1996</w:t>
            </w:r>
          </w:p>
        </w:tc>
        <w:tc>
          <w:tcPr>
            <w:tcW w:w="1135" w:type="dxa"/>
          </w:tcPr>
          <w:p>
            <w:pPr>
              <w:pStyle w:val="nTable"/>
              <w:spacing w:after="40"/>
            </w:pPr>
            <w:r>
              <w:t>14 Nov 1996</w:t>
            </w:r>
          </w:p>
        </w:tc>
        <w:tc>
          <w:tcPr>
            <w:tcW w:w="2553" w:type="dxa"/>
          </w:tcPr>
          <w:p>
            <w:pPr>
              <w:pStyle w:val="nTable"/>
              <w:spacing w:after="40"/>
            </w:pPr>
            <w:r>
              <w:t>14 Nov 1996 (see s. 2(1))</w:t>
            </w:r>
          </w:p>
        </w:tc>
      </w:tr>
      <w:tr>
        <w:trPr>
          <w:cantSplit/>
        </w:trPr>
        <w:tc>
          <w:tcPr>
            <w:tcW w:w="2273" w:type="dxa"/>
          </w:tcPr>
          <w:p>
            <w:pPr>
              <w:pStyle w:val="nTable"/>
              <w:spacing w:after="40"/>
              <w:ind w:right="170"/>
            </w:pPr>
            <w:r>
              <w:rPr>
                <w:i/>
              </w:rPr>
              <w:t>Statutes (Repeals and Minor Amendments) Act (No. 2) 1998</w:t>
            </w:r>
            <w:r>
              <w:t xml:space="preserve"> s. 76</w:t>
            </w:r>
          </w:p>
        </w:tc>
        <w:tc>
          <w:tcPr>
            <w:tcW w:w="1138" w:type="dxa"/>
          </w:tcPr>
          <w:p>
            <w:pPr>
              <w:pStyle w:val="nTable"/>
              <w:spacing w:after="40"/>
            </w:pPr>
            <w:r>
              <w:t>10 of 1998</w:t>
            </w:r>
          </w:p>
        </w:tc>
        <w:tc>
          <w:tcPr>
            <w:tcW w:w="1135" w:type="dxa"/>
          </w:tcPr>
          <w:p>
            <w:pPr>
              <w:pStyle w:val="nTable"/>
              <w:spacing w:after="40"/>
            </w:pPr>
            <w:r>
              <w:t>30 Apr 1998</w:t>
            </w:r>
          </w:p>
        </w:tc>
        <w:tc>
          <w:tcPr>
            <w:tcW w:w="2553" w:type="dxa"/>
          </w:tcPr>
          <w:p>
            <w:pPr>
              <w:pStyle w:val="nTable"/>
              <w:spacing w:after="40"/>
            </w:pPr>
            <w:r>
              <w:t>30 Apr 1998 (see s. 2(1))</w:t>
            </w:r>
          </w:p>
        </w:tc>
      </w:tr>
      <w:tr>
        <w:trPr>
          <w:cantSplit/>
        </w:trPr>
        <w:tc>
          <w:tcPr>
            <w:tcW w:w="7099" w:type="dxa"/>
            <w:gridSpan w:val="4"/>
          </w:tcPr>
          <w:p>
            <w:pPr>
              <w:pStyle w:val="nTable"/>
              <w:spacing w:after="40"/>
            </w:pPr>
            <w:r>
              <w:rPr>
                <w:b/>
                <w:bCs/>
              </w:rPr>
              <w:t xml:space="preserve">Reprint of the </w:t>
            </w:r>
            <w:r>
              <w:rPr>
                <w:b/>
                <w:bCs/>
                <w:i/>
              </w:rPr>
              <w:t>Property Law Act 1969</w:t>
            </w:r>
            <w:r>
              <w:rPr>
                <w:b/>
                <w:bCs/>
              </w:rPr>
              <w:t xml:space="preserve"> as at 21 May 1999</w:t>
            </w:r>
            <w:r>
              <w:t xml:space="preserve"> (includes amendments listed above)</w:t>
            </w:r>
          </w:p>
        </w:tc>
      </w:tr>
      <w:tr>
        <w:trPr>
          <w:cantSplit/>
        </w:trPr>
        <w:tc>
          <w:tcPr>
            <w:tcW w:w="2273" w:type="dxa"/>
          </w:tcPr>
          <w:p>
            <w:pPr>
              <w:pStyle w:val="nTable"/>
              <w:spacing w:after="40"/>
              <w:ind w:right="170"/>
              <w:rPr>
                <w:i/>
              </w:rPr>
            </w:pPr>
            <w:r>
              <w:rPr>
                <w:i/>
              </w:rPr>
              <w:t>Corporations (Consequential Amendments) Act (No. 2) 2003</w:t>
            </w:r>
            <w:r>
              <w:t xml:space="preserve"> Pt. 21</w:t>
            </w:r>
          </w:p>
        </w:tc>
        <w:tc>
          <w:tcPr>
            <w:tcW w:w="1138" w:type="dxa"/>
          </w:tcPr>
          <w:p>
            <w:pPr>
              <w:pStyle w:val="nTable"/>
              <w:spacing w:after="40"/>
            </w:pPr>
            <w:r>
              <w:t>20 of 2003</w:t>
            </w:r>
          </w:p>
        </w:tc>
        <w:tc>
          <w:tcPr>
            <w:tcW w:w="1135" w:type="dxa"/>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273" w:type="dxa"/>
          </w:tcPr>
          <w:p>
            <w:pPr>
              <w:pStyle w:val="nTable"/>
              <w:spacing w:after="40"/>
              <w:ind w:right="170"/>
            </w:pPr>
            <w:r>
              <w:rPr>
                <w:i/>
              </w:rPr>
              <w:t>Acts Amendment (Equality of Status) Act 2003</w:t>
            </w:r>
            <w:r>
              <w:t xml:space="preserve"> s. 125</w:t>
            </w:r>
            <w:r>
              <w:rPr>
                <w:vertAlign w:val="superscript"/>
              </w:rPr>
              <w:t> 6</w:t>
            </w:r>
            <w:r>
              <w:t> and Pt. 49</w:t>
            </w:r>
          </w:p>
        </w:tc>
        <w:tc>
          <w:tcPr>
            <w:tcW w:w="1138" w:type="dxa"/>
          </w:tcPr>
          <w:p>
            <w:pPr>
              <w:pStyle w:val="nTable"/>
              <w:spacing w:after="40"/>
            </w:pPr>
            <w:r>
              <w:t>28 of 2003</w:t>
            </w:r>
          </w:p>
        </w:tc>
        <w:tc>
          <w:tcPr>
            <w:tcW w:w="1135" w:type="dxa"/>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273" w:type="dxa"/>
          </w:tcPr>
          <w:p>
            <w:pPr>
              <w:pStyle w:val="nTable"/>
              <w:spacing w:after="40"/>
              <w:ind w:right="170"/>
              <w:rPr>
                <w:i/>
              </w:rPr>
            </w:pPr>
            <w:r>
              <w:rPr>
                <w:i/>
                <w:snapToGrid w:val="0"/>
              </w:rPr>
              <w:t>Planning and Development (Consequential and Transitional Provisions) Act 2005</w:t>
            </w:r>
            <w:r>
              <w:rPr>
                <w:iCs/>
              </w:rPr>
              <w:t xml:space="preserve"> s. 15</w:t>
            </w:r>
          </w:p>
        </w:tc>
        <w:tc>
          <w:tcPr>
            <w:tcW w:w="1138" w:type="dxa"/>
          </w:tcPr>
          <w:p>
            <w:pPr>
              <w:pStyle w:val="nTable"/>
              <w:spacing w:after="40"/>
            </w:pPr>
            <w:r>
              <w:rPr>
                <w:snapToGrid w:val="0"/>
              </w:rPr>
              <w:t>38 of 2005</w:t>
            </w:r>
          </w:p>
        </w:tc>
        <w:tc>
          <w:tcPr>
            <w:tcW w:w="1135" w:type="dxa"/>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273" w:type="dxa"/>
          </w:tcPr>
          <w:p>
            <w:pPr>
              <w:pStyle w:val="nTable"/>
              <w:spacing w:after="40"/>
              <w:ind w:right="170"/>
              <w:rPr>
                <w:i/>
                <w:snapToGrid w:val="0"/>
              </w:rPr>
            </w:pPr>
            <w:r>
              <w:rPr>
                <w:i/>
                <w:iCs/>
                <w:snapToGrid w:val="0"/>
              </w:rPr>
              <w:t xml:space="preserve">Liquor and Gaming Legislation Amendment Act 2006 </w:t>
            </w:r>
            <w:r>
              <w:rPr>
                <w:snapToGrid w:val="0"/>
              </w:rPr>
              <w:t>s. 115</w:t>
            </w:r>
          </w:p>
        </w:tc>
        <w:tc>
          <w:tcPr>
            <w:tcW w:w="1138" w:type="dxa"/>
          </w:tcPr>
          <w:p>
            <w:pPr>
              <w:pStyle w:val="nTable"/>
              <w:spacing w:after="40"/>
              <w:rPr>
                <w:snapToGrid w:val="0"/>
              </w:rPr>
            </w:pPr>
            <w:r>
              <w:rPr>
                <w:snapToGrid w:val="0"/>
              </w:rPr>
              <w:t>73 of 2006</w:t>
            </w:r>
          </w:p>
        </w:tc>
        <w:tc>
          <w:tcPr>
            <w:tcW w:w="1135" w:type="dxa"/>
          </w:tcPr>
          <w:p>
            <w:pPr>
              <w:pStyle w:val="nTable"/>
              <w:spacing w:after="40"/>
            </w:pPr>
            <w:r>
              <w:rPr>
                <w:snapToGrid w:val="0"/>
              </w:rPr>
              <w:t>13 Dec 2006</w:t>
            </w:r>
          </w:p>
        </w:tc>
        <w:tc>
          <w:tcPr>
            <w:tcW w:w="2553"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7099" w:type="dxa"/>
            <w:gridSpan w:val="4"/>
          </w:tcPr>
          <w:p>
            <w:pPr>
              <w:pStyle w:val="nTable"/>
              <w:spacing w:after="40"/>
              <w:rPr>
                <w:snapToGrid w:val="0"/>
              </w:rPr>
            </w:pPr>
            <w:r>
              <w:rPr>
                <w:b/>
                <w:bCs/>
              </w:rPr>
              <w:t xml:space="preserve">Reprint 4: The </w:t>
            </w:r>
            <w:r>
              <w:rPr>
                <w:b/>
                <w:bCs/>
                <w:i/>
              </w:rPr>
              <w:t>Property Law Act 1969</w:t>
            </w:r>
            <w:r>
              <w:rPr>
                <w:b/>
                <w:bCs/>
              </w:rPr>
              <w:t xml:space="preserve"> as at 24 Aug 2007</w:t>
            </w:r>
            <w:r>
              <w:t xml:space="preserve"> (includes amendments listed above)</w:t>
            </w:r>
          </w:p>
        </w:tc>
      </w:tr>
      <w:tr>
        <w:trPr>
          <w:cantSplit/>
        </w:trPr>
        <w:tc>
          <w:tcPr>
            <w:tcW w:w="2273" w:type="dxa"/>
          </w:tcPr>
          <w:p>
            <w:pPr>
              <w:pStyle w:val="nTable"/>
              <w:spacing w:after="40"/>
              <w:rPr>
                <w:iCs/>
                <w:vertAlign w:val="superscript"/>
              </w:rPr>
            </w:pPr>
            <w:r>
              <w:rPr>
                <w:i/>
              </w:rPr>
              <w:t>Wills Amendment Act 2007</w:t>
            </w:r>
            <w:r>
              <w:rPr>
                <w:iCs/>
              </w:rPr>
              <w:t xml:space="preserve"> s. 25</w:t>
            </w:r>
          </w:p>
        </w:tc>
        <w:tc>
          <w:tcPr>
            <w:tcW w:w="1138" w:type="dxa"/>
          </w:tcPr>
          <w:p>
            <w:pPr>
              <w:pStyle w:val="nTable"/>
              <w:spacing w:after="40"/>
            </w:pPr>
            <w:r>
              <w:rPr>
                <w:snapToGrid w:val="0"/>
              </w:rPr>
              <w:t>27 of 2007</w:t>
            </w:r>
          </w:p>
        </w:tc>
        <w:tc>
          <w:tcPr>
            <w:tcW w:w="1135" w:type="dxa"/>
          </w:tcPr>
          <w:p>
            <w:pPr>
              <w:pStyle w:val="nTable"/>
              <w:spacing w:after="40"/>
            </w:pPr>
            <w:r>
              <w:rPr>
                <w:snapToGrid w:val="0"/>
              </w:rPr>
              <w:t>26 Oct 2007</w:t>
            </w:r>
          </w:p>
        </w:tc>
        <w:tc>
          <w:tcPr>
            <w:tcW w:w="2553" w:type="dxa"/>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26 and 51</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3" w:type="dxa"/>
            <w:tcBorders>
              <w:bottom w:val="single" w:sz="4" w:space="0" w:color="auto"/>
            </w:tcBorders>
          </w:tcPr>
          <w:p>
            <w:pPr>
              <w:pStyle w:val="nTable"/>
              <w:spacing w:after="40"/>
              <w:ind w:right="113"/>
              <w:rPr>
                <w:i/>
                <w:snapToGrid w:val="0"/>
              </w:rPr>
            </w:pPr>
            <w:r>
              <w:rPr>
                <w:i/>
                <w:snapToGrid w:val="0"/>
              </w:rPr>
              <w:t>Personal Property Securities (Consequential Repeals and Amendments) Act 2011</w:t>
            </w:r>
            <w:r>
              <w:rPr>
                <w:snapToGrid w:val="0"/>
              </w:rPr>
              <w:t xml:space="preserve"> Pt. 3 Div. 3</w:t>
            </w:r>
          </w:p>
        </w:tc>
        <w:tc>
          <w:tcPr>
            <w:tcW w:w="1138" w:type="dxa"/>
            <w:tcBorders>
              <w:bottom w:val="single" w:sz="4" w:space="0" w:color="auto"/>
            </w:tcBorders>
          </w:tcPr>
          <w:p>
            <w:pPr>
              <w:pStyle w:val="nTable"/>
              <w:spacing w:after="40"/>
              <w:rPr>
                <w:snapToGrid w:val="0"/>
              </w:rPr>
            </w:pPr>
            <w:r>
              <w:rPr>
                <w:snapToGrid w:val="0"/>
              </w:rPr>
              <w:t>42 of 2011</w:t>
            </w:r>
          </w:p>
        </w:tc>
        <w:tc>
          <w:tcPr>
            <w:tcW w:w="1135" w:type="dxa"/>
            <w:tcBorders>
              <w:bottom w:val="single" w:sz="4" w:space="0" w:color="auto"/>
            </w:tcBorders>
          </w:tcPr>
          <w:p>
            <w:pPr>
              <w:pStyle w:val="nTable"/>
              <w:spacing w:after="40"/>
              <w:rPr>
                <w:snapToGrid w:val="0"/>
              </w:rPr>
            </w:pPr>
            <w:r>
              <w:t>4 Oct 2011</w:t>
            </w:r>
          </w:p>
        </w:tc>
        <w:tc>
          <w:tcPr>
            <w:tcW w:w="2553" w:type="dxa"/>
            <w:tcBorders>
              <w:bottom w:val="single" w:sz="4" w:space="0" w:color="auto"/>
            </w:tcBorders>
          </w:tcPr>
          <w:p>
            <w:pPr>
              <w:pStyle w:val="nTable"/>
              <w:spacing w:after="40"/>
              <w:rPr>
                <w:snapToGrid w:val="0"/>
              </w:rPr>
            </w:pPr>
            <w:r>
              <w:rPr>
                <w:snapToGrid w:val="0"/>
              </w:rPr>
              <w:t>30 Jan 2012 (see s. 2(c) and Cwlth Legislative Instrument No. F2011L02397 cl. 5 registered 21 Nov 2011)</w:t>
            </w:r>
          </w:p>
        </w:tc>
      </w:tr>
    </w:tbl>
    <w:p>
      <w:pPr>
        <w:pStyle w:val="nHeading3"/>
      </w:pPr>
      <w:bookmarkStart w:id="234" w:name="_Toc38006269"/>
      <w:r>
        <w:t>Uncommenced provisions table</w:t>
      </w:r>
      <w:bookmarkEnd w:id="23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Strata Titles Amendment Act 2018</w:t>
            </w:r>
            <w:r>
              <w:t xml:space="preserve"> Pt. 3 Div. 15</w:t>
            </w:r>
          </w:p>
        </w:tc>
        <w:tc>
          <w:tcPr>
            <w:tcW w:w="1134" w:type="dxa"/>
            <w:tcBorders>
              <w:bottom w:val="nil"/>
            </w:tcBorders>
          </w:tcPr>
          <w:p>
            <w:pPr>
              <w:pStyle w:val="nTable"/>
              <w:spacing w:after="40"/>
            </w:pPr>
            <w:r>
              <w:t>30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1 May 2020 (see s. 2(b) and SL 2020/39 cl. 2)</w:t>
            </w:r>
          </w:p>
        </w:tc>
      </w:tr>
      <w:tr>
        <w:tc>
          <w:tcPr>
            <w:tcW w:w="2268" w:type="dxa"/>
            <w:tcBorders>
              <w:top w:val="nil"/>
            </w:tcBorders>
          </w:tcPr>
          <w:p>
            <w:pPr>
              <w:pStyle w:val="nTable"/>
              <w:spacing w:after="40"/>
            </w:pPr>
            <w:r>
              <w:rPr>
                <w:i/>
              </w:rPr>
              <w:t>Community Titles Act 2018</w:t>
            </w:r>
            <w:r>
              <w:t xml:space="preserve"> Pt. 14 Div. 15</w:t>
            </w:r>
          </w:p>
        </w:tc>
        <w:tc>
          <w:tcPr>
            <w:tcW w:w="1134" w:type="dxa"/>
            <w:tcBorders>
              <w:top w:val="nil"/>
            </w:tcBorders>
          </w:tcPr>
          <w:p>
            <w:pPr>
              <w:pStyle w:val="nTable"/>
              <w:spacing w:after="40"/>
            </w:pPr>
            <w:r>
              <w:t>32 of 2018</w:t>
            </w:r>
          </w:p>
        </w:tc>
        <w:tc>
          <w:tcPr>
            <w:tcW w:w="1134" w:type="dxa"/>
            <w:tcBorders>
              <w:top w:val="nil"/>
            </w:tcBorders>
          </w:tcPr>
          <w:p>
            <w:pPr>
              <w:pStyle w:val="nTable"/>
              <w:spacing w:after="40"/>
            </w:pPr>
            <w:r>
              <w:t>19 Nov 2018</w:t>
            </w:r>
          </w:p>
        </w:tc>
        <w:tc>
          <w:tcPr>
            <w:tcW w:w="2552" w:type="dxa"/>
            <w:tcBorders>
              <w:top w:val="nil"/>
            </w:tcBorders>
          </w:tcPr>
          <w:p>
            <w:pPr>
              <w:pStyle w:val="nTable"/>
              <w:spacing w:after="40"/>
            </w:pPr>
            <w:r>
              <w:t>To be proclaimed (see s. 2(b))</w:t>
            </w:r>
          </w:p>
        </w:tc>
      </w:tr>
    </w:tbl>
    <w:p>
      <w:pPr>
        <w:pStyle w:val="nHeading3"/>
      </w:pPr>
      <w:bookmarkStart w:id="235" w:name="_Toc38006270"/>
      <w:r>
        <w:t>Other notes</w:t>
      </w:r>
      <w:bookmarkEnd w:id="235"/>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spacing w:before="120"/>
        <w:rPr>
          <w:snapToGrid w:val="0"/>
        </w:rPr>
      </w:pPr>
      <w:r>
        <w:rPr>
          <w:snapToGrid w:val="0"/>
          <w:vertAlign w:val="superscript"/>
        </w:rPr>
        <w:t>2</w:t>
      </w:r>
      <w:r>
        <w:rPr>
          <w:snapToGrid w:val="0"/>
        </w:rPr>
        <w:tab/>
        <w:t xml:space="preserve">Section 31A proclaimed 21 January 1972, see </w:t>
      </w:r>
      <w:r>
        <w:rPr>
          <w:i/>
          <w:snapToGrid w:val="0"/>
        </w:rPr>
        <w:t>Gazette</w:t>
      </w:r>
      <w:r>
        <w:rPr>
          <w:snapToGrid w:val="0"/>
        </w:rPr>
        <w:t xml:space="preserve"> 21 January 1972 p 72.</w:t>
      </w:r>
    </w:p>
    <w:p>
      <w:pPr>
        <w:pStyle w:val="nNote"/>
        <w:spacing w:before="120"/>
        <w:rPr>
          <w:snapToGrid w:val="0"/>
        </w:rPr>
      </w:pPr>
      <w:r>
        <w:rPr>
          <w:snapToGrid w:val="0"/>
          <w:vertAlign w:val="superscript"/>
        </w:rPr>
        <w:t>3</w:t>
      </w:r>
      <w:r>
        <w:rPr>
          <w:snapToGrid w:val="0"/>
        </w:rPr>
        <w:tab/>
        <w:t xml:space="preserve">Repealed by the </w:t>
      </w:r>
      <w:r>
        <w:rPr>
          <w:i/>
          <w:snapToGrid w:val="0"/>
        </w:rPr>
        <w:t>Property Law Act 1969</w:t>
      </w:r>
      <w:r>
        <w:rPr>
          <w:snapToGrid w:val="0"/>
        </w:rPr>
        <w:t>.</w:t>
      </w:r>
    </w:p>
    <w:p>
      <w:pPr>
        <w:pStyle w:val="nNote"/>
        <w:spacing w:before="120"/>
        <w:rPr>
          <w:snapToGrid w:val="0"/>
        </w:rPr>
      </w:pPr>
      <w:r>
        <w:rPr>
          <w:snapToGrid w:val="0"/>
          <w:vertAlign w:val="superscript"/>
        </w:rPr>
        <w:t>4</w:t>
      </w:r>
      <w:r>
        <w:rPr>
          <w:snapToGrid w:val="0"/>
        </w:rPr>
        <w:tab/>
        <w:t xml:space="preserve">Section 117 repealed by the </w:t>
      </w:r>
      <w:r>
        <w:rPr>
          <w:i/>
          <w:snapToGrid w:val="0"/>
        </w:rPr>
        <w:t>Wills Act 1970</w:t>
      </w:r>
      <w:r>
        <w:rPr>
          <w:snapToGrid w:val="0"/>
        </w:rPr>
        <w:t xml:space="preserve"> s. 3.</w:t>
      </w:r>
    </w:p>
    <w:p>
      <w:pPr>
        <w:pStyle w:val="nNote"/>
        <w:spacing w:before="120"/>
        <w:rPr>
          <w:snapToGrid w:val="0"/>
        </w:rPr>
      </w:pPr>
      <w:r>
        <w:rPr>
          <w:snapToGrid w:val="0"/>
          <w:vertAlign w:val="superscript"/>
        </w:rPr>
        <w:t>5</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Note"/>
        <w:keepNext/>
        <w:keepLines/>
      </w:pPr>
      <w:r>
        <w:rPr>
          <w:vertAlign w:val="superscript"/>
        </w:rPr>
        <w:t>6</w:t>
      </w:r>
      <w:r>
        <w:tab/>
        <w:t xml:space="preserve">The </w:t>
      </w:r>
      <w:r>
        <w:rPr>
          <w:i/>
        </w:rPr>
        <w:t>Acts Amendment (Equality of Status) Act 2003</w:t>
      </w:r>
      <w:r>
        <w:t xml:space="preserve"> s. 125(3) reads as follows:</w:t>
      </w:r>
    </w:p>
    <w:p>
      <w:pPr>
        <w:pStyle w:val="MiscOpen"/>
      </w:pPr>
      <w:r>
        <w:t>“</w:t>
      </w:r>
    </w:p>
    <w:p>
      <w:pPr>
        <w:pStyle w:val="nzSubsection"/>
      </w:pPr>
      <w:r>
        <w:tab/>
        <w:t>(3)</w:t>
      </w:r>
      <w:r>
        <w:tab/>
        <w:t>A restriction upon anticipation or alienation attached to the enjoyment of any property by a woman which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w:t>
      </w:r>
    </w:p>
    <w:p>
      <w:pPr>
        <w:pStyle w:val="nzSubsection"/>
      </w:pPr>
      <w:r>
        <w:tab/>
      </w:r>
      <w:r>
        <w:tab/>
        <w:t>is of no effect.</w:t>
      </w:r>
    </w:p>
    <w:p>
      <w:pPr>
        <w:pStyle w:val="MiscClose"/>
        <w:keepLines w:val="0"/>
      </w:pPr>
      <w:r>
        <w: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37" w:name="_Toc38005925"/>
      <w:bookmarkStart w:id="238" w:name="_Toc38006098"/>
      <w:bookmarkStart w:id="239" w:name="_Toc38006271"/>
      <w:r>
        <w:rPr>
          <w:sz w:val="28"/>
        </w:rPr>
        <w:t>Defined terms</w:t>
      </w:r>
      <w:bookmarkEnd w:id="237"/>
      <w:bookmarkEnd w:id="238"/>
      <w:bookmarkEnd w:id="2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purchaser in good faith</w:t>
      </w:r>
      <w:r>
        <w:tab/>
        <w:t>95(3)</w:t>
      </w:r>
    </w:p>
    <w:p>
      <w:pPr>
        <w:pStyle w:val="DefinedTerms"/>
      </w:pPr>
      <w:r>
        <w:t>annuities</w:t>
      </w:r>
      <w:r>
        <w:tab/>
        <w:t>130(1)</w:t>
      </w:r>
    </w:p>
    <w:p>
      <w:pPr>
        <w:pStyle w:val="DefinedTerms"/>
      </w:pPr>
      <w:r>
        <w:t>any debt or other legal chose in action</w:t>
      </w:r>
      <w:r>
        <w:tab/>
        <w:t>20(3)</w:t>
      </w:r>
    </w:p>
    <w:p>
      <w:pPr>
        <w:pStyle w:val="DefinedTerms"/>
      </w:pPr>
      <w:r>
        <w:t>bankruptcy</w:t>
      </w:r>
      <w:r>
        <w:tab/>
        <w:t>7</w:t>
      </w:r>
    </w:p>
    <w:p>
      <w:pPr>
        <w:pStyle w:val="DefinedTerms"/>
      </w:pPr>
      <w:r>
        <w:t>building</w:t>
      </w:r>
      <w:r>
        <w:tab/>
        <w:t>122(7)</w:t>
      </w:r>
    </w:p>
    <w:p>
      <w:pPr>
        <w:pStyle w:val="DefinedTerms"/>
      </w:pPr>
      <w:r>
        <w:t>convey</w:t>
      </w:r>
      <w:r>
        <w:tab/>
        <w:t>7</w:t>
      </w:r>
    </w:p>
    <w:p>
      <w:pPr>
        <w:pStyle w:val="DefinedTerms"/>
      </w:pPr>
      <w:r>
        <w:t>conveyance</w:t>
      </w:r>
      <w:r>
        <w:tab/>
        <w:t>7</w:t>
      </w:r>
    </w:p>
    <w:p>
      <w:pPr>
        <w:pStyle w:val="DefinedTerms"/>
      </w:pPr>
      <w:r>
        <w:t>Court</w:t>
      </w:r>
      <w:r>
        <w:tab/>
        <w:t>7, 100</w:t>
      </w:r>
    </w:p>
    <w:p>
      <w:pPr>
        <w:pStyle w:val="DefinedTerms"/>
      </w:pPr>
      <w:r>
        <w:t>decision of the Court</w:t>
      </w:r>
      <w:r>
        <w:tab/>
        <w:t>100</w:t>
      </w:r>
    </w:p>
    <w:p>
      <w:pPr>
        <w:pStyle w:val="DefinedTerms"/>
      </w:pPr>
      <w:r>
        <w:t>deed</w:t>
      </w:r>
      <w:r>
        <w:tab/>
        <w:t>7</w:t>
      </w:r>
    </w:p>
    <w:p>
      <w:pPr>
        <w:pStyle w:val="DefinedTerms"/>
      </w:pPr>
      <w:r>
        <w:t>dispose of</w:t>
      </w:r>
      <w:r>
        <w:tab/>
        <w:t>7</w:t>
      </w:r>
    </w:p>
    <w:p>
      <w:pPr>
        <w:pStyle w:val="DefinedTerms"/>
      </w:pPr>
      <w:r>
        <w:t>disposition</w:t>
      </w:r>
      <w:r>
        <w:tab/>
        <w:t>7</w:t>
      </w:r>
    </w:p>
    <w:p>
      <w:pPr>
        <w:pStyle w:val="DefinedTerms"/>
      </w:pPr>
      <w:r>
        <w:t>dividends</w:t>
      </w:r>
      <w:r>
        <w:tab/>
        <w:t>130(1)</w:t>
      </w:r>
    </w:p>
    <w:p>
      <w:pPr>
        <w:pStyle w:val="DefinedTerms"/>
      </w:pPr>
      <w:r>
        <w:t>employee</w:t>
      </w:r>
      <w:r>
        <w:tab/>
        <w:t>115(2)</w:t>
      </w:r>
    </w:p>
    <w:p>
      <w:pPr>
        <w:pStyle w:val="DefinedTerms"/>
      </w:pPr>
      <w:r>
        <w:t>employer</w:t>
      </w:r>
      <w:r>
        <w:tab/>
        <w:t>115(2)</w:t>
      </w:r>
    </w:p>
    <w:p>
      <w:pPr>
        <w:pStyle w:val="DefinedTerms"/>
      </w:pPr>
      <w:r>
        <w:t>encumbrance</w:t>
      </w:r>
      <w:r>
        <w:tab/>
        <w:t>7</w:t>
      </w:r>
    </w:p>
    <w:p>
      <w:pPr>
        <w:pStyle w:val="DefinedTerms"/>
      </w:pPr>
      <w:r>
        <w:t>encumbrancee</w:t>
      </w:r>
      <w:r>
        <w:tab/>
        <w:t>7</w:t>
      </w:r>
    </w:p>
    <w:p>
      <w:pPr>
        <w:pStyle w:val="DefinedTerms"/>
      </w:pPr>
      <w:r>
        <w:t>estate tail</w:t>
      </w:r>
      <w:r>
        <w:tab/>
        <w:t>23(3)</w:t>
      </w:r>
    </w:p>
    <w:p>
      <w:pPr>
        <w:pStyle w:val="DefinedTerms"/>
      </w:pPr>
      <w:r>
        <w:t>fine</w:t>
      </w:r>
      <w:r>
        <w:tab/>
        <w:t>7</w:t>
      </w:r>
    </w:p>
    <w:p>
      <w:pPr>
        <w:pStyle w:val="DefinedTerms"/>
      </w:pPr>
      <w:r>
        <w:t>income</w:t>
      </w:r>
      <w:r>
        <w:tab/>
        <w:t>7</w:t>
      </w:r>
    </w:p>
    <w:p>
      <w:pPr>
        <w:pStyle w:val="DefinedTerms"/>
      </w:pPr>
      <w:r>
        <w:t>instrument</w:t>
      </w:r>
      <w:r>
        <w:tab/>
        <w:t>7, 100</w:t>
      </w:r>
    </w:p>
    <w:p>
      <w:pPr>
        <w:pStyle w:val="DefinedTerms"/>
      </w:pPr>
      <w:r>
        <w:t>land</w:t>
      </w:r>
      <w:r>
        <w:tab/>
        <w:t>7, 49(2)</w:t>
      </w:r>
    </w:p>
    <w:p>
      <w:pPr>
        <w:pStyle w:val="DefinedTerms"/>
      </w:pPr>
      <w:r>
        <w:t>land under the Transfer of Land Act 1893</w:t>
      </w:r>
      <w:r>
        <w:tab/>
        <w:t>7</w:t>
      </w:r>
    </w:p>
    <w:p>
      <w:pPr>
        <w:pStyle w:val="DefinedTerms"/>
      </w:pPr>
      <w:r>
        <w:t>lease</w:t>
      </w:r>
      <w:r>
        <w:tab/>
        <w:t>7, 69, 81(5)</w:t>
      </w:r>
    </w:p>
    <w:p>
      <w:pPr>
        <w:pStyle w:val="DefinedTerms"/>
      </w:pPr>
      <w:r>
        <w:t>lessee</w:t>
      </w:r>
      <w:r>
        <w:tab/>
        <w:t>7, 81(5)</w:t>
      </w:r>
    </w:p>
    <w:p>
      <w:pPr>
        <w:pStyle w:val="DefinedTerms"/>
      </w:pPr>
      <w:r>
        <w:t>lessor</w:t>
      </w:r>
      <w:r>
        <w:tab/>
        <w:t>7, 81(5)</w:t>
      </w:r>
    </w:p>
    <w:p>
      <w:pPr>
        <w:pStyle w:val="DefinedTerms"/>
      </w:pPr>
      <w:r>
        <w:t>limitation</w:t>
      </w:r>
      <w:r>
        <w:tab/>
        <w:t>100</w:t>
      </w:r>
    </w:p>
    <w:p>
      <w:pPr>
        <w:pStyle w:val="DefinedTerms"/>
      </w:pPr>
      <w:r>
        <w:t>mines and minerals</w:t>
      </w:r>
      <w:r>
        <w:tab/>
        <w:t>7</w:t>
      </w:r>
    </w:p>
    <w:p>
      <w:pPr>
        <w:pStyle w:val="DefinedTerms"/>
      </w:pPr>
      <w:r>
        <w:t>month</w:t>
      </w:r>
      <w:r>
        <w:tab/>
        <w:t>8</w:t>
      </w:r>
    </w:p>
    <w:p>
      <w:pPr>
        <w:pStyle w:val="DefinedTerms"/>
      </w:pPr>
      <w:r>
        <w:t>mortgage</w:t>
      </w:r>
      <w:r>
        <w:tab/>
        <w:t>7</w:t>
      </w:r>
    </w:p>
    <w:p>
      <w:pPr>
        <w:pStyle w:val="DefinedTerms"/>
      </w:pPr>
      <w:r>
        <w:t>mortgage money</w:t>
      </w:r>
      <w:r>
        <w:tab/>
        <w:t>7</w:t>
      </w:r>
    </w:p>
    <w:p>
      <w:pPr>
        <w:pStyle w:val="DefinedTerms"/>
      </w:pPr>
      <w:r>
        <w:t>mortgaged property</w:t>
      </w:r>
      <w:r>
        <w:tab/>
        <w:t>55(6)</w:t>
      </w:r>
    </w:p>
    <w:p>
      <w:pPr>
        <w:pStyle w:val="DefinedTerms"/>
      </w:pPr>
      <w:r>
        <w:t>mortgagee</w:t>
      </w:r>
      <w:r>
        <w:tab/>
        <w:t>7</w:t>
      </w:r>
    </w:p>
    <w:p>
      <w:pPr>
        <w:pStyle w:val="DefinedTerms"/>
      </w:pPr>
      <w:r>
        <w:t>mortgagee in possession</w:t>
      </w:r>
      <w:r>
        <w:tab/>
        <w:t>7</w:t>
      </w:r>
    </w:p>
    <w:p>
      <w:pPr>
        <w:pStyle w:val="DefinedTerms"/>
      </w:pPr>
      <w:r>
        <w:t>mortgagor</w:t>
      </w:r>
      <w:r>
        <w:tab/>
        <w:t>7</w:t>
      </w:r>
    </w:p>
    <w:p>
      <w:pPr>
        <w:pStyle w:val="DefinedTerms"/>
      </w:pPr>
      <w:r>
        <w:t>notice</w:t>
      </w:r>
      <w:r>
        <w:tab/>
        <w:t>7</w:t>
      </w:r>
    </w:p>
    <w:p>
      <w:pPr>
        <w:pStyle w:val="DefinedTerms"/>
      </w:pPr>
      <w:r>
        <w:t>order absolute</w:t>
      </w:r>
      <w:r>
        <w:tab/>
        <w:t>53(2)</w:t>
      </w:r>
    </w:p>
    <w:p>
      <w:pPr>
        <w:pStyle w:val="DefinedTerms"/>
      </w:pPr>
      <w:r>
        <w:t>periodic tenancy</w:t>
      </w:r>
      <w:r>
        <w:tab/>
        <w:t>7</w:t>
      </w:r>
    </w:p>
    <w:p>
      <w:pPr>
        <w:pStyle w:val="DefinedTerms"/>
      </w:pPr>
      <w:r>
        <w:t>person</w:t>
      </w:r>
      <w:r>
        <w:tab/>
        <w:t>8</w:t>
      </w:r>
    </w:p>
    <w:p>
      <w:pPr>
        <w:pStyle w:val="DefinedTerms"/>
      </w:pPr>
      <w:r>
        <w:t>personal representative</w:t>
      </w:r>
      <w:r>
        <w:tab/>
        <w:t>7</w:t>
      </w:r>
    </w:p>
    <w:p>
      <w:pPr>
        <w:pStyle w:val="DefinedTerms"/>
      </w:pPr>
      <w:r>
        <w:t>possession</w:t>
      </w:r>
      <w:r>
        <w:tab/>
        <w:t>7</w:t>
      </w:r>
    </w:p>
    <w:p>
      <w:pPr>
        <w:pStyle w:val="DefinedTerms"/>
      </w:pPr>
      <w:r>
        <w:t>prescribed notice</w:t>
      </w:r>
      <w:r>
        <w:tab/>
        <w:t>83C(1)</w:t>
      </w:r>
    </w:p>
    <w:p>
      <w:pPr>
        <w:pStyle w:val="DefinedTerms"/>
      </w:pPr>
      <w:r>
        <w:t>property</w:t>
      </w:r>
      <w:r>
        <w:tab/>
        <w:t>7, 100</w:t>
      </w:r>
    </w:p>
    <w:p>
      <w:pPr>
        <w:pStyle w:val="DefinedTerms"/>
      </w:pPr>
      <w:r>
        <w:t>purchase</w:t>
      </w:r>
      <w:r>
        <w:tab/>
        <w:t>7</w:t>
      </w:r>
    </w:p>
    <w:p>
      <w:pPr>
        <w:pStyle w:val="DefinedTerms"/>
      </w:pPr>
      <w:r>
        <w:t>purchaser</w:t>
      </w:r>
      <w:r>
        <w:tab/>
        <w:t>7</w:t>
      </w:r>
    </w:p>
    <w:p>
      <w:pPr>
        <w:pStyle w:val="DefinedTerms"/>
      </w:pPr>
      <w:r>
        <w:t>registered or duly registered</w:t>
      </w:r>
      <w:r>
        <w:tab/>
        <w:t>7</w:t>
      </w:r>
    </w:p>
    <w:p>
      <w:pPr>
        <w:pStyle w:val="DefinedTerms"/>
      </w:pPr>
      <w:r>
        <w:t>rent</w:t>
      </w:r>
      <w:r>
        <w:tab/>
        <w:t>7, 130(1)</w:t>
      </w:r>
    </w:p>
    <w:p>
      <w:pPr>
        <w:pStyle w:val="DefinedTerms"/>
      </w:pPr>
      <w:r>
        <w:t>represented person</w:t>
      </w:r>
      <w:r>
        <w:tab/>
        <w:t>7</w:t>
      </w:r>
    </w:p>
    <w:p>
      <w:pPr>
        <w:pStyle w:val="DefinedTerms"/>
      </w:pPr>
      <w:r>
        <w:t>reversionary interest</w:t>
      </w:r>
      <w:r>
        <w:tab/>
        <w:t>92(2)</w:t>
      </w:r>
    </w:p>
    <w:p>
      <w:pPr>
        <w:pStyle w:val="DefinedTerms"/>
      </w:pPr>
      <w:r>
        <w:t>right of redemption</w:t>
      </w:r>
      <w:r>
        <w:tab/>
        <w:t>7</w:t>
      </w:r>
    </w:p>
    <w:p>
      <w:pPr>
        <w:pStyle w:val="DefinedTerms"/>
      </w:pPr>
      <w:r>
        <w:t>right of re</w:t>
      </w:r>
      <w:r>
        <w:noBreakHyphen/>
        <w:t>entry</w:t>
      </w:r>
      <w:r>
        <w:tab/>
        <w:t>76(2)</w:t>
      </w:r>
    </w:p>
    <w:p>
      <w:pPr>
        <w:pStyle w:val="DefinedTerms"/>
      </w:pPr>
      <w:r>
        <w:t>sale</w:t>
      </w:r>
      <w:r>
        <w:tab/>
        <w:t>7</w:t>
      </w:r>
    </w:p>
    <w:p>
      <w:pPr>
        <w:pStyle w:val="DefinedTerms"/>
      </w:pPr>
      <w:r>
        <w:t>securities</w:t>
      </w:r>
      <w:r>
        <w:tab/>
        <w:t>7</w:t>
      </w:r>
    </w:p>
    <w:p>
      <w:pPr>
        <w:pStyle w:val="DefinedTerms"/>
      </w:pPr>
      <w:r>
        <w:t>successors in title</w:t>
      </w:r>
      <w:r>
        <w:tab/>
        <w:t>47(2), 48(3)</w:t>
      </w:r>
    </w:p>
    <w:p>
      <w:pPr>
        <w:pStyle w:val="DefinedTerms"/>
      </w:pPr>
      <w:r>
        <w:t>trust</w:t>
      </w:r>
      <w:r>
        <w:tab/>
        <w:t>100</w:t>
      </w:r>
    </w:p>
    <w:p>
      <w:pPr>
        <w:pStyle w:val="DefinedTerms"/>
      </w:pPr>
      <w:r>
        <w:t>trustee</w:t>
      </w:r>
      <w:r>
        <w:tab/>
        <w:t>100</w:t>
      </w:r>
    </w:p>
    <w:p>
      <w:pPr>
        <w:pStyle w:val="DefinedTerms"/>
      </w:pPr>
      <w:r>
        <w:t>under</w:t>
      </w:r>
      <w:r>
        <w:noBreakHyphen/>
        <w:t>lease</w:t>
      </w:r>
      <w:r>
        <w:tab/>
        <w:t>81(5)</w:t>
      </w:r>
    </w:p>
    <w:p>
      <w:pPr>
        <w:pStyle w:val="DefinedTerms"/>
      </w:pPr>
      <w:r>
        <w:t>under</w:t>
      </w:r>
      <w:r>
        <w:noBreakHyphen/>
        <w:t>lessee</w:t>
      </w:r>
      <w:r>
        <w:tab/>
        <w:t>81(5)</w:t>
      </w:r>
    </w:p>
    <w:p>
      <w:pPr>
        <w:pStyle w:val="DefinedTerms"/>
      </w:pPr>
      <w:r>
        <w:t>valuable consideration</w:t>
      </w:r>
      <w:r>
        <w:tab/>
        <w:t>7</w:t>
      </w:r>
    </w:p>
    <w:p>
      <w:pPr>
        <w:pStyle w:val="DefinedTerms"/>
      </w:pPr>
      <w:r>
        <w:t>will</w:t>
      </w:r>
      <w:r>
        <w:tab/>
        <w:t>7, 100</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1752" w:type="dxa"/>
        </w:tcPr>
        <w:p>
          <w:pPr>
            <w:pStyle w:val="Header"/>
            <w:spacing w:before="40"/>
          </w:pPr>
          <w:r>
            <w:rPr>
              <w:b/>
            </w:rPr>
            <w:fldChar w:fldCharType="begin"/>
          </w:r>
          <w:r>
            <w:rPr>
              <w:b/>
            </w:rPr>
            <w:instrText>styleref CharSchno</w:instrText>
          </w:r>
          <w:r>
            <w:rPr>
              <w:b/>
            </w:rPr>
            <w:fldChar w:fldCharType="end"/>
          </w:r>
        </w:p>
      </w:tc>
      <w:tc>
        <w:tcPr>
          <w:tcW w:w="5511" w:type="dxa"/>
        </w:tcPr>
        <w:p>
          <w:pPr>
            <w:pStyle w:val="Header"/>
            <w:spacing w:before="40"/>
          </w:pPr>
          <w:r>
            <w:fldChar w:fldCharType="begin"/>
          </w:r>
          <w:r>
            <w:instrText>styleref CharSchText</w:instrText>
          </w:r>
          <w:r>
            <w:fldChar w:fldCharType="end"/>
          </w:r>
        </w:p>
      </w:tc>
    </w:tr>
    <w:tr>
      <w:tc>
        <w:tcPr>
          <w:tcW w:w="1752" w:type="dxa"/>
        </w:tcPr>
        <w:p>
          <w:pPr>
            <w:pStyle w:val="Header"/>
            <w:spacing w:before="40"/>
          </w:pPr>
          <w:r>
            <w:rPr>
              <w:b/>
            </w:rPr>
            <w:fldChar w:fldCharType="begin"/>
          </w:r>
          <w:r>
            <w:rPr>
              <w:b/>
            </w:rPr>
            <w:instrText xml:space="preserve"> STYLEREF CharSDivNo \* charformat</w:instrText>
          </w:r>
          <w:r>
            <w:rPr>
              <w:b/>
            </w:rPr>
            <w:fldChar w:fldCharType="end"/>
          </w:r>
        </w:p>
      </w:tc>
      <w:tc>
        <w:tcPr>
          <w:tcW w:w="5511" w:type="dxa"/>
        </w:tcPr>
        <w:p>
          <w:pPr>
            <w:pStyle w:val="Header"/>
            <w:spacing w:before="40"/>
          </w:pPr>
          <w:r>
            <w:fldChar w:fldCharType="begin"/>
          </w:r>
          <w:r>
            <w:instrText xml:space="preserve"> styleref CharSDivText </w:instrText>
          </w:r>
          <w:r>
            <w:fldChar w:fldCharType="end"/>
          </w:r>
        </w:p>
      </w:tc>
    </w:tr>
    <w:tr>
      <w:tc>
        <w:tcPr>
          <w:tcW w:w="1752" w:type="dxa"/>
        </w:tcPr>
        <w:p>
          <w:pPr>
            <w:pStyle w:val="Header"/>
            <w:spacing w:before="40"/>
          </w:pPr>
        </w:p>
      </w:tc>
      <w:tc>
        <w:tcPr>
          <w:tcW w:w="551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29" w:name="Schedule"/>
    <w:bookmarkEnd w:id="2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Property Law Act 1969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Property Law Act 1969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6" w:name="Compilation"/>
    <w:bookmarkEnd w:id="2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Property Law Act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Property Law Act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0" w:name="DefinedTerms"/>
    <w:bookmarkEnd w:id="24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1" w:name="Coversheet"/>
    <w:bookmarkEnd w:id="2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Property Law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Property Law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5677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3EEE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22F6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8E5D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F4E9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E28D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40E15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4EE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A80B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72C4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7FA47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83821"/>
    <w:docVar w:name="WAFER_20140124120945" w:val="RemoveTocBookmarks,RemoveUnusedBookmarks,RemoveLanguageTags,UsedStyles,ResetPageSize,UpdateArrangement"/>
    <w:docVar w:name="WAFER_20140124120945_GUID" w:val="cabec77a-f4c3-4f5b-8671-759162653ef1"/>
    <w:docVar w:name="WAFER_20140124124439" w:val="RemoveTocBookmarks,RunningHeaders"/>
    <w:docVar w:name="WAFER_20140124124439_GUID" w:val="96f70cee-476a-429e-9d1b-b5a0c4e50b0a"/>
    <w:docVar w:name="WAFER_20150710113756" w:val="ResetPageSize,UpdateArrangement,UpdateNTable"/>
    <w:docVar w:name="WAFER_20150710113756_GUID" w:val="7aee50fd-0cde-47d9-9eed-74aab6308bb3"/>
    <w:docVar w:name="WAFER_20151109113019" w:val="UpdateStyles,UsedStyles"/>
    <w:docVar w:name="WAFER_20151109113019_GUID" w:val="f92ff3dd-2362-4c79-afa9-39b171852c12"/>
    <w:docVar w:name="WAFER_20151201103733" w:val="RemoveTrackChanges"/>
    <w:docVar w:name="WAFER_20151201103733_GUID" w:val="b6568331-6aa1-4539-82d0-127257f67c54"/>
    <w:docVar w:name="WAFER_20181121094742" w:val="RemoveTocBookmarks,RemoveUnusedBookmarks,RemoveLanguageTags,UsedStyles,ResetPageSize"/>
    <w:docVar w:name="WAFER_20181121094742_GUID" w:val="a5e1de1a-10fe-43f9-b273-c6418625daef"/>
    <w:docVar w:name="WAFER_202002111805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80534_GUID" w:val="e551f522-32ed-413d-a608-c3ae55422ed1"/>
    <w:docVar w:name="WAFER_2020041708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3821_GUID" w:val="122646bb-37aa-46fc-bea4-ee7f049f3b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32236</Words>
  <Characters>150544</Characters>
  <Application>Microsoft Office Word</Application>
  <DocSecurity>0</DocSecurity>
  <Lines>3763</Lines>
  <Paragraphs>1617</Paragraphs>
  <ScaleCrop>false</ScaleCrop>
  <HeadingPairs>
    <vt:vector size="2" baseType="variant">
      <vt:variant>
        <vt:lpstr>Title</vt:lpstr>
      </vt:variant>
      <vt:variant>
        <vt:i4>1</vt:i4>
      </vt:variant>
    </vt:vector>
  </HeadingPairs>
  <TitlesOfParts>
    <vt:vector size="1" baseType="lpstr">
      <vt:lpstr>Property Law Act 1969</vt:lpstr>
    </vt:vector>
  </TitlesOfParts>
  <Manager/>
  <Company/>
  <LinksUpToDate>false</LinksUpToDate>
  <CharactersWithSpaces>181163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1969 - 04-h0-04</dc:title>
  <dc:subject/>
  <dc:creator/>
  <cp:keywords/>
  <dc:description/>
  <cp:lastModifiedBy>svcMRProcess</cp:lastModifiedBy>
  <cp:revision>4</cp:revision>
  <cp:lastPrinted>2007-08-30T02:37:00Z</cp:lastPrinted>
  <dcterms:created xsi:type="dcterms:W3CDTF">2020-04-17T09:37:00Z</dcterms:created>
  <dcterms:modified xsi:type="dcterms:W3CDTF">2020-04-17T09:37:00Z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DocumentType">
    <vt:lpwstr>Act</vt:lpwstr>
  </property>
  <property fmtid="{D5CDD505-2E9C-101B-9397-08002B2CF9AE}" pid="4" name="OwlsUID">
    <vt:i4>636</vt:i4>
  </property>
  <property fmtid="{D5CDD505-2E9C-101B-9397-08002B2CF9AE}" pid="5" name="ReprintNo">
    <vt:lpwstr>4</vt:lpwstr>
  </property>
  <property fmtid="{D5CDD505-2E9C-101B-9397-08002B2CF9AE}" pid="6" name="ThisVersion">
    <vt:lpwstr>04-e0-02</vt:lpwstr>
  </property>
  <property fmtid="{D5CDD505-2E9C-101B-9397-08002B2CF9AE}" pid="7" name="CommencementDate">
    <vt:lpwstr>20181119</vt:lpwstr>
  </property>
  <property fmtid="{D5CDD505-2E9C-101B-9397-08002B2CF9AE}" pid="8" name="AsAtDate">
    <vt:lpwstr>19 Nov 2018</vt:lpwstr>
  </property>
  <property fmtid="{D5CDD505-2E9C-101B-9397-08002B2CF9AE}" pid="9" name="Suffix">
    <vt:lpwstr>04-h0-04</vt:lpwstr>
  </property>
</Properties>
</file>