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Parking Management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_Toc38005316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_Toc38005317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_Toc38005318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_Toc38005319 \h </w:instrText>
      </w:r>
      <w:r>
        <w:fldChar w:fldCharType="separate"/>
      </w:r>
      <w:r>
        <w:t>2</w:t>
      </w:r>
      <w:r>
        <w:fldChar w:fldCharType="end"/>
      </w:r>
    </w:p>
    <w:p>
      <w:pPr>
        <w:pStyle w:val="TOC8"/>
        <w:rPr>
          <w:rFonts w:asciiTheme="minorHAnsi" w:eastAsiaTheme="minorEastAsia" w:hAnsiTheme="minorHAnsi" w:cstheme="minorBidi"/>
          <w:szCs w:val="22"/>
        </w:rPr>
      </w:pPr>
      <w:r>
        <w:t>5.</w:t>
      </w:r>
      <w:r>
        <w:tab/>
        <w:t>Perth Parking Policy</w:t>
      </w:r>
      <w:r>
        <w:tab/>
      </w:r>
      <w:r>
        <w:fldChar w:fldCharType="begin"/>
      </w:r>
      <w:r>
        <w:instrText xml:space="preserve"> PAGEREF _Toc38005320 \h </w:instrText>
      </w:r>
      <w:r>
        <w:fldChar w:fldCharType="separate"/>
      </w:r>
      <w:r>
        <w:t>4</w:t>
      </w:r>
      <w:r>
        <w:fldChar w:fldCharType="end"/>
      </w:r>
    </w:p>
    <w:p>
      <w:pPr>
        <w:pStyle w:val="TOC8"/>
        <w:rPr>
          <w:rFonts w:asciiTheme="minorHAnsi" w:eastAsiaTheme="minorEastAsia" w:hAnsiTheme="minorHAnsi" w:cstheme="minorBidi"/>
          <w:szCs w:val="22"/>
        </w:rPr>
      </w:pPr>
      <w:r>
        <w:t>6.</w:t>
      </w:r>
      <w:r>
        <w:tab/>
        <w:t>Perth parking management area</w:t>
      </w:r>
      <w:r>
        <w:tab/>
      </w:r>
      <w:r>
        <w:fldChar w:fldCharType="begin"/>
      </w:r>
      <w:r>
        <w:instrText xml:space="preserve"> PAGEREF _Toc38005321 \h </w:instrText>
      </w:r>
      <w:r>
        <w:fldChar w:fldCharType="separate"/>
      </w:r>
      <w:r>
        <w:t>4</w:t>
      </w:r>
      <w:r>
        <w:fldChar w:fldCharType="end"/>
      </w:r>
    </w:p>
    <w:p>
      <w:pPr>
        <w:pStyle w:val="TOC8"/>
        <w:rPr>
          <w:rFonts w:asciiTheme="minorHAnsi" w:eastAsiaTheme="minorEastAsia" w:hAnsiTheme="minorHAnsi" w:cstheme="minorBidi"/>
          <w:szCs w:val="22"/>
        </w:rPr>
      </w:pPr>
      <w:r>
        <w:t>7.</w:t>
      </w:r>
      <w:r>
        <w:tab/>
        <w:t>Restricted parking in Perth parking management area</w:t>
      </w:r>
      <w:r>
        <w:tab/>
      </w:r>
      <w:r>
        <w:fldChar w:fldCharType="begin"/>
      </w:r>
      <w:r>
        <w:instrText xml:space="preserve"> PAGEREF _Toc38005322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Parking bay licences</w:t>
      </w:r>
    </w:p>
    <w:p>
      <w:pPr>
        <w:pStyle w:val="TOC8"/>
        <w:rPr>
          <w:rFonts w:asciiTheme="minorHAnsi" w:eastAsiaTheme="minorEastAsia" w:hAnsiTheme="minorHAnsi" w:cstheme="minorBidi"/>
          <w:szCs w:val="22"/>
        </w:rPr>
      </w:pPr>
      <w:r>
        <w:t>8.</w:t>
      </w:r>
      <w:r>
        <w:tab/>
        <w:t>Applications for parking bay licence</w:t>
      </w:r>
      <w:r>
        <w:tab/>
      </w:r>
      <w:r>
        <w:fldChar w:fldCharType="begin"/>
      </w:r>
      <w:r>
        <w:instrText xml:space="preserve"> PAGEREF _Toc38005324 \h </w:instrText>
      </w:r>
      <w:r>
        <w:fldChar w:fldCharType="separate"/>
      </w:r>
      <w:r>
        <w:t>5</w:t>
      </w:r>
      <w:r>
        <w:fldChar w:fldCharType="end"/>
      </w:r>
    </w:p>
    <w:p>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_Toc38005325 \h </w:instrText>
      </w:r>
      <w:r>
        <w:fldChar w:fldCharType="separate"/>
      </w:r>
      <w:r>
        <w:t>5</w:t>
      </w:r>
      <w:r>
        <w:fldChar w:fldCharType="end"/>
      </w:r>
    </w:p>
    <w:p>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_Toc38005326 \h </w:instrText>
      </w:r>
      <w:r>
        <w:fldChar w:fldCharType="separate"/>
      </w:r>
      <w:r>
        <w:t>6</w:t>
      </w:r>
      <w:r>
        <w:fldChar w:fldCharType="end"/>
      </w:r>
    </w:p>
    <w:p>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_Toc38005327 \h </w:instrText>
      </w:r>
      <w:r>
        <w:fldChar w:fldCharType="separate"/>
      </w:r>
      <w:r>
        <w:t>7</w:t>
      </w:r>
      <w:r>
        <w:fldChar w:fldCharType="end"/>
      </w:r>
    </w:p>
    <w:p>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_Toc38005328 \h </w:instrText>
      </w:r>
      <w:r>
        <w:fldChar w:fldCharType="separate"/>
      </w:r>
      <w:r>
        <w:t>8</w:t>
      </w:r>
      <w:r>
        <w:fldChar w:fldCharType="end"/>
      </w:r>
    </w:p>
    <w:p>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_Toc38005329 \h </w:instrText>
      </w:r>
      <w:r>
        <w:fldChar w:fldCharType="separate"/>
      </w:r>
      <w:r>
        <w:t>8</w:t>
      </w:r>
      <w:r>
        <w:fldChar w:fldCharType="end"/>
      </w:r>
    </w:p>
    <w:p>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_Toc38005330 \h </w:instrText>
      </w:r>
      <w:r>
        <w:fldChar w:fldCharType="separate"/>
      </w:r>
      <w:r>
        <w:t>8</w:t>
      </w:r>
      <w:r>
        <w:fldChar w:fldCharType="end"/>
      </w:r>
    </w:p>
    <w:p>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_Toc38005331 \h </w:instrText>
      </w:r>
      <w:r>
        <w:fldChar w:fldCharType="separate"/>
      </w:r>
      <w:r>
        <w:t>9</w:t>
      </w:r>
      <w:r>
        <w:fldChar w:fldCharType="end"/>
      </w:r>
    </w:p>
    <w:p>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_Toc38005332 \h </w:instrText>
      </w:r>
      <w:r>
        <w:fldChar w:fldCharType="separate"/>
      </w:r>
      <w:r>
        <w:t>10</w:t>
      </w:r>
      <w:r>
        <w:fldChar w:fldCharType="end"/>
      </w:r>
    </w:p>
    <w:p>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_Toc38005333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and infringement notices</w:t>
      </w:r>
    </w:p>
    <w:p>
      <w:pPr>
        <w:pStyle w:val="TOC8"/>
        <w:rPr>
          <w:rFonts w:asciiTheme="minorHAnsi" w:eastAsiaTheme="minorEastAsia" w:hAnsiTheme="minorHAnsi" w:cstheme="minorBidi"/>
          <w:szCs w:val="22"/>
        </w:rPr>
      </w:pPr>
      <w:r>
        <w:t>18.</w:t>
      </w:r>
      <w:r>
        <w:tab/>
        <w:t>Offences</w:t>
      </w:r>
      <w:r>
        <w:tab/>
      </w:r>
      <w:r>
        <w:fldChar w:fldCharType="begin"/>
      </w:r>
      <w:r>
        <w:instrText xml:space="preserve"> PAGEREF _Toc38005335 \h </w:instrText>
      </w:r>
      <w:r>
        <w:fldChar w:fldCharType="separate"/>
      </w:r>
      <w:r>
        <w:t>11</w:t>
      </w:r>
      <w:r>
        <w:fldChar w:fldCharType="end"/>
      </w:r>
    </w:p>
    <w:p>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_Toc38005336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general matters</w:t>
      </w:r>
    </w:p>
    <w:p>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_Toc38005338 \h </w:instrText>
      </w:r>
      <w:r>
        <w:fldChar w:fldCharType="separate"/>
      </w:r>
      <w:r>
        <w:t>13</w:t>
      </w:r>
      <w:r>
        <w:fldChar w:fldCharType="end"/>
      </w:r>
    </w:p>
    <w:p>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_Toc38005339 \h </w:instrText>
      </w:r>
      <w:r>
        <w:fldChar w:fldCharType="separate"/>
      </w:r>
      <w:r>
        <w:t>13</w:t>
      </w:r>
      <w:r>
        <w:fldChar w:fldCharType="end"/>
      </w:r>
    </w:p>
    <w:p>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_Toc38005340 \h </w:instrText>
      </w:r>
      <w:r>
        <w:fldChar w:fldCharType="separate"/>
      </w:r>
      <w:r>
        <w:t>14</w:t>
      </w:r>
      <w:r>
        <w:fldChar w:fldCharType="end"/>
      </w:r>
    </w:p>
    <w:p>
      <w:pPr>
        <w:pStyle w:val="TOC8"/>
        <w:rPr>
          <w:rFonts w:asciiTheme="minorHAnsi" w:eastAsiaTheme="minorEastAsia" w:hAnsiTheme="minorHAnsi" w:cstheme="minorBidi"/>
          <w:szCs w:val="22"/>
        </w:rPr>
      </w:pPr>
      <w:r>
        <w:t>23.</w:t>
      </w:r>
      <w:r>
        <w:tab/>
        <w:t>Perth Parking Licensing Account</w:t>
      </w:r>
      <w:r>
        <w:tab/>
      </w:r>
      <w:r>
        <w:fldChar w:fldCharType="begin"/>
      </w:r>
      <w:r>
        <w:instrText xml:space="preserve"> PAGEREF _Toc38005341 \h </w:instrText>
      </w:r>
      <w:r>
        <w:fldChar w:fldCharType="separate"/>
      </w:r>
      <w:r>
        <w:t>15</w:t>
      </w:r>
      <w:r>
        <w:fldChar w:fldCharType="end"/>
      </w:r>
    </w:p>
    <w:p>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_Toc38005342 \h </w:instrText>
      </w:r>
      <w:r>
        <w:fldChar w:fldCharType="separate"/>
      </w:r>
      <w:r>
        <w:t>15</w:t>
      </w:r>
      <w:r>
        <w:fldChar w:fldCharType="end"/>
      </w:r>
    </w:p>
    <w:p>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_Toc38005343 \h </w:instrText>
      </w:r>
      <w:r>
        <w:fldChar w:fldCharType="separate"/>
      </w:r>
      <w:r>
        <w:t>16</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_Toc38005344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_Toc38005346 \h </w:instrText>
      </w:r>
      <w:r>
        <w:fldChar w:fldCharType="separate"/>
      </w:r>
      <w:r>
        <w:t>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_Toc38005347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_Toc38005348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1200"/>
      </w:pPr>
      <w:r>
        <w:t>Perth Parking Management Act 1999</w:t>
      </w:r>
    </w:p>
    <w:p>
      <w:pPr>
        <w:pStyle w:val="LongTitle"/>
        <w:suppressLineNumbers/>
        <w:rPr>
          <w:snapToGrid w:val="0"/>
        </w:rPr>
      </w:pPr>
      <w:r>
        <w:rPr>
          <w:snapToGrid w:val="0"/>
        </w:rPr>
        <w:t>An Act to provide for the management of parking in certain parts of the Perth metropolitan area and for related purposes.</w:t>
      </w:r>
    </w:p>
    <w:p>
      <w:pPr>
        <w:pStyle w:val="Heading2"/>
      </w:pPr>
      <w:bookmarkStart w:id="3" w:name="_Toc38005196"/>
      <w:bookmarkStart w:id="4" w:name="_Toc3800531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8005316"/>
      <w:r>
        <w:rPr>
          <w:rStyle w:val="CharSectno"/>
        </w:rPr>
        <w:t>1</w:t>
      </w:r>
      <w:r>
        <w:rPr>
          <w:snapToGrid w:val="0"/>
        </w:rPr>
        <w:t>.</w:t>
      </w:r>
      <w:r>
        <w:rPr>
          <w:snapToGrid w:val="0"/>
        </w:rPr>
        <w:tab/>
        <w:t>Short title</w:t>
      </w:r>
      <w:bookmarkEnd w:id="5"/>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pPr>
        <w:pStyle w:val="Heading5"/>
        <w:rPr>
          <w:snapToGrid w:val="0"/>
        </w:rPr>
      </w:pPr>
      <w:bookmarkStart w:id="6" w:name="_Toc38005317"/>
      <w:r>
        <w:rPr>
          <w:rStyle w:val="CharSectno"/>
        </w:rPr>
        <w:t>2</w:t>
      </w:r>
      <w:r>
        <w:rPr>
          <w:snapToGrid w:val="0"/>
        </w:rPr>
        <w:t>.</w:t>
      </w:r>
      <w:r>
        <w:rPr>
          <w:snapToGrid w:val="0"/>
        </w:rPr>
        <w:tab/>
        <w:t>Commencement</w:t>
      </w:r>
      <w:bookmarkEnd w:id="6"/>
    </w:p>
    <w:p>
      <w:pPr>
        <w:pStyle w:val="Subsection"/>
      </w:pPr>
      <w:r>
        <w:tab/>
      </w:r>
      <w:r>
        <w:tab/>
        <w:t>This Act comes into operation on such day as is, or such days as are respectively, fixed by proclamation.</w:t>
      </w:r>
    </w:p>
    <w:p>
      <w:pPr>
        <w:pStyle w:val="Heading5"/>
        <w:rPr>
          <w:snapToGrid w:val="0"/>
        </w:rPr>
      </w:pPr>
      <w:bookmarkStart w:id="7" w:name="_Toc38005318"/>
      <w:r>
        <w:rPr>
          <w:rStyle w:val="CharSectno"/>
        </w:rPr>
        <w:t>3</w:t>
      </w:r>
      <w:r>
        <w:rPr>
          <w:snapToGrid w:val="0"/>
        </w:rPr>
        <w:t>.</w:t>
      </w:r>
      <w:r>
        <w:rPr>
          <w:snapToGrid w:val="0"/>
        </w:rPr>
        <w:tab/>
        <w:t>Application</w:t>
      </w:r>
      <w:bookmarkEnd w:id="7"/>
    </w:p>
    <w:p>
      <w:pPr>
        <w:pStyle w:val="Subsection"/>
      </w:pPr>
      <w:r>
        <w:tab/>
      </w:r>
      <w:r>
        <w:tab/>
        <w:t>This Act binds the Crown.</w:t>
      </w:r>
    </w:p>
    <w:p>
      <w:pPr>
        <w:pStyle w:val="Heading5"/>
      </w:pPr>
      <w:bookmarkStart w:id="8" w:name="_Toc38005319"/>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 or</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r>
        <w:rPr>
          <w:rStyle w:val="CharDefText"/>
        </w:rPr>
        <w:t>Perth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No. 7 of 2002 s. 19.]</w:t>
      </w:r>
    </w:p>
    <w:p>
      <w:pPr>
        <w:pStyle w:val="Heading5"/>
      </w:pPr>
      <w:bookmarkStart w:id="9" w:name="_Toc38005320"/>
      <w:r>
        <w:rPr>
          <w:rStyle w:val="CharSectno"/>
        </w:rPr>
        <w:t>5</w:t>
      </w:r>
      <w:r>
        <w:t>.</w:t>
      </w:r>
      <w:r>
        <w:tab/>
        <w:t>Perth Parking Policy</w:t>
      </w:r>
      <w:bookmarkEnd w:id="9"/>
    </w:p>
    <w:p>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No. 7 of 2002 s. 20; No. 38 of 2005 s. 15.]</w:t>
      </w:r>
    </w:p>
    <w:p>
      <w:pPr>
        <w:pStyle w:val="Heading5"/>
      </w:pPr>
      <w:bookmarkStart w:id="10" w:name="_Toc38005321"/>
      <w:r>
        <w:rPr>
          <w:rStyle w:val="CharSectno"/>
        </w:rPr>
        <w:t>6</w:t>
      </w:r>
      <w:r>
        <w:t>.</w:t>
      </w:r>
      <w:r>
        <w:tab/>
        <w:t>Perth parking management area</w:t>
      </w:r>
      <w:bookmarkEnd w:id="10"/>
    </w:p>
    <w:p>
      <w:pPr>
        <w:pStyle w:val="Subsection"/>
      </w:pPr>
      <w:r>
        <w:tab/>
      </w:r>
      <w:r>
        <w:tab/>
        <w:t xml:space="preserve">An area within the Perth metropolitan area is to be prescribed as the Perth parking management area for the purposes of this Act. </w:t>
      </w:r>
    </w:p>
    <w:p>
      <w:pPr>
        <w:pStyle w:val="Heading5"/>
      </w:pPr>
      <w:bookmarkStart w:id="11" w:name="_Toc38005322"/>
      <w:r>
        <w:rPr>
          <w:rStyle w:val="CharSectno"/>
        </w:rPr>
        <w:t>7</w:t>
      </w:r>
      <w:r>
        <w:t>.</w:t>
      </w:r>
      <w:r>
        <w:tab/>
        <w:t>Restricted parking in Perth parking management area</w:t>
      </w:r>
      <w:bookmarkEnd w:id="11"/>
    </w:p>
    <w:p>
      <w:pPr>
        <w:pStyle w:val="Subsection"/>
        <w:keepNext/>
        <w:keepLines/>
      </w:pPr>
      <w:r>
        <w:tab/>
      </w:r>
      <w:r>
        <w:tab/>
        <w:t>The owner of land or a building in the Perth parking management area must not permit a vehicle to be parked on the land or in or on the building unless —</w:t>
      </w:r>
    </w:p>
    <w:p>
      <w:pPr>
        <w:pStyle w:val="Indenta"/>
      </w:pPr>
      <w:r>
        <w:tab/>
        <w:t>(a)</w:t>
      </w:r>
      <w:r>
        <w:tab/>
        <w:t>the land or building is used solely for private residential purposes; or</w:t>
      </w:r>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12" w:name="_Toc38005204"/>
      <w:bookmarkStart w:id="13" w:name="_Toc38005323"/>
      <w:r>
        <w:rPr>
          <w:rStyle w:val="CharPartNo"/>
        </w:rPr>
        <w:t>Part 2</w:t>
      </w:r>
      <w:r>
        <w:rPr>
          <w:rStyle w:val="CharDivNo"/>
        </w:rPr>
        <w:t xml:space="preserve"> </w:t>
      </w:r>
      <w:r>
        <w:t>—</w:t>
      </w:r>
      <w:r>
        <w:rPr>
          <w:rStyle w:val="CharDivText"/>
        </w:rPr>
        <w:t xml:space="preserve"> </w:t>
      </w:r>
      <w:r>
        <w:rPr>
          <w:rStyle w:val="CharPartText"/>
        </w:rPr>
        <w:t>Parking bay licences</w:t>
      </w:r>
      <w:bookmarkEnd w:id="12"/>
      <w:bookmarkEnd w:id="13"/>
    </w:p>
    <w:p>
      <w:pPr>
        <w:pStyle w:val="Heading5"/>
      </w:pPr>
      <w:bookmarkStart w:id="14" w:name="_Toc38005324"/>
      <w:r>
        <w:rPr>
          <w:rStyle w:val="CharSectno"/>
        </w:rPr>
        <w:t>8</w:t>
      </w:r>
      <w:r>
        <w:t>.</w:t>
      </w:r>
      <w:r>
        <w:tab/>
        <w:t>Applications for parking bay licence</w:t>
      </w:r>
      <w:bookmarkEnd w:id="14"/>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15" w:name="_Toc38005325"/>
      <w:r>
        <w:rPr>
          <w:rStyle w:val="CharSectno"/>
        </w:rPr>
        <w:t>9</w:t>
      </w:r>
      <w:r>
        <w:t>.</w:t>
      </w:r>
      <w:r>
        <w:tab/>
        <w:t>Issue of parking bay licences</w:t>
      </w:r>
      <w:bookmarkEnd w:id="15"/>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 No. 38 of 2005 s. 15; No. 42 of 2011 s. 101.]</w:t>
      </w:r>
    </w:p>
    <w:p>
      <w:pPr>
        <w:pStyle w:val="Heading5"/>
      </w:pPr>
      <w:bookmarkStart w:id="16" w:name="_Toc38005326"/>
      <w:r>
        <w:rPr>
          <w:rStyle w:val="CharSectno"/>
        </w:rPr>
        <w:t>10</w:t>
      </w:r>
      <w:r>
        <w:t>.</w:t>
      </w:r>
      <w:r>
        <w:tab/>
        <w:t>Conditions on parking bay licences</w:t>
      </w:r>
      <w:bookmarkEnd w:id="16"/>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17" w:name="_Toc38005327"/>
      <w:r>
        <w:rPr>
          <w:rStyle w:val="CharSectno"/>
        </w:rPr>
        <w:t>11</w:t>
      </w:r>
      <w:r>
        <w:t>.</w:t>
      </w:r>
      <w:r>
        <w:tab/>
        <w:t>Parking bay licence fees</w:t>
      </w:r>
      <w:bookmarkEnd w:id="17"/>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18" w:name="_Toc38005328"/>
      <w:r>
        <w:rPr>
          <w:rStyle w:val="CharSectno"/>
        </w:rPr>
        <w:t>12</w:t>
      </w:r>
      <w:r>
        <w:t>.</w:t>
      </w:r>
      <w:r>
        <w:tab/>
        <w:t>Duration of parking bay licences</w:t>
      </w:r>
      <w:bookmarkEnd w:id="18"/>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19" w:name="_Toc38005329"/>
      <w:r>
        <w:rPr>
          <w:rStyle w:val="CharSectno"/>
        </w:rPr>
        <w:t>13</w:t>
      </w:r>
      <w:r>
        <w:t>.</w:t>
      </w:r>
      <w:r>
        <w:tab/>
        <w:t>Suspension or cancellation of parking bay licences</w:t>
      </w:r>
      <w:bookmarkEnd w:id="19"/>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The CEO may suspend or cancel a parking bay licence if the licence fee, or an instalment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20" w:name="_Toc38005330"/>
      <w:r>
        <w:rPr>
          <w:rStyle w:val="CharSectno"/>
        </w:rPr>
        <w:t>14</w:t>
      </w:r>
      <w:r>
        <w:t>.</w:t>
      </w:r>
      <w:r>
        <w:tab/>
        <w:t>Change of ownership of licensed land or building</w:t>
      </w:r>
      <w:bookmarkEnd w:id="20"/>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21" w:name="_Toc38005331"/>
      <w:r>
        <w:rPr>
          <w:rStyle w:val="CharSectno"/>
        </w:rPr>
        <w:t>15</w:t>
      </w:r>
      <w:r>
        <w:t>.</w:t>
      </w:r>
      <w:r>
        <w:tab/>
        <w:t>Variation of parking bay licences</w:t>
      </w:r>
      <w:bookmarkEnd w:id="21"/>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22" w:name="_Toc38005332"/>
      <w:r>
        <w:rPr>
          <w:rStyle w:val="CharSectno"/>
        </w:rPr>
        <w:t>16</w:t>
      </w:r>
      <w:r>
        <w:t>.</w:t>
      </w:r>
      <w:r>
        <w:tab/>
        <w:t>Renewal of parking bay licences</w:t>
      </w:r>
      <w:bookmarkEnd w:id="22"/>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23" w:name="_Toc38005333"/>
      <w:r>
        <w:rPr>
          <w:rStyle w:val="CharSectno"/>
        </w:rPr>
        <w:t>17</w:t>
      </w:r>
      <w:r>
        <w:t>.</w:t>
      </w:r>
      <w:r>
        <w:tab/>
        <w:t>Review of CEO’s decisions</w:t>
      </w:r>
      <w:bookmarkEnd w:id="23"/>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No. 55 of 2004 s. 910.]</w:t>
      </w:r>
    </w:p>
    <w:p>
      <w:pPr>
        <w:pStyle w:val="Heading2"/>
      </w:pPr>
      <w:bookmarkStart w:id="24" w:name="_Toc38005215"/>
      <w:bookmarkStart w:id="25" w:name="_Toc38005334"/>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24"/>
      <w:bookmarkEnd w:id="25"/>
    </w:p>
    <w:p>
      <w:pPr>
        <w:pStyle w:val="Heading5"/>
      </w:pPr>
      <w:bookmarkStart w:id="26" w:name="_Toc38005335"/>
      <w:r>
        <w:rPr>
          <w:rStyle w:val="CharSectno"/>
        </w:rPr>
        <w:t>18</w:t>
      </w:r>
      <w:r>
        <w:t>.</w:t>
      </w:r>
      <w:r>
        <w:tab/>
        <w:t>Offences</w:t>
      </w:r>
      <w:bookmarkEnd w:id="26"/>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27" w:name="_Toc38005336"/>
      <w:r>
        <w:rPr>
          <w:rStyle w:val="CharSectno"/>
        </w:rPr>
        <w:t>19</w:t>
      </w:r>
      <w:r>
        <w:t>.</w:t>
      </w:r>
      <w:r>
        <w:tab/>
        <w:t>Infringement notices</w:t>
      </w:r>
      <w:bookmarkEnd w:id="27"/>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No. 84 of 2004 s. 80.] </w:t>
      </w:r>
    </w:p>
    <w:p>
      <w:pPr>
        <w:pStyle w:val="Heading2"/>
      </w:pPr>
      <w:bookmarkStart w:id="28" w:name="_Toc38005218"/>
      <w:bookmarkStart w:id="29" w:name="_Toc38005337"/>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28"/>
      <w:bookmarkEnd w:id="29"/>
    </w:p>
    <w:p>
      <w:pPr>
        <w:pStyle w:val="Heading5"/>
      </w:pPr>
      <w:bookmarkStart w:id="30" w:name="_Toc38005338"/>
      <w:r>
        <w:rPr>
          <w:rStyle w:val="CharSectno"/>
        </w:rPr>
        <w:t>20</w:t>
      </w:r>
      <w:r>
        <w:t>.</w:t>
      </w:r>
      <w:r>
        <w:tab/>
        <w:t>Appointment of inspectors</w:t>
      </w:r>
      <w:bookmarkEnd w:id="30"/>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31" w:name="_Toc38005339"/>
      <w:r>
        <w:rPr>
          <w:rStyle w:val="CharSectno"/>
        </w:rPr>
        <w:t>21</w:t>
      </w:r>
      <w:r>
        <w:t>.</w:t>
      </w:r>
      <w:r>
        <w:tab/>
        <w:t>Powers of inspectors</w:t>
      </w:r>
      <w:bookmarkEnd w:id="31"/>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32" w:name="_Toc38005340"/>
      <w:r>
        <w:rPr>
          <w:rStyle w:val="CharSectno"/>
        </w:rPr>
        <w:t>22</w:t>
      </w:r>
      <w:r>
        <w:t>.</w:t>
      </w:r>
      <w:r>
        <w:tab/>
        <w:t>Obstruction of inspectors</w:t>
      </w:r>
      <w:bookmarkEnd w:id="32"/>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 or</w:t>
      </w:r>
    </w:p>
    <w:p>
      <w:pPr>
        <w:pStyle w:val="Indenta"/>
      </w:pPr>
      <w:r>
        <w:tab/>
        <w:t>(b)</w:t>
      </w:r>
      <w:r>
        <w:tab/>
        <w:t>refuses or fails to give information when required to do so under section 21; or</w:t>
      </w:r>
    </w:p>
    <w:p>
      <w:pPr>
        <w:pStyle w:val="Indenta"/>
      </w:pPr>
      <w:r>
        <w:tab/>
        <w:t>(c)</w:t>
      </w:r>
      <w:r>
        <w:tab/>
        <w:t>refuses or fails to produce a document when required to do so under section 21; or</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33" w:name="_Toc38005341"/>
      <w:r>
        <w:rPr>
          <w:rStyle w:val="CharSectno"/>
        </w:rPr>
        <w:t>23</w:t>
      </w:r>
      <w:r>
        <w:t>.</w:t>
      </w:r>
      <w:r>
        <w:tab/>
        <w:t>Perth Parking Licensing Account</w:t>
      </w:r>
      <w:bookmarkEnd w:id="33"/>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No. 7 of 2002 s. 21(1); No. 77 of 2006 Sch. 1 cl. 124.]</w:t>
      </w:r>
    </w:p>
    <w:p>
      <w:pPr>
        <w:pStyle w:val="Heading5"/>
      </w:pPr>
      <w:bookmarkStart w:id="34" w:name="_Toc38005342"/>
      <w:r>
        <w:rPr>
          <w:rStyle w:val="CharSectno"/>
        </w:rPr>
        <w:t>24</w:t>
      </w:r>
      <w:r>
        <w:t>.</w:t>
      </w:r>
      <w:r>
        <w:tab/>
        <w:t>Delegation of CEO’s functions</w:t>
      </w:r>
      <w:bookmarkEnd w:id="34"/>
    </w:p>
    <w:p>
      <w:pPr>
        <w:pStyle w:val="Subsection"/>
      </w:pPr>
      <w:r>
        <w:tab/>
        <w:t>(1)</w:t>
      </w:r>
      <w:r>
        <w:tab/>
        <w:t>The CEO may delegate any or all of his or her functions under this Act to a person (</w:t>
      </w:r>
      <w:r>
        <w:rPr>
          <w:rStyle w:val="CharDefText"/>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35" w:name="_Toc38005343"/>
      <w:r>
        <w:rPr>
          <w:rStyle w:val="CharSectno"/>
        </w:rPr>
        <w:t>25</w:t>
      </w:r>
      <w:r>
        <w:t>.</w:t>
      </w:r>
      <w:r>
        <w:tab/>
        <w:t>Requirement to pay fees or provide information</w:t>
      </w:r>
      <w:bookmarkEnd w:id="35"/>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36" w:name="_Toc38005344"/>
      <w:r>
        <w:rPr>
          <w:rStyle w:val="CharSectno"/>
        </w:rPr>
        <w:t>26</w:t>
      </w:r>
      <w:r>
        <w:t>.</w:t>
      </w:r>
      <w:r>
        <w:tab/>
        <w:t>Regulations</w:t>
      </w:r>
      <w:bookmarkEnd w:id="36"/>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 and</w:t>
      </w:r>
    </w:p>
    <w:p>
      <w:pPr>
        <w:pStyle w:val="Indenta"/>
      </w:pPr>
      <w:r>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7" w:name="_Toc38005226"/>
      <w:bookmarkStart w:id="38" w:name="_Toc38005345"/>
      <w:r>
        <w:t>Notes</w:t>
      </w:r>
      <w:bookmarkEnd w:id="37"/>
      <w:bookmarkEnd w:id="38"/>
    </w:p>
    <w:p>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 w:name="_Toc38005346"/>
      <w:r>
        <w:t>Compilation table</w:t>
      </w:r>
      <w:bookmarkEnd w:id="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snapToGrid w:val="0"/>
              </w:rPr>
              <w:t>Perth Parking Management Act 1999</w:t>
            </w:r>
          </w:p>
        </w:tc>
        <w:tc>
          <w:tcPr>
            <w:tcW w:w="1134" w:type="dxa"/>
          </w:tcPr>
          <w:p>
            <w:pPr>
              <w:pStyle w:val="nTable"/>
              <w:spacing w:after="40"/>
            </w:pPr>
            <w:r>
              <w:t>14 of 1999</w:t>
            </w:r>
          </w:p>
        </w:tc>
        <w:tc>
          <w:tcPr>
            <w:tcW w:w="1134" w:type="dxa"/>
          </w:tcPr>
          <w:p>
            <w:pPr>
              <w:pStyle w:val="nTable"/>
              <w:spacing w:after="40"/>
            </w:pPr>
            <w:r>
              <w:t>19 May 1999</w:t>
            </w:r>
          </w:p>
        </w:tc>
        <w:tc>
          <w:tcPr>
            <w:tcW w:w="2551" w:type="dxa"/>
          </w:tcPr>
          <w:p>
            <w:pPr>
              <w:pStyle w:val="nTable"/>
              <w:spacing w:after="40"/>
            </w:pPr>
            <w:r>
              <w:t>s. 1 and 2: 19 May 1999;</w:t>
            </w:r>
            <w:r>
              <w:br/>
              <w:t xml:space="preserve">Act other than s. 1 and 2: 16 Jul 1999 (see s. 2 and </w:t>
            </w:r>
            <w:r>
              <w:rPr>
                <w:i/>
              </w:rPr>
              <w:t>Gazette</w:t>
            </w:r>
            <w:r>
              <w:t xml:space="preserve"> 16 Jul 1999 p. 3183)</w:t>
            </w:r>
          </w:p>
        </w:tc>
      </w:tr>
      <w:tr>
        <w:tc>
          <w:tcPr>
            <w:tcW w:w="2268" w:type="dxa"/>
          </w:tcPr>
          <w:p>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c>
          <w:tcPr>
            <w:tcW w:w="2268" w:type="dxa"/>
          </w:tcPr>
          <w:p>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tc>
          <w:tcPr>
            <w:tcW w:w="2268" w:type="dxa"/>
          </w:tcPr>
          <w:p>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c>
          <w:tcPr>
            <w:tcW w:w="7087" w:type="dxa"/>
            <w:gridSpan w:val="4"/>
            <w:tcBorders>
              <w:bottom w:val="single" w:sz="8" w:space="0" w:color="auto"/>
            </w:tcBorders>
            <w:shd w:val="clear" w:color="auto" w:fill="auto"/>
          </w:tcPr>
          <w:p>
            <w:pPr>
              <w:pStyle w:val="nTable"/>
              <w:spacing w:after="40"/>
              <w:rPr>
                <w:snapToGrid w:val="0"/>
              </w:rPr>
            </w:pPr>
            <w:r>
              <w:rPr>
                <w:b/>
                <w:bCs/>
                <w:snapToGrid w:val="0"/>
              </w:rPr>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bl>
    <w:p>
      <w:pPr>
        <w:pStyle w:val="nHeading3"/>
      </w:pPr>
      <w:bookmarkStart w:id="40" w:name="_Toc38005347"/>
      <w:r>
        <w:t>Uncommenced provisions table</w:t>
      </w:r>
      <w:bookmarkEnd w:id="4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Strata Titles Amendment Act 2018</w:t>
            </w:r>
            <w:r>
              <w:t xml:space="preserve"> Pt. 3 Div. 13</w:t>
            </w:r>
          </w:p>
        </w:tc>
        <w:tc>
          <w:tcPr>
            <w:tcW w:w="1134" w:type="dxa"/>
            <w:tcBorders>
              <w:bottom w:val="nil"/>
            </w:tcBorders>
          </w:tcPr>
          <w:p>
            <w:pPr>
              <w:pStyle w:val="nTable"/>
              <w:spacing w:after="40"/>
            </w:pPr>
            <w:r>
              <w:t>30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1 May 2020 (see s. 2(b) and SL 2020/39 cl. 2)</w:t>
            </w:r>
          </w:p>
        </w:tc>
      </w:tr>
      <w:tr>
        <w:tc>
          <w:tcPr>
            <w:tcW w:w="2268" w:type="dxa"/>
            <w:tcBorders>
              <w:top w:val="nil"/>
            </w:tcBorders>
          </w:tcPr>
          <w:p>
            <w:pPr>
              <w:pStyle w:val="nTable"/>
              <w:spacing w:after="40"/>
            </w:pPr>
            <w:r>
              <w:rPr>
                <w:i/>
              </w:rPr>
              <w:t>Community Titles Act 2018</w:t>
            </w:r>
            <w:r>
              <w:t xml:space="preserve"> Pt. 14 Div. 13</w:t>
            </w:r>
          </w:p>
        </w:tc>
        <w:tc>
          <w:tcPr>
            <w:tcW w:w="1134" w:type="dxa"/>
            <w:tcBorders>
              <w:top w:val="nil"/>
            </w:tcBorders>
          </w:tcPr>
          <w:p>
            <w:pPr>
              <w:pStyle w:val="nTable"/>
              <w:spacing w:after="40"/>
            </w:pPr>
            <w:r>
              <w:t>32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bl>
    <w:p>
      <w:pPr>
        <w:pStyle w:val="nHeading3"/>
      </w:pPr>
      <w:bookmarkStart w:id="41" w:name="_Toc38005348"/>
      <w:r>
        <w:t>Other notes</w:t>
      </w:r>
      <w:bookmarkEnd w:id="41"/>
    </w:p>
    <w:p>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pPr>
        <w:pStyle w:val="BlankOpen"/>
      </w:pPr>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p>
    <w:p>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3" w:name="_Toc38005230"/>
      <w:bookmarkStart w:id="44" w:name="_Toc38005349"/>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4</w:t>
      </w:r>
    </w:p>
    <w:p>
      <w:pPr>
        <w:pStyle w:val="DefinedTerms"/>
      </w:pPr>
      <w:r>
        <w:t>common property</w:t>
      </w:r>
      <w:r>
        <w:tab/>
        <w:t>4</w:t>
      </w:r>
    </w:p>
    <w:p>
      <w:pPr>
        <w:pStyle w:val="DefinedTerms"/>
      </w:pPr>
      <w:r>
        <w:t>infringement notice</w:t>
      </w:r>
      <w:r>
        <w:tab/>
        <w:t>4</w:t>
      </w:r>
    </w:p>
    <w:p>
      <w:pPr>
        <w:pStyle w:val="DefinedTerms"/>
      </w:pPr>
      <w:r>
        <w:t>inspector</w:t>
      </w:r>
      <w:r>
        <w:tab/>
        <w:t>4</w:t>
      </w:r>
    </w:p>
    <w:p>
      <w:pPr>
        <w:pStyle w:val="DefinedTerms"/>
      </w:pPr>
      <w:r>
        <w:t>licensee</w:t>
      </w:r>
      <w:r>
        <w:tab/>
        <w:t>4</w:t>
      </w:r>
    </w:p>
    <w:p>
      <w:pPr>
        <w:pStyle w:val="DefinedTerms"/>
      </w:pPr>
      <w:r>
        <w:t>lot</w:t>
      </w:r>
      <w:r>
        <w:tab/>
        <w:t>4</w:t>
      </w:r>
    </w:p>
    <w:p>
      <w:pPr>
        <w:pStyle w:val="DefinedTerms"/>
      </w:pPr>
      <w:r>
        <w:t>motor vehicle</w:t>
      </w:r>
      <w:r>
        <w:tab/>
        <w:t>4</w:t>
      </w:r>
    </w:p>
    <w:p>
      <w:pPr>
        <w:pStyle w:val="DefinedTerms"/>
      </w:pPr>
      <w:r>
        <w:t>original delegate</w:t>
      </w:r>
      <w:r>
        <w:tab/>
        <w:t>24(1)</w:t>
      </w:r>
    </w:p>
    <w:p>
      <w:pPr>
        <w:pStyle w:val="DefinedTerms"/>
      </w:pPr>
      <w:r>
        <w:t>owner</w:t>
      </w:r>
      <w:r>
        <w:tab/>
        <w:t>4</w:t>
      </w:r>
    </w:p>
    <w:p>
      <w:pPr>
        <w:pStyle w:val="DefinedTerms"/>
      </w:pPr>
      <w:r>
        <w:t>parking bay licence</w:t>
      </w:r>
      <w:r>
        <w:tab/>
        <w:t>4</w:t>
      </w:r>
    </w:p>
    <w:p>
      <w:pPr>
        <w:pStyle w:val="DefinedTerms"/>
      </w:pPr>
      <w:r>
        <w:t>Perth Parking Licensing Account</w:t>
      </w:r>
      <w:r>
        <w:tab/>
        <w:t>4</w:t>
      </w:r>
    </w:p>
    <w:p>
      <w:pPr>
        <w:pStyle w:val="DefinedTerms"/>
      </w:pPr>
      <w:r>
        <w:t>Perth parking management area</w:t>
      </w:r>
      <w:r>
        <w:tab/>
        <w:t>4</w:t>
      </w:r>
    </w:p>
    <w:p>
      <w:pPr>
        <w:pStyle w:val="DefinedTerms"/>
      </w:pPr>
      <w:r>
        <w:t>Perth Parking Policy</w:t>
      </w:r>
      <w:r>
        <w:tab/>
        <w:t>4</w:t>
      </w:r>
    </w:p>
    <w:p>
      <w:pPr>
        <w:pStyle w:val="DefinedTerms"/>
      </w:pPr>
      <w:r>
        <w:t>power assisted pedal cycle</w:t>
      </w:r>
      <w:r>
        <w:tab/>
        <w:t>4</w:t>
      </w:r>
    </w:p>
    <w:p>
      <w:pPr>
        <w:pStyle w:val="DefinedTerms"/>
      </w:pPr>
      <w:r>
        <w:t>strata company</w:t>
      </w:r>
      <w:r>
        <w:tab/>
        <w:t>4</w:t>
      </w:r>
    </w:p>
    <w:p>
      <w:pPr>
        <w:pStyle w:val="DefinedTerms"/>
      </w:pPr>
      <w:r>
        <w:t>strata scheme</w:t>
      </w:r>
      <w:r>
        <w:tab/>
        <w:t>4</w:t>
      </w:r>
    </w:p>
    <w:p>
      <w:pPr>
        <w:pStyle w:val="DefinedTerms"/>
      </w:pPr>
      <w:r>
        <w:t>survey</w:t>
      </w:r>
      <w:r>
        <w:noBreakHyphen/>
        <w:t>strata scheme</w:t>
      </w:r>
      <w:r>
        <w:tab/>
        <w:t>4</w:t>
      </w:r>
    </w:p>
    <w:p>
      <w:pPr>
        <w:pStyle w:val="DefinedTerms"/>
      </w:pPr>
      <w:r>
        <w:t>vehicle</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3719"/>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417083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3719_GUID" w:val="10808065-6f99-414a-a0fe-5e4df2ead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4995</Words>
  <Characters>23327</Characters>
  <Application>Microsoft Office Word</Application>
  <DocSecurity>0</DocSecurity>
  <Lines>686</Lines>
  <Paragraphs>416</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27906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1999 - 02-b0-03</dc:title>
  <dc:subject/>
  <dc:creator/>
  <cp:keywords/>
  <dc:description/>
  <cp:lastModifiedBy>svcMRProcess</cp:lastModifiedBy>
  <cp:revision>4</cp:revision>
  <cp:lastPrinted>2014-08-08T01:40:00Z</cp:lastPrinted>
  <dcterms:created xsi:type="dcterms:W3CDTF">2020-04-17T09:23:00Z</dcterms:created>
  <dcterms:modified xsi:type="dcterms:W3CDTF">2020-04-17T09:23:00Z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CommencementDate">
    <vt:lpwstr>20181119</vt:lpwstr>
  </property>
  <property fmtid="{D5CDD505-2E9C-101B-9397-08002B2CF9AE}" pid="9" name="AsAtDate">
    <vt:lpwstr>19 Nov 2018</vt:lpwstr>
  </property>
  <property fmtid="{D5CDD505-2E9C-101B-9397-08002B2CF9AE}" pid="10" name="Suffix">
    <vt:lpwstr>02-b0-03</vt:lpwstr>
  </property>
</Properties>
</file>