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_Toc117047479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_Toc117047480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Notice of appeal</w:t>
      </w:r>
      <w:r>
        <w:rPr>
          <w:noProof/>
        </w:rPr>
        <w:tab/>
      </w:r>
      <w:r>
        <w:rPr>
          <w:noProof/>
        </w:rPr>
        <w:fldChar w:fldCharType="begin"/>
      </w:r>
      <w:r>
        <w:rPr>
          <w:noProof/>
        </w:rPr>
        <w:instrText xml:space="preserve"> PAGEREF _Toc117047481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Fees in relation to appeals</w:t>
      </w:r>
      <w:r>
        <w:rPr>
          <w:noProof/>
        </w:rPr>
        <w:tab/>
      </w:r>
      <w:r>
        <w:rPr>
          <w:noProof/>
        </w:rPr>
        <w:fldChar w:fldCharType="begin"/>
      </w:r>
      <w:r>
        <w:rPr>
          <w:noProof/>
        </w:rPr>
        <w:instrText xml:space="preserve"> PAGEREF _Toc117047482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Notice of representation</w:t>
      </w:r>
      <w:r>
        <w:rPr>
          <w:noProof/>
        </w:rPr>
        <w:tab/>
      </w:r>
      <w:r>
        <w:rPr>
          <w:noProof/>
        </w:rPr>
        <w:fldChar w:fldCharType="begin"/>
      </w:r>
      <w:r>
        <w:rPr>
          <w:noProof/>
        </w:rPr>
        <w:instrText xml:space="preserve"> PAGEREF _Toc117047483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 xml:space="preserve">Hearing of evidence </w:t>
      </w:r>
      <w:r>
        <w:rPr>
          <w:i/>
          <w:noProof/>
          <w:snapToGrid w:val="0"/>
          <w:szCs w:val="24"/>
        </w:rPr>
        <w:t>in camera</w:t>
      </w:r>
      <w:r>
        <w:rPr>
          <w:noProof/>
        </w:rPr>
        <w:tab/>
      </w:r>
      <w:r>
        <w:rPr>
          <w:noProof/>
        </w:rPr>
        <w:fldChar w:fldCharType="begin"/>
      </w:r>
      <w:r>
        <w:rPr>
          <w:noProof/>
        </w:rPr>
        <w:instrText xml:space="preserve"> PAGEREF _Toc117047484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Fee for transcripts</w:t>
      </w:r>
      <w:r>
        <w:rPr>
          <w:noProof/>
        </w:rPr>
        <w:tab/>
      </w:r>
      <w:r>
        <w:rPr>
          <w:noProof/>
        </w:rPr>
        <w:fldChar w:fldCharType="begin"/>
      </w:r>
      <w:r>
        <w:rPr>
          <w:noProof/>
        </w:rPr>
        <w:instrText xml:space="preserve"> PAGEREF _Toc117047485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Duties of Registrar</w:t>
      </w:r>
      <w:r>
        <w:rPr>
          <w:noProof/>
        </w:rPr>
        <w:tab/>
      </w:r>
      <w:r>
        <w:rPr>
          <w:noProof/>
        </w:rPr>
        <w:fldChar w:fldCharType="begin"/>
      </w:r>
      <w:r>
        <w:rPr>
          <w:noProof/>
        </w:rPr>
        <w:instrText xml:space="preserve"> PAGEREF _Toc117047486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Matters in which Chairperson or member alone may act</w:t>
      </w:r>
      <w:r>
        <w:rPr>
          <w:noProof/>
        </w:rPr>
        <w:tab/>
      </w:r>
      <w:r>
        <w:rPr>
          <w:noProof/>
        </w:rPr>
        <w:tab/>
      </w:r>
      <w:r>
        <w:rPr>
          <w:noProof/>
        </w:rPr>
        <w:fldChar w:fldCharType="begin"/>
      </w:r>
      <w:r>
        <w:rPr>
          <w:noProof/>
        </w:rPr>
        <w:instrText xml:space="preserve"> PAGEREF _Toc117047487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_Toc117047488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_Toc117047490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_Toc117047491 \h </w:instrText>
      </w:r>
      <w:r>
        <w:rPr>
          <w:noProof/>
        </w:rPr>
      </w:r>
      <w:r>
        <w:rPr>
          <w:noProof/>
        </w:rPr>
        <w:fldChar w:fldCharType="separate"/>
      </w:r>
      <w:r>
        <w:rPr>
          <w:noProof/>
        </w:rPr>
        <w:t>5</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2" w:name="_Toc437662952"/>
      <w:bookmarkStart w:id="3" w:name="_Toc437662988"/>
      <w:bookmarkStart w:id="4" w:name="_Toc437663023"/>
      <w:bookmarkStart w:id="5" w:name="_Toc485544900"/>
      <w:bookmarkStart w:id="6" w:name="_Toc117047315"/>
      <w:bookmarkStart w:id="7" w:name="_Toc117047479"/>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17047480"/>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4" w:name="_Toc437662954"/>
      <w:bookmarkStart w:id="15" w:name="_Toc437662990"/>
      <w:bookmarkStart w:id="16" w:name="_Toc437663025"/>
      <w:bookmarkStart w:id="17" w:name="_Toc485544902"/>
      <w:bookmarkStart w:id="18" w:name="_Toc117047317"/>
      <w:bookmarkStart w:id="19" w:name="_Toc117047481"/>
      <w:r>
        <w:rPr>
          <w:rStyle w:val="CharSectno"/>
        </w:rPr>
        <w:t>3</w:t>
      </w:r>
      <w:r>
        <w:rPr>
          <w:snapToGrid w:val="0"/>
        </w:rPr>
        <w:t>.</w:t>
      </w:r>
      <w:r>
        <w:rPr>
          <w:snapToGrid w:val="0"/>
        </w:rPr>
        <w:tab/>
        <w:t>Notice of appeal</w:t>
      </w:r>
      <w:bookmarkEnd w:id="14"/>
      <w:bookmarkEnd w:id="15"/>
      <w:bookmarkEnd w:id="16"/>
      <w:bookmarkEnd w:id="17"/>
      <w:bookmarkEnd w:id="18"/>
      <w:bookmarkEnd w:id="19"/>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0" w:name="_Toc437662955"/>
      <w:bookmarkStart w:id="21" w:name="_Toc437662991"/>
      <w:bookmarkStart w:id="22" w:name="_Toc437663026"/>
      <w:bookmarkStart w:id="23" w:name="_Toc485544903"/>
      <w:bookmarkStart w:id="24" w:name="_Toc117047318"/>
      <w:bookmarkStart w:id="25" w:name="_Toc117047482"/>
      <w:r>
        <w:rPr>
          <w:rStyle w:val="CharSectno"/>
        </w:rPr>
        <w:t>4</w:t>
      </w:r>
      <w:r>
        <w:rPr>
          <w:snapToGrid w:val="0"/>
        </w:rPr>
        <w:t>.</w:t>
      </w:r>
      <w:r>
        <w:rPr>
          <w:snapToGrid w:val="0"/>
        </w:rPr>
        <w:tab/>
        <w:t>Fees in relation to appeals</w:t>
      </w:r>
      <w:bookmarkEnd w:id="20"/>
      <w:bookmarkEnd w:id="21"/>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$100; and</w:t>
      </w:r>
    </w:p>
    <w:p>
      <w:pPr>
        <w:pStyle w:val="Indenta"/>
        <w:rPr>
          <w:snapToGrid w:val="0"/>
        </w:rPr>
      </w:pPr>
      <w:r>
        <w:rPr>
          <w:snapToGrid w:val="0"/>
        </w:rPr>
        <w:tab/>
        <w:t>(b)</w:t>
      </w:r>
      <w:r>
        <w:rPr>
          <w:snapToGrid w:val="0"/>
        </w:rPr>
        <w:tab/>
        <w:t>for all other appeals, $250.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$100; and</w:t>
      </w:r>
    </w:p>
    <w:p>
      <w:pPr>
        <w:pStyle w:val="Indenti"/>
        <w:rPr>
          <w:snapToGrid w:val="0"/>
        </w:rPr>
      </w:pPr>
      <w:r>
        <w:rPr>
          <w:snapToGrid w:val="0"/>
        </w:rPr>
        <w:tab/>
        <w:t>(ii)</w:t>
      </w:r>
      <w:r>
        <w:rPr>
          <w:snapToGrid w:val="0"/>
        </w:rPr>
        <w:tab/>
        <w:t>for all other appeals, $250;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$50.</w:t>
      </w:r>
    </w:p>
    <w:p>
      <w:pPr>
        <w:pStyle w:val="Footnotesection"/>
      </w:pPr>
      <w:r>
        <w:tab/>
        <w:t xml:space="preserve">[Regulation 4 inserted in Gazette 11 Sep 1998 p. 4941.] </w:t>
      </w:r>
    </w:p>
    <w:p>
      <w:pPr>
        <w:pStyle w:val="Heading5"/>
        <w:rPr>
          <w:snapToGrid w:val="0"/>
        </w:rPr>
      </w:pPr>
      <w:bookmarkStart w:id="26" w:name="_Toc437662956"/>
      <w:bookmarkStart w:id="27" w:name="_Toc437662992"/>
      <w:bookmarkStart w:id="28" w:name="_Toc437663027"/>
      <w:bookmarkStart w:id="29" w:name="_Toc485544904"/>
      <w:bookmarkStart w:id="30" w:name="_Toc117047319"/>
      <w:bookmarkStart w:id="31" w:name="_Toc117047483"/>
      <w:r>
        <w:rPr>
          <w:rStyle w:val="CharSectno"/>
        </w:rPr>
        <w:t>5</w:t>
      </w:r>
      <w:r>
        <w:rPr>
          <w:snapToGrid w:val="0"/>
        </w:rPr>
        <w:t>.</w:t>
      </w:r>
      <w:r>
        <w:rPr>
          <w:snapToGrid w:val="0"/>
        </w:rPr>
        <w:tab/>
        <w:t>Notice of representation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32" w:name="_Toc437662957"/>
      <w:bookmarkStart w:id="33" w:name="_Toc437662993"/>
      <w:bookmarkStart w:id="34" w:name="_Toc437663028"/>
      <w:bookmarkStart w:id="35" w:name="_Toc485544905"/>
      <w:bookmarkStart w:id="36" w:name="_Toc117047320"/>
      <w:bookmarkStart w:id="37" w:name="_Toc117047484"/>
      <w:r>
        <w:rPr>
          <w:rStyle w:val="CharSectno"/>
        </w:rPr>
        <w:t>6</w:t>
      </w:r>
      <w:r>
        <w:rPr>
          <w:snapToGrid w:val="0"/>
        </w:rPr>
        <w:t>.</w:t>
      </w:r>
      <w:r>
        <w:rPr>
          <w:snapToGrid w:val="0"/>
        </w:rPr>
        <w:tab/>
        <w:t xml:space="preserve">Hearing of evidence </w:t>
      </w:r>
      <w:r>
        <w:rPr>
          <w:i/>
          <w:snapToGrid w:val="0"/>
        </w:rPr>
        <w:t>in camera</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38" w:name="_Toc437662958"/>
      <w:bookmarkStart w:id="39" w:name="_Toc437662994"/>
      <w:bookmarkStart w:id="40" w:name="_Toc437663029"/>
      <w:bookmarkStart w:id="41" w:name="_Toc485544906"/>
      <w:bookmarkStart w:id="42" w:name="_Toc117047321"/>
      <w:bookmarkStart w:id="43" w:name="_Toc117047485"/>
      <w:r>
        <w:rPr>
          <w:rStyle w:val="CharSectno"/>
        </w:rPr>
        <w:t>7</w:t>
      </w:r>
      <w:r>
        <w:rPr>
          <w:snapToGrid w:val="0"/>
        </w:rPr>
        <w:t>.</w:t>
      </w:r>
      <w:r>
        <w:rPr>
          <w:snapToGrid w:val="0"/>
        </w:rPr>
        <w:tab/>
        <w:t>Fee for transcripts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$3.30 per page.</w:t>
      </w:r>
    </w:p>
    <w:p>
      <w:pPr>
        <w:pStyle w:val="Footnotesection"/>
      </w:pPr>
      <w:r>
        <w:tab/>
        <w:t xml:space="preserve">[Regulation 7 amended in Gazette 11 Sep 1998 p. 4942; 12 May 2000 p. 2287.] </w:t>
      </w:r>
    </w:p>
    <w:p>
      <w:pPr>
        <w:pStyle w:val="Heading5"/>
        <w:rPr>
          <w:snapToGrid w:val="0"/>
        </w:rPr>
      </w:pPr>
      <w:bookmarkStart w:id="44" w:name="_Toc437662959"/>
      <w:bookmarkStart w:id="45" w:name="_Toc437662995"/>
      <w:bookmarkStart w:id="46" w:name="_Toc437663030"/>
      <w:bookmarkStart w:id="47" w:name="_Toc485544907"/>
      <w:bookmarkStart w:id="48" w:name="_Toc117047322"/>
      <w:bookmarkStart w:id="49" w:name="_Toc117047486"/>
      <w:r>
        <w:rPr>
          <w:rStyle w:val="CharSectno"/>
        </w:rPr>
        <w:t>8</w:t>
      </w:r>
      <w:r>
        <w:rPr>
          <w:snapToGrid w:val="0"/>
        </w:rPr>
        <w:t>.</w:t>
      </w:r>
      <w:r>
        <w:rPr>
          <w:snapToGrid w:val="0"/>
        </w:rPr>
        <w:tab/>
        <w:t>Duties of Registrar</w:t>
      </w:r>
      <w:bookmarkEnd w:id="44"/>
      <w:bookmarkEnd w:id="45"/>
      <w:bookmarkEnd w:id="46"/>
      <w:bookmarkEnd w:id="47"/>
      <w:bookmarkEnd w:id="48"/>
      <w:bookmarkEnd w:id="49"/>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0" w:name="_Toc437662960"/>
      <w:bookmarkStart w:id="51" w:name="_Toc437662996"/>
      <w:bookmarkStart w:id="52" w:name="_Toc437663031"/>
      <w:bookmarkStart w:id="53" w:name="_Toc485544908"/>
      <w:bookmarkStart w:id="54" w:name="_Toc117047323"/>
      <w:bookmarkStart w:id="55" w:name="_Toc117047487"/>
      <w:r>
        <w:rPr>
          <w:rStyle w:val="CharSectno"/>
        </w:rPr>
        <w:t>9</w:t>
      </w:r>
      <w:r>
        <w:rPr>
          <w:snapToGrid w:val="0"/>
        </w:rPr>
        <w:t>.</w:t>
      </w:r>
      <w:r>
        <w:rPr>
          <w:snapToGrid w:val="0"/>
        </w:rPr>
        <w:tab/>
        <w:t>Matters in which Chairperson or member alone may act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6" w:name="_Toc117047324"/>
      <w:bookmarkStart w:id="57" w:name="_Toc117047488"/>
      <w:r>
        <w:rPr>
          <w:rStyle w:val="CharSchNo"/>
        </w:rPr>
        <w:t>Schedule 1</w:t>
      </w:r>
      <w:bookmarkEnd w:id="56"/>
      <w:bookmarkEnd w:id="57"/>
      <w:r>
        <w:t xml:space="preserve"> </w:t>
      </w:r>
    </w:p>
    <w:p>
      <w:pPr>
        <w:pStyle w:val="MiscellaneousHeading"/>
        <w:jc w:val="right"/>
        <w:rPr>
          <w:snapToGrid w:val="0"/>
          <w:sz w:val="22"/>
        </w:rPr>
      </w:pPr>
      <w:r>
        <w:rPr>
          <w:snapToGrid w:val="0"/>
          <w:sz w:val="22"/>
        </w:rPr>
        <w:t>[Regulation 9]</w:t>
      </w:r>
    </w:p>
    <w:p>
      <w:pPr>
        <w:pStyle w:val="yTable"/>
        <w:ind w:left="720" w:hanging="720"/>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Table"/>
        <w:ind w:left="720" w:hanging="720"/>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Table"/>
        <w:ind w:left="720" w:hanging="720"/>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Table"/>
        <w:ind w:left="720" w:hanging="720"/>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58" w:name="_Toc116989864"/>
      <w:bookmarkStart w:id="59" w:name="_Toc117047325"/>
      <w:bookmarkStart w:id="60" w:name="_Toc117047458"/>
      <w:bookmarkStart w:id="61" w:name="_Toc117047489"/>
      <w:r>
        <w:t>Notes</w:t>
      </w:r>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 w:name="_Toc117047326"/>
      <w:bookmarkStart w:id="63" w:name="_Toc117047490"/>
      <w:r>
        <w:rPr>
          <w:snapToGrid w:val="0"/>
        </w:rPr>
        <w:t>Compilation table</w:t>
      </w:r>
      <w:bookmarkEnd w:id="62"/>
      <w:bookmarkEnd w:id="63"/>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bCs/>
                <w:sz w:val="19"/>
              </w:rPr>
              <w:t xml:space="preserve">Reprint 1: The </w:t>
            </w:r>
            <w:r>
              <w:rPr>
                <w:b/>
                <w:bCs/>
                <w:i/>
                <w:iCs/>
                <w:sz w:val="19"/>
              </w:rPr>
              <w:t>Racing Penalties (Appeals) Regulation 1991</w:t>
            </w:r>
            <w:r>
              <w:rPr>
                <w:b/>
                <w:bCs/>
                <w:sz w:val="19"/>
              </w:rPr>
              <w:t xml:space="preserve"> as at 3 Jan</w:t>
            </w:r>
            <w:r>
              <w:rPr>
                <w:b/>
                <w:bCs/>
              </w:rPr>
              <w:t> 2003</w:t>
            </w:r>
            <w:r>
              <w:t xml:space="preserve"> (includes amendments listed above)</w:t>
            </w:r>
          </w:p>
        </w:tc>
      </w:tr>
      <w:tr>
        <w:tc>
          <w:tcPr>
            <w:tcW w:w="3118" w:type="dxa"/>
            <w:tcBorders>
              <w:bottom w:val="single" w:sz="4" w:space="0" w:color="auto"/>
            </w:tcBorders>
          </w:tcPr>
          <w:p>
            <w:pPr>
              <w:pStyle w:val="nTable"/>
              <w:spacing w:before="80"/>
              <w:rPr>
                <w:sz w:val="19"/>
              </w:rPr>
            </w:pPr>
            <w:r>
              <w:rPr>
                <w:i/>
                <w:sz w:val="19"/>
              </w:rPr>
              <w:t>Racing and Gambling (Miscellaneous) Amendment Regulations 2004</w:t>
            </w:r>
            <w:r>
              <w:rPr>
                <w:sz w:val="19"/>
              </w:rPr>
              <w:t xml:space="preserve"> Pt. 8</w:t>
            </w:r>
          </w:p>
        </w:tc>
        <w:tc>
          <w:tcPr>
            <w:tcW w:w="1276" w:type="dxa"/>
            <w:tcBorders>
              <w:bottom w:val="single" w:sz="4" w:space="0" w:color="auto"/>
            </w:tcBorders>
          </w:tcPr>
          <w:p>
            <w:pPr>
              <w:pStyle w:val="nTable"/>
              <w:spacing w:before="80"/>
              <w:rPr>
                <w:sz w:val="19"/>
              </w:rPr>
            </w:pPr>
            <w:r>
              <w:rPr>
                <w:sz w:val="19"/>
              </w:rPr>
              <w:t>30 Jan 2004 p. 413-18</w:t>
            </w:r>
          </w:p>
        </w:tc>
        <w:tc>
          <w:tcPr>
            <w:tcW w:w="2825" w:type="dxa"/>
            <w:tcBorders>
              <w:bottom w:val="single" w:sz="4" w:space="0" w:color="auto"/>
            </w:tcBorders>
          </w:tcPr>
          <w:p>
            <w:pPr>
              <w:pStyle w:val="nTable"/>
              <w:spacing w:before="80"/>
              <w:rPr>
                <w:sz w:val="19"/>
              </w:rPr>
            </w:pPr>
            <w:r>
              <w:rPr>
                <w:sz w:val="19"/>
              </w:rPr>
              <w:t>30 Jan 2004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 w:name="_Toc7405065"/>
      <w:bookmarkStart w:id="65" w:name="_Toc116984353"/>
      <w:bookmarkStart w:id="66" w:name="_Toc117047327"/>
      <w:bookmarkStart w:id="67" w:name="_Toc117047491"/>
      <w:r>
        <w:t>Provisions that have not come into operation</w:t>
      </w:r>
      <w:bookmarkEnd w:id="64"/>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 xml:space="preserve">Racing Penalties (Appeals) Amendment Regulations 2005 </w:t>
            </w:r>
            <w:r>
              <w:rPr>
                <w:iCs/>
                <w:sz w:val="19"/>
              </w:rPr>
              <w:t xml:space="preserve">r. 4 and 5 </w:t>
            </w:r>
            <w:r>
              <w:rPr>
                <w:iCs/>
                <w:sz w:val="19"/>
                <w:vertAlign w:val="superscript"/>
              </w:rPr>
              <w:t>2</w:t>
            </w:r>
          </w:p>
        </w:tc>
        <w:tc>
          <w:tcPr>
            <w:tcW w:w="1276" w:type="dxa"/>
            <w:tcBorders>
              <w:top w:val="single" w:sz="4" w:space="0" w:color="auto"/>
              <w:bottom w:val="single" w:sz="4" w:space="0" w:color="auto"/>
            </w:tcBorders>
          </w:tcPr>
          <w:p>
            <w:pPr>
              <w:pStyle w:val="nTable"/>
              <w:spacing w:before="120"/>
              <w:rPr>
                <w:sz w:val="19"/>
              </w:rPr>
            </w:pPr>
            <w:r>
              <w:rPr>
                <w:sz w:val="19"/>
              </w:rPr>
              <w:t>14 Oct 2005 p. 4566-7</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Racing Penalties (Appeals) Amendment Regulations 2005 </w:t>
      </w:r>
      <w:r>
        <w:rPr>
          <w:iCs/>
        </w:rPr>
        <w:t>r. 4 and 5</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4 amended</w:t>
      </w:r>
    </w:p>
    <w:p>
      <w:pPr>
        <w:pStyle w:val="nzSubsection"/>
      </w:pPr>
      <w:r>
        <w:tab/>
        <w:t>(1)</w:t>
      </w:r>
      <w:r>
        <w:tab/>
        <w:t xml:space="preserve">Regulation 4(1)(a) is amended by deleting “$100;” and inserting instead — </w:t>
      </w:r>
    </w:p>
    <w:p>
      <w:pPr>
        <w:pStyle w:val="nzSubsection"/>
      </w:pPr>
      <w:r>
        <w:tab/>
      </w:r>
      <w:r>
        <w:tab/>
        <w:t>“    $115;    ”.</w:t>
      </w:r>
    </w:p>
    <w:p>
      <w:pPr>
        <w:pStyle w:val="nzSubsection"/>
      </w:pPr>
      <w:r>
        <w:tab/>
        <w:t>(2)</w:t>
      </w:r>
      <w:r>
        <w:tab/>
        <w:t>Regulation 4(2) is amended as follows:</w:t>
      </w:r>
    </w:p>
    <w:p>
      <w:pPr>
        <w:pStyle w:val="nzIndenta"/>
      </w:pPr>
      <w:r>
        <w:tab/>
        <w:t>(a)</w:t>
      </w:r>
      <w:r>
        <w:tab/>
        <w:t xml:space="preserve">in paragraph (a)(i) by deleting “$100;” and inserting instead — </w:t>
      </w:r>
    </w:p>
    <w:p>
      <w:pPr>
        <w:pStyle w:val="nzIndenta"/>
      </w:pPr>
      <w:r>
        <w:tab/>
      </w:r>
      <w:r>
        <w:tab/>
        <w:t>“    $115;    ”;</w:t>
      </w:r>
    </w:p>
    <w:p>
      <w:pPr>
        <w:pStyle w:val="nzIndenta"/>
      </w:pPr>
      <w:r>
        <w:tab/>
        <w:t>(b)</w:t>
      </w:r>
      <w:r>
        <w:tab/>
        <w:t xml:space="preserve">in paragraph (a)(ii) by deleting “$250;” and inserting instead — </w:t>
      </w:r>
    </w:p>
    <w:p>
      <w:pPr>
        <w:pStyle w:val="nzIndenta"/>
      </w:pPr>
      <w:r>
        <w:tab/>
      </w:r>
      <w:r>
        <w:tab/>
        <w:t>“    $285;    ”;</w:t>
      </w:r>
    </w:p>
    <w:p>
      <w:pPr>
        <w:pStyle w:val="nzIndenta"/>
      </w:pPr>
      <w:r>
        <w:tab/>
        <w:t>(c)</w:t>
      </w:r>
      <w:r>
        <w:tab/>
        <w:t xml:space="preserve">by deleting “$50.” and inserting instead — </w:t>
      </w:r>
    </w:p>
    <w:p>
      <w:pPr>
        <w:pStyle w:val="nzIndenta"/>
      </w:pPr>
      <w:r>
        <w:tab/>
      </w:r>
      <w:r>
        <w:tab/>
        <w:t>“    $55.    ”.</w:t>
      </w:r>
    </w:p>
    <w:p>
      <w:pPr>
        <w:pStyle w:val="nzHeading5"/>
      </w:pPr>
      <w:r>
        <w:rPr>
          <w:rStyle w:val="CharSectno"/>
        </w:rPr>
        <w:t>5</w:t>
      </w:r>
      <w:r>
        <w:t>.</w:t>
      </w:r>
      <w:r>
        <w:tab/>
        <w:t>Regulation 7 amended</w:t>
      </w:r>
    </w:p>
    <w:p>
      <w:pPr>
        <w:pStyle w:val="nzSubsection"/>
      </w:pPr>
      <w:r>
        <w:tab/>
      </w:r>
      <w:r>
        <w:tab/>
        <w:t xml:space="preserve">Regulation 7 is amended by deleting “$3.30” and inserting instead — </w:t>
      </w:r>
    </w:p>
    <w:p>
      <w:pPr>
        <w:pStyle w:val="nzSubsection"/>
      </w:pPr>
      <w:r>
        <w:tab/>
      </w:r>
      <w:r>
        <w:tab/>
        <w:t>“    $3.50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1301</Words>
  <Characters>6131</Characters>
  <Application>Microsoft Office Word</Application>
  <DocSecurity>0</DocSecurity>
  <Lines>218</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1991 - 01-b0-02</dc:title>
  <dc:subject/>
  <dc:creator/>
  <cp:keywords/>
  <dc:description/>
  <cp:lastModifiedBy>svcMRProcess</cp:lastModifiedBy>
  <cp:revision>4</cp:revision>
  <cp:lastPrinted>2003-02-13T03:59:00Z</cp:lastPrinted>
  <dcterms:created xsi:type="dcterms:W3CDTF">2020-02-27T14:32:00Z</dcterms:created>
  <dcterms:modified xsi:type="dcterms:W3CDTF">2020-02-27T14:33:00Z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4728</vt:i4>
  </property>
  <property fmtid="{D5CDD505-2E9C-101B-9397-08002B2CF9AE}" pid="6" name="AsAtDate">
    <vt:lpwstr>14 Oct 2005</vt:lpwstr>
  </property>
  <property fmtid="{D5CDD505-2E9C-101B-9397-08002B2CF9AE}" pid="7" name="Suffix">
    <vt:lpwstr>01-b0-02</vt:lpwstr>
  </property>
</Properties>
</file>