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(Quadriplegic Centre) Order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(Quadriplegic Centre) Order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_Toc531264304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_Toc531264305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_Toc531264307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_Toc531264308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(Quadriplegic Centre) Order 2018</w:t>
      </w:r>
    </w:p>
    <w:p>
      <w:pPr>
        <w:pStyle w:val="Heading5"/>
      </w:pPr>
      <w:bookmarkStart w:id="3" w:name="_Toc531264304"/>
      <w:r>
        <w:rPr>
          <w:rStyle w:val="CharSectno"/>
        </w:rPr>
        <w:t>1</w:t>
      </w:r>
      <w:r>
        <w:t>.</w:t>
      </w:r>
      <w:r>
        <w:tab/>
        <w:t>Citation</w:t>
      </w:r>
      <w:bookmarkEnd w:id="3"/>
    </w:p>
    <w:p>
      <w:pPr>
        <w:pStyle w:val="Subsection"/>
      </w:pPr>
      <w:r>
        <w:tab/>
      </w:r>
      <w:r>
        <w:tab/>
      </w:r>
      <w:bookmarkStart w:id="4" w:name="Start_Cursor"/>
      <w:bookmarkEnd w:id="4"/>
      <w:r>
        <w:t xml:space="preserve">This </w:t>
      </w:r>
      <w:r>
        <w:rPr>
          <w:spacing w:val="-2"/>
        </w:rPr>
        <w:t>order</w:t>
      </w:r>
      <w:r>
        <w:t xml:space="preserve"> is the </w:t>
      </w:r>
      <w:r>
        <w:rPr>
          <w:i/>
        </w:rPr>
        <w:t>Health Services (Quadriplegic Centre) Order 2018</w:t>
      </w:r>
      <w:r>
        <w:t>.</w:t>
      </w:r>
    </w:p>
    <w:p>
      <w:pPr>
        <w:pStyle w:val="Heading5"/>
        <w:rPr>
          <w:spacing w:val="-2"/>
        </w:rPr>
      </w:pPr>
      <w:bookmarkStart w:id="5" w:name="_Toc53126430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This </w:t>
      </w:r>
      <w:r>
        <w:rPr>
          <w:spacing w:val="-2"/>
        </w:rPr>
        <w:t>order comes into operation as follows</w:t>
      </w:r>
      <w:r>
        <w:t> —</w:t>
      </w:r>
    </w:p>
    <w:p>
      <w:pPr>
        <w:pStyle w:val="Indenta"/>
      </w:pPr>
      <w:r>
        <w:tab/>
        <w:t>(a)</w:t>
      </w:r>
      <w:r>
        <w:tab/>
      </w:r>
      <w:r>
        <w:rPr>
          <w:spacing w:val="-2"/>
        </w:rPr>
        <w:t>clauses</w:t>
      </w:r>
      <w:r>
        <w:t xml:space="preserve"> 1 and 2 — on the day on which this </w:t>
      </w:r>
      <w:r>
        <w:rPr>
          <w:spacing w:val="-2"/>
        </w:rPr>
        <w:t>order</w:t>
      </w:r>
      <w:r>
        <w:t xml:space="preserve"> is published in the </w:t>
      </w:r>
      <w:r>
        <w:rPr>
          <w:i/>
          <w:iCs/>
        </w:rPr>
        <w:t>Gazette</w:t>
      </w:r>
      <w:r>
        <w:t>;</w:t>
      </w:r>
    </w:p>
    <w:p>
      <w:pPr>
        <w:pStyle w:val="Indenta"/>
      </w:pPr>
      <w:r>
        <w:tab/>
        <w:t>(b)</w:t>
      </w:r>
      <w:r>
        <w:tab/>
        <w:t xml:space="preserve">the rest of the </w:t>
      </w:r>
      <w:r>
        <w:rPr>
          <w:spacing w:val="-2"/>
        </w:rPr>
        <w:t>order</w:t>
      </w:r>
      <w:r>
        <w:t> — on 1 January 2019.</w:t>
      </w:r>
    </w:p>
    <w:p>
      <w:pPr>
        <w:pStyle w:val="Ednotesection"/>
      </w:pPr>
      <w:r>
        <w:t>[Clauses 3 and 4 have not come into operation </w:t>
      </w:r>
      <w:r>
        <w:rPr>
          <w:i w:val="0"/>
          <w:vertAlign w:val="superscript"/>
        </w:rPr>
        <w:t>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Ednotesection"/>
      </w:pPr>
    </w:p>
    <w:p>
      <w:pPr>
        <w:pStyle w:val="Ednotesection"/>
      </w:pPr>
    </w:p>
    <w:p>
      <w:pPr>
        <w:pStyle w:val="ByCommand"/>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nHeading2"/>
      </w:pPr>
      <w:bookmarkStart w:id="6" w:name="_Toc531258482"/>
      <w:bookmarkStart w:id="7" w:name="_Toc531258608"/>
      <w:bookmarkStart w:id="8" w:name="_Toc531264306"/>
      <w:r>
        <w:t>Notes</w:t>
      </w:r>
      <w:bookmarkEnd w:id="6"/>
      <w:bookmarkEnd w:id="7"/>
      <w:bookmarkEnd w:id="8"/>
    </w:p>
    <w:p>
      <w:pPr>
        <w:pStyle w:val="nSubsection"/>
      </w:pPr>
      <w:r>
        <w:rPr>
          <w:vertAlign w:val="superscript"/>
        </w:rPr>
        <w:t>1</w:t>
      </w:r>
      <w:r>
        <w:tab/>
        <w:t xml:space="preserve">This is a compilation of the </w:t>
      </w:r>
      <w:r>
        <w:rPr>
          <w:i/>
          <w:noProof/>
        </w:rPr>
        <w:t>Health Services (Quadriplegic Centre) Order 2018</w:t>
      </w:r>
      <w:r>
        <w:t>.  The following table contains information about that order </w:t>
      </w:r>
      <w:r>
        <w:rPr>
          <w:vertAlign w:val="superscript"/>
        </w:rPr>
        <w:t>1a</w:t>
      </w:r>
      <w:r>
        <w:t>.</w:t>
      </w:r>
    </w:p>
    <w:p>
      <w:pPr>
        <w:pStyle w:val="nHeading3"/>
      </w:pPr>
      <w:bookmarkStart w:id="9" w:name="_Toc531264307"/>
      <w:r>
        <w:t>Compilation table</w:t>
      </w:r>
      <w:bookmarkEnd w:id="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Health Services (Quadriplegic Centre) Order 2018 </w:t>
            </w:r>
            <w:r>
              <w:rPr>
                <w:noProof/>
              </w:rPr>
              <w:t>cl. 1 and 2</w:t>
            </w:r>
          </w:p>
        </w:tc>
        <w:tc>
          <w:tcPr>
            <w:tcW w:w="1276" w:type="dxa"/>
          </w:tcPr>
          <w:p>
            <w:pPr>
              <w:pStyle w:val="nTable"/>
              <w:spacing w:after="40"/>
            </w:pPr>
            <w:r>
              <w:t>30 Nov 2018 p. 4596-7</w:t>
            </w:r>
          </w:p>
        </w:tc>
        <w:tc>
          <w:tcPr>
            <w:tcW w:w="2693" w:type="dxa"/>
          </w:tcPr>
          <w:p>
            <w:pPr>
              <w:pStyle w:val="nTable"/>
              <w:spacing w:after="40"/>
            </w:pPr>
            <w:r>
              <w:t>30 Nov 2018 (see cl. 2(a))</w:t>
            </w:r>
          </w:p>
        </w:tc>
      </w:tr>
    </w:tbl>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 w:name="_Toc531264308"/>
      <w:r>
        <w:t>Provisions that have not come into operation</w:t>
      </w:r>
      <w:bookmarkEnd w:id="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noProof/>
              </w:rPr>
              <w:t>Health Services (Quadriplegic Centre) Order 2018</w:t>
            </w:r>
            <w:r>
              <w:rPr>
                <w:noProof/>
              </w:rPr>
              <w:t xml:space="preserve"> cl. 3 and 4</w:t>
            </w:r>
            <w:r>
              <w:rPr>
                <w:i/>
                <w:noProof/>
              </w:rPr>
              <w:t> </w:t>
            </w:r>
            <w:r>
              <w:rPr>
                <w:noProof/>
                <w:vertAlign w:val="superscript"/>
              </w:rPr>
              <w:t>2</w:t>
            </w:r>
          </w:p>
        </w:tc>
        <w:tc>
          <w:tcPr>
            <w:tcW w:w="1276" w:type="dxa"/>
          </w:tcPr>
          <w:p>
            <w:pPr>
              <w:pStyle w:val="nTable"/>
              <w:spacing w:after="40"/>
            </w:pPr>
            <w:r>
              <w:t>30 Nov 2018 p. 4596-7</w:t>
            </w:r>
          </w:p>
        </w:tc>
        <w:tc>
          <w:tcPr>
            <w:tcW w:w="2693" w:type="dxa"/>
          </w:tcPr>
          <w:p>
            <w:pPr>
              <w:pStyle w:val="nTable"/>
              <w:spacing w:after="40"/>
            </w:pPr>
            <w:r>
              <w:t>1 Jan 2019 (see cl.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noProof/>
        </w:rPr>
        <w:t xml:space="preserve">Health Services (Quadriplegic Centre) Order 2018 </w:t>
      </w:r>
      <w:r>
        <w:rPr>
          <w:noProof/>
        </w:rPr>
        <w:t xml:space="preserve">cl. 3 and 4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Terms used</w:t>
      </w:r>
    </w:p>
    <w:p>
      <w:pPr>
        <w:pStyle w:val="nzSubsection"/>
      </w:pPr>
      <w:r>
        <w:tab/>
      </w:r>
      <w:r>
        <w:tab/>
        <w:t xml:space="preserve">In this order — </w:t>
      </w:r>
    </w:p>
    <w:p>
      <w:pPr>
        <w:pStyle w:val="nzDefstart"/>
      </w:pPr>
      <w:r>
        <w:tab/>
      </w:r>
      <w:r>
        <w:rPr>
          <w:rStyle w:val="CharDefText"/>
        </w:rPr>
        <w:t>Quadriplegic Centre</w:t>
      </w:r>
      <w:r>
        <w:t xml:space="preserve"> means the body corporate mentioned in section 251(2) of the Act;</w:t>
      </w:r>
    </w:p>
    <w:p>
      <w:pPr>
        <w:pStyle w:val="nzDefstart"/>
      </w:pPr>
      <w:r>
        <w:tab/>
      </w:r>
      <w:r>
        <w:rPr>
          <w:rStyle w:val="CharDefText"/>
        </w:rPr>
        <w:t xml:space="preserve">Quadriplegic Centre Order </w:t>
      </w:r>
      <w:r>
        <w:t>means section 251(2) of the Act, being a provision that by reason of section 251(4) of the Act has effect as if it were an order under section 32(1) of the Act.</w:t>
      </w:r>
    </w:p>
    <w:p>
      <w:pPr>
        <w:pStyle w:val="nzHeading5"/>
      </w:pPr>
      <w:r>
        <w:rPr>
          <w:rStyle w:val="CharSectno"/>
        </w:rPr>
        <w:t>4</w:t>
      </w:r>
      <w:r>
        <w:t>.</w:t>
      </w:r>
      <w:r>
        <w:tab/>
        <w:t>Governance of Quadriplegic Centre changed</w:t>
      </w:r>
    </w:p>
    <w:p>
      <w:pPr>
        <w:pStyle w:val="nzSubsection"/>
      </w:pPr>
      <w:r>
        <w:tab/>
      </w:r>
      <w:r>
        <w:tab/>
        <w:t>The Quadriplegic Centre Order is amended by changing the governance of the Quadriplegic Centre from a board governed provider to a chief executive governed provider.</w:t>
      </w:r>
    </w:p>
    <w:p>
      <w:pPr>
        <w:pStyle w:val="BlankClose"/>
      </w:pPr>
    </w:p>
    <w:p>
      <w:pPr>
        <w:pStyle w:val="BlankClose"/>
      </w:pPr>
    </w:p>
    <w:p>
      <w:pPr>
        <w:pStyle w:val="nSubsection"/>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(Quadriplegic Centre) Order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(Quadriplegic Centre) Order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(Quadriplegic Centre) Order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(Quadriplegic Centre) Order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(Quadriplegic Centre) Order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(Quadriplegic Centre) Order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911555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29115554" w:val="RemoveTocBookmarks,RemoveUnusedBookmarks,RemoveLanguageTags,UsedStyles,ResetPageSize"/>
    <w:docVar w:name="WAFER_20181129115554_GUID" w:val="006b6a7d-d516-49a1-9cbb-23c53d6a51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e">
    <w:name w:val="Nde"/>
    <w:basedOn w:val="Defs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e">
    <w:name w:val="Nde"/>
    <w:basedOn w:val="Defs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6305-970F-4DD3-97C1-DE19D786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445</Words>
  <Characters>2236</Characters>
  <Application>Microsoft Office Word</Application>
  <DocSecurity>0</DocSecurity>
  <Lines>97</Lines>
  <Paragraphs>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(Quadriplegic Centre) Order 2018 - 00-a0-00</dc:title>
  <dc:subject/>
  <dc:creator/>
  <cp:keywords/>
  <dc:description/>
  <cp:lastModifiedBy>svcMRProcess</cp:lastModifiedBy>
  <cp:revision>4</cp:revision>
  <cp:lastPrinted>2018-11-29T06:09:00Z</cp:lastPrinted>
  <dcterms:created xsi:type="dcterms:W3CDTF">2018-11-30T01:51:00Z</dcterms:created>
  <dcterms:modified xsi:type="dcterms:W3CDTF">2018-11-30T01:51:00Z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20181130</vt:lpwstr>
  </property>
  <property fmtid="{D5CDD505-2E9C-101B-9397-08002B2CF9AE}" pid="4" name="AsAtDate">
    <vt:lpwstr>30 Nov 2018</vt:lpwstr>
  </property>
  <property fmtid="{D5CDD505-2E9C-101B-9397-08002B2CF9AE}" pid="5" name="Suffix">
    <vt:lpwstr>00-a0-00</vt:lpwstr>
  </property>
</Properties>
</file>