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_Toc531873937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_Toc531873938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_Toc531873939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_Toc531873940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_Toc531873941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_Toc531873942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_Toc531873943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_Toc531873944 \h </w:instrText>
      </w:r>
      <w:r>
        <w:fldChar w:fldCharType="separate"/>
      </w:r>
      <w:r>
        <w:t>7</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_Toc531873945 \h </w:instrText>
      </w:r>
      <w:r>
        <w:fldChar w:fldCharType="separate"/>
      </w:r>
      <w:r>
        <w:t>7</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_Toc531873946 \h </w:instrText>
      </w:r>
      <w:r>
        <w:fldChar w:fldCharType="separate"/>
      </w:r>
      <w:r>
        <w:t>8</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_Toc531873947 \h </w:instrText>
      </w:r>
      <w:r>
        <w:fldChar w:fldCharType="separate"/>
      </w:r>
      <w:r>
        <w:t>9</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_Toc531873948 \h </w:instrText>
      </w:r>
      <w:r>
        <w:fldChar w:fldCharType="separate"/>
      </w:r>
      <w:r>
        <w:t>10</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_Toc531873949 \h </w:instrText>
      </w:r>
      <w:r>
        <w:fldChar w:fldCharType="separate"/>
      </w:r>
      <w:r>
        <w:t>11</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_Toc531873950 \h </w:instrText>
      </w:r>
      <w:r>
        <w:fldChar w:fldCharType="separate"/>
      </w:r>
      <w:r>
        <w:t>11</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_Toc531873951 \h </w:instrText>
      </w:r>
      <w:r>
        <w:fldChar w:fldCharType="separate"/>
      </w:r>
      <w:r>
        <w:t>11</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_Toc531873952 \h </w:instrText>
      </w:r>
      <w:r>
        <w:fldChar w:fldCharType="separate"/>
      </w:r>
      <w:r>
        <w:t>12</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_Toc531873953 \h </w:instrText>
      </w:r>
      <w:r>
        <w:fldChar w:fldCharType="separate"/>
      </w:r>
      <w:r>
        <w:t>12</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_Toc531873954 \h </w:instrText>
      </w:r>
      <w:r>
        <w:fldChar w:fldCharType="separate"/>
      </w:r>
      <w:r>
        <w:t>12</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_Toc531873955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_Toc531873961 \h </w:instrText>
      </w:r>
      <w:r>
        <w:fldChar w:fldCharType="separate"/>
      </w:r>
      <w:r>
        <w:t>32</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_Toc531873962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_Toc531873964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_Toc531873965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531873937"/>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31873938"/>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31873939"/>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531873940"/>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531873941"/>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531873942"/>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Pr>
      <w:bookmarkStart w:id="9" w:name="_Toc531873943"/>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0" w:name="_Toc531873944"/>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531873945"/>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in Gazette 14 Jun 2016 p. 1912</w:t>
      </w:r>
      <w:r>
        <w:noBreakHyphen/>
        <w:t>14; amended in Gazette 20 Jul 2018 p. 2626.]</w:t>
      </w:r>
    </w:p>
    <w:p>
      <w:pPr>
        <w:pStyle w:val="Heading5"/>
      </w:pPr>
      <w:bookmarkStart w:id="12" w:name="_Toc531873946"/>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 amended in Gazette 20 Jul 2018 p. 2626</w:t>
      </w:r>
      <w:r>
        <w:noBreakHyphen/>
        <w:t>7.]</w:t>
      </w:r>
    </w:p>
    <w:p>
      <w:pPr>
        <w:pStyle w:val="Heading5"/>
      </w:pPr>
      <w:bookmarkStart w:id="13" w:name="_Toc531873947"/>
      <w:r>
        <w:rPr>
          <w:rStyle w:val="CharSectno"/>
        </w:rPr>
        <w:t>9B</w:t>
      </w:r>
      <w:r>
        <w:t>.</w:t>
      </w:r>
      <w:r>
        <w:tab/>
        <w:t>Recognition as eligible individual or eligible entity</w:t>
      </w:r>
      <w:bookmarkEnd w:id="1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 amended in Gazette 20 Jul 2018 p. 2627.]</w:t>
      </w:r>
    </w:p>
    <w:p>
      <w:pPr>
        <w:pStyle w:val="Heading5"/>
      </w:pPr>
      <w:bookmarkStart w:id="14" w:name="_Toc531873948"/>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531873949"/>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531873950"/>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in Gazette 20 Jul 2018 p. 2627.]</w:t>
      </w:r>
    </w:p>
    <w:p>
      <w:pPr>
        <w:pStyle w:val="Heading5"/>
      </w:pPr>
      <w:bookmarkStart w:id="17" w:name="_Toc531873951"/>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in Gazette 20 Jul 2018 p. 2627.]</w:t>
      </w:r>
    </w:p>
    <w:p>
      <w:pPr>
        <w:pStyle w:val="Heading5"/>
      </w:pPr>
      <w:bookmarkStart w:id="18" w:name="_Toc531873952"/>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531873953"/>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531873954"/>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531873955"/>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531861846"/>
      <w:bookmarkStart w:id="23" w:name="_Toc531862276"/>
      <w:bookmarkStart w:id="24" w:name="_Toc531863137"/>
      <w:bookmarkStart w:id="25" w:name="_Toc531863273"/>
      <w:bookmarkStart w:id="26" w:name="_Toc531863303"/>
      <w:bookmarkStart w:id="27" w:name="_Toc531863333"/>
      <w:bookmarkStart w:id="28" w:name="_Toc531864537"/>
      <w:bookmarkStart w:id="29" w:name="_Toc531873956"/>
      <w:r>
        <w:rPr>
          <w:rStyle w:val="CharSchNo"/>
        </w:rPr>
        <w:t>Schedule 1</w:t>
      </w:r>
      <w:r>
        <w:t> — </w:t>
      </w:r>
      <w:r>
        <w:rPr>
          <w:rStyle w:val="CharSchText"/>
        </w:rPr>
        <w:t>Fees</w:t>
      </w:r>
      <w:bookmarkEnd w:id="22"/>
      <w:bookmarkEnd w:id="23"/>
      <w:bookmarkEnd w:id="24"/>
      <w:bookmarkEnd w:id="25"/>
      <w:bookmarkEnd w:id="26"/>
      <w:bookmarkEnd w:id="27"/>
      <w:bookmarkEnd w:id="28"/>
      <w:bookmarkEnd w:id="29"/>
    </w:p>
    <w:p>
      <w:pPr>
        <w:pStyle w:val="yShoulderClause"/>
      </w:pPr>
      <w:r>
        <w:t>[r. 4]</w:t>
      </w:r>
    </w:p>
    <w:p>
      <w:pPr>
        <w:pStyle w:val="yFootnoteheading"/>
      </w:pPr>
      <w:r>
        <w:tab/>
        <w:t>[Heading inserted in Gazette 15 Jun 2018 p. 2002.]</w:t>
      </w:r>
    </w:p>
    <w:p>
      <w:pPr>
        <w:pStyle w:val="yHeading3"/>
      </w:pPr>
      <w:bookmarkStart w:id="30" w:name="_Toc531861847"/>
      <w:bookmarkStart w:id="31" w:name="_Toc531862277"/>
      <w:bookmarkStart w:id="32" w:name="_Toc531863138"/>
      <w:bookmarkStart w:id="33" w:name="_Toc531863274"/>
      <w:bookmarkStart w:id="34" w:name="_Toc531863304"/>
      <w:bookmarkStart w:id="35" w:name="_Toc531863334"/>
      <w:bookmarkStart w:id="36" w:name="_Toc531864538"/>
      <w:bookmarkStart w:id="37" w:name="_Toc531873957"/>
      <w:r>
        <w:rPr>
          <w:rStyle w:val="CharSDivNo"/>
        </w:rPr>
        <w:t>Division 1</w:t>
      </w:r>
      <w:r>
        <w:t> — </w:t>
      </w:r>
      <w:r>
        <w:rPr>
          <w:rStyle w:val="CharSDivText"/>
        </w:rPr>
        <w:t>General</w:t>
      </w:r>
      <w:bookmarkEnd w:id="30"/>
      <w:bookmarkEnd w:id="31"/>
      <w:bookmarkEnd w:id="32"/>
      <w:bookmarkEnd w:id="33"/>
      <w:bookmarkEnd w:id="34"/>
      <w:bookmarkEnd w:id="35"/>
      <w:bookmarkEnd w:id="36"/>
      <w:bookmarkEnd w:id="37"/>
    </w:p>
    <w:p>
      <w:pPr>
        <w:pStyle w:val="yFootnoteheading"/>
      </w:pPr>
      <w:r>
        <w:tab/>
        <w:t>[Heading inserted in Gazette 15 Jun 2018 p. 2002.]</w:t>
      </w:r>
    </w:p>
    <w:tbl>
      <w:tblPr>
        <w:tblW w:w="7229" w:type="dxa"/>
        <w:tblInd w:w="250" w:type="dxa"/>
        <w:tblLayout w:type="fixed"/>
        <w:tblLook w:val="0000" w:firstRow="0" w:lastRow="0" w:firstColumn="0" w:lastColumn="0" w:noHBand="0" w:noVBand="0"/>
      </w:tblPr>
      <w:tblGrid>
        <w:gridCol w:w="709"/>
        <w:gridCol w:w="2693"/>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5"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cantSplit/>
        </w:trPr>
        <w:tc>
          <w:tcPr>
            <w:tcW w:w="709" w:type="dxa"/>
          </w:tcPr>
          <w:p>
            <w:pPr>
              <w:pStyle w:val="zyTableNAm"/>
              <w:keepLines/>
              <w:widowControl w:val="0"/>
            </w:pPr>
          </w:p>
        </w:tc>
        <w:tc>
          <w:tcPr>
            <w:tcW w:w="2693" w:type="dxa"/>
          </w:tcPr>
          <w:p>
            <w:pPr>
              <w:pStyle w:val="yTableNAm"/>
              <w:ind w:left="601" w:hanging="601"/>
            </w:pPr>
            <w:r>
              <w:t>(b)</w:t>
            </w:r>
            <w:r>
              <w:tab/>
              <w:t>For issue of a duplicate document or order</w:t>
            </w:r>
          </w:p>
        </w:tc>
        <w:tc>
          <w:tcPr>
            <w:tcW w:w="1275" w:type="dxa"/>
          </w:tcPr>
          <w:p>
            <w:pPr>
              <w:pStyle w:val="yTableNAm"/>
            </w:pPr>
            <w:r>
              <w:rPr>
                <w:szCs w:val="22"/>
              </w:rPr>
              <w:br/>
            </w:r>
            <w:r>
              <w:rPr>
                <w:szCs w:val="22"/>
              </w:rPr>
              <w:br/>
              <w:t>17.65</w:t>
            </w:r>
          </w:p>
        </w:tc>
        <w:tc>
          <w:tcPr>
            <w:tcW w:w="1276" w:type="dxa"/>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cantSplit/>
        </w:trPr>
        <w:tc>
          <w:tcPr>
            <w:tcW w:w="709" w:type="dxa"/>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5"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cantSplit/>
        </w:trPr>
        <w:tc>
          <w:tcPr>
            <w:tcW w:w="709" w:type="dxa"/>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5" w:type="dxa"/>
          </w:tcPr>
          <w:p>
            <w:pPr>
              <w:pStyle w:val="yTableNAm"/>
            </w:pPr>
            <w:r>
              <w:rPr>
                <w:szCs w:val="22"/>
              </w:rPr>
              <w:br/>
            </w:r>
            <w:r>
              <w:rPr>
                <w:szCs w:val="22"/>
              </w:rPr>
              <w:br/>
              <w:t>2.00</w:t>
            </w:r>
          </w:p>
          <w:p>
            <w:pPr>
              <w:pStyle w:val="yTableNAm"/>
            </w:pPr>
            <w:r>
              <w:br/>
            </w:r>
            <w:r>
              <w:br/>
            </w:r>
            <w: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cantSplit/>
        </w:trPr>
        <w:tc>
          <w:tcPr>
            <w:tcW w:w="709" w:type="dxa"/>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709" w:type="dxa"/>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5" w:type="dxa"/>
          </w:tcPr>
          <w:p>
            <w:pPr>
              <w:pStyle w:val="yTableNAm"/>
            </w:pPr>
            <w:r>
              <w:rPr>
                <w:szCs w:val="22"/>
              </w:rPr>
              <w:br/>
              <w:t>2.00</w:t>
            </w:r>
          </w:p>
          <w:p>
            <w:pPr>
              <w:pStyle w:val="yTableNAm"/>
            </w:pPr>
            <w:r>
              <w:br/>
            </w:r>
            <w:r>
              <w:br/>
              <w:t>64 047.00</w:t>
            </w:r>
          </w:p>
        </w:tc>
        <w:tc>
          <w:tcPr>
            <w:tcW w:w="1276" w:type="dxa"/>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rPr>
                <w:szCs w:val="22"/>
              </w:rPr>
              <w:br/>
              <w:t>65.50</w:t>
            </w:r>
          </w:p>
        </w:tc>
        <w:tc>
          <w:tcPr>
            <w:tcW w:w="1276" w:type="dxa"/>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cantSplit/>
        </w:trPr>
        <w:tc>
          <w:tcPr>
            <w:tcW w:w="709" w:type="dxa"/>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cantSplit/>
        </w:trPr>
        <w:tc>
          <w:tcPr>
            <w:tcW w:w="709" w:type="dxa"/>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5" w:type="dxa"/>
          </w:tcPr>
          <w:p>
            <w:pPr>
              <w:pStyle w:val="yTableNAm"/>
            </w:pPr>
            <w:r>
              <w:br/>
            </w:r>
            <w:r>
              <w:br/>
            </w:r>
            <w:r>
              <w:br/>
            </w:r>
            <w:r>
              <w:br/>
            </w:r>
            <w:r>
              <w:rPr>
                <w:szCs w:val="22"/>
              </w:rPr>
              <w:t>1.85</w:t>
            </w:r>
          </w:p>
        </w:tc>
        <w:tc>
          <w:tcPr>
            <w:tcW w:w="1276" w:type="dxa"/>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cantSplit/>
        </w:trPr>
        <w:tc>
          <w:tcPr>
            <w:tcW w:w="709" w:type="dxa"/>
          </w:tcPr>
          <w:p>
            <w:pPr>
              <w:pStyle w:val="zyTableNAm"/>
              <w:keepNext/>
              <w:keepLines/>
            </w:pPr>
          </w:p>
        </w:tc>
        <w:tc>
          <w:tcPr>
            <w:tcW w:w="2693" w:type="dxa"/>
          </w:tcPr>
          <w:p>
            <w:pPr>
              <w:pStyle w:val="yTableNAm"/>
              <w:ind w:left="601" w:hanging="601"/>
            </w:pPr>
            <w:r>
              <w:t>(b)</w:t>
            </w:r>
            <w:r>
              <w:tab/>
              <w:t>For a copy of reasons for judgment —</w:t>
            </w:r>
          </w:p>
        </w:tc>
        <w:tc>
          <w:tcPr>
            <w:tcW w:w="1275" w:type="dxa"/>
          </w:tcPr>
          <w:p>
            <w:pPr>
              <w:pStyle w:val="zyTableNAm"/>
              <w:keepNext/>
              <w:keepLines/>
            </w:pPr>
          </w:p>
        </w:tc>
        <w:tc>
          <w:tcPr>
            <w:tcW w:w="1276" w:type="dxa"/>
          </w:tcPr>
          <w:p>
            <w:pPr>
              <w:pStyle w:val="zyTableNAm"/>
              <w:keepNext/>
              <w:keepLines/>
            </w:pPr>
          </w:p>
        </w:tc>
        <w:tc>
          <w:tcPr>
            <w:tcW w:w="1276" w:type="dxa"/>
          </w:tcPr>
          <w:p>
            <w:pPr>
              <w:pStyle w:val="yTableNAm"/>
            </w:pPr>
          </w:p>
        </w:tc>
      </w:tr>
      <w:tr>
        <w:trPr>
          <w:cantSplit/>
        </w:trPr>
        <w:tc>
          <w:tcPr>
            <w:tcW w:w="709" w:type="dxa"/>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cantSplit/>
        </w:trPr>
        <w:tc>
          <w:tcPr>
            <w:tcW w:w="709" w:type="dxa"/>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5"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cantSplit/>
        </w:trPr>
        <w:tc>
          <w:tcPr>
            <w:tcW w:w="709" w:type="dxa"/>
          </w:tcPr>
          <w:p>
            <w:pPr>
              <w:pStyle w:val="zyTableNAm"/>
            </w:pPr>
          </w:p>
        </w:tc>
        <w:tc>
          <w:tcPr>
            <w:tcW w:w="2693" w:type="dxa"/>
          </w:tcPr>
          <w:p>
            <w:pPr>
              <w:pStyle w:val="yTableNAm"/>
              <w:ind w:left="601" w:hanging="601"/>
            </w:pPr>
            <w:r>
              <w:t>(c)</w:t>
            </w:r>
            <w:r>
              <w:tab/>
              <w:t>For certifying that a document is a true copy, an additional fee of</w:t>
            </w:r>
          </w:p>
        </w:tc>
        <w:tc>
          <w:tcPr>
            <w:tcW w:w="1275"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693" w:type="dxa"/>
            <w:tcBorders>
              <w:top w:val="nil"/>
              <w:left w:val="nil"/>
              <w:bottom w:val="nil"/>
              <w:right w:val="nil"/>
            </w:tcBorders>
          </w:tcPr>
          <w:p>
            <w:pPr>
              <w:pStyle w:val="yTableNAm"/>
              <w:ind w:left="601" w:hanging="601"/>
            </w:pPr>
            <w:r>
              <w:t>(a)</w:t>
            </w:r>
            <w:r>
              <w:tab/>
              <w:t xml:space="preserve">For a copy of a transcript, or part of a transcript — </w:t>
            </w:r>
          </w:p>
        </w:tc>
        <w:tc>
          <w:tcPr>
            <w:tcW w:w="1275"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provided within 1 day after the day on which the fee is paid</w:t>
            </w:r>
          </w:p>
        </w:tc>
        <w:tc>
          <w:tcPr>
            <w:tcW w:w="1275" w:type="dxa"/>
            <w:tcBorders>
              <w:top w:val="nil"/>
              <w:left w:val="nil"/>
              <w:bottom w:val="nil"/>
              <w:right w:val="nil"/>
            </w:tcBorders>
          </w:tcPr>
          <w:p>
            <w:pPr>
              <w:pStyle w:val="yTableNAm"/>
            </w:pPr>
            <w:r>
              <w:br/>
            </w:r>
            <w:r>
              <w:br/>
              <w:t>20.50 plus 8.45 per page</w:t>
            </w:r>
          </w:p>
        </w:tc>
        <w:tc>
          <w:tcPr>
            <w:tcW w:w="1276" w:type="dxa"/>
            <w:tcBorders>
              <w:top w:val="nil"/>
              <w:left w:val="nil"/>
              <w:bottom w:val="nil"/>
              <w:right w:val="nil"/>
            </w:tcBorders>
          </w:tcPr>
          <w:p>
            <w:pPr>
              <w:pStyle w:val="yTableNAm"/>
            </w:pPr>
            <w:r>
              <w:br/>
            </w:r>
            <w:r>
              <w:br/>
              <w:t>20.50 plus 16.90 per page</w:t>
            </w:r>
          </w:p>
        </w:tc>
        <w:tc>
          <w:tcPr>
            <w:tcW w:w="1276" w:type="dxa"/>
            <w:tcBorders>
              <w:top w:val="nil"/>
              <w:left w:val="nil"/>
              <w:bottom w:val="nil"/>
              <w:right w:val="nil"/>
            </w:tcBorders>
          </w:tcPr>
          <w:p>
            <w:pPr>
              <w:pStyle w:val="yTableNAm"/>
            </w:pPr>
            <w:r>
              <w:br/>
            </w:r>
            <w:r>
              <w:br/>
              <w:t xml:space="preserve">6.15 plus </w:t>
            </w:r>
            <w:r>
              <w:br/>
              <w:t>2.55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20.50 plus </w:t>
            </w:r>
            <w:r>
              <w:br/>
              <w:t>7.30 per page</w:t>
            </w:r>
          </w:p>
        </w:tc>
        <w:tc>
          <w:tcPr>
            <w:tcW w:w="1276" w:type="dxa"/>
            <w:tcBorders>
              <w:top w:val="nil"/>
              <w:left w:val="nil"/>
              <w:bottom w:val="nil"/>
              <w:right w:val="nil"/>
            </w:tcBorders>
          </w:tcPr>
          <w:p>
            <w:pPr>
              <w:pStyle w:val="yTableNAm"/>
            </w:pPr>
            <w:r>
              <w:br/>
            </w:r>
            <w:r>
              <w:br/>
              <w:t xml:space="preserve">20.50 plus </w:t>
            </w:r>
            <w:r>
              <w:br/>
              <w:t>14.75 per page</w:t>
            </w:r>
          </w:p>
        </w:tc>
        <w:tc>
          <w:tcPr>
            <w:tcW w:w="1276" w:type="dxa"/>
            <w:tcBorders>
              <w:top w:val="nil"/>
              <w:left w:val="nil"/>
              <w:bottom w:val="nil"/>
              <w:right w:val="nil"/>
            </w:tcBorders>
          </w:tcPr>
          <w:p>
            <w:pPr>
              <w:pStyle w:val="yTableNAm"/>
            </w:pPr>
            <w:r>
              <w:br/>
            </w:r>
            <w:r>
              <w:br/>
              <w:t>6.15 plus 2.20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(iii)</w:t>
            </w:r>
            <w:r>
              <w:tab/>
              <w:t>provided within 7 days after the day on which the fee is paid</w:t>
            </w:r>
          </w:p>
        </w:tc>
        <w:tc>
          <w:tcPr>
            <w:tcW w:w="1275" w:type="dxa"/>
            <w:tcBorders>
              <w:top w:val="nil"/>
              <w:left w:val="nil"/>
              <w:bottom w:val="nil"/>
              <w:right w:val="nil"/>
            </w:tcBorders>
          </w:tcPr>
          <w:p>
            <w:pPr>
              <w:pStyle w:val="yTableNAm"/>
            </w:pPr>
            <w:r>
              <w:br/>
            </w:r>
            <w:r>
              <w:br/>
              <w:t xml:space="preserve">20.50 plus </w:t>
            </w:r>
            <w:r>
              <w:br/>
              <w:t>7.05 per page</w:t>
            </w:r>
          </w:p>
        </w:tc>
        <w:tc>
          <w:tcPr>
            <w:tcW w:w="1276" w:type="dxa"/>
            <w:tcBorders>
              <w:top w:val="nil"/>
              <w:left w:val="nil"/>
              <w:bottom w:val="nil"/>
              <w:right w:val="nil"/>
            </w:tcBorders>
          </w:tcPr>
          <w:p>
            <w:pPr>
              <w:pStyle w:val="yTableNAm"/>
            </w:pPr>
            <w:r>
              <w:br/>
            </w:r>
            <w:r>
              <w:br/>
              <w:t>20.50 plus</w:t>
            </w:r>
            <w:r>
              <w:br/>
              <w:t>14.05 per page</w:t>
            </w:r>
          </w:p>
        </w:tc>
        <w:tc>
          <w:tcPr>
            <w:tcW w:w="1276" w:type="dxa"/>
            <w:tcBorders>
              <w:top w:val="nil"/>
              <w:left w:val="nil"/>
              <w:bottom w:val="nil"/>
              <w:right w:val="nil"/>
            </w:tcBorders>
          </w:tcPr>
          <w:p>
            <w:pPr>
              <w:pStyle w:val="yTableNAm"/>
            </w:pPr>
            <w:r>
              <w:br/>
            </w:r>
            <w:r>
              <w:br/>
              <w:t xml:space="preserve">6.15 plus </w:t>
            </w:r>
            <w:r>
              <w:br/>
              <w:t>2.15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601" w:hanging="601"/>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in electronic format</w:t>
            </w:r>
          </w:p>
        </w:tc>
        <w:tc>
          <w:tcPr>
            <w:tcW w:w="1275"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6.45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pPr>
            <w:r>
              <w:tab/>
              <w:t>(ii)</w:t>
            </w:r>
            <w:r>
              <w:tab/>
              <w:t>paper copy</w:t>
            </w:r>
          </w:p>
        </w:tc>
        <w:tc>
          <w:tcPr>
            <w:tcW w:w="1275"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single" w:sz="4" w:space="0" w:color="auto"/>
              <w:right w:val="nil"/>
            </w:tcBorders>
          </w:tcPr>
          <w:p>
            <w:pPr>
              <w:pStyle w:val="zyTableNAm"/>
              <w:rPr>
                <w:rFonts w:ascii="Arial" w:hAnsi="Arial" w:cs="Arial"/>
                <w:sz w:val="18"/>
                <w:szCs w:val="18"/>
              </w:rPr>
            </w:pPr>
          </w:p>
        </w:tc>
        <w:tc>
          <w:tcPr>
            <w:tcW w:w="6520" w:type="dxa"/>
            <w:gridSpan w:val="4"/>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in Gazette 15 Jun 2018 p. 2002</w:t>
      </w:r>
      <w:r>
        <w:noBreakHyphen/>
        <w:t>9.]</w:t>
      </w:r>
    </w:p>
    <w:p>
      <w:pPr>
        <w:pStyle w:val="yHeading3"/>
        <w:spacing w:before="0"/>
      </w:pPr>
      <w:bookmarkStart w:id="38" w:name="_Toc531861848"/>
      <w:bookmarkStart w:id="39" w:name="_Toc531862278"/>
      <w:bookmarkStart w:id="40" w:name="_Toc531863139"/>
      <w:bookmarkStart w:id="41" w:name="_Toc531863275"/>
      <w:bookmarkStart w:id="42" w:name="_Toc531863305"/>
      <w:bookmarkStart w:id="43" w:name="_Toc531863335"/>
      <w:bookmarkStart w:id="44" w:name="_Toc531864539"/>
      <w:bookmarkStart w:id="45" w:name="_Toc531873958"/>
      <w:r>
        <w:rPr>
          <w:rStyle w:val="CharSDivNo"/>
        </w:rPr>
        <w:t>Division 2</w:t>
      </w:r>
      <w:r>
        <w:t> — </w:t>
      </w:r>
      <w:r>
        <w:rPr>
          <w:rStyle w:val="CharSDivText"/>
        </w:rPr>
        <w:t>Civil jurisdiction</w:t>
      </w:r>
      <w:bookmarkEnd w:id="38"/>
      <w:bookmarkEnd w:id="39"/>
      <w:bookmarkEnd w:id="40"/>
      <w:bookmarkEnd w:id="41"/>
      <w:bookmarkEnd w:id="42"/>
      <w:bookmarkEnd w:id="43"/>
      <w:bookmarkEnd w:id="44"/>
      <w:bookmarkEnd w:id="45"/>
    </w:p>
    <w:p>
      <w:pPr>
        <w:pStyle w:val="yFootnoteheading"/>
        <w:keepNext/>
      </w:pPr>
      <w:r>
        <w:tab/>
        <w:t>[Heading inserted in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r>
        <w:tab/>
        <w:t>[Division 2 inserted in Gazette 15 Jun 2018 p. 2009</w:t>
      </w:r>
      <w:r>
        <w:noBreakHyphen/>
        <w:t>18.]</w:t>
      </w:r>
    </w:p>
    <w:p>
      <w:pPr>
        <w:pStyle w:val="yHeading3"/>
        <w:keepLines/>
        <w:pageBreakBefore/>
        <w:spacing w:before="0"/>
      </w:pPr>
      <w:bookmarkStart w:id="46" w:name="_Toc531861849"/>
      <w:bookmarkStart w:id="47" w:name="_Toc531862279"/>
      <w:bookmarkStart w:id="48" w:name="_Toc531863140"/>
      <w:bookmarkStart w:id="49" w:name="_Toc531863276"/>
      <w:bookmarkStart w:id="50" w:name="_Toc531863306"/>
      <w:bookmarkStart w:id="51" w:name="_Toc531863336"/>
      <w:bookmarkStart w:id="52" w:name="_Toc531864540"/>
      <w:bookmarkStart w:id="53" w:name="_Toc531873959"/>
      <w:r>
        <w:rPr>
          <w:rStyle w:val="CharSDivNo"/>
        </w:rPr>
        <w:t>Division 3</w:t>
      </w:r>
      <w:r>
        <w:t> — </w:t>
      </w:r>
      <w:r>
        <w:rPr>
          <w:rStyle w:val="CharSDivText"/>
        </w:rPr>
        <w:t>Criminal jurisdiction</w:t>
      </w:r>
      <w:bookmarkEnd w:id="46"/>
      <w:bookmarkEnd w:id="47"/>
      <w:bookmarkEnd w:id="48"/>
      <w:bookmarkEnd w:id="49"/>
      <w:bookmarkEnd w:id="50"/>
      <w:bookmarkEnd w:id="51"/>
      <w:bookmarkEnd w:id="52"/>
      <w:bookmarkEnd w:id="53"/>
    </w:p>
    <w:p>
      <w:pPr>
        <w:pStyle w:val="yFootnoteheading"/>
      </w:pPr>
      <w:r>
        <w:tab/>
        <w:t>[Heading inserted in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 in Gazette 15 Jun 2018 p. 2018</w:t>
      </w:r>
      <w:r>
        <w:noBreakHyphen/>
        <w:t>19.]</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5" w:name="_Toc531861850"/>
      <w:bookmarkStart w:id="56" w:name="_Toc531862280"/>
      <w:bookmarkStart w:id="57" w:name="_Toc531863141"/>
      <w:bookmarkStart w:id="58" w:name="_Toc531863277"/>
      <w:bookmarkStart w:id="59" w:name="_Toc531863307"/>
      <w:bookmarkStart w:id="60" w:name="_Toc531863337"/>
      <w:bookmarkStart w:id="61" w:name="_Toc531864541"/>
      <w:bookmarkStart w:id="62" w:name="_Toc531873960"/>
      <w:r>
        <w:rPr>
          <w:rStyle w:val="CharSchNo"/>
        </w:rPr>
        <w:t>Schedule 2</w:t>
      </w:r>
      <w:r>
        <w:rPr>
          <w:rStyle w:val="CharSDivNo"/>
        </w:rPr>
        <w:t> </w:t>
      </w:r>
      <w:r>
        <w:t>—</w:t>
      </w:r>
      <w:r>
        <w:rPr>
          <w:rStyle w:val="CharSDivText"/>
        </w:rPr>
        <w:t> </w:t>
      </w:r>
      <w:r>
        <w:rPr>
          <w:rStyle w:val="CharSchText"/>
        </w:rPr>
        <w:t>Forms</w:t>
      </w:r>
      <w:bookmarkEnd w:id="55"/>
      <w:bookmarkEnd w:id="56"/>
      <w:bookmarkEnd w:id="57"/>
      <w:bookmarkEnd w:id="58"/>
      <w:bookmarkEnd w:id="59"/>
      <w:bookmarkEnd w:id="60"/>
      <w:bookmarkEnd w:id="61"/>
      <w:bookmarkEnd w:id="62"/>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63" w:name="_Toc531873961"/>
      <w:r>
        <w:rPr>
          <w:rStyle w:val="CharSClsNo"/>
        </w:rPr>
        <w:t>1</w:t>
      </w:r>
      <w:r>
        <w:t>.</w:t>
      </w:r>
      <w:r>
        <w:tab/>
        <w:t>Declaration that a person is a small business or a non</w:t>
      </w:r>
      <w:r>
        <w:noBreakHyphen/>
        <w:t>profit association</w:t>
      </w:r>
      <w:bookmarkEnd w:id="6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64" w:name="_Toc531873962"/>
      <w:r>
        <w:rPr>
          <w:rStyle w:val="CharSClsNo"/>
        </w:rPr>
        <w:t>3</w:t>
      </w:r>
      <w:r>
        <w:t>.</w:t>
      </w:r>
      <w:r>
        <w:tab/>
        <w:t>Application for determination of dispute about fees</w:t>
      </w:r>
      <w:bookmarkEnd w:id="6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65" w:name="_Toc531861853"/>
      <w:bookmarkStart w:id="66" w:name="_Toc531862283"/>
      <w:bookmarkStart w:id="67" w:name="_Toc531863144"/>
      <w:bookmarkStart w:id="68" w:name="_Toc531863280"/>
      <w:bookmarkStart w:id="69" w:name="_Toc531863310"/>
      <w:bookmarkStart w:id="70" w:name="_Toc531863340"/>
      <w:bookmarkStart w:id="71" w:name="_Toc531864544"/>
      <w:bookmarkStart w:id="72" w:name="_Toc531873963"/>
      <w:r>
        <w:t>Notes</w:t>
      </w:r>
      <w:bookmarkEnd w:id="65"/>
      <w:bookmarkEnd w:id="66"/>
      <w:bookmarkEnd w:id="67"/>
      <w:bookmarkEnd w:id="68"/>
      <w:bookmarkEnd w:id="69"/>
      <w:bookmarkEnd w:id="70"/>
      <w:bookmarkEnd w:id="71"/>
      <w:bookmarkEnd w:id="72"/>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73" w:name="_Toc531873964"/>
      <w: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c>
          <w:tcPr>
            <w:tcW w:w="3118"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6</w:t>
            </w:r>
          </w:p>
        </w:tc>
        <w:tc>
          <w:tcPr>
            <w:tcW w:w="1276" w:type="dxa"/>
            <w:gridSpan w:val="2"/>
            <w:tcBorders>
              <w:bottom w:val="single" w:sz="4" w:space="0" w:color="auto"/>
            </w:tcBorders>
            <w:shd w:val="clear" w:color="auto" w:fill="auto"/>
          </w:tcPr>
          <w:p>
            <w:pPr>
              <w:pStyle w:val="nTable"/>
              <w:keepNext/>
              <w:spacing w:after="40"/>
            </w:pPr>
            <w:r>
              <w:t>20 Jul 2018 p. 2621</w:t>
            </w:r>
            <w:r>
              <w:noBreakHyphen/>
              <w:t>30</w:t>
            </w:r>
          </w:p>
        </w:tc>
        <w:tc>
          <w:tcPr>
            <w:tcW w:w="2693" w:type="dxa"/>
            <w:gridSpan w:val="2"/>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 w:name="_Toc531873965"/>
      <w:r>
        <w:t>Provisions that have not come into operation</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Attorney General Regulations Amendment (Transcript Fees) Regulations 2018 </w:t>
            </w:r>
            <w:r>
              <w:t>Pt. 5</w:t>
            </w:r>
            <w:r>
              <w:rPr>
                <w:i/>
              </w:rPr>
              <w:t> </w:t>
            </w:r>
            <w:r>
              <w:rPr>
                <w:vertAlign w:val="superscript"/>
              </w:rPr>
              <w:t>4</w:t>
            </w:r>
          </w:p>
        </w:tc>
        <w:tc>
          <w:tcPr>
            <w:tcW w:w="1276" w:type="dxa"/>
          </w:tcPr>
          <w:p>
            <w:pPr>
              <w:pStyle w:val="nTable"/>
              <w:spacing w:after="40"/>
            </w:pPr>
            <w:r>
              <w:t>7 Dec 2018 p. 4667-74</w:t>
            </w:r>
          </w:p>
        </w:tc>
        <w:tc>
          <w:tcPr>
            <w:tcW w:w="2693" w:type="dxa"/>
          </w:tcPr>
          <w:p>
            <w:pPr>
              <w:pStyle w:val="nTable"/>
              <w:spacing w:after="40"/>
            </w:pPr>
            <w:r>
              <w:t>18 Dec 2018 (see r. 2(b)(i))</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180"/>
      </w:pPr>
      <w:r>
        <w:rPr>
          <w:vertAlign w:val="superscript"/>
        </w:rPr>
        <w:t>4</w:t>
      </w:r>
      <w:r>
        <w:tab/>
        <w:t xml:space="preserve">On the date at which this compilation was prepared, the </w:t>
      </w:r>
      <w:r>
        <w:rPr>
          <w:i/>
        </w:rPr>
        <w:t xml:space="preserve">Attorney General Regulations Amendment (Transcript Fees) Regulations 2018 </w:t>
      </w:r>
      <w:r>
        <w:t>Pt. 5 had not come into operation. It reads as follows:</w:t>
      </w:r>
    </w:p>
    <w:p>
      <w:pPr>
        <w:pStyle w:val="BlankOpen"/>
        <w:rPr>
          <w:rStyle w:val="CharPartNo"/>
        </w:rPr>
      </w:pPr>
      <w:bookmarkStart w:id="75" w:name="_Toc529949416"/>
      <w:bookmarkStart w:id="76" w:name="_Toc529949437"/>
      <w:bookmarkStart w:id="77" w:name="_Toc529949830"/>
      <w:bookmarkStart w:id="78" w:name="_Toc529950658"/>
      <w:bookmarkStart w:id="79" w:name="_Toc529950740"/>
      <w:bookmarkStart w:id="80" w:name="_Toc529957756"/>
    </w:p>
    <w:p>
      <w:pPr>
        <w:pStyle w:val="nzHeading2"/>
      </w:pPr>
      <w:r>
        <w:rPr>
          <w:rStyle w:val="CharPartNo"/>
        </w:rPr>
        <w:t>Part 5</w:t>
      </w:r>
      <w:r>
        <w:rPr>
          <w:rStyle w:val="CharDivNo"/>
        </w:rPr>
        <w:t> </w:t>
      </w:r>
      <w:r>
        <w:t>—</w:t>
      </w:r>
      <w:r>
        <w:rPr>
          <w:rStyle w:val="CharDivText"/>
        </w:rPr>
        <w:t> </w:t>
      </w:r>
      <w:r>
        <w:rPr>
          <w:rStyle w:val="CharPartText"/>
          <w:i/>
        </w:rPr>
        <w:t>Magistrates Court (Fees) Regulations 2005</w:t>
      </w:r>
      <w:r>
        <w:rPr>
          <w:rStyle w:val="CharPartText"/>
        </w:rPr>
        <w:t xml:space="preserve"> amended</w:t>
      </w:r>
      <w:bookmarkEnd w:id="75"/>
      <w:bookmarkEnd w:id="76"/>
      <w:bookmarkEnd w:id="77"/>
      <w:bookmarkEnd w:id="78"/>
      <w:bookmarkEnd w:id="79"/>
      <w:bookmarkEnd w:id="80"/>
    </w:p>
    <w:p>
      <w:pPr>
        <w:pStyle w:val="nzHeading5"/>
        <w:rPr>
          <w:snapToGrid w:val="0"/>
        </w:rPr>
      </w:pPr>
      <w:bookmarkStart w:id="81" w:name="_Toc529950659"/>
      <w:bookmarkStart w:id="82" w:name="_Toc529957757"/>
      <w:r>
        <w:rPr>
          <w:rStyle w:val="CharSectno"/>
        </w:rPr>
        <w:t>9</w:t>
      </w:r>
      <w:r>
        <w:rPr>
          <w:snapToGrid w:val="0"/>
        </w:rPr>
        <w:t>.</w:t>
      </w:r>
      <w:r>
        <w:rPr>
          <w:snapToGrid w:val="0"/>
        </w:rPr>
        <w:tab/>
        <w:t>Regulations amended</w:t>
      </w:r>
      <w:bookmarkEnd w:id="81"/>
      <w:bookmarkEnd w:id="82"/>
    </w:p>
    <w:p>
      <w:pPr>
        <w:pStyle w:val="nzSubsection"/>
      </w:pPr>
      <w:r>
        <w:tab/>
      </w:r>
      <w:r>
        <w:tab/>
        <w:t>This Part</w:t>
      </w:r>
      <w:r>
        <w:rPr>
          <w:spacing w:val="-2"/>
        </w:rPr>
        <w:t xml:space="preserve"> amends</w:t>
      </w:r>
      <w:r>
        <w:t xml:space="preserve"> the Magistrates Court (Fees) Regulations 2005.</w:t>
      </w:r>
    </w:p>
    <w:p>
      <w:pPr>
        <w:pStyle w:val="nzHeading5"/>
      </w:pPr>
      <w:bookmarkStart w:id="83" w:name="_Toc529950660"/>
      <w:bookmarkStart w:id="84" w:name="_Toc529957758"/>
      <w:r>
        <w:rPr>
          <w:rStyle w:val="CharSectno"/>
        </w:rPr>
        <w:t>10</w:t>
      </w:r>
      <w:r>
        <w:t>.</w:t>
      </w:r>
      <w:r>
        <w:tab/>
        <w:t>Schedule 1 amended</w:t>
      </w:r>
      <w:bookmarkEnd w:id="83"/>
      <w:bookmarkEnd w:id="84"/>
    </w:p>
    <w:p>
      <w:pPr>
        <w:pStyle w:val="nzSubsection"/>
      </w:pPr>
      <w:r>
        <w:tab/>
      </w:r>
      <w:r>
        <w:tab/>
        <w:t>Delete Schedule 1 Division 1 item 8 and insert:</w:t>
      </w:r>
    </w:p>
    <w:p>
      <w:pPr>
        <w:pStyle w:val="BlankOpen"/>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trPr>
        <w:tc>
          <w:tcPr>
            <w:tcW w:w="709" w:type="dxa"/>
          </w:tcPr>
          <w:p>
            <w:pPr>
              <w:pStyle w:val="yTableNAm"/>
            </w:pPr>
            <w:r>
              <w:t>8.</w:t>
            </w:r>
          </w:p>
        </w:tc>
        <w:tc>
          <w:tcPr>
            <w:tcW w:w="2977" w:type="dxa"/>
          </w:tcPr>
          <w:p>
            <w:pPr>
              <w:pStyle w:val="yTableNAm"/>
              <w:ind w:left="601" w:hanging="601"/>
            </w:pPr>
            <w:r>
              <w:t>(a)</w:t>
            </w:r>
            <w:r>
              <w:tab/>
              <w:t xml:space="preserve">For the preparation of a transcript, or part of a transcript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provided within 1 day after the day on which the fee is paid </w:t>
            </w:r>
          </w:p>
        </w:tc>
        <w:tc>
          <w:tcPr>
            <w:tcW w:w="1134" w:type="dxa"/>
          </w:tcPr>
          <w:p>
            <w:pPr>
              <w:pStyle w:val="yTableNAm"/>
            </w:pPr>
            <w:r>
              <w:t>20.50 plus</w:t>
            </w:r>
            <w:r>
              <w:br/>
              <w:t>8.45 per page</w:t>
            </w:r>
          </w:p>
        </w:tc>
        <w:tc>
          <w:tcPr>
            <w:tcW w:w="1134" w:type="dxa"/>
          </w:tcPr>
          <w:p>
            <w:pPr>
              <w:pStyle w:val="yTableNAm"/>
            </w:pPr>
            <w:r>
              <w:t>20.50 plus</w:t>
            </w:r>
            <w:r>
              <w:br/>
              <w:t>16.90 per page</w:t>
            </w:r>
          </w:p>
        </w:tc>
        <w:tc>
          <w:tcPr>
            <w:tcW w:w="1134" w:type="dxa"/>
          </w:tcPr>
          <w:p>
            <w:pPr>
              <w:pStyle w:val="yTableNAm"/>
            </w:pPr>
            <w:r>
              <w:t xml:space="preserve">6.15 plus </w:t>
            </w:r>
            <w:r>
              <w:br/>
              <w:t>2.55 per page</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provided within 2 days after the day on which the fee is paid </w:t>
            </w:r>
          </w:p>
        </w:tc>
        <w:tc>
          <w:tcPr>
            <w:tcW w:w="1134" w:type="dxa"/>
          </w:tcPr>
          <w:p>
            <w:pPr>
              <w:pStyle w:val="yTableNAm"/>
            </w:pPr>
            <w:r>
              <w:t>20.50 plus</w:t>
            </w:r>
            <w:r>
              <w:br/>
              <w:t>7.75 per page</w:t>
            </w:r>
          </w:p>
        </w:tc>
        <w:tc>
          <w:tcPr>
            <w:tcW w:w="1134" w:type="dxa"/>
          </w:tcPr>
          <w:p>
            <w:pPr>
              <w:pStyle w:val="yTableNAm"/>
            </w:pPr>
            <w:r>
              <w:t>20.50 plus</w:t>
            </w:r>
            <w:r>
              <w:br/>
              <w:t>15.50 per page</w:t>
            </w:r>
          </w:p>
        </w:tc>
        <w:tc>
          <w:tcPr>
            <w:tcW w:w="1134" w:type="dxa"/>
          </w:tcPr>
          <w:p>
            <w:pPr>
              <w:pStyle w:val="yTableNAm"/>
            </w:pPr>
            <w:r>
              <w:t xml:space="preserve">6.15 plus </w:t>
            </w:r>
            <w:r>
              <w:br/>
              <w:t>2.35 per page</w:t>
            </w:r>
          </w:p>
        </w:tc>
      </w:tr>
      <w:tr>
        <w:trPr>
          <w:cantSplit/>
        </w:trPr>
        <w:tc>
          <w:tcPr>
            <w:tcW w:w="709" w:type="dxa"/>
          </w:tcPr>
          <w:p>
            <w:pPr>
              <w:pStyle w:val="yTableNAm"/>
              <w:ind w:left="1168" w:hanging="1168"/>
            </w:pPr>
          </w:p>
        </w:tc>
        <w:tc>
          <w:tcPr>
            <w:tcW w:w="2977" w:type="dxa"/>
          </w:tcPr>
          <w:p>
            <w:pPr>
              <w:pStyle w:val="yTableNAm"/>
              <w:ind w:left="1168" w:hanging="1168"/>
            </w:pPr>
            <w:r>
              <w:tab/>
              <w:t>(iii)</w:t>
            </w:r>
            <w:r>
              <w:tab/>
              <w:t xml:space="preserve">provided within 4 days after the day on which the fee is paid </w:t>
            </w:r>
          </w:p>
        </w:tc>
        <w:tc>
          <w:tcPr>
            <w:tcW w:w="1134" w:type="dxa"/>
          </w:tcPr>
          <w:p>
            <w:pPr>
              <w:pStyle w:val="yTableNAm"/>
            </w:pPr>
            <w:r>
              <w:t>20.50 plus</w:t>
            </w:r>
            <w:r>
              <w:br/>
              <w:t>7.30 per page</w:t>
            </w:r>
          </w:p>
        </w:tc>
        <w:tc>
          <w:tcPr>
            <w:tcW w:w="1134" w:type="dxa"/>
          </w:tcPr>
          <w:p>
            <w:pPr>
              <w:pStyle w:val="yTableNAm"/>
            </w:pPr>
            <w:r>
              <w:t>20.50 plus</w:t>
            </w:r>
            <w:r>
              <w:br/>
              <w:t>14.75 per page</w:t>
            </w:r>
          </w:p>
        </w:tc>
        <w:tc>
          <w:tcPr>
            <w:tcW w:w="1134" w:type="dxa"/>
          </w:tcPr>
          <w:p>
            <w:pPr>
              <w:pStyle w:val="yTableNAm"/>
            </w:pPr>
            <w:r>
              <w:t xml:space="preserve">6.15 plus </w:t>
            </w:r>
            <w:r>
              <w:br/>
              <w:t>2.20 per page</w:t>
            </w:r>
          </w:p>
        </w:tc>
      </w:tr>
      <w:tr>
        <w:trPr>
          <w:cantSplit/>
        </w:trPr>
        <w:tc>
          <w:tcPr>
            <w:tcW w:w="709" w:type="dxa"/>
          </w:tcPr>
          <w:p>
            <w:pPr>
              <w:pStyle w:val="yTableNAm"/>
              <w:ind w:left="1168" w:hanging="1168"/>
            </w:pPr>
          </w:p>
        </w:tc>
        <w:tc>
          <w:tcPr>
            <w:tcW w:w="2977" w:type="dxa"/>
          </w:tcPr>
          <w:p>
            <w:pPr>
              <w:pStyle w:val="yTableNAm"/>
              <w:ind w:left="1168" w:hanging="1168"/>
            </w:pPr>
            <w:r>
              <w:tab/>
              <w:t>(iv)</w:t>
            </w:r>
            <w:r>
              <w:tab/>
              <w:t xml:space="preserve">provided within 7 days after the day on which the fee is paid </w:t>
            </w:r>
          </w:p>
        </w:tc>
        <w:tc>
          <w:tcPr>
            <w:tcW w:w="1134" w:type="dxa"/>
          </w:tcPr>
          <w:p>
            <w:pPr>
              <w:pStyle w:val="yTableNAm"/>
            </w:pPr>
            <w:r>
              <w:t xml:space="preserve">20.50 plus </w:t>
            </w:r>
            <w:r>
              <w:br/>
              <w:t>7.05 per page</w:t>
            </w:r>
          </w:p>
        </w:tc>
        <w:tc>
          <w:tcPr>
            <w:tcW w:w="1134" w:type="dxa"/>
          </w:tcPr>
          <w:p>
            <w:pPr>
              <w:pStyle w:val="yTableNAm"/>
            </w:pPr>
            <w:r>
              <w:t>20.50 plus</w:t>
            </w:r>
            <w:r>
              <w:br/>
              <w:t>14.05 per page</w:t>
            </w:r>
          </w:p>
        </w:tc>
        <w:tc>
          <w:tcPr>
            <w:tcW w:w="1134" w:type="dxa"/>
          </w:tcPr>
          <w:p>
            <w:pPr>
              <w:pStyle w:val="yTableNAm"/>
            </w:pPr>
            <w:r>
              <w:t xml:space="preserve">6.15 plus </w:t>
            </w:r>
            <w:r>
              <w:br/>
              <w:t>2.15 per page</w:t>
            </w:r>
          </w:p>
        </w:tc>
      </w:tr>
      <w:tr>
        <w:trPr>
          <w:cantSplit/>
        </w:trPr>
        <w:tc>
          <w:tcPr>
            <w:tcW w:w="709" w:type="dxa"/>
          </w:tcPr>
          <w:p>
            <w:pPr>
              <w:pStyle w:val="yTableNAm"/>
              <w:ind w:left="1168" w:hanging="1168"/>
            </w:pPr>
          </w:p>
        </w:tc>
        <w:tc>
          <w:tcPr>
            <w:tcW w:w="2977" w:type="dxa"/>
          </w:tcPr>
          <w:p>
            <w:pPr>
              <w:pStyle w:val="yTableNAm"/>
              <w:ind w:left="1168" w:hanging="1168"/>
            </w:pPr>
            <w:r>
              <w:tab/>
              <w:t>(v)</w:t>
            </w:r>
            <w:r>
              <w:tab/>
              <w:t xml:space="preserve">provided within 14 days after the day on which the fee is paid </w:t>
            </w:r>
          </w:p>
        </w:tc>
        <w:tc>
          <w:tcPr>
            <w:tcW w:w="1134" w:type="dxa"/>
          </w:tcPr>
          <w:p>
            <w:pPr>
              <w:pStyle w:val="yTableNAm"/>
            </w:pPr>
            <w:r>
              <w:t xml:space="preserve">20.50 plus </w:t>
            </w:r>
            <w:r>
              <w:br/>
              <w:t>6.00 per page</w:t>
            </w:r>
          </w:p>
        </w:tc>
        <w:tc>
          <w:tcPr>
            <w:tcW w:w="1134" w:type="dxa"/>
          </w:tcPr>
          <w:p>
            <w:pPr>
              <w:pStyle w:val="yTableNAm"/>
            </w:pPr>
            <w:r>
              <w:t>20.50 plus</w:t>
            </w:r>
            <w:r>
              <w:br/>
              <w:t>12.00 per page</w:t>
            </w:r>
          </w:p>
        </w:tc>
        <w:tc>
          <w:tcPr>
            <w:tcW w:w="1134" w:type="dxa"/>
          </w:tcPr>
          <w:p>
            <w:pPr>
              <w:pStyle w:val="yTableNAm"/>
            </w:pPr>
            <w:r>
              <w:t xml:space="preserve">6.15 plus </w:t>
            </w:r>
            <w:r>
              <w:br/>
              <w:t>2.00 per page</w:t>
            </w:r>
          </w:p>
        </w:tc>
      </w:tr>
      <w:tr>
        <w:trPr>
          <w:cantSplit/>
        </w:trPr>
        <w:tc>
          <w:tcPr>
            <w:tcW w:w="709" w:type="dxa"/>
          </w:tcPr>
          <w:p>
            <w:pPr>
              <w:pStyle w:val="yTableNAm"/>
              <w:ind w:left="1168" w:hanging="1168"/>
            </w:pPr>
          </w:p>
        </w:tc>
        <w:tc>
          <w:tcPr>
            <w:tcW w:w="2977" w:type="dxa"/>
          </w:tcPr>
          <w:p>
            <w:pPr>
              <w:pStyle w:val="yTableNAm"/>
              <w:ind w:left="1168" w:hanging="1168"/>
            </w:pPr>
            <w:r>
              <w:tab/>
              <w:t>(vi)</w:t>
            </w:r>
            <w:r>
              <w:tab/>
              <w:t>provided on a running basis (i.e. periodically throughout or following the day of the proceedings)</w:t>
            </w:r>
          </w:p>
        </w:tc>
        <w:tc>
          <w:tcPr>
            <w:tcW w:w="1134" w:type="dxa"/>
          </w:tcPr>
          <w:p>
            <w:pPr>
              <w:pStyle w:val="yTableNAm"/>
            </w:pPr>
            <w:r>
              <w:t>20.50 plus</w:t>
            </w:r>
            <w:r>
              <w:br/>
              <w:t>9.00 per page</w:t>
            </w:r>
          </w:p>
        </w:tc>
        <w:tc>
          <w:tcPr>
            <w:tcW w:w="1134" w:type="dxa"/>
          </w:tcPr>
          <w:p>
            <w:pPr>
              <w:pStyle w:val="yTableNAm"/>
            </w:pPr>
            <w:r>
              <w:t>20.50 plus</w:t>
            </w:r>
            <w:r>
              <w:br/>
              <w:t>18.00 per page</w:t>
            </w:r>
          </w:p>
        </w:tc>
        <w:tc>
          <w:tcPr>
            <w:tcW w:w="1134" w:type="dxa"/>
          </w:tcPr>
          <w:p>
            <w:pPr>
              <w:pStyle w:val="yTableNAm"/>
            </w:pPr>
            <w:r>
              <w:t xml:space="preserve">6.15 plus </w:t>
            </w:r>
            <w:r>
              <w:br/>
              <w:t>3.00 per page</w:t>
            </w:r>
          </w:p>
        </w:tc>
      </w:tr>
      <w:tr>
        <w:trPr>
          <w:cantSplit/>
        </w:trPr>
        <w:tc>
          <w:tcPr>
            <w:tcW w:w="709" w:type="dxa"/>
          </w:tcPr>
          <w:p>
            <w:pPr>
              <w:pStyle w:val="yTableNAm"/>
              <w:ind w:left="1168" w:hanging="1168"/>
            </w:pPr>
          </w:p>
        </w:tc>
        <w:tc>
          <w:tcPr>
            <w:tcW w:w="2977" w:type="dxa"/>
          </w:tcPr>
          <w:p>
            <w:pPr>
              <w:pStyle w:val="yTableNAm"/>
              <w:ind w:left="601" w:hanging="601"/>
            </w:pPr>
            <w:r>
              <w:t>(b)</w:t>
            </w:r>
            <w:r>
              <w:tab/>
              <w:t xml:space="preserve">For a copy of a transcript, or part of a transcript, that has already been prepared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electronic format </w:t>
            </w:r>
          </w:p>
        </w:tc>
        <w:tc>
          <w:tcPr>
            <w:tcW w:w="1134" w:type="dxa"/>
          </w:tcPr>
          <w:p>
            <w:pPr>
              <w:pStyle w:val="yTableNAm"/>
            </w:pPr>
            <w:r>
              <w:t>21.40 per copy</w:t>
            </w:r>
          </w:p>
        </w:tc>
        <w:tc>
          <w:tcPr>
            <w:tcW w:w="1134" w:type="dxa"/>
          </w:tcPr>
          <w:p>
            <w:pPr>
              <w:pStyle w:val="yTableNAm"/>
            </w:pPr>
            <w:r>
              <w:t>21.40 per copy</w:t>
            </w:r>
          </w:p>
        </w:tc>
        <w:tc>
          <w:tcPr>
            <w:tcW w:w="1134" w:type="dxa"/>
          </w:tcPr>
          <w:p>
            <w:pPr>
              <w:pStyle w:val="yTableNAm"/>
            </w:pPr>
            <w:r>
              <w:t>6.45 per copy</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paper copy </w:t>
            </w:r>
          </w:p>
        </w:tc>
        <w:tc>
          <w:tcPr>
            <w:tcW w:w="1134" w:type="dxa"/>
          </w:tcPr>
          <w:p>
            <w:pPr>
              <w:pStyle w:val="yTableNAm"/>
            </w:pPr>
            <w:r>
              <w:t>2.10 per page</w:t>
            </w:r>
          </w:p>
        </w:tc>
        <w:tc>
          <w:tcPr>
            <w:tcW w:w="1134" w:type="dxa"/>
          </w:tcPr>
          <w:p>
            <w:pPr>
              <w:pStyle w:val="yTableNAm"/>
            </w:pPr>
            <w:r>
              <w:t>2.10 per page</w:t>
            </w:r>
          </w:p>
        </w:tc>
        <w:tc>
          <w:tcPr>
            <w:tcW w:w="1134" w:type="dxa"/>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rPr>
                <w:rFonts w:ascii="Arial" w:hAnsi="Arial" w:cs="Arial"/>
                <w:sz w:val="18"/>
                <w:szCs w:val="18"/>
              </w:rPr>
            </w:pPr>
          </w:p>
        </w:tc>
        <w:tc>
          <w:tcPr>
            <w:tcW w:w="6379"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BlankClose"/>
      </w:pPr>
    </w:p>
    <w:p>
      <w:pPr>
        <w:pStyle w:val="nSubsection"/>
        <w:spacing w:before="180"/>
        <w:rPr>
          <w:vertAlign w:val="superscript"/>
        </w:rPr>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6" w:name="_Toc531861855"/>
      <w:bookmarkStart w:id="87" w:name="_Toc531862286"/>
      <w:bookmarkStart w:id="88" w:name="_Toc531863147"/>
      <w:bookmarkStart w:id="89" w:name="_Toc531863283"/>
      <w:bookmarkStart w:id="90" w:name="_Toc531863313"/>
      <w:bookmarkStart w:id="91" w:name="_Toc531863343"/>
      <w:bookmarkStart w:id="92" w:name="_Toc531864547"/>
      <w:bookmarkStart w:id="93" w:name="_Toc531873966"/>
      <w:r>
        <w:rPr>
          <w:sz w:val="28"/>
        </w:rPr>
        <w:t>Defined terms</w:t>
      </w:r>
      <w:bookmarkEnd w:id="86"/>
      <w:bookmarkEnd w:id="87"/>
      <w:bookmarkEnd w:id="88"/>
      <w:bookmarkEnd w:id="89"/>
      <w:bookmarkEnd w:id="90"/>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12850"/>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E53E-E579-4199-B89A-3C9712D3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8041</Words>
  <Characters>39244</Characters>
  <Application>Microsoft Office Word</Application>
  <DocSecurity>0</DocSecurity>
  <Lines>2616</Lines>
  <Paragraphs>1027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2005 - 03-j0-00</dc:title>
  <dc:subject/>
  <dc:creator/>
  <cp:keywords/>
  <dc:description/>
  <cp:lastModifiedBy>svcMRProcess</cp:lastModifiedBy>
  <cp:revision>4</cp:revision>
  <cp:lastPrinted>2018-12-06T07:31:00Z</cp:lastPrinted>
  <dcterms:created xsi:type="dcterms:W3CDTF">2018-12-07T04:31:00Z</dcterms:created>
  <dcterms:modified xsi:type="dcterms:W3CDTF">2018-12-07T04:31:00Z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07 Dec 2018</vt:lpwstr>
  </property>
  <property fmtid="{D5CDD505-2E9C-101B-9397-08002B2CF9AE}" pid="8" name="Suffix">
    <vt:lpwstr>03-j0-00</vt:lpwstr>
  </property>
  <property fmtid="{D5CDD505-2E9C-101B-9397-08002B2CF9AE}" pid="9" name="CommencementDate">
    <vt:lpwstr>20181207</vt:lpwstr>
  </property>
</Properties>
</file>