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(Tjuntjuntjara Community)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Reserves (Tjuntjuntjara Community)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_Toc32417656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_Toc32417657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_Toc32417658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Great Victoria Desert Nature Reserve boundary amended</w:t>
      </w:r>
      <w:r>
        <w:tab/>
      </w:r>
      <w:r>
        <w:fldChar w:fldCharType="begin"/>
      </w:r>
      <w:r>
        <w:instrText xml:space="preserve"> PAGEREF _Toc32417659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Registrar of Titles to take certain measures</w:t>
      </w:r>
      <w:r>
        <w:tab/>
      </w:r>
      <w:r>
        <w:fldChar w:fldCharType="begin"/>
      </w:r>
      <w:r>
        <w:instrText xml:space="preserve"> PAGEREF _Toc32417660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_Toc32417662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_Toc32417663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7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Reserves (Tjuntjuntjara Community) Act 2018</w:t>
      </w:r>
    </w:p>
    <w:p>
      <w:pPr>
        <w:pStyle w:val="LongTitle"/>
        <w:suppressLineNumbers/>
      </w:pPr>
      <w:bookmarkStart w:id="3" w:name="BillCited"/>
      <w:bookmarkEnd w:id="3"/>
      <w:r>
        <w:t xml:space="preserve">An Act — </w:t>
      </w:r>
    </w:p>
    <w:p>
      <w:pPr>
        <w:pStyle w:val="LongTitle"/>
        <w:numPr>
          <w:ilvl w:val="0"/>
          <w:numId w:val="4"/>
        </w:numPr>
        <w:suppressLineNumbers/>
        <w:ind w:left="425" w:hanging="425"/>
      </w:pPr>
      <w:r>
        <w:t>to excise an area from Reserve 30490 so that a lease over the excised area can be granted by the Minister for the use and benefit of the Tjuntjuntjara Community; and</w:t>
      </w:r>
    </w:p>
    <w:p>
      <w:pPr>
        <w:pStyle w:val="LongTitle"/>
        <w:numPr>
          <w:ilvl w:val="0"/>
          <w:numId w:val="4"/>
        </w:numPr>
        <w:suppressLineNumbers/>
        <w:ind w:left="425" w:hanging="425"/>
      </w:pPr>
      <w:r>
        <w:t>for related purposes.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2417656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Reserves (Tjuntjuntjara Community) Act 2018</w:t>
      </w:r>
      <w:r>
        <w:t>.</w:t>
      </w:r>
    </w:p>
    <w:p>
      <w:pPr>
        <w:pStyle w:val="Heading5"/>
      </w:pPr>
      <w:bookmarkStart w:id="5" w:name="_Toc32417657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to 4 and 6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5"/>
      </w:pPr>
      <w:bookmarkStart w:id="6" w:name="_Toc32417658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Deposited Plan</w:t>
      </w:r>
      <w:r>
        <w:t xml:space="preserve">, followed by a number, means the deposited plan of that number — </w:t>
      </w:r>
    </w:p>
    <w:p>
      <w:pPr>
        <w:pStyle w:val="Defpara"/>
      </w:pPr>
      <w:r>
        <w:tab/>
        <w:t>(a)</w:t>
      </w:r>
      <w:r>
        <w:tab/>
        <w:t xml:space="preserve">lodged with the Western Australian Land Information Authority established by the </w:t>
      </w:r>
      <w:r>
        <w:rPr>
          <w:i/>
        </w:rPr>
        <w:t>Land Information Authority Act 2006</w:t>
      </w:r>
      <w:r>
        <w:t xml:space="preserve"> section 5 (the </w:t>
      </w:r>
      <w:r>
        <w:rPr>
          <w:rStyle w:val="CharDefText"/>
        </w:rPr>
        <w:t>Authority</w:t>
      </w:r>
      <w:r>
        <w:t>); and</w:t>
      </w:r>
    </w:p>
    <w:p>
      <w:pPr>
        <w:pStyle w:val="Defpara"/>
      </w:pPr>
      <w:r>
        <w:tab/>
        <w:t>(b)</w:t>
      </w:r>
      <w:r>
        <w:tab/>
        <w:t>available in electronic form on the Authority’s official website;</w:t>
      </w:r>
    </w:p>
    <w:p>
      <w:pPr>
        <w:pStyle w:val="Defstart"/>
      </w:pPr>
      <w:r>
        <w:tab/>
      </w:r>
      <w:r>
        <w:rPr>
          <w:rStyle w:val="CharDefText"/>
        </w:rPr>
        <w:t>Great Victoria Desert Nature Reserve</w:t>
      </w:r>
      <w:r>
        <w:t xml:space="preserve"> means Reserve 30490, being an area of about 2 495 777 hectares that is a class A nature reserve (as defined in the </w:t>
      </w:r>
      <w:r>
        <w:rPr>
          <w:i/>
        </w:rPr>
        <w:t>Land Administration Act 1997</w:t>
      </w:r>
      <w:r>
        <w:t xml:space="preserve"> section 45(1));</w:t>
      </w:r>
    </w:p>
    <w:p>
      <w:pPr>
        <w:pStyle w:val="Defstart"/>
      </w:pPr>
      <w:r>
        <w:tab/>
      </w:r>
      <w:r>
        <w:rPr>
          <w:rStyle w:val="CharDefText"/>
        </w:rPr>
        <w:t>Registrar of Titles</w:t>
      </w:r>
      <w:r>
        <w:t xml:space="preserve"> means the Registrar of Titles referred to in the </w:t>
      </w:r>
      <w:r>
        <w:rPr>
          <w:i/>
        </w:rPr>
        <w:t>Transfer of Land Act 1893</w:t>
      </w:r>
      <w:r>
        <w:t xml:space="preserve"> section 7;</w:t>
      </w:r>
    </w:p>
    <w:p>
      <w:pPr>
        <w:pStyle w:val="Defstart"/>
      </w:pPr>
      <w:r>
        <w:tab/>
      </w:r>
      <w:r>
        <w:rPr>
          <w:rStyle w:val="CharDefText"/>
        </w:rPr>
        <w:t>Tjuntjuntjara Community land</w:t>
      </w:r>
      <w:r>
        <w:t xml:space="preserve"> means Lot 9 on Deposited Plan 220992 comprising an area of 78 578 hectares;</w:t>
      </w:r>
    </w:p>
    <w:p>
      <w:pPr>
        <w:pStyle w:val="Defstart"/>
      </w:pPr>
      <w:r>
        <w:tab/>
      </w:r>
      <w:r>
        <w:rPr>
          <w:rStyle w:val="CharDefText"/>
        </w:rPr>
        <w:t>Tjuntjuntjara Community lease</w:t>
      </w:r>
      <w:r>
        <w:t xml:space="preserve"> means a lease granted by the Minister under the </w:t>
      </w:r>
      <w:r>
        <w:rPr>
          <w:i/>
        </w:rPr>
        <w:t>Land Administration Act 1997</w:t>
      </w:r>
      <w:r>
        <w:t xml:space="preserve"> section 83(1) over the Tjuntjuntjara Community land;</w:t>
      </w:r>
    </w:p>
    <w:p>
      <w:pPr>
        <w:pStyle w:val="Defstart"/>
      </w:pPr>
      <w:r>
        <w:tab/>
      </w:r>
      <w:r>
        <w:rPr>
          <w:rStyle w:val="CharDefText"/>
        </w:rPr>
        <w:t>unallocated Crown land</w:t>
      </w:r>
      <w:r>
        <w:t xml:space="preserve"> has the meaning given in the </w:t>
      </w:r>
      <w:r>
        <w:rPr>
          <w:i/>
        </w:rPr>
        <w:t xml:space="preserve">Land Administration Act 1997 </w:t>
      </w:r>
      <w:r>
        <w:t>section 3(1).</w:t>
      </w:r>
    </w:p>
    <w:p>
      <w:pPr>
        <w:pStyle w:val="Heading5"/>
      </w:pPr>
      <w:bookmarkStart w:id="7" w:name="_Toc32417659"/>
      <w:r>
        <w:rPr>
          <w:rStyle w:val="CharSectno"/>
        </w:rPr>
        <w:t>4</w:t>
      </w:r>
      <w:r>
        <w:t>.</w:t>
      </w:r>
      <w:r>
        <w:tab/>
        <w:t>Great Victoria Desert Nature Reserve boundary amended</w:t>
      </w:r>
      <w:bookmarkEnd w:id="7"/>
    </w:p>
    <w:p>
      <w:pPr>
        <w:pStyle w:val="Subsection"/>
      </w:pPr>
      <w:r>
        <w:tab/>
        <w:t>(1)</w:t>
      </w:r>
      <w:r>
        <w:tab/>
        <w:t xml:space="preserve">The Great Victoria Desert Nature Reserve is amended by correcting the description of its eastern boundary (as published in the </w:t>
      </w:r>
      <w:r>
        <w:rPr>
          <w:i/>
        </w:rPr>
        <w:t>Gazette</w:t>
      </w:r>
      <w:r>
        <w:t xml:space="preserve"> on 21 August 1970 at p. 2620</w:t>
      </w:r>
      <w:r>
        <w:noBreakHyphen/>
        <w:t>1) by deleting the words “situate 2 chains 46 links west and” and “in the State of South Australia”.</w:t>
      </w:r>
    </w:p>
    <w:p>
      <w:pPr>
        <w:pStyle w:val="Subsection"/>
      </w:pPr>
      <w:r>
        <w:tab/>
        <w:t>(2)</w:t>
      </w:r>
      <w:r>
        <w:tab/>
        <w:t>The amendment does not affect the area of the reserve.</w:t>
      </w:r>
    </w:p>
    <w:p>
      <w:pPr>
        <w:pStyle w:val="Ednotesection"/>
      </w:pPr>
      <w:r>
        <w:t>[</w:t>
      </w:r>
      <w:r>
        <w:rPr>
          <w:b/>
        </w:rPr>
        <w:t>5.</w:t>
      </w:r>
      <w:r>
        <w:tab/>
        <w:t>Has not come into operation.]</w:t>
      </w:r>
    </w:p>
    <w:p>
      <w:pPr>
        <w:pStyle w:val="Heading5"/>
        <w:rPr>
          <w:rStyle w:val="CharSectno"/>
        </w:rPr>
      </w:pPr>
      <w:bookmarkStart w:id="8" w:name="_Toc32417660"/>
      <w:r>
        <w:rPr>
          <w:rStyle w:val="CharSectno"/>
        </w:rPr>
        <w:t>6</w:t>
      </w:r>
      <w:r>
        <w:t>.</w:t>
      </w:r>
      <w:r>
        <w:tab/>
      </w:r>
      <w:r>
        <w:rPr>
          <w:rStyle w:val="CharSectno"/>
        </w:rPr>
        <w:t>Registrar of Titles to take certain measures</w:t>
      </w:r>
      <w:bookmarkEnd w:id="8"/>
    </w:p>
    <w:p>
      <w:pPr>
        <w:pStyle w:val="Subsection"/>
        <w:keepNext/>
        <w:rPr>
          <w:rStyle w:val="CharSectno"/>
        </w:rPr>
      </w:pPr>
      <w:r>
        <w:tab/>
        <w:t>(1)</w:t>
      </w:r>
      <w:r>
        <w:tab/>
      </w:r>
      <w:r>
        <w:rPr>
          <w:snapToGrid w:val="0"/>
        </w:rPr>
        <w:t xml:space="preserve">The Registrar of Titles must take any necessary measures to </w:t>
      </w:r>
      <w:r>
        <w:rPr>
          <w:rStyle w:val="CharSectno"/>
        </w:rPr>
        <w:t>register the amendments effected by sections 4 and 5.</w:t>
      </w:r>
    </w:p>
    <w:p>
      <w:pPr>
        <w:pStyle w:val="Subsection"/>
      </w:pPr>
      <w:r>
        <w:tab/>
        <w:t>(2)</w:t>
      </w:r>
      <w:r>
        <w:tab/>
      </w:r>
      <w:r>
        <w:rPr>
          <w:rStyle w:val="CharSectno"/>
        </w:rPr>
        <w:t xml:space="preserve">For the purposes of subsection (1), sections 4 and 5 may be treated as if they were orders under the </w:t>
      </w:r>
      <w:r>
        <w:rPr>
          <w:rStyle w:val="CharSectno"/>
          <w:i/>
        </w:rPr>
        <w:t>Land Administration Act 1997</w:t>
      </w:r>
      <w:r>
        <w:rPr>
          <w:rStyle w:val="CharSectno"/>
        </w:rPr>
        <w:t>.</w:t>
      </w:r>
    </w:p>
    <w:p>
      <w:pPr>
        <w:pStyle w:val="Ednotesection"/>
      </w:pPr>
      <w:r>
        <w:t>[</w:t>
      </w:r>
      <w:r>
        <w:rPr>
          <w:b/>
        </w:rPr>
        <w:t>7-10.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32417652"/>
      <w:bookmarkStart w:id="10" w:name="_Toc32417661"/>
      <w:r>
        <w:t>Notes</w:t>
      </w:r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Reserves (Tjuntjuntjara Community) Act 2018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1" w:name="_Toc32417662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Reserves (Tjuntjuntjara Community) Act 2018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40 of 2018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12 Dec 2018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s. 1</w:t>
            </w:r>
            <w:r>
              <w:noBreakHyphen/>
              <w:t>4 and 6: 12 Dec 2018 (see s. 2(a))</w:t>
            </w:r>
          </w:p>
        </w:tc>
      </w:tr>
    </w:tbl>
    <w:p>
      <w:pPr>
        <w:pStyle w:val="nHeading3"/>
      </w:pPr>
      <w:bookmarkStart w:id="12" w:name="_Toc32417663"/>
      <w:r>
        <w:t>Uncommenced provisions table</w:t>
      </w:r>
      <w:bookmarkEnd w:id="12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Acts as passed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Reserves (Tjuntjuntjara Community) Act 2018 </w:t>
            </w:r>
            <w:r>
              <w:t>s. 5 and 7</w:t>
            </w:r>
            <w:r>
              <w:noBreakHyphen/>
              <w:t>10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40 of 2018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12 Dec 2018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To be proclaimed (see s.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4" w:name="_Toc32417655"/>
      <w:bookmarkStart w:id="15" w:name="_Toc32417664"/>
      <w:r>
        <w:rPr>
          <w:sz w:val="28"/>
        </w:rPr>
        <w:t>Defined terms</w:t>
      </w:r>
      <w:bookmarkEnd w:id="14"/>
      <w:bookmarkEnd w:id="1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3</w:t>
      </w:r>
    </w:p>
    <w:p>
      <w:pPr>
        <w:pStyle w:val="DefinedTerms"/>
      </w:pPr>
      <w:r>
        <w:t>Deposited Plan</w:t>
      </w:r>
      <w:r>
        <w:tab/>
        <w:t>3</w:t>
      </w:r>
    </w:p>
    <w:p>
      <w:pPr>
        <w:pStyle w:val="DefinedTerms"/>
      </w:pPr>
      <w:r>
        <w:t>Great Victoria Desert Nature Reserve</w:t>
      </w:r>
      <w:r>
        <w:tab/>
        <w:t>3</w:t>
      </w:r>
    </w:p>
    <w:p>
      <w:pPr>
        <w:pStyle w:val="DefinedTerms"/>
      </w:pPr>
      <w:r>
        <w:t>Registrar of Titles</w:t>
      </w:r>
      <w:r>
        <w:tab/>
        <w:t>3</w:t>
      </w:r>
    </w:p>
    <w:p>
      <w:pPr>
        <w:pStyle w:val="DefinedTerms"/>
      </w:pPr>
      <w:r>
        <w:t>Tjuntjuntjara Community land</w:t>
      </w:r>
      <w:r>
        <w:tab/>
        <w:t>3</w:t>
      </w:r>
    </w:p>
    <w:p>
      <w:pPr>
        <w:pStyle w:val="DefinedTerms"/>
      </w:pPr>
      <w:r>
        <w:t>Tjuntjuntjara Community lease</w:t>
      </w:r>
      <w:r>
        <w:tab/>
        <w:t>3</w:t>
      </w:r>
    </w:p>
    <w:p>
      <w:pPr>
        <w:pStyle w:val="DefinedTerms"/>
      </w:pPr>
      <w:r>
        <w:t>unallocated Crown land</w:t>
      </w:r>
      <w:r>
        <w:tab/>
        <w:t>3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1674" cy="2451100"/>
                <wp:effectExtent l="0" t="0" r="1905" b="635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4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35pt;height:193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" stroked="f" strokeweight=".5pt">
                <v:textbox>
                  <w:txbxContent>
                    <w:p w:rsidR="00071EA6" w:rsidRDefault="002246CC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6" w:name="DefinedTerms"/>
    <w:bookmarkEnd w:id="16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Reserves (Tjuntjuntjara Community)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04318"/>
    <w:multiLevelType w:val="hybridMultilevel"/>
    <w:tmpl w:val="7018EA6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212162253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320135339" w:val="RemoveTocBookmarks,RemoveUnusedBookmarks,RemoveLanguageTags,UsedStyles,ResetPageSize"/>
    <w:docVar w:name="WAFER_20180320135339_GUID" w:val="0cbf5a6c-54a8-4c34-b3a4-6f384e2d6922"/>
    <w:docVar w:name="WAFER_20180320152135" w:val="RemoveTocBookmarks,RunningHeaders"/>
    <w:docVar w:name="WAFER_20180320152135_GUID" w:val="c9346b0a-9a3f-4a74-960a-336f176d7bb7"/>
    <w:docVar w:name="WAFER_20180612141642" w:val="RemoveTocBookmarks,RemoveUnusedBookmarks,RemoveLanguageTags,UsedStyles,ResetPageSize"/>
    <w:docVar w:name="WAFER_20180612141642_GUID" w:val="650df189-46be-4932-9ab6-241826c68653"/>
    <w:docVar w:name="WAFER_20181212154930" w:val="UpdateStyles,ResetPageSize"/>
    <w:docVar w:name="WAFER_20181212154930_GUID" w:val="66ef5027-6032-4934-8387-4cb0cd96e396"/>
    <w:docVar w:name="WAFER_2020021216225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62253_GUID" w:val="ea8b0ce9-064b-4408-a431-fab52b28ae9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Heading1">
    <w:name w:val="nHeading 1"/>
    <w:basedOn w:val="nHeading2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Heading1">
    <w:name w:val="nHeading 1"/>
    <w:basedOn w:val="nHeading2"/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9AB5-0D10-418A-A661-AABF7920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729</Words>
  <Characters>3697</Characters>
  <Application>Microsoft Office Word</Application>
  <DocSecurity>0</DocSecurity>
  <Lines>142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4324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(Tjuntjuntjara Community) Act 2018 - 00-a0-02</dc:title>
  <dc:subject/>
  <dc:creator/>
  <cp:keywords/>
  <dc:description/>
  <cp:lastModifiedBy>svcMRProcess</cp:lastModifiedBy>
  <cp:revision>4</cp:revision>
  <cp:lastPrinted>2018-12-12T05:04:00Z</cp:lastPrinted>
  <dcterms:created xsi:type="dcterms:W3CDTF">2020-02-25T03:57:00Z</dcterms:created>
  <dcterms:modified xsi:type="dcterms:W3CDTF">2020-02-25T03:57:00Z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2635</vt:lpwstr>
  </property>
  <property fmtid="{D5CDD505-2E9C-101B-9397-08002B2CF9AE}" pid="3" name="ActNo">
    <vt:lpwstr>40 of 2018</vt:lpwstr>
  </property>
  <property fmtid="{D5CDD505-2E9C-101B-9397-08002B2CF9AE}" pid="4" name="DocumentType">
    <vt:lpwstr>Act</vt:lpwstr>
  </property>
  <property fmtid="{D5CDD505-2E9C-101B-9397-08002B2CF9AE}" pid="5" name="CommencementDate">
    <vt:lpwstr>20181212</vt:lpwstr>
  </property>
  <property fmtid="{D5CDD505-2E9C-101B-9397-08002B2CF9AE}" pid="6" name="AsAtDate">
    <vt:lpwstr>12 Dec 2018</vt:lpwstr>
  </property>
  <property fmtid="{D5CDD505-2E9C-101B-9397-08002B2CF9AE}" pid="7" name="Suffix">
    <vt:lpwstr>00-a0-02</vt:lpwstr>
  </property>
</Properties>
</file>