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Racing and Wagering Western Australia Tax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Tax Act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_Toc532468864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_Toc532468865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_Toc532468866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Tax for totalisator wagers</w:t>
      </w:r>
      <w:r>
        <w:tab/>
      </w:r>
      <w:r>
        <w:fldChar w:fldCharType="begin"/>
      </w:r>
      <w:r>
        <w:instrText xml:space="preserve"> PAGEREF _Toc532468867 \h </w:instrText>
      </w:r>
      <w:r>
        <w:fldChar w:fldCharType="separate"/>
      </w:r>
      <w:r>
        <w:t>2</w:t>
      </w:r>
      <w:r>
        <w:fldChar w:fldCharType="end"/>
      </w:r>
    </w:p>
    <w:p>
      <w:pPr>
        <w:pStyle w:val="TOC8"/>
        <w:rPr>
          <w:rFonts w:asciiTheme="minorHAnsi" w:eastAsiaTheme="minorEastAsia" w:hAnsiTheme="minorHAnsi" w:cstheme="minorBidi"/>
          <w:szCs w:val="22"/>
        </w:rPr>
      </w:pPr>
      <w:r>
        <w:t>5.</w:t>
      </w:r>
      <w:r>
        <w:tab/>
        <w:t>Tax for fixed odds wagers</w:t>
      </w:r>
      <w:r>
        <w:tab/>
      </w:r>
      <w:r>
        <w:fldChar w:fldCharType="begin"/>
      </w:r>
      <w:r>
        <w:instrText xml:space="preserve"> PAGEREF _Toc532468868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_Toc532468870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_Toc532468871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Racing and Wagering Western Australia Tax Act 2003</w:t>
      </w:r>
    </w:p>
    <w:p>
      <w:pPr>
        <w:pStyle w:val="LongTitle"/>
        <w:suppressLineNumbers/>
        <w:rPr>
          <w:snapToGrid w:val="0"/>
        </w:rPr>
      </w:pPr>
      <w:r>
        <w:rPr>
          <w:snapToGrid w:val="0"/>
        </w:rPr>
        <w:t>An Act to impose a tax on money paid in respect of wagers made through or with Racing and Wagering Western Australia.</w:t>
      </w:r>
    </w:p>
    <w:p>
      <w:pPr>
        <w:pStyle w:val="Heading5"/>
        <w:spacing w:before="320"/>
      </w:pPr>
      <w:bookmarkStart w:id="3" w:name="_Toc379463066"/>
      <w:bookmarkStart w:id="4" w:name="_Toc532468864"/>
      <w:r>
        <w:rPr>
          <w:rStyle w:val="CharSectno"/>
        </w:rPr>
        <w:t>1</w:t>
      </w:r>
      <w:r>
        <w:t>.</w:t>
      </w:r>
      <w:r>
        <w:tab/>
        <w:t>Short title</w:t>
      </w:r>
      <w:bookmarkEnd w:id="3"/>
      <w:bookmarkEnd w:id="4"/>
    </w:p>
    <w:p>
      <w:pPr>
        <w:pStyle w:val="Subsection"/>
      </w:pPr>
      <w:r>
        <w:rPr>
          <w:snapToGrid w:val="0"/>
        </w:rPr>
        <w:tab/>
      </w:r>
      <w:r>
        <w:rPr>
          <w:snapToGrid w:val="0"/>
        </w:rPr>
        <w:tab/>
      </w:r>
      <w:r>
        <w:t>This</w:t>
      </w:r>
      <w:r>
        <w:rPr>
          <w:snapToGrid w:val="0"/>
        </w:rPr>
        <w:t xml:space="preserve"> Act may be cited as the</w:t>
      </w:r>
      <w:r>
        <w:rPr>
          <w:i/>
          <w:snapToGrid w:val="0"/>
        </w:rPr>
        <w:t xml:space="preserve"> Racing and Wagering Western Australia Tax Act 2003</w:t>
      </w:r>
      <w:r>
        <w:rPr>
          <w:snapToGrid w:val="0"/>
        </w:rPr>
        <w:t>.</w:t>
      </w:r>
    </w:p>
    <w:p>
      <w:pPr>
        <w:pStyle w:val="Heading5"/>
      </w:pPr>
      <w:bookmarkStart w:id="5" w:name="_Toc379463067"/>
      <w:bookmarkStart w:id="6" w:name="_Toc532468865"/>
      <w:r>
        <w:rPr>
          <w:rStyle w:val="CharSectno"/>
        </w:rPr>
        <w:t>2</w:t>
      </w:r>
      <w:r>
        <w:t>.</w:t>
      </w:r>
      <w:r>
        <w:tab/>
        <w:t>Commencement</w:t>
      </w:r>
      <w:bookmarkEnd w:id="5"/>
      <w:bookmarkEnd w:id="6"/>
    </w:p>
    <w:p>
      <w:pPr>
        <w:pStyle w:val="Subsection"/>
      </w:pPr>
      <w:r>
        <w:tab/>
      </w:r>
      <w:r>
        <w:tab/>
        <w:t>This Act comes into operation on a day to be fixed by proclamation.</w:t>
      </w:r>
    </w:p>
    <w:p>
      <w:pPr>
        <w:pStyle w:val="Heading5"/>
      </w:pPr>
      <w:bookmarkStart w:id="7" w:name="_Toc379463068"/>
      <w:bookmarkStart w:id="8" w:name="_Toc532468866"/>
      <w:r>
        <w:rPr>
          <w:rStyle w:val="CharSectno"/>
        </w:rPr>
        <w:t>3</w:t>
      </w:r>
      <w:r>
        <w:t>.</w:t>
      </w:r>
      <w:r>
        <w:tab/>
        <w:t>Interpretation</w:t>
      </w:r>
      <w:bookmarkEnd w:id="7"/>
      <w:bookmarkEnd w:id="8"/>
    </w:p>
    <w:p>
      <w:pPr>
        <w:pStyle w:val="Subsection"/>
      </w:pPr>
      <w:r>
        <w:tab/>
      </w:r>
      <w:r>
        <w:tab/>
        <w:t xml:space="preserve">In this Act — </w:t>
      </w:r>
    </w:p>
    <w:p>
      <w:pPr>
        <w:pStyle w:val="Defstart"/>
      </w:pPr>
      <w:r>
        <w:rPr>
          <w:b/>
        </w:rPr>
        <w:tab/>
      </w:r>
      <w:r>
        <w:rPr>
          <w:rStyle w:val="CharDefText"/>
        </w:rPr>
        <w:t>fixed odds wager</w:t>
      </w:r>
      <w:r>
        <w:t xml:space="preserve"> has the same meaning as in the RWWA Act;</w:t>
      </w:r>
    </w:p>
    <w:p>
      <w:pPr>
        <w:pStyle w:val="Defstart"/>
      </w:pPr>
      <w:r>
        <w:rPr>
          <w:b/>
        </w:rPr>
        <w:tab/>
      </w:r>
      <w:r>
        <w:rPr>
          <w:rStyle w:val="CharDefText"/>
        </w:rPr>
        <w:t>gross revenue</w:t>
      </w:r>
      <w:r>
        <w:rPr>
          <w:bCs/>
        </w:rPr>
        <w:t>, in relation to off</w:t>
      </w:r>
      <w:r>
        <w:rPr>
          <w:bCs/>
        </w:rPr>
        <w:noBreakHyphen/>
        <w:t>course racing wagers,</w:t>
      </w:r>
      <w:r>
        <w:t xml:space="preserve"> means the amount equal to A minus B, where — </w:t>
      </w:r>
    </w:p>
    <w:p>
      <w:pPr>
        <w:pStyle w:val="Defpara"/>
      </w:pPr>
      <w:r>
        <w:tab/>
        <w:t>(a)</w:t>
      </w:r>
      <w:r>
        <w:tab/>
      </w:r>
      <w:r>
        <w:rPr>
          <w:rStyle w:val="CharDefText"/>
        </w:rPr>
        <w:t>A</w:t>
      </w:r>
      <w:r>
        <w:t xml:space="preserve"> is the amount of all moneys paid to RWWA in respect of those wagers; and</w:t>
      </w:r>
    </w:p>
    <w:p>
      <w:pPr>
        <w:pStyle w:val="Defpara"/>
      </w:pPr>
      <w:r>
        <w:tab/>
        <w:t>(b)</w:t>
      </w:r>
      <w:r>
        <w:tab/>
      </w:r>
      <w:r>
        <w:rPr>
          <w:rStyle w:val="CharDefText"/>
        </w:rPr>
        <w:t>B</w:t>
      </w:r>
      <w:r>
        <w:t xml:space="preserve"> is the amount of all moneys paid by RWWA by way of winnings in respect of those wagers;</w:t>
      </w:r>
    </w:p>
    <w:p>
      <w:pPr>
        <w:pStyle w:val="Defstart"/>
      </w:pPr>
      <w:r>
        <w:rPr>
          <w:b/>
        </w:rPr>
        <w:tab/>
      </w:r>
      <w:r>
        <w:rPr>
          <w:rStyle w:val="CharDefText"/>
        </w:rPr>
        <w:t>off</w:t>
      </w:r>
      <w:r>
        <w:rPr>
          <w:rStyle w:val="CharDefText"/>
        </w:rPr>
        <w:noBreakHyphen/>
        <w:t>course racing wager</w:t>
      </w:r>
      <w:r>
        <w:t xml:space="preserve"> has the same meaning as in the RWWA Act section 102;</w:t>
      </w:r>
    </w:p>
    <w:p>
      <w:pPr>
        <w:pStyle w:val="Defstart"/>
      </w:pPr>
      <w:r>
        <w:rPr>
          <w:b/>
        </w:rPr>
        <w:tab/>
      </w:r>
      <w:r>
        <w:rPr>
          <w:rStyle w:val="CharDefText"/>
        </w:rPr>
        <w:t>RWWA</w:t>
      </w:r>
      <w:r>
        <w:t xml:space="preserve"> means Racing and Wagering Western Australia established under the RWWA Act;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totalisator</w:t>
      </w:r>
      <w:r>
        <w:t xml:space="preserve"> has the same meaning as in the RWWA Act.</w:t>
      </w:r>
    </w:p>
    <w:p>
      <w:pPr>
        <w:pStyle w:val="Footnotesection"/>
      </w:pPr>
      <w:r>
        <w:tab/>
        <w:t>[Section 3 amended by No. 3 of 2007 s. 4.]</w:t>
      </w:r>
    </w:p>
    <w:p>
      <w:pPr>
        <w:pStyle w:val="Heading5"/>
        <w:rPr>
          <w:snapToGrid w:val="0"/>
        </w:rPr>
      </w:pPr>
      <w:bookmarkStart w:id="9" w:name="_Toc379463069"/>
      <w:bookmarkStart w:id="10" w:name="_Toc532468867"/>
      <w:r>
        <w:rPr>
          <w:rStyle w:val="CharSectno"/>
        </w:rPr>
        <w:t>4</w:t>
      </w:r>
      <w:r>
        <w:rPr>
          <w:snapToGrid w:val="0"/>
        </w:rPr>
        <w:t>.</w:t>
      </w:r>
      <w:r>
        <w:rPr>
          <w:snapToGrid w:val="0"/>
        </w:rPr>
        <w:tab/>
        <w:t>Tax for totalisator wagers</w:t>
      </w:r>
      <w:bookmarkEnd w:id="9"/>
      <w:bookmarkEnd w:id="10"/>
    </w:p>
    <w:p>
      <w:pPr>
        <w:pStyle w:val="Subsection"/>
      </w:pPr>
      <w:r>
        <w:tab/>
        <w:t>(1)</w:t>
      </w:r>
      <w:r>
        <w:tab/>
        <w:t>Subject to subsection (2), the rate of tax imposed by this Act and payable under the RWWA Act in relation to wagers included in a totalisator is 5% of all moneys paid to RWWA in respect of those wagers made through or with RWWA under the RWWA Act.</w:t>
      </w:r>
    </w:p>
    <w:p>
      <w:pPr>
        <w:pStyle w:val="Subsection"/>
      </w:pPr>
      <w:r>
        <w:tab/>
        <w:t>(2)</w:t>
      </w:r>
      <w:r>
        <w:tab/>
        <w:t>The rate of tax imposed by this Act and payable under the RWWA Act in relation to off</w:t>
      </w:r>
      <w:r>
        <w:noBreakHyphen/>
        <w:t>course racing wagers is 11.91% of the gross revenue received by RWWA in respect of those wagers.</w:t>
      </w:r>
    </w:p>
    <w:p>
      <w:pPr>
        <w:pStyle w:val="Footnotesection"/>
      </w:pPr>
      <w:r>
        <w:tab/>
        <w:t>[Section 4 amended by No. 3 of 2007 s. 5.]</w:t>
      </w:r>
    </w:p>
    <w:p>
      <w:pPr>
        <w:pStyle w:val="Heading5"/>
      </w:pPr>
      <w:bookmarkStart w:id="11" w:name="_Toc379463070"/>
      <w:bookmarkStart w:id="12" w:name="_Toc532468868"/>
      <w:r>
        <w:rPr>
          <w:rStyle w:val="CharSectno"/>
        </w:rPr>
        <w:t>5</w:t>
      </w:r>
      <w:r>
        <w:t>.</w:t>
      </w:r>
      <w:r>
        <w:tab/>
        <w:t>Tax for fixed odds wagers</w:t>
      </w:r>
      <w:bookmarkEnd w:id="11"/>
      <w:bookmarkEnd w:id="12"/>
    </w:p>
    <w:p>
      <w:pPr>
        <w:pStyle w:val="Subsection"/>
      </w:pPr>
      <w:r>
        <w:tab/>
      </w:r>
      <w:r>
        <w:tab/>
        <w:t xml:space="preserve">The rate of tax imposed by this Act and payable under the RWWA Act in relation to fixed odds wagers is — </w:t>
      </w:r>
    </w:p>
    <w:p>
      <w:pPr>
        <w:pStyle w:val="Indenta"/>
      </w:pPr>
      <w:r>
        <w:tab/>
        <w:t>(a)</w:t>
      </w:r>
      <w:r>
        <w:tab/>
        <w:t>2% of all moneys paid to RWWA in respect of fixed odds wagers made on horse or greyhound races; and</w:t>
      </w:r>
    </w:p>
    <w:p>
      <w:pPr>
        <w:pStyle w:val="Indenta"/>
      </w:pPr>
      <w:r>
        <w:tab/>
        <w:t>(b)</w:t>
      </w:r>
      <w:r>
        <w:tab/>
        <w:t>0.5% of all moneys paid to RWWA in respect of fixed odds wagers made on events, including sporting events,</w:t>
      </w:r>
    </w:p>
    <w:p>
      <w:pPr>
        <w:pStyle w:val="Subsection"/>
      </w:pPr>
      <w:r>
        <w:tab/>
      </w:r>
      <w:r>
        <w:tab/>
        <w:t>through or with RWWA under the RWWA Act.</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3" w:name="_Toc379463071"/>
      <w:bookmarkStart w:id="14" w:name="_Toc424292408"/>
      <w:bookmarkStart w:id="15" w:name="_Toc435023036"/>
      <w:bookmarkStart w:id="16" w:name="_Toc532468765"/>
      <w:bookmarkStart w:id="17" w:name="_Toc532468869"/>
      <w:r>
        <w:t>Notes</w:t>
      </w:r>
      <w:bookmarkEnd w:id="13"/>
      <w:bookmarkEnd w:id="14"/>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Tax Act 2003</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8" w:name="_Toc379463072"/>
      <w:bookmarkStart w:id="19" w:name="_Toc532468870"/>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Racing and Wagering Western Australia Tax Act 2003</w:t>
            </w:r>
            <w:r>
              <w:t xml:space="preserve"> </w:t>
            </w:r>
          </w:p>
        </w:tc>
        <w:tc>
          <w:tcPr>
            <w:tcW w:w="1134" w:type="dxa"/>
            <w:tcBorders>
              <w:top w:val="single" w:sz="4" w:space="0" w:color="auto"/>
            </w:tcBorders>
          </w:tcPr>
          <w:p>
            <w:pPr>
              <w:pStyle w:val="nTable"/>
              <w:spacing w:before="100"/>
            </w:pPr>
            <w:r>
              <w:t>37 of 2003</w:t>
            </w:r>
          </w:p>
        </w:tc>
        <w:tc>
          <w:tcPr>
            <w:tcW w:w="1134" w:type="dxa"/>
            <w:tcBorders>
              <w:top w:val="single" w:sz="4" w:space="0" w:color="auto"/>
            </w:tcBorders>
          </w:tcPr>
          <w:p>
            <w:pPr>
              <w:pStyle w:val="nTable"/>
              <w:spacing w:before="100"/>
            </w:pPr>
            <w:r>
              <w:t>26 Jun 2003</w:t>
            </w:r>
          </w:p>
        </w:tc>
        <w:tc>
          <w:tcPr>
            <w:tcW w:w="2552" w:type="dxa"/>
            <w:tcBorders>
              <w:top w:val="single" w:sz="4" w:space="0" w:color="auto"/>
            </w:tcBorders>
          </w:tcPr>
          <w:p>
            <w:pPr>
              <w:pStyle w:val="nTable"/>
              <w:spacing w:before="100"/>
            </w:pPr>
            <w:r>
              <w:t xml:space="preserve">30 Jan 2004 (see s. 2 and </w:t>
            </w:r>
            <w:r>
              <w:rPr>
                <w:i/>
              </w:rPr>
              <w:t>Gazette</w:t>
            </w:r>
            <w:r>
              <w:t xml:space="preserve"> 30 Jan 2004 p. 397)</w:t>
            </w:r>
          </w:p>
        </w:tc>
      </w:tr>
      <w:tr>
        <w:tc>
          <w:tcPr>
            <w:tcW w:w="2268" w:type="dxa"/>
            <w:tcBorders>
              <w:bottom w:val="single" w:sz="4" w:space="0" w:color="auto"/>
            </w:tcBorders>
          </w:tcPr>
          <w:p>
            <w:pPr>
              <w:pStyle w:val="nTable"/>
              <w:spacing w:before="100"/>
              <w:rPr>
                <w:i/>
              </w:rPr>
            </w:pPr>
            <w:r>
              <w:rPr>
                <w:i/>
                <w:snapToGrid w:val="0"/>
              </w:rPr>
              <w:t>Racing and Wagering Western Australia Tax Amendment Act 2007</w:t>
            </w:r>
            <w:r>
              <w:rPr>
                <w:iCs/>
                <w:snapToGrid w:val="0"/>
              </w:rPr>
              <w:t xml:space="preserve"> </w:t>
            </w:r>
          </w:p>
        </w:tc>
        <w:tc>
          <w:tcPr>
            <w:tcW w:w="1134" w:type="dxa"/>
            <w:tcBorders>
              <w:bottom w:val="single" w:sz="4" w:space="0" w:color="auto"/>
            </w:tcBorders>
          </w:tcPr>
          <w:p>
            <w:pPr>
              <w:pStyle w:val="nTable"/>
              <w:spacing w:before="100"/>
            </w:pPr>
            <w:r>
              <w:t>3 of 2007</w:t>
            </w:r>
          </w:p>
        </w:tc>
        <w:tc>
          <w:tcPr>
            <w:tcW w:w="1134" w:type="dxa"/>
            <w:tcBorders>
              <w:bottom w:val="single" w:sz="4" w:space="0" w:color="auto"/>
            </w:tcBorders>
          </w:tcPr>
          <w:p>
            <w:pPr>
              <w:pStyle w:val="nTable"/>
              <w:spacing w:before="100"/>
            </w:pPr>
            <w:r>
              <w:t>28 Mar 2007</w:t>
            </w:r>
          </w:p>
        </w:tc>
        <w:tc>
          <w:tcPr>
            <w:tcW w:w="2552" w:type="dxa"/>
            <w:tcBorders>
              <w:bottom w:val="single" w:sz="4" w:space="0" w:color="auto"/>
            </w:tcBorders>
          </w:tcPr>
          <w:p>
            <w:pPr>
              <w:pStyle w:val="nTable"/>
              <w:spacing w:before="100"/>
            </w:pPr>
            <w:r>
              <w:rPr>
                <w:snapToGrid w:val="0"/>
              </w:rPr>
              <w:t>1 Jul 2007 (see s. 2)</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 w:name="_Toc532468871"/>
      <w:r>
        <w:t>Provisions that have not come into operation</w:t>
      </w:r>
      <w:bookmarkEnd w:id="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Betting Tax Assessment Act 2018</w:t>
            </w:r>
            <w:r>
              <w:t xml:space="preserve"> s. 31 and Pt. 8 Div. 1 Subdiv. 3</w:t>
            </w:r>
            <w:r>
              <w:rPr>
                <w:vertAlign w:val="superscript"/>
              </w:rPr>
              <w:t> 2</w:t>
            </w:r>
          </w:p>
        </w:tc>
        <w:tc>
          <w:tcPr>
            <w:tcW w:w="1134" w:type="dxa"/>
          </w:tcPr>
          <w:p>
            <w:pPr>
              <w:pStyle w:val="nTable"/>
              <w:spacing w:after="40"/>
            </w:pPr>
            <w:r>
              <w:t>37 of 2018</w:t>
            </w:r>
          </w:p>
        </w:tc>
        <w:tc>
          <w:tcPr>
            <w:tcW w:w="1134" w:type="dxa"/>
          </w:tcPr>
          <w:p>
            <w:pPr>
              <w:pStyle w:val="nTable"/>
              <w:spacing w:after="40"/>
            </w:pPr>
            <w:r>
              <w:t>12 Dec 2018</w:t>
            </w:r>
          </w:p>
        </w:tc>
        <w:tc>
          <w:tcPr>
            <w:tcW w:w="2552" w:type="dxa"/>
          </w:tcPr>
          <w:p>
            <w:pPr>
              <w:pStyle w:val="nTable"/>
              <w:spacing w:after="40"/>
            </w:pPr>
            <w:r>
              <w:t>To be proclaimed (see s. 2(b))</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rPr>
        <w:t>Betting Tax Assessment Act 2018</w:t>
      </w:r>
      <w:r>
        <w:t xml:space="preserve"> s. 31 and Pt. 8 Div. 1 Subdiv. 3</w:t>
      </w:r>
      <w:r>
        <w:rPr>
          <w:noProof/>
        </w:rPr>
        <w:t xml:space="preserve"> </w:t>
      </w:r>
      <w:r>
        <w:rPr>
          <w:snapToGrid w:val="0"/>
        </w:rPr>
        <w:t>had not come into operation.  They read as follows:</w:t>
      </w:r>
    </w:p>
    <w:p>
      <w:pPr>
        <w:pStyle w:val="BlankOpen"/>
      </w:pPr>
    </w:p>
    <w:p>
      <w:pPr>
        <w:pStyle w:val="nzHeading5"/>
        <w:rPr>
          <w:snapToGrid w:val="0"/>
        </w:rPr>
      </w:pPr>
      <w:bookmarkStart w:id="21" w:name="_Toc532382836"/>
      <w:bookmarkStart w:id="22" w:name="_Toc532395007"/>
      <w:r>
        <w:rPr>
          <w:rStyle w:val="CharSectno"/>
        </w:rPr>
        <w:t>31</w:t>
      </w:r>
      <w:r>
        <w:rPr>
          <w:snapToGrid w:val="0"/>
        </w:rPr>
        <w:t>.</w:t>
      </w:r>
      <w:r>
        <w:rPr>
          <w:snapToGrid w:val="0"/>
        </w:rPr>
        <w:tab/>
      </w:r>
      <w:r>
        <w:rPr>
          <w:i/>
        </w:rPr>
        <w:t xml:space="preserve">Racing and Wagering Western Australia Tax Act 2003 </w:t>
      </w:r>
      <w:r>
        <w:t>repealed</w:t>
      </w:r>
      <w:bookmarkEnd w:id="21"/>
      <w:bookmarkEnd w:id="22"/>
    </w:p>
    <w:p>
      <w:pPr>
        <w:pStyle w:val="nzSubsection"/>
      </w:pPr>
      <w:r>
        <w:tab/>
      </w:r>
      <w:r>
        <w:tab/>
        <w:t xml:space="preserve">The </w:t>
      </w:r>
      <w:r>
        <w:rPr>
          <w:i/>
        </w:rPr>
        <w:t xml:space="preserve">Racing and Wagering Western Australia Tax Act 2003 </w:t>
      </w:r>
      <w:r>
        <w:t>is repealed.</w:t>
      </w:r>
    </w:p>
    <w:p>
      <w:pPr>
        <w:pStyle w:val="nzHeading2"/>
      </w:pPr>
      <w:bookmarkStart w:id="23" w:name="_Toc523134699"/>
      <w:bookmarkStart w:id="24" w:name="_Toc523134797"/>
      <w:bookmarkStart w:id="25" w:name="_Toc523989723"/>
      <w:bookmarkStart w:id="26" w:name="_Toc523990269"/>
      <w:bookmarkStart w:id="27" w:name="_Toc523991666"/>
      <w:bookmarkStart w:id="28" w:name="_Toc524430555"/>
      <w:bookmarkStart w:id="29" w:name="_Toc524430653"/>
      <w:bookmarkStart w:id="30" w:name="_Toc524956197"/>
      <w:bookmarkStart w:id="31" w:name="_Toc527353453"/>
      <w:bookmarkStart w:id="32" w:name="_Toc528788321"/>
      <w:bookmarkStart w:id="33" w:name="_Toc528789785"/>
      <w:bookmarkStart w:id="34" w:name="_Toc531771695"/>
      <w:bookmarkStart w:id="35" w:name="_Toc532382837"/>
      <w:bookmarkStart w:id="36" w:name="_Toc532395008"/>
      <w:r>
        <w:rPr>
          <w:rStyle w:val="CharPartNo"/>
        </w:rPr>
        <w:t>Part 8</w:t>
      </w:r>
      <w:r>
        <w:t> — </w:t>
      </w:r>
      <w:r>
        <w:rPr>
          <w:rStyle w:val="CharPartText"/>
        </w:rPr>
        <w:t>Other Acts amended</w:t>
      </w:r>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nzHeading3"/>
      </w:pPr>
      <w:bookmarkStart w:id="37" w:name="_Toc523134700"/>
      <w:bookmarkStart w:id="38" w:name="_Toc523134798"/>
      <w:bookmarkStart w:id="39" w:name="_Toc523989724"/>
      <w:bookmarkStart w:id="40" w:name="_Toc523990270"/>
      <w:bookmarkStart w:id="41" w:name="_Toc523991667"/>
      <w:bookmarkStart w:id="42" w:name="_Toc524430556"/>
      <w:bookmarkStart w:id="43" w:name="_Toc524430654"/>
      <w:bookmarkStart w:id="44" w:name="_Toc524956198"/>
      <w:bookmarkStart w:id="45" w:name="_Toc527353454"/>
      <w:bookmarkStart w:id="46" w:name="_Toc528788322"/>
      <w:bookmarkStart w:id="47" w:name="_Toc528789786"/>
      <w:bookmarkStart w:id="48" w:name="_Toc531771696"/>
      <w:bookmarkStart w:id="49" w:name="_Toc532382838"/>
      <w:bookmarkStart w:id="50" w:name="_Toc532395009"/>
      <w:r>
        <w:rPr>
          <w:rStyle w:val="CharDivNo"/>
        </w:rPr>
        <w:t>Division 1</w:t>
      </w:r>
      <w:r>
        <w:t> — </w:t>
      </w:r>
      <w:r>
        <w:rPr>
          <w:rStyle w:val="CharDivText"/>
        </w:rPr>
        <w:t>Amendments commencing on 1 January 2019</w:t>
      </w:r>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nzHeading4"/>
      </w:pPr>
      <w:bookmarkStart w:id="51" w:name="_Toc523134716"/>
      <w:bookmarkStart w:id="52" w:name="_Toc523134814"/>
      <w:bookmarkStart w:id="53" w:name="_Toc523989740"/>
      <w:bookmarkStart w:id="54" w:name="_Toc523990286"/>
      <w:bookmarkStart w:id="55" w:name="_Toc523991683"/>
      <w:bookmarkStart w:id="56" w:name="_Toc524430572"/>
      <w:bookmarkStart w:id="57" w:name="_Toc524430670"/>
      <w:bookmarkStart w:id="58" w:name="_Toc524956214"/>
      <w:bookmarkStart w:id="59" w:name="_Toc527353470"/>
      <w:bookmarkStart w:id="60" w:name="_Toc528788342"/>
      <w:bookmarkStart w:id="61" w:name="_Toc528789806"/>
      <w:bookmarkStart w:id="62" w:name="_Toc531771716"/>
      <w:bookmarkStart w:id="63" w:name="_Toc532382858"/>
      <w:bookmarkStart w:id="64" w:name="_Toc532395029"/>
      <w:r>
        <w:t>Subdivision 3 — </w:t>
      </w:r>
      <w:r>
        <w:rPr>
          <w:i/>
        </w:rPr>
        <w:t>Racing and Wagering Western Australia Tax Act 2003</w:t>
      </w:r>
      <w:r>
        <w:t xml:space="preserve"> amended</w:t>
      </w:r>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nzHeading5"/>
      </w:pPr>
      <w:bookmarkStart w:id="65" w:name="_Toc532382859"/>
      <w:bookmarkStart w:id="66" w:name="_Toc532395030"/>
      <w:r>
        <w:rPr>
          <w:rStyle w:val="CharSectno"/>
        </w:rPr>
        <w:t>42</w:t>
      </w:r>
      <w:r>
        <w:t>.</w:t>
      </w:r>
      <w:r>
        <w:tab/>
        <w:t>Act amended</w:t>
      </w:r>
      <w:bookmarkEnd w:id="65"/>
      <w:bookmarkEnd w:id="66"/>
    </w:p>
    <w:p>
      <w:pPr>
        <w:pStyle w:val="nzSubsection"/>
      </w:pPr>
      <w:r>
        <w:tab/>
      </w:r>
      <w:r>
        <w:tab/>
        <w:t xml:space="preserve">This Subdivision amends the </w:t>
      </w:r>
      <w:r>
        <w:rPr>
          <w:i/>
        </w:rPr>
        <w:t>Racing and Wagering Western Australia Tax Act 2003</w:t>
      </w:r>
      <w:r>
        <w:t>.</w:t>
      </w:r>
    </w:p>
    <w:p>
      <w:pPr>
        <w:pStyle w:val="nzHeading5"/>
      </w:pPr>
      <w:bookmarkStart w:id="67" w:name="_Toc532382860"/>
      <w:bookmarkStart w:id="68" w:name="_Toc532395031"/>
      <w:r>
        <w:rPr>
          <w:rStyle w:val="CharSectno"/>
        </w:rPr>
        <w:t>43</w:t>
      </w:r>
      <w:r>
        <w:t>.</w:t>
      </w:r>
      <w:r>
        <w:tab/>
        <w:t>Section 3 amended</w:t>
      </w:r>
      <w:bookmarkEnd w:id="67"/>
      <w:bookmarkEnd w:id="68"/>
    </w:p>
    <w:p>
      <w:pPr>
        <w:pStyle w:val="nzSubsection"/>
      </w:pPr>
      <w:r>
        <w:tab/>
      </w:r>
      <w:r>
        <w:tab/>
        <w:t xml:space="preserve">In section 3 in the definition of </w:t>
      </w:r>
      <w:r>
        <w:rPr>
          <w:b/>
          <w:i/>
        </w:rPr>
        <w:t>gross revenue</w:t>
      </w:r>
      <w:r>
        <w:t xml:space="preserve"> paragraph (b) after “paid” insert:</w:t>
      </w:r>
    </w:p>
    <w:p>
      <w:pPr>
        <w:pStyle w:val="BlankOpen"/>
      </w:pPr>
    </w:p>
    <w:p>
      <w:pPr>
        <w:pStyle w:val="nzSubsection"/>
      </w:pPr>
      <w:r>
        <w:tab/>
      </w:r>
      <w:r>
        <w:tab/>
        <w:t>or payable</w:t>
      </w:r>
    </w:p>
    <w:p>
      <w:pPr>
        <w:pStyle w:val="BlankClose"/>
        <w:keepNext/>
      </w:pPr>
    </w:p>
    <w:p>
      <w:pPr>
        <w:pStyle w:val="BlankClose"/>
        <w:keepNext/>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70" w:name="_Toc435023038"/>
      <w:bookmarkStart w:id="71" w:name="_Toc532468768"/>
      <w:bookmarkStart w:id="72" w:name="_Toc532468872"/>
      <w:r>
        <w:rPr>
          <w:sz w:val="28"/>
        </w:rPr>
        <w:t>Defined terms</w:t>
      </w:r>
      <w:bookmarkEnd w:id="70"/>
      <w:bookmarkEnd w:id="71"/>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3</w:t>
      </w:r>
    </w:p>
    <w:p>
      <w:pPr>
        <w:pStyle w:val="DefinedTerms"/>
      </w:pPr>
      <w:r>
        <w:t>B</w:t>
      </w:r>
      <w:r>
        <w:tab/>
        <w:t>3</w:t>
      </w:r>
    </w:p>
    <w:p>
      <w:pPr>
        <w:pStyle w:val="DefinedTerms"/>
      </w:pPr>
      <w:r>
        <w:t>fixed odds wager</w:t>
      </w:r>
      <w:r>
        <w:tab/>
        <w:t>3</w:t>
      </w:r>
    </w:p>
    <w:p>
      <w:pPr>
        <w:pStyle w:val="DefinedTerms"/>
      </w:pPr>
      <w:r>
        <w:t>gross revenue</w:t>
      </w:r>
      <w:r>
        <w:tab/>
        <w:t>3</w:t>
      </w:r>
    </w:p>
    <w:p>
      <w:pPr>
        <w:pStyle w:val="DefinedTerms"/>
      </w:pPr>
      <w:r>
        <w:t>off</w:t>
      </w:r>
      <w:r>
        <w:noBreakHyphen/>
        <w:t>course racing wager</w:t>
      </w:r>
      <w:r>
        <w:tab/>
        <w:t>3</w:t>
      </w:r>
    </w:p>
    <w:p>
      <w:pPr>
        <w:pStyle w:val="DefinedTerms"/>
      </w:pPr>
      <w:r>
        <w:t>RWWA</w:t>
      </w:r>
      <w:r>
        <w:tab/>
        <w:t>3</w:t>
      </w:r>
    </w:p>
    <w:p>
      <w:pPr>
        <w:pStyle w:val="DefinedTerms"/>
      </w:pPr>
      <w:r>
        <w:t>RWWA Act</w:t>
      </w:r>
      <w:r>
        <w:tab/>
        <w:t>3</w:t>
      </w:r>
    </w:p>
    <w:p>
      <w:pPr>
        <w:pStyle w:val="DefinedTerms"/>
      </w:pPr>
      <w:r>
        <w:t>totalisator</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Tax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Tax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Tax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Tax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89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98DA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271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5812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540E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4470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685E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FCF2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B08C14"/>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47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9082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522"/>
    <w:docVar w:name="WAFER_20140124140436" w:val="RemoveTocBookmarks,RemoveUnusedBookmarks,RemoveLanguageTags,UsedStyles,ResetPageSize,UpdateArrangement"/>
    <w:docVar w:name="WAFER_20140124140436_GUID" w:val="7ecee3ff-1936-452a-abd2-321ca128a5f7"/>
    <w:docVar w:name="WAFER_20140206150645" w:val="RemoveTocBookmarks,RemoveUnusedBookmarks,RemoveLanguageTags,UsedStyles,ResetPageSize,UpdateArrangement"/>
    <w:docVar w:name="WAFER_20140206150645_GUID" w:val="98128ff5-7929-47ac-a227-f3cc68fa443b"/>
    <w:docVar w:name="WAFER_20140206150941" w:val="RemoveTocBookmarks,RunningHeaders"/>
    <w:docVar w:name="WAFER_20140206150941_GUID" w:val="ba4572e6-a740-4d07-9551-630887f18174"/>
    <w:docVar w:name="WAFER_20150710113925" w:val="ResetPageSize,UpdateArrangement,UpdateNTable"/>
    <w:docVar w:name="WAFER_20150710113925_GUID" w:val="d5ed4b12-ee4c-429a-92f1-850681b9ade5"/>
    <w:docVar w:name="WAFER_20151111162242" w:val="UpdateStyles,UsedStyles"/>
    <w:docVar w:name="WAFER_20151111162242_GUID" w:val="f04aa5eb-a512-41eb-a2dd-12d8ac579c73"/>
    <w:docVar w:name="WAFER_20151201110522" w:val="RemoveTrackChanges"/>
    <w:docVar w:name="WAFER_20151201110522_GUID" w:val="8c104b16-6a4d-45f4-a9be-e3af6a019b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888</Words>
  <Characters>3962</Characters>
  <Application>Microsoft Office Word</Application>
  <DocSecurity>0</DocSecurity>
  <Lines>172</Lines>
  <Paragraphs>124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4726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Tax Act 2003 - 00-d0-00</dc:title>
  <dc:subject/>
  <dc:creator/>
  <cp:keywords/>
  <dc:description/>
  <cp:lastModifiedBy>svcMRProcess</cp:lastModifiedBy>
  <cp:revision>4</cp:revision>
  <cp:lastPrinted>2018-12-13T04:48:00Z</cp:lastPrinted>
  <dcterms:created xsi:type="dcterms:W3CDTF">2018-12-13T07:45:00Z</dcterms:created>
  <dcterms:modified xsi:type="dcterms:W3CDTF">2018-12-13T07:45:00Z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2003</vt:lpwstr>
  </property>
  <property fmtid="{D5CDD505-2E9C-101B-9397-08002B2CF9AE}" pid="3" name="DocumentType">
    <vt:lpwstr>Act</vt:lpwstr>
  </property>
  <property fmtid="{D5CDD505-2E9C-101B-9397-08002B2CF9AE}" pid="4" name="OwlsUID">
    <vt:i4>6492</vt:i4>
  </property>
  <property fmtid="{D5CDD505-2E9C-101B-9397-08002B2CF9AE}" pid="5" name="CommencementDate">
    <vt:lpwstr>20181212</vt:lpwstr>
  </property>
  <property fmtid="{D5CDD505-2E9C-101B-9397-08002B2CF9AE}" pid="6" name="AsAtDate">
    <vt:lpwstr>12 Dec 2018</vt:lpwstr>
  </property>
  <property fmtid="{D5CDD505-2E9C-101B-9397-08002B2CF9AE}" pid="7" name="Suffix">
    <vt:lpwstr>00-d0-00</vt:lpwstr>
  </property>
</Properties>
</file>