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Wagering Legislation Amendment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Legislation Amendment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_Toc532539747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_Toc532539748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Betting Control Act 1954</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_Toc532539750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_Toc532539751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4B amended</w:t>
      </w:r>
      <w:r>
        <w:tab/>
      </w:r>
      <w:r>
        <w:fldChar w:fldCharType="begin"/>
      </w:r>
      <w:r>
        <w:instrText xml:space="preserve"> PAGEREF _Toc532539752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5 amended</w:t>
      </w:r>
      <w:r>
        <w:tab/>
      </w:r>
      <w:r>
        <w:fldChar w:fldCharType="begin"/>
      </w:r>
      <w:r>
        <w:instrText xml:space="preserve"> PAGEREF _Toc532539753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5A amended</w:t>
      </w:r>
      <w:r>
        <w:tab/>
      </w:r>
      <w:r>
        <w:fldChar w:fldCharType="begin"/>
      </w:r>
      <w:r>
        <w:instrText xml:space="preserve"> PAGEREF _Toc532539754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11F amended</w:t>
      </w:r>
      <w:r>
        <w:tab/>
      </w:r>
      <w:r>
        <w:fldChar w:fldCharType="begin"/>
      </w:r>
      <w:r>
        <w:instrText xml:space="preserve"> PAGEREF _Toc532539755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14A amended</w:t>
      </w:r>
      <w:r>
        <w:tab/>
      </w:r>
      <w:r>
        <w:fldChar w:fldCharType="begin"/>
      </w:r>
      <w:r>
        <w:instrText xml:space="preserve"> PAGEREF _Toc532539756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24 amended</w:t>
      </w:r>
      <w:r>
        <w:tab/>
      </w:r>
      <w:r>
        <w:fldChar w:fldCharType="begin"/>
      </w:r>
      <w:r>
        <w:instrText xml:space="preserve"> PAGEREF _Toc532539757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26C amended</w:t>
      </w:r>
      <w:r>
        <w:tab/>
      </w:r>
      <w:r>
        <w:fldChar w:fldCharType="begin"/>
      </w:r>
      <w:r>
        <w:instrText xml:space="preserve"> PAGEREF _Toc532539758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27A amended</w:t>
      </w:r>
      <w:r>
        <w:tab/>
      </w:r>
      <w:r>
        <w:fldChar w:fldCharType="begin"/>
      </w:r>
      <w:r>
        <w:instrText xml:space="preserve"> PAGEREF _Toc532539759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31 amended</w:t>
      </w:r>
      <w:r>
        <w:tab/>
      </w:r>
      <w:r>
        <w:fldChar w:fldCharType="begin"/>
      </w:r>
      <w:r>
        <w:instrText xml:space="preserve"> PAGEREF _Toc532539760 \h </w:instrText>
      </w:r>
      <w:r>
        <w:fldChar w:fldCharType="separate"/>
      </w:r>
      <w:r>
        <w:t>9</w:t>
      </w:r>
      <w:r>
        <w:fldChar w:fldCharType="end"/>
      </w:r>
    </w:p>
    <w:p>
      <w:pPr>
        <w:pStyle w:val="TOC8"/>
        <w:rPr>
          <w:rFonts w:asciiTheme="minorHAnsi" w:eastAsiaTheme="minorEastAsia" w:hAnsiTheme="minorHAnsi" w:cstheme="minorBidi"/>
          <w:szCs w:val="22"/>
        </w:rPr>
      </w:pPr>
      <w:r>
        <w:t>14.</w:t>
      </w:r>
      <w:r>
        <w:tab/>
        <w:t>Section 33 amended</w:t>
      </w:r>
      <w:r>
        <w:tab/>
      </w:r>
      <w:r>
        <w:fldChar w:fldCharType="begin"/>
      </w:r>
      <w:r>
        <w:instrText xml:space="preserve"> PAGEREF _Toc532539761 \h </w:instrText>
      </w:r>
      <w:r>
        <w:fldChar w:fldCharType="separate"/>
      </w:r>
      <w:r>
        <w:t>9</w:t>
      </w:r>
      <w:r>
        <w:fldChar w:fldCharType="end"/>
      </w:r>
    </w:p>
    <w:p>
      <w:pPr>
        <w:pStyle w:val="TOC8"/>
        <w:rPr>
          <w:rFonts w:asciiTheme="minorHAnsi" w:eastAsiaTheme="minorEastAsia" w:hAnsiTheme="minorHAnsi" w:cstheme="minorBidi"/>
          <w:szCs w:val="22"/>
        </w:rPr>
      </w:pPr>
      <w:r>
        <w:t>15.</w:t>
      </w:r>
      <w:r>
        <w:tab/>
        <w:t>Various penalties amended</w:t>
      </w:r>
      <w:r>
        <w:tab/>
      </w:r>
      <w:r>
        <w:fldChar w:fldCharType="begin"/>
      </w:r>
      <w:r>
        <w:instrText xml:space="preserve"> PAGEREF _Toc532539762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Gaming and Wagering Commission Act 1987</w:t>
      </w:r>
      <w:r>
        <w:t xml:space="preserve"> amended</w:t>
      </w:r>
    </w:p>
    <w:p>
      <w:pPr>
        <w:pStyle w:val="TOC8"/>
        <w:rPr>
          <w:rFonts w:asciiTheme="minorHAnsi" w:eastAsiaTheme="minorEastAsia" w:hAnsiTheme="minorHAnsi" w:cstheme="minorBidi"/>
          <w:szCs w:val="22"/>
        </w:rPr>
      </w:pPr>
      <w:r>
        <w:t>16</w:t>
      </w:r>
      <w:r>
        <w:rPr>
          <w:snapToGrid w:val="0"/>
        </w:rPr>
        <w:t>.</w:t>
      </w:r>
      <w:r>
        <w:rPr>
          <w:snapToGrid w:val="0"/>
        </w:rPr>
        <w:tab/>
        <w:t>Act amended</w:t>
      </w:r>
      <w:r>
        <w:tab/>
      </w:r>
      <w:r>
        <w:fldChar w:fldCharType="begin"/>
      </w:r>
      <w:r>
        <w:instrText xml:space="preserve"> PAGEREF _Toc532539764 \h </w:instrText>
      </w:r>
      <w:r>
        <w:fldChar w:fldCharType="separate"/>
      </w:r>
      <w:r>
        <w:t>11</w:t>
      </w:r>
      <w:r>
        <w:fldChar w:fldCharType="end"/>
      </w:r>
    </w:p>
    <w:p>
      <w:pPr>
        <w:pStyle w:val="TOC8"/>
        <w:rPr>
          <w:rFonts w:asciiTheme="minorHAnsi" w:eastAsiaTheme="minorEastAsia" w:hAnsiTheme="minorHAnsi" w:cstheme="minorBidi"/>
          <w:szCs w:val="22"/>
        </w:rPr>
      </w:pPr>
      <w:r>
        <w:t>17.</w:t>
      </w:r>
      <w:r>
        <w:tab/>
        <w:t>Section 3 amended</w:t>
      </w:r>
      <w:r>
        <w:tab/>
      </w:r>
      <w:r>
        <w:fldChar w:fldCharType="begin"/>
      </w:r>
      <w:r>
        <w:instrText xml:space="preserve"> PAGEREF _Toc532539765 \h </w:instrText>
      </w:r>
      <w:r>
        <w:fldChar w:fldCharType="separate"/>
      </w:r>
      <w:r>
        <w:t>11</w:t>
      </w:r>
      <w:r>
        <w:fldChar w:fldCharType="end"/>
      </w:r>
    </w:p>
    <w:p>
      <w:pPr>
        <w:pStyle w:val="TOC8"/>
        <w:rPr>
          <w:rFonts w:asciiTheme="minorHAnsi" w:eastAsiaTheme="minorEastAsia" w:hAnsiTheme="minorHAnsi" w:cstheme="minorBidi"/>
          <w:szCs w:val="22"/>
        </w:rPr>
      </w:pPr>
      <w:r>
        <w:t>18.</w:t>
      </w:r>
      <w:r>
        <w:tab/>
        <w:t>Section 8 amended</w:t>
      </w:r>
      <w:r>
        <w:tab/>
      </w:r>
      <w:r>
        <w:fldChar w:fldCharType="begin"/>
      </w:r>
      <w:r>
        <w:instrText xml:space="preserve"> PAGEREF _Toc532539766 \h </w:instrText>
      </w:r>
      <w:r>
        <w:fldChar w:fldCharType="separate"/>
      </w:r>
      <w:r>
        <w:t>12</w:t>
      </w:r>
      <w:r>
        <w:fldChar w:fldCharType="end"/>
      </w:r>
    </w:p>
    <w:p>
      <w:pPr>
        <w:pStyle w:val="TOC8"/>
        <w:rPr>
          <w:rFonts w:asciiTheme="minorHAnsi" w:eastAsiaTheme="minorEastAsia" w:hAnsiTheme="minorHAnsi" w:cstheme="minorBidi"/>
          <w:szCs w:val="22"/>
        </w:rPr>
      </w:pPr>
      <w:r>
        <w:t>19.</w:t>
      </w:r>
      <w:r>
        <w:tab/>
        <w:t>Section 43A amended</w:t>
      </w:r>
      <w:r>
        <w:tab/>
      </w:r>
      <w:r>
        <w:fldChar w:fldCharType="begin"/>
      </w:r>
      <w:r>
        <w:instrText xml:space="preserve"> PAGEREF _Toc532539767 \h </w:instrText>
      </w:r>
      <w:r>
        <w:fldChar w:fldCharType="separate"/>
      </w:r>
      <w:r>
        <w:t>12</w:t>
      </w:r>
      <w:r>
        <w:fldChar w:fldCharType="end"/>
      </w:r>
    </w:p>
    <w:p>
      <w:pPr>
        <w:pStyle w:val="TOC8"/>
        <w:rPr>
          <w:rFonts w:asciiTheme="minorHAnsi" w:eastAsiaTheme="minorEastAsia" w:hAnsiTheme="minorHAnsi" w:cstheme="minorBidi"/>
          <w:szCs w:val="22"/>
        </w:rPr>
      </w:pPr>
      <w:r>
        <w:t>20.</w:t>
      </w:r>
      <w:r>
        <w:tab/>
        <w:t>Section 81 amended</w:t>
      </w:r>
      <w:r>
        <w:tab/>
      </w:r>
      <w:r>
        <w:fldChar w:fldCharType="begin"/>
      </w:r>
      <w:r>
        <w:instrText xml:space="preserve"> PAGEREF _Toc532539768 \h </w:instrText>
      </w:r>
      <w:r>
        <w:fldChar w:fldCharType="separate"/>
      </w:r>
      <w:r>
        <w:t>12</w:t>
      </w:r>
      <w:r>
        <w:fldChar w:fldCharType="end"/>
      </w:r>
    </w:p>
    <w:p>
      <w:pPr>
        <w:pStyle w:val="TOC8"/>
        <w:rPr>
          <w:rFonts w:asciiTheme="minorHAnsi" w:eastAsiaTheme="minorEastAsia" w:hAnsiTheme="minorHAnsi" w:cstheme="minorBidi"/>
          <w:szCs w:val="22"/>
        </w:rPr>
      </w:pPr>
      <w:r>
        <w:t>21.</w:t>
      </w:r>
      <w:r>
        <w:tab/>
        <w:t>Part V Division 5A inserted</w:t>
      </w:r>
      <w:r>
        <w:tab/>
      </w:r>
      <w:r>
        <w:fldChar w:fldCharType="begin"/>
      </w:r>
      <w:r>
        <w:instrText xml:space="preserve"> PAGEREF _Toc532539769 \h </w:instrText>
      </w:r>
      <w:r>
        <w:fldChar w:fldCharType="separate"/>
      </w:r>
      <w:r>
        <w:t>12</w:t>
      </w:r>
      <w:r>
        <w:fldChar w:fldCharType="end"/>
      </w:r>
    </w:p>
    <w:p>
      <w:pPr>
        <w:pStyle w:val="TOC5"/>
        <w:tabs>
          <w:tab w:val="right" w:leader="dot" w:pos="7077"/>
        </w:tabs>
        <w:rPr>
          <w:rFonts w:asciiTheme="minorHAnsi" w:eastAsiaTheme="minorEastAsia" w:hAnsiTheme="minorHAnsi" w:cstheme="minorBidi"/>
          <w:b w:val="0"/>
          <w:sz w:val="22"/>
          <w:szCs w:val="22"/>
        </w:rPr>
      </w:pPr>
      <w:r>
        <w:t>Division 5A — Remote gambling devices</w:t>
      </w:r>
    </w:p>
    <w:p>
      <w:pPr>
        <w:pStyle w:val="TOC9"/>
        <w:rPr>
          <w:rFonts w:asciiTheme="minorHAnsi" w:eastAsiaTheme="minorEastAsia" w:hAnsiTheme="minorHAnsi" w:cstheme="minorBidi"/>
          <w:noProof/>
          <w:sz w:val="22"/>
          <w:szCs w:val="22"/>
        </w:rPr>
      </w:pPr>
      <w:r>
        <w:rPr>
          <w:noProof/>
        </w:rPr>
        <w:t>93A.</w:t>
      </w:r>
      <w:r>
        <w:rPr>
          <w:noProof/>
        </w:rPr>
        <w:tab/>
        <w:t>Terms used</w:t>
      </w:r>
      <w:r>
        <w:rPr>
          <w:noProof/>
        </w:rPr>
        <w:tab/>
      </w:r>
      <w:r>
        <w:rPr>
          <w:noProof/>
        </w:rPr>
        <w:fldChar w:fldCharType="begin"/>
      </w:r>
      <w:r>
        <w:rPr>
          <w:noProof/>
        </w:rPr>
        <w:instrText xml:space="preserve"> PAGEREF _Toc532539771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93B.</w:t>
      </w:r>
      <w:r>
        <w:rPr>
          <w:noProof/>
        </w:rPr>
        <w:tab/>
        <w:t>Offences relating to remote gambling devices</w:t>
      </w:r>
      <w:r>
        <w:rPr>
          <w:noProof/>
        </w:rPr>
        <w:tab/>
      </w:r>
      <w:r>
        <w:rPr>
          <w:noProof/>
        </w:rPr>
        <w:fldChar w:fldCharType="begin"/>
      </w:r>
      <w:r>
        <w:rPr>
          <w:noProof/>
        </w:rPr>
        <w:instrText xml:space="preserve"> PAGEREF _Toc532539772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22.</w:t>
      </w:r>
      <w:r>
        <w:tab/>
        <w:t>Section 101 amended</w:t>
      </w:r>
      <w:r>
        <w:tab/>
      </w:r>
      <w:r>
        <w:fldChar w:fldCharType="begin"/>
      </w:r>
      <w:r>
        <w:instrText xml:space="preserve"> PAGEREF _Toc532539773 \h </w:instrText>
      </w:r>
      <w:r>
        <w:fldChar w:fldCharType="separate"/>
      </w:r>
      <w:r>
        <w:t>13</w:t>
      </w:r>
      <w:r>
        <w:fldChar w:fldCharType="end"/>
      </w:r>
    </w:p>
    <w:p>
      <w:pPr>
        <w:pStyle w:val="TOC8"/>
        <w:rPr>
          <w:rFonts w:asciiTheme="minorHAnsi" w:eastAsiaTheme="minorEastAsia" w:hAnsiTheme="minorHAnsi" w:cstheme="minorBidi"/>
          <w:szCs w:val="22"/>
        </w:rPr>
      </w:pPr>
      <w:r>
        <w:t>23.</w:t>
      </w:r>
      <w:r>
        <w:tab/>
        <w:t>Section 107 amended</w:t>
      </w:r>
      <w:r>
        <w:tab/>
      </w:r>
      <w:r>
        <w:fldChar w:fldCharType="begin"/>
      </w:r>
      <w:r>
        <w:instrText xml:space="preserve"> PAGEREF _Toc532539774 \h </w:instrText>
      </w:r>
      <w:r>
        <w:fldChar w:fldCharType="separate"/>
      </w:r>
      <w:r>
        <w:t>14</w:t>
      </w:r>
      <w:r>
        <w:fldChar w:fldCharType="end"/>
      </w:r>
    </w:p>
    <w:p>
      <w:pPr>
        <w:pStyle w:val="TOC8"/>
        <w:rPr>
          <w:rFonts w:asciiTheme="minorHAnsi" w:eastAsiaTheme="minorEastAsia" w:hAnsiTheme="minorHAnsi" w:cstheme="minorBidi"/>
          <w:szCs w:val="22"/>
        </w:rPr>
      </w:pPr>
      <w:r>
        <w:t>24.</w:t>
      </w:r>
      <w:r>
        <w:tab/>
        <w:t>Section 109D amended</w:t>
      </w:r>
      <w:r>
        <w:tab/>
      </w:r>
      <w:r>
        <w:fldChar w:fldCharType="begin"/>
      </w:r>
      <w:r>
        <w:instrText xml:space="preserve"> PAGEREF _Toc532539775 \h </w:instrText>
      </w:r>
      <w:r>
        <w:fldChar w:fldCharType="separate"/>
      </w:r>
      <w:r>
        <w:t>14</w:t>
      </w:r>
      <w:r>
        <w:fldChar w:fldCharType="end"/>
      </w:r>
    </w:p>
    <w:p>
      <w:pPr>
        <w:pStyle w:val="TOC8"/>
        <w:rPr>
          <w:rFonts w:asciiTheme="minorHAnsi" w:eastAsiaTheme="minorEastAsia" w:hAnsiTheme="minorHAnsi" w:cstheme="minorBidi"/>
          <w:szCs w:val="22"/>
        </w:rPr>
      </w:pPr>
      <w:r>
        <w:t>25.</w:t>
      </w:r>
      <w:r>
        <w:tab/>
        <w:t>Various penalties amended</w:t>
      </w:r>
      <w:r>
        <w:tab/>
      </w:r>
      <w:r>
        <w:fldChar w:fldCharType="begin"/>
      </w:r>
      <w:r>
        <w:instrText xml:space="preserve"> PAGEREF _Toc532539776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1046480</wp:posOffset>
            </wp:positionV>
            <wp:extent cx="648000" cy="415636"/>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5636"/>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Gaming and Wagering Legislation Amendment Act 2018</w:t>
      </w:r>
    </w:p>
    <w:p>
      <w:pPr>
        <w:pStyle w:val="ABillFor"/>
        <w:pBdr>
          <w:top w:val="single" w:sz="4" w:space="6" w:color="auto"/>
          <w:bottom w:val="single" w:sz="4" w:space="6" w:color="auto"/>
        </w:pBdr>
        <w:spacing w:before="0" w:after="240"/>
        <w:ind w:left="2551" w:right="2551"/>
      </w:pPr>
      <w:bookmarkStart w:id="3" w:name="BillCited"/>
      <w:bookmarkEnd w:id="3"/>
      <w:r>
        <w:t>No. 41 of 2018</w:t>
      </w:r>
    </w:p>
    <w:p>
      <w:pPr>
        <w:pStyle w:val="LongTitle"/>
        <w:suppressLineNumbers/>
      </w:pPr>
      <w:r>
        <w:t xml:space="preserve">An Act to amend the </w:t>
      </w:r>
      <w:r>
        <w:rPr>
          <w:i/>
        </w:rPr>
        <w:t>Betting Control Act 1954</w:t>
      </w:r>
      <w:r>
        <w:t xml:space="preserve"> and the </w:t>
      </w:r>
      <w:r>
        <w:rPr>
          <w:i/>
        </w:rPr>
        <w:t>Gaming and Wagering Commission Act 1987</w:t>
      </w:r>
      <w:r>
        <w:t>.</w:t>
      </w:r>
    </w:p>
    <w:p>
      <w:pPr>
        <w:pStyle w:val="AssentNote"/>
      </w:pPr>
      <w:r>
        <w:t>[Assented to 12 December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2628526"/>
      <w:bookmarkStart w:id="5" w:name="_Toc522628557"/>
      <w:bookmarkStart w:id="6" w:name="_Toc522633961"/>
      <w:bookmarkStart w:id="7" w:name="_Toc523226588"/>
      <w:bookmarkStart w:id="8" w:name="_Toc527568488"/>
      <w:bookmarkStart w:id="9" w:name="_Toc531769756"/>
      <w:bookmarkStart w:id="10" w:name="_Toc532383883"/>
      <w:bookmarkStart w:id="11" w:name="_Toc532396506"/>
      <w:bookmarkStart w:id="12" w:name="_Toc53253974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532383884"/>
      <w:bookmarkStart w:id="14" w:name="_Toc532396507"/>
      <w:bookmarkStart w:id="15" w:name="_Toc532539747"/>
      <w:r>
        <w:rPr>
          <w:rStyle w:val="CharSectno"/>
        </w:rPr>
        <w:t>1</w:t>
      </w:r>
      <w:r>
        <w:t>.</w:t>
      </w:r>
      <w:r>
        <w:tab/>
        <w:t>Short title</w:t>
      </w:r>
      <w:bookmarkEnd w:id="13"/>
      <w:bookmarkEnd w:id="14"/>
      <w:bookmarkEnd w:id="15"/>
    </w:p>
    <w:p>
      <w:pPr>
        <w:pStyle w:val="Subsection"/>
      </w:pPr>
      <w:r>
        <w:tab/>
      </w:r>
      <w:r>
        <w:tab/>
        <w:t>This is the</w:t>
      </w:r>
      <w:r>
        <w:rPr>
          <w:i/>
        </w:rPr>
        <w:t xml:space="preserve"> Gaming and Wagering Legislation Amendment Act 2018</w:t>
      </w:r>
      <w:r>
        <w:t>.</w:t>
      </w:r>
    </w:p>
    <w:p>
      <w:pPr>
        <w:pStyle w:val="Heading5"/>
      </w:pPr>
      <w:bookmarkStart w:id="16" w:name="_Toc532383885"/>
      <w:bookmarkStart w:id="17" w:name="_Toc532396508"/>
      <w:bookmarkStart w:id="18" w:name="_Toc532539748"/>
      <w:r>
        <w:rPr>
          <w:rStyle w:val="CharSectno"/>
        </w:rPr>
        <w:t>2</w:t>
      </w:r>
      <w:r>
        <w:t>.</w:t>
      </w:r>
      <w:r>
        <w:tab/>
        <w:t>Commencement</w:t>
      </w:r>
      <w:bookmarkEnd w:id="16"/>
      <w:bookmarkEnd w:id="17"/>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9" w:name="_Toc522628529"/>
      <w:bookmarkStart w:id="20" w:name="_Toc522628560"/>
      <w:bookmarkStart w:id="21" w:name="_Toc522633964"/>
      <w:bookmarkStart w:id="22" w:name="_Toc523226591"/>
      <w:bookmarkStart w:id="23" w:name="_Toc527568491"/>
      <w:bookmarkStart w:id="24" w:name="_Toc531769759"/>
      <w:bookmarkStart w:id="25" w:name="_Toc532383886"/>
      <w:bookmarkStart w:id="26" w:name="_Toc532396509"/>
      <w:bookmarkStart w:id="27" w:name="_Toc532539749"/>
      <w:r>
        <w:rPr>
          <w:rStyle w:val="CharPartNo"/>
        </w:rPr>
        <w:t>Part 2</w:t>
      </w:r>
      <w:r>
        <w:rPr>
          <w:rStyle w:val="CharDivNo"/>
        </w:rPr>
        <w:t> </w:t>
      </w:r>
      <w:r>
        <w:t>—</w:t>
      </w:r>
      <w:r>
        <w:rPr>
          <w:rStyle w:val="CharDivText"/>
        </w:rPr>
        <w:t> </w:t>
      </w:r>
      <w:r>
        <w:rPr>
          <w:rStyle w:val="CharPartText"/>
          <w:i/>
        </w:rPr>
        <w:t>Betting Control Act 1954</w:t>
      </w:r>
      <w:r>
        <w:rPr>
          <w:rStyle w:val="CharPartText"/>
        </w:rPr>
        <w:t xml:space="preserve"> amended</w:t>
      </w:r>
      <w:bookmarkEnd w:id="19"/>
      <w:bookmarkEnd w:id="20"/>
      <w:bookmarkEnd w:id="21"/>
      <w:bookmarkEnd w:id="22"/>
      <w:bookmarkEnd w:id="23"/>
      <w:bookmarkEnd w:id="24"/>
      <w:bookmarkEnd w:id="25"/>
      <w:bookmarkEnd w:id="26"/>
      <w:bookmarkEnd w:id="27"/>
    </w:p>
    <w:p>
      <w:pPr>
        <w:pStyle w:val="Heading5"/>
        <w:rPr>
          <w:snapToGrid w:val="0"/>
        </w:rPr>
      </w:pPr>
      <w:bookmarkStart w:id="28" w:name="_Toc532383887"/>
      <w:bookmarkStart w:id="29" w:name="_Toc532396510"/>
      <w:bookmarkStart w:id="30" w:name="_Toc532539750"/>
      <w:r>
        <w:rPr>
          <w:rStyle w:val="CharSectno"/>
        </w:rPr>
        <w:t>3</w:t>
      </w:r>
      <w:r>
        <w:rPr>
          <w:snapToGrid w:val="0"/>
        </w:rPr>
        <w:t>.</w:t>
      </w:r>
      <w:r>
        <w:rPr>
          <w:snapToGrid w:val="0"/>
        </w:rPr>
        <w:tab/>
        <w:t>Act amended</w:t>
      </w:r>
      <w:bookmarkEnd w:id="28"/>
      <w:bookmarkEnd w:id="29"/>
      <w:bookmarkEnd w:id="30"/>
    </w:p>
    <w:p>
      <w:pPr>
        <w:pStyle w:val="Subsection"/>
      </w:pPr>
      <w:r>
        <w:tab/>
      </w:r>
      <w:r>
        <w:tab/>
        <w:t xml:space="preserve">This Part amends the </w:t>
      </w:r>
      <w:r>
        <w:rPr>
          <w:i/>
        </w:rPr>
        <w:t>Betting Control Act 1954</w:t>
      </w:r>
      <w:r>
        <w:t>.</w:t>
      </w:r>
    </w:p>
    <w:p>
      <w:pPr>
        <w:pStyle w:val="Heading5"/>
      </w:pPr>
      <w:bookmarkStart w:id="31" w:name="_Toc532383888"/>
      <w:bookmarkStart w:id="32" w:name="_Toc532396511"/>
      <w:bookmarkStart w:id="33" w:name="_Toc532539751"/>
      <w:r>
        <w:rPr>
          <w:rStyle w:val="CharSectno"/>
        </w:rPr>
        <w:t>4</w:t>
      </w:r>
      <w:r>
        <w:t>.</w:t>
      </w:r>
      <w:r>
        <w:tab/>
        <w:t>Section 4 amended</w:t>
      </w:r>
      <w:bookmarkEnd w:id="31"/>
      <w:bookmarkEnd w:id="32"/>
      <w:bookmarkEnd w:id="33"/>
    </w:p>
    <w:p>
      <w:pPr>
        <w:pStyle w:val="Subsection"/>
      </w:pPr>
      <w:r>
        <w:tab/>
        <w:t>(1)</w:t>
      </w:r>
      <w:r>
        <w:tab/>
        <w:t xml:space="preserve">In section 4(1) delete the definition of </w:t>
      </w:r>
      <w:r>
        <w:rPr>
          <w:b/>
          <w:i/>
        </w:rPr>
        <w:t>machine</w:t>
      </w:r>
      <w:r>
        <w:t>.</w:t>
      </w:r>
    </w:p>
    <w:p>
      <w:pPr>
        <w:pStyle w:val="Subsection"/>
      </w:pPr>
      <w:r>
        <w:tab/>
        <w:t>(2)</w:t>
      </w:r>
      <w:r>
        <w:tab/>
        <w:t>In section 4(1) insert in alphabetical order:</w:t>
      </w:r>
    </w:p>
    <w:p>
      <w:pPr>
        <w:pStyle w:val="BlankOpen"/>
      </w:pPr>
    </w:p>
    <w:p>
      <w:pPr>
        <w:pStyle w:val="zDefstart"/>
      </w:pPr>
      <w:r>
        <w:tab/>
      </w:r>
      <w:r>
        <w:rPr>
          <w:rStyle w:val="CharDefText"/>
        </w:rPr>
        <w:t>contingency</w:t>
      </w:r>
      <w:r>
        <w:t xml:space="preserve"> means a contingency relating to an event;</w:t>
      </w:r>
    </w:p>
    <w:p>
      <w:pPr>
        <w:pStyle w:val="zDefstart"/>
      </w:pPr>
      <w:r>
        <w:tab/>
      </w:r>
      <w:r>
        <w:rPr>
          <w:rStyle w:val="CharDefText"/>
        </w:rPr>
        <w:t>event</w:t>
      </w:r>
      <w:r>
        <w:t xml:space="preserve"> means a race or other event, whether or not of a sporting nature;</w:t>
      </w:r>
    </w:p>
    <w:p>
      <w:pPr>
        <w:pStyle w:val="zDefstart"/>
      </w:pPr>
      <w:r>
        <w:rPr>
          <w:b/>
        </w:rPr>
        <w:tab/>
      </w:r>
      <w:r>
        <w:rPr>
          <w:rStyle w:val="CharDefText"/>
        </w:rPr>
        <w:t>machine</w:t>
      </w:r>
      <w:r>
        <w:t xml:space="preserve"> has the meaning given in the </w:t>
      </w:r>
      <w:r>
        <w:rPr>
          <w:i/>
        </w:rPr>
        <w:t>Gaming and Wagering Commission Act 1987</w:t>
      </w:r>
      <w:r>
        <w:t xml:space="preserve"> section 3(1);</w:t>
      </w:r>
    </w:p>
    <w:p>
      <w:pPr>
        <w:pStyle w:val="zDefstart"/>
      </w:pPr>
      <w:r>
        <w:tab/>
      </w:r>
      <w:r>
        <w:rPr>
          <w:rStyle w:val="CharDefText"/>
        </w:rPr>
        <w:t>prohibited event or contingency</w:t>
      </w:r>
      <w:r>
        <w:t xml:space="preserve"> means an event or contingency, or an event or contingency of a class, prescribed for the purposes of this definition;</w:t>
      </w:r>
    </w:p>
    <w:p>
      <w:pPr>
        <w:pStyle w:val="BlankClose"/>
      </w:pPr>
    </w:p>
    <w:p>
      <w:pPr>
        <w:pStyle w:val="Subsection"/>
      </w:pPr>
      <w:r>
        <w:tab/>
        <w:t>(3)</w:t>
      </w:r>
      <w:r>
        <w:tab/>
        <w:t xml:space="preserve">In section 4(1) in the definition of </w:t>
      </w:r>
      <w:r>
        <w:rPr>
          <w:b/>
          <w:i/>
        </w:rPr>
        <w:t>betting material</w:t>
      </w:r>
      <w:r>
        <w:t xml:space="preserve"> paragraph (a) delete “sporting” and insert:</w:t>
      </w:r>
    </w:p>
    <w:p>
      <w:pPr>
        <w:pStyle w:val="BlankOpen"/>
      </w:pPr>
    </w:p>
    <w:p>
      <w:pPr>
        <w:pStyle w:val="Subsection"/>
      </w:pPr>
      <w:r>
        <w:tab/>
      </w:r>
      <w:r>
        <w:tab/>
        <w:t xml:space="preserve">other </w:t>
      </w:r>
    </w:p>
    <w:p>
      <w:pPr>
        <w:pStyle w:val="BlankClose"/>
      </w:pPr>
    </w:p>
    <w:p>
      <w:pPr>
        <w:pStyle w:val="Subsection"/>
      </w:pPr>
      <w:r>
        <w:tab/>
        <w:t>(4)</w:t>
      </w:r>
      <w:r>
        <w:tab/>
        <w:t xml:space="preserve">In section 4(1) in the definition of </w:t>
      </w:r>
      <w:r>
        <w:rPr>
          <w:b/>
          <w:i/>
        </w:rPr>
        <w:t>offshore betting operator</w:t>
      </w:r>
      <w:r>
        <w:t xml:space="preserve"> delete “races or sporting”.</w:t>
      </w:r>
    </w:p>
    <w:p>
      <w:pPr>
        <w:pStyle w:val="Subsection"/>
      </w:pPr>
      <w:r>
        <w:tab/>
        <w:t>(5)</w:t>
      </w:r>
      <w:r>
        <w:tab/>
        <w:t xml:space="preserve">In section 4(1) in the definition of </w:t>
      </w:r>
      <w:r>
        <w:rPr>
          <w:b/>
          <w:i/>
        </w:rPr>
        <w:t>to bet</w:t>
      </w:r>
      <w:r>
        <w:t xml:space="preserve"> paragraph (a) delete “race or any sporting”.</w:t>
      </w:r>
    </w:p>
    <w:p>
      <w:pPr>
        <w:pStyle w:val="Subsection"/>
        <w:keepNext/>
      </w:pPr>
      <w:r>
        <w:tab/>
        <w:t>(6)</w:t>
      </w:r>
      <w:r>
        <w:tab/>
        <w:t xml:space="preserve">In section 4(1) in the definition of </w:t>
      </w:r>
      <w:r>
        <w:rPr>
          <w:b/>
          <w:i/>
        </w:rPr>
        <w:t>totalisator agency</w:t>
      </w:r>
      <w:r>
        <w:t xml:space="preserve"> delete “a race or sporting” and insert:</w:t>
      </w:r>
    </w:p>
    <w:p>
      <w:pPr>
        <w:pStyle w:val="BlankOpen"/>
      </w:pPr>
    </w:p>
    <w:p>
      <w:pPr>
        <w:pStyle w:val="Subsection"/>
        <w:keepNext/>
      </w:pPr>
      <w:r>
        <w:tab/>
      </w:r>
      <w:r>
        <w:tab/>
        <w:t xml:space="preserve">an </w:t>
      </w:r>
    </w:p>
    <w:p>
      <w:pPr>
        <w:pStyle w:val="BlankClose"/>
      </w:pPr>
    </w:p>
    <w:p>
      <w:pPr>
        <w:pStyle w:val="Heading5"/>
      </w:pPr>
      <w:bookmarkStart w:id="34" w:name="_Toc532383889"/>
      <w:bookmarkStart w:id="35" w:name="_Toc532396512"/>
      <w:bookmarkStart w:id="36" w:name="_Toc532539752"/>
      <w:r>
        <w:rPr>
          <w:rStyle w:val="CharSectno"/>
        </w:rPr>
        <w:t>5</w:t>
      </w:r>
      <w:r>
        <w:t>.</w:t>
      </w:r>
      <w:r>
        <w:tab/>
        <w:t>Section 4B amended</w:t>
      </w:r>
      <w:bookmarkEnd w:id="34"/>
      <w:bookmarkEnd w:id="35"/>
      <w:bookmarkEnd w:id="36"/>
    </w:p>
    <w:p>
      <w:pPr>
        <w:pStyle w:val="Subsection"/>
      </w:pPr>
      <w:r>
        <w:tab/>
        <w:t>(1)</w:t>
      </w:r>
      <w:r>
        <w:tab/>
        <w:t>In section 4B(1) delete “a sporting” and insert:</w:t>
      </w:r>
    </w:p>
    <w:p>
      <w:pPr>
        <w:pStyle w:val="BlankOpen"/>
      </w:pPr>
    </w:p>
    <w:p>
      <w:pPr>
        <w:pStyle w:val="Subsection"/>
      </w:pPr>
      <w:r>
        <w:tab/>
      </w:r>
      <w:r>
        <w:tab/>
        <w:t xml:space="preserve">an </w:t>
      </w:r>
    </w:p>
    <w:p>
      <w:pPr>
        <w:pStyle w:val="BlankClose"/>
      </w:pPr>
    </w:p>
    <w:p>
      <w:pPr>
        <w:pStyle w:val="Subsection"/>
      </w:pPr>
      <w:r>
        <w:tab/>
        <w:t>(2)</w:t>
      </w:r>
      <w:r>
        <w:tab/>
        <w:t>Delete section 4B(2) and insert:</w:t>
      </w:r>
    </w:p>
    <w:p>
      <w:pPr>
        <w:pStyle w:val="BlankOpen"/>
      </w:pPr>
    </w:p>
    <w:p>
      <w:pPr>
        <w:pStyle w:val="zSubsection"/>
      </w:pPr>
      <w:r>
        <w:tab/>
        <w:t>(2)</w:t>
      </w:r>
      <w:r>
        <w:tab/>
        <w:t xml:space="preserve">The Commission may approve bookmaking on or in relation to an event or a contingency, except a prohibited event or contingency. </w:t>
      </w:r>
    </w:p>
    <w:p>
      <w:pPr>
        <w:pStyle w:val="BlankClose"/>
      </w:pPr>
    </w:p>
    <w:p>
      <w:pPr>
        <w:pStyle w:val="Subsection"/>
      </w:pPr>
      <w:r>
        <w:tab/>
        <w:t>(3)</w:t>
      </w:r>
      <w:r>
        <w:tab/>
        <w:t>In section 4B(5) delete “sporting events” and insert:</w:t>
      </w:r>
    </w:p>
    <w:p>
      <w:pPr>
        <w:pStyle w:val="BlankOpen"/>
      </w:pPr>
    </w:p>
    <w:p>
      <w:pPr>
        <w:pStyle w:val="Subsection"/>
      </w:pPr>
      <w:r>
        <w:tab/>
      </w:r>
      <w:r>
        <w:tab/>
        <w:t xml:space="preserve">events other than races </w:t>
      </w:r>
    </w:p>
    <w:p>
      <w:pPr>
        <w:pStyle w:val="BlankClose"/>
      </w:pPr>
    </w:p>
    <w:p>
      <w:pPr>
        <w:pStyle w:val="SectAltNote"/>
      </w:pPr>
      <w:r>
        <w:tab/>
        <w:t>Note:</w:t>
      </w:r>
      <w:r>
        <w:tab/>
        <w:t>The heading to amended section 4B is to read:</w:t>
      </w:r>
    </w:p>
    <w:p>
      <w:pPr>
        <w:pStyle w:val="SectAltHeading"/>
      </w:pPr>
      <w:r>
        <w:rPr>
          <w:b w:val="0"/>
        </w:rPr>
        <w:tab/>
      </w:r>
      <w:r>
        <w:rPr>
          <w:b w:val="0"/>
        </w:rPr>
        <w:tab/>
      </w:r>
      <w:r>
        <w:t>Application of this Act to events</w:t>
      </w:r>
    </w:p>
    <w:p>
      <w:pPr>
        <w:pStyle w:val="Heading5"/>
      </w:pPr>
      <w:bookmarkStart w:id="37" w:name="_Toc532383890"/>
      <w:bookmarkStart w:id="38" w:name="_Toc532396513"/>
      <w:bookmarkStart w:id="39" w:name="_Toc532539753"/>
      <w:r>
        <w:rPr>
          <w:rStyle w:val="CharSectno"/>
        </w:rPr>
        <w:t>6</w:t>
      </w:r>
      <w:r>
        <w:t>.</w:t>
      </w:r>
      <w:r>
        <w:tab/>
        <w:t>Section 5 amended</w:t>
      </w:r>
      <w:bookmarkEnd w:id="37"/>
      <w:bookmarkEnd w:id="38"/>
      <w:bookmarkEnd w:id="39"/>
    </w:p>
    <w:p>
      <w:pPr>
        <w:pStyle w:val="Subsection"/>
      </w:pPr>
      <w:r>
        <w:tab/>
      </w:r>
      <w:r>
        <w:tab/>
        <w:t>In section 5(1)(b) delete “a sporting” and insert:</w:t>
      </w:r>
    </w:p>
    <w:p>
      <w:pPr>
        <w:pStyle w:val="BlankOpen"/>
      </w:pPr>
    </w:p>
    <w:p>
      <w:pPr>
        <w:pStyle w:val="Subsection"/>
      </w:pPr>
      <w:r>
        <w:tab/>
      </w:r>
      <w:r>
        <w:tab/>
        <w:t xml:space="preserve">an </w:t>
      </w:r>
    </w:p>
    <w:p>
      <w:pPr>
        <w:pStyle w:val="BlankClose"/>
      </w:pPr>
    </w:p>
    <w:p>
      <w:pPr>
        <w:pStyle w:val="Heading5"/>
      </w:pPr>
      <w:bookmarkStart w:id="40" w:name="_Toc532383891"/>
      <w:bookmarkStart w:id="41" w:name="_Toc532396514"/>
      <w:bookmarkStart w:id="42" w:name="_Toc532539754"/>
      <w:r>
        <w:rPr>
          <w:rStyle w:val="CharSectno"/>
        </w:rPr>
        <w:t>7</w:t>
      </w:r>
      <w:r>
        <w:t>.</w:t>
      </w:r>
      <w:r>
        <w:tab/>
        <w:t>Section 5A amended</w:t>
      </w:r>
      <w:bookmarkEnd w:id="40"/>
      <w:bookmarkEnd w:id="41"/>
      <w:bookmarkEnd w:id="42"/>
    </w:p>
    <w:p>
      <w:pPr>
        <w:pStyle w:val="Subsection"/>
        <w:keepNext/>
      </w:pPr>
      <w:r>
        <w:tab/>
      </w:r>
      <w:r>
        <w:tab/>
        <w:t>In section 5A:</w:t>
      </w:r>
    </w:p>
    <w:p>
      <w:pPr>
        <w:pStyle w:val="Indenta"/>
        <w:keepNext/>
      </w:pPr>
      <w:r>
        <w:tab/>
        <w:t>(a)</w:t>
      </w:r>
      <w:r>
        <w:tab/>
        <w:t>in paragraph (a) delete “event, including a sporting event,” and insert:</w:t>
      </w:r>
    </w:p>
    <w:p>
      <w:pPr>
        <w:pStyle w:val="BlankOpen"/>
      </w:pPr>
    </w:p>
    <w:p>
      <w:pPr>
        <w:pStyle w:val="Indenta"/>
      </w:pPr>
      <w:r>
        <w:tab/>
      </w:r>
      <w:r>
        <w:tab/>
        <w:t xml:space="preserve">event </w:t>
      </w:r>
    </w:p>
    <w:p>
      <w:pPr>
        <w:pStyle w:val="BlankClose"/>
      </w:pPr>
    </w:p>
    <w:p>
      <w:pPr>
        <w:pStyle w:val="Indenta"/>
      </w:pPr>
      <w:r>
        <w:tab/>
        <w:t>(b)</w:t>
      </w:r>
      <w:r>
        <w:tab/>
        <w:t>in paragraph (b) delete “race or sporting”.</w:t>
      </w:r>
    </w:p>
    <w:p>
      <w:pPr>
        <w:pStyle w:val="Heading5"/>
      </w:pPr>
      <w:bookmarkStart w:id="43" w:name="_Toc532383892"/>
      <w:bookmarkStart w:id="44" w:name="_Toc532396515"/>
      <w:bookmarkStart w:id="45" w:name="_Toc532539755"/>
      <w:r>
        <w:rPr>
          <w:rStyle w:val="CharSectno"/>
        </w:rPr>
        <w:t>8</w:t>
      </w:r>
      <w:r>
        <w:t>.</w:t>
      </w:r>
      <w:r>
        <w:tab/>
        <w:t>Section 11F amended</w:t>
      </w:r>
      <w:bookmarkEnd w:id="43"/>
      <w:bookmarkEnd w:id="44"/>
      <w:bookmarkEnd w:id="45"/>
    </w:p>
    <w:p>
      <w:pPr>
        <w:pStyle w:val="Subsection"/>
      </w:pPr>
      <w:r>
        <w:tab/>
        <w:t>(1)</w:t>
      </w:r>
      <w:r>
        <w:tab/>
        <w:t>At the end of section 11F(1) insert:</w:t>
      </w:r>
    </w:p>
    <w:p>
      <w:pPr>
        <w:pStyle w:val="BlankOpen"/>
      </w:pPr>
    </w:p>
    <w:p>
      <w:pPr>
        <w:pStyle w:val="zPenstart"/>
      </w:pPr>
      <w:r>
        <w:tab/>
        <w:t>Penalty for this subsection: a fine of $1 000.</w:t>
      </w:r>
    </w:p>
    <w:p>
      <w:pPr>
        <w:pStyle w:val="BlankClose"/>
      </w:pPr>
    </w:p>
    <w:p>
      <w:pPr>
        <w:pStyle w:val="Subsection"/>
      </w:pPr>
      <w:r>
        <w:tab/>
        <w:t>(2)</w:t>
      </w:r>
      <w:r>
        <w:tab/>
        <w:t>In section 11F(2) delete the Penalty and insert:</w:t>
      </w:r>
    </w:p>
    <w:p>
      <w:pPr>
        <w:pStyle w:val="BlankOpen"/>
      </w:pPr>
    </w:p>
    <w:p>
      <w:pPr>
        <w:pStyle w:val="zPenstart"/>
      </w:pPr>
      <w:r>
        <w:tab/>
        <w:t>Penalty for this subsection: a fine of $1 000.</w:t>
      </w:r>
    </w:p>
    <w:p>
      <w:pPr>
        <w:pStyle w:val="BlankClose"/>
      </w:pPr>
    </w:p>
    <w:p>
      <w:pPr>
        <w:pStyle w:val="Heading5"/>
      </w:pPr>
      <w:bookmarkStart w:id="46" w:name="_Toc532383893"/>
      <w:bookmarkStart w:id="47" w:name="_Toc532396516"/>
      <w:bookmarkStart w:id="48" w:name="_Toc532539756"/>
      <w:r>
        <w:rPr>
          <w:rStyle w:val="CharSectno"/>
        </w:rPr>
        <w:t>9</w:t>
      </w:r>
      <w:r>
        <w:t>.</w:t>
      </w:r>
      <w:r>
        <w:tab/>
        <w:t>Section 14A amended</w:t>
      </w:r>
      <w:bookmarkEnd w:id="46"/>
      <w:bookmarkEnd w:id="47"/>
      <w:bookmarkEnd w:id="48"/>
    </w:p>
    <w:p>
      <w:pPr>
        <w:pStyle w:val="Subsection"/>
      </w:pPr>
      <w:r>
        <w:tab/>
        <w:t>(1)</w:t>
      </w:r>
      <w:r>
        <w:tab/>
        <w:t>In section 14A(1) delete the definitions of:</w:t>
      </w:r>
    </w:p>
    <w:p>
      <w:pPr>
        <w:pStyle w:val="DeleteListSub"/>
        <w:rPr>
          <w:b/>
          <w:i/>
        </w:rPr>
      </w:pPr>
      <w:r>
        <w:rPr>
          <w:b/>
          <w:i/>
        </w:rPr>
        <w:t>gross revenue</w:t>
      </w:r>
    </w:p>
    <w:p>
      <w:pPr>
        <w:pStyle w:val="DeleteListSub"/>
        <w:rPr>
          <w:b/>
          <w:i/>
        </w:rPr>
      </w:pPr>
      <w:r>
        <w:rPr>
          <w:b/>
          <w:i/>
        </w:rPr>
        <w:t>turnover</w:t>
      </w:r>
    </w:p>
    <w:p>
      <w:pPr>
        <w:pStyle w:val="Subsection"/>
      </w:pPr>
      <w:r>
        <w:tab/>
        <w:t>(2)</w:t>
      </w:r>
      <w:r>
        <w:tab/>
        <w:t>In section 14A(1) insert in alphabetical order:</w:t>
      </w:r>
    </w:p>
    <w:p>
      <w:pPr>
        <w:pStyle w:val="BlankOpen"/>
      </w:pPr>
    </w:p>
    <w:p>
      <w:pPr>
        <w:pStyle w:val="zDefstart"/>
      </w:pPr>
      <w:r>
        <w:tab/>
      </w:r>
      <w:r>
        <w:rPr>
          <w:rStyle w:val="CharDefText"/>
        </w:rPr>
        <w:t>bet back</w:t>
      </w:r>
      <w:r>
        <w:t xml:space="preserve"> means a bet placed with a domestic betting operator, or the operator of a betting exchange, if the bet is placed — </w:t>
      </w:r>
    </w:p>
    <w:p>
      <w:pPr>
        <w:pStyle w:val="zDefpara"/>
      </w:pPr>
      <w:r>
        <w:tab/>
        <w:t>(a)</w:t>
      </w:r>
      <w:r>
        <w:tab/>
        <w:t>for the purpose of reducing the liability of another domestic betting operator; and</w:t>
      </w:r>
    </w:p>
    <w:p>
      <w:pPr>
        <w:pStyle w:val="zDefpara"/>
      </w:pPr>
      <w:r>
        <w:tab/>
        <w:t>(b)</w:t>
      </w:r>
      <w:r>
        <w:tab/>
        <w:t>by that other domestic betting operator;</w:t>
      </w:r>
    </w:p>
    <w:p>
      <w:pPr>
        <w:pStyle w:val="zDefstart"/>
        <w:keepNext/>
      </w:pPr>
      <w:r>
        <w:tab/>
      </w:r>
      <w:r>
        <w:rPr>
          <w:rStyle w:val="CharDefText"/>
        </w:rPr>
        <w:t>gross revenue</w:t>
      </w:r>
      <w:r>
        <w:t xml:space="preserve"> means — </w:t>
      </w:r>
    </w:p>
    <w:p>
      <w:pPr>
        <w:pStyle w:val="zDefpara"/>
      </w:pPr>
      <w:r>
        <w:tab/>
        <w:t>(a)</w:t>
      </w:r>
      <w:r>
        <w:tab/>
        <w:t xml:space="preserve">in relation to a domestic betting operator or offshore betting operator — the turnover of the operator, less any dividends to customers by the operator on racing bets; </w:t>
      </w:r>
    </w:p>
    <w:p>
      <w:pPr>
        <w:pStyle w:val="zDefpara"/>
      </w:pPr>
      <w:r>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p>
    <w:p>
      <w:pPr>
        <w:pStyle w:val="zDefstart"/>
      </w:pPr>
      <w:r>
        <w:tab/>
      </w:r>
      <w:r>
        <w:rPr>
          <w:rStyle w:val="CharDefText"/>
        </w:rPr>
        <w:t>turnover</w:t>
      </w:r>
      <w:r>
        <w:t xml:space="preserve"> means — </w:t>
      </w:r>
    </w:p>
    <w:p>
      <w:pPr>
        <w:pStyle w:val="zDefpara"/>
      </w:pPr>
      <w:r>
        <w:tab/>
        <w:t>(a)</w:t>
      </w:r>
      <w:r>
        <w:tab/>
        <w:t>in relation to a domestic betting operator or offshore betting operator — the total amount of racing bets placed with the operator, less the amount of bet backs placed by the operator;</w:t>
      </w:r>
    </w:p>
    <w:p>
      <w:pPr>
        <w:pStyle w:val="zDefpara"/>
      </w:pPr>
      <w:r>
        <w:tab/>
        <w:t>(b)</w:t>
      </w:r>
      <w:r>
        <w:tab/>
        <w:t>in relation to a betting exchange — the net winnings of racing bets placed with the betting exchange.</w:t>
      </w:r>
    </w:p>
    <w:p>
      <w:pPr>
        <w:pStyle w:val="BlankClose"/>
      </w:pPr>
    </w:p>
    <w:p>
      <w:pPr>
        <w:pStyle w:val="Subsection"/>
      </w:pPr>
      <w:r>
        <w:tab/>
        <w:t>(3)</w:t>
      </w:r>
      <w:r>
        <w:tab/>
        <w:t>In section 14A(2) in the Penalty delete “Penalty:” and insert:</w:t>
      </w:r>
    </w:p>
    <w:p>
      <w:pPr>
        <w:pStyle w:val="BlankOpen"/>
      </w:pPr>
    </w:p>
    <w:p>
      <w:pPr>
        <w:pStyle w:val="Subsection"/>
      </w:pPr>
      <w:r>
        <w:tab/>
      </w:r>
      <w:r>
        <w:tab/>
        <w:t>Penalty for this subsection:</w:t>
      </w:r>
    </w:p>
    <w:p>
      <w:pPr>
        <w:pStyle w:val="BlankClose"/>
      </w:pPr>
    </w:p>
    <w:p>
      <w:pPr>
        <w:pStyle w:val="Heading5"/>
      </w:pPr>
      <w:bookmarkStart w:id="49" w:name="_Toc532383894"/>
      <w:bookmarkStart w:id="50" w:name="_Toc532396517"/>
      <w:bookmarkStart w:id="51" w:name="_Toc532539757"/>
      <w:r>
        <w:rPr>
          <w:rStyle w:val="CharSectno"/>
        </w:rPr>
        <w:t>10</w:t>
      </w:r>
      <w:r>
        <w:t>.</w:t>
      </w:r>
      <w:r>
        <w:tab/>
        <w:t>Section 24 amended</w:t>
      </w:r>
      <w:bookmarkEnd w:id="49"/>
      <w:bookmarkEnd w:id="50"/>
      <w:bookmarkEnd w:id="51"/>
    </w:p>
    <w:p>
      <w:pPr>
        <w:pStyle w:val="Subsection"/>
      </w:pPr>
      <w:r>
        <w:tab/>
      </w:r>
      <w:r>
        <w:tab/>
        <w:t xml:space="preserve">In section 24(2) in the definition of </w:t>
      </w:r>
      <w:r>
        <w:rPr>
          <w:b/>
          <w:i/>
        </w:rPr>
        <w:t>bets</w:t>
      </w:r>
      <w:r>
        <w:t xml:space="preserve"> delete “race or sporting”.</w:t>
      </w:r>
    </w:p>
    <w:p>
      <w:pPr>
        <w:pStyle w:val="Heading5"/>
      </w:pPr>
      <w:bookmarkStart w:id="52" w:name="_Toc532383895"/>
      <w:bookmarkStart w:id="53" w:name="_Toc532396518"/>
      <w:bookmarkStart w:id="54" w:name="_Toc532539758"/>
      <w:r>
        <w:rPr>
          <w:rStyle w:val="CharSectno"/>
        </w:rPr>
        <w:t>11</w:t>
      </w:r>
      <w:r>
        <w:t>.</w:t>
      </w:r>
      <w:r>
        <w:tab/>
        <w:t>Section 26C amended</w:t>
      </w:r>
      <w:bookmarkEnd w:id="52"/>
      <w:bookmarkEnd w:id="53"/>
      <w:bookmarkEnd w:id="54"/>
    </w:p>
    <w:p>
      <w:pPr>
        <w:pStyle w:val="Subsection"/>
        <w:keepNext/>
      </w:pPr>
      <w:r>
        <w:tab/>
      </w:r>
      <w:r>
        <w:tab/>
        <w:t>In section 26C(1) delete the Penalty and insert:</w:t>
      </w:r>
    </w:p>
    <w:p>
      <w:pPr>
        <w:pStyle w:val="BlankOpen"/>
      </w:pPr>
    </w:p>
    <w:p>
      <w:pPr>
        <w:pStyle w:val="zPenstart"/>
        <w:keepNext/>
      </w:pPr>
      <w:r>
        <w:tab/>
        <w:t xml:space="preserve">Penalty for this subsection: </w:t>
      </w:r>
    </w:p>
    <w:p>
      <w:pPr>
        <w:pStyle w:val="zPenpara"/>
        <w:keepNext/>
      </w:pPr>
      <w:r>
        <w:tab/>
        <w:t>(a)</w:t>
      </w:r>
      <w:r>
        <w:tab/>
        <w:t>in the case of the licensee or manager, a fine of $5 000;</w:t>
      </w:r>
    </w:p>
    <w:p>
      <w:pPr>
        <w:pStyle w:val="zPenpara"/>
      </w:pPr>
      <w:r>
        <w:tab/>
        <w:t>(b)</w:t>
      </w:r>
      <w:r>
        <w:tab/>
        <w:t>in the case of an employee or agent, a fine of $2 000.</w:t>
      </w:r>
    </w:p>
    <w:p>
      <w:pPr>
        <w:pStyle w:val="BlankClose"/>
      </w:pPr>
    </w:p>
    <w:p>
      <w:pPr>
        <w:pStyle w:val="Heading5"/>
      </w:pPr>
      <w:bookmarkStart w:id="55" w:name="_Toc532383896"/>
      <w:bookmarkStart w:id="56" w:name="_Toc532396519"/>
      <w:bookmarkStart w:id="57" w:name="_Toc532539759"/>
      <w:r>
        <w:rPr>
          <w:rStyle w:val="CharSectno"/>
        </w:rPr>
        <w:t>12</w:t>
      </w:r>
      <w:r>
        <w:t>.</w:t>
      </w:r>
      <w:r>
        <w:tab/>
        <w:t>Section 27A amended</w:t>
      </w:r>
      <w:bookmarkEnd w:id="55"/>
      <w:bookmarkEnd w:id="56"/>
      <w:bookmarkEnd w:id="57"/>
    </w:p>
    <w:p>
      <w:pPr>
        <w:pStyle w:val="Subsection"/>
      </w:pPr>
      <w:r>
        <w:tab/>
        <w:t>(1)</w:t>
      </w:r>
      <w:r>
        <w:tab/>
        <w:t>In section 27A(1) delete the definitions of:</w:t>
      </w:r>
    </w:p>
    <w:p>
      <w:pPr>
        <w:pStyle w:val="DeleteListSub"/>
        <w:rPr>
          <w:b/>
          <w:i/>
        </w:rPr>
      </w:pPr>
      <w:r>
        <w:rPr>
          <w:b/>
          <w:i/>
        </w:rPr>
        <w:t>approved sporting event</w:t>
      </w:r>
    </w:p>
    <w:p>
      <w:pPr>
        <w:pStyle w:val="DeleteListSub"/>
        <w:rPr>
          <w:b/>
          <w:i/>
        </w:rPr>
      </w:pPr>
      <w:r>
        <w:rPr>
          <w:b/>
          <w:i/>
        </w:rPr>
        <w:t>offshore bet</w:t>
      </w:r>
    </w:p>
    <w:p>
      <w:pPr>
        <w:pStyle w:val="Subsection"/>
      </w:pPr>
      <w:r>
        <w:tab/>
        <w:t>(2)</w:t>
      </w:r>
      <w:r>
        <w:tab/>
        <w:t>In section 27A(1) insert in alphabetical order:</w:t>
      </w:r>
    </w:p>
    <w:p>
      <w:pPr>
        <w:pStyle w:val="BlankOpen"/>
      </w:pPr>
    </w:p>
    <w:p>
      <w:pPr>
        <w:pStyle w:val="zDefstart"/>
      </w:pPr>
      <w:r>
        <w:tab/>
      </w:r>
      <w:r>
        <w:rPr>
          <w:rStyle w:val="CharDefText"/>
        </w:rPr>
        <w:t>interstate or offshore bet</w:t>
      </w:r>
      <w:r>
        <w:t xml:space="preserve"> means a bet made — </w:t>
      </w:r>
    </w:p>
    <w:p>
      <w:pPr>
        <w:pStyle w:val="zDefpara"/>
      </w:pPr>
      <w:r>
        <w:tab/>
        <w:t>(a)</w:t>
      </w:r>
      <w:r>
        <w:tab/>
        <w:t>on an event or contingency outside the State; and</w:t>
      </w:r>
    </w:p>
    <w:p>
      <w:pPr>
        <w:pStyle w:val="zDefpara"/>
      </w:pPr>
      <w:r>
        <w:tab/>
        <w:t>(b)</w:t>
      </w:r>
      <w:r>
        <w:tab/>
        <w:t>by telephone or electronically by means of the internet, subscription television or any other on</w:t>
      </w:r>
      <w:r>
        <w:noBreakHyphen/>
        <w:t>line communications system; and</w:t>
      </w:r>
    </w:p>
    <w:p>
      <w:pPr>
        <w:pStyle w:val="zDefpara"/>
      </w:pPr>
      <w:r>
        <w:tab/>
        <w:t>(c)</w:t>
      </w:r>
      <w:r>
        <w:tab/>
        <w:t>with a person who is outside the State (including a person who is outside Australia);</w:t>
      </w:r>
    </w:p>
    <w:p>
      <w:pPr>
        <w:pStyle w:val="zDefstart"/>
      </w:pPr>
      <w:r>
        <w:rPr>
          <w:b/>
        </w:rPr>
        <w:tab/>
      </w:r>
      <w:r>
        <w:rPr>
          <w:rStyle w:val="CharDefText"/>
        </w:rPr>
        <w:t>permitted event or contingency</w:t>
      </w:r>
      <w:r>
        <w:t xml:space="preserve"> means — </w:t>
      </w:r>
    </w:p>
    <w:p>
      <w:pPr>
        <w:pStyle w:val="zDefpara"/>
      </w:pPr>
      <w:r>
        <w:tab/>
        <w:t>(a)</w:t>
      </w:r>
      <w:r>
        <w:tab/>
        <w:t>an event or contingency approved under section 4B(2); or</w:t>
      </w:r>
    </w:p>
    <w:p>
      <w:pPr>
        <w:pStyle w:val="zDefpara"/>
      </w:pPr>
      <w:r>
        <w:tab/>
        <w:t>(b)</w:t>
      </w:r>
      <w:r>
        <w:tab/>
        <w:t>an event or contingency, except a prohibited event or contingency, on which betting is permitted by the laws of another State or a Territory.</w:t>
      </w:r>
    </w:p>
    <w:p>
      <w:pPr>
        <w:pStyle w:val="BlankClose"/>
      </w:pPr>
    </w:p>
    <w:p>
      <w:pPr>
        <w:pStyle w:val="Subsection"/>
      </w:pPr>
      <w:r>
        <w:tab/>
        <w:t>(3)</w:t>
      </w:r>
      <w:r>
        <w:tab/>
        <w:t xml:space="preserve">In section 27A(1) in the definition of </w:t>
      </w:r>
      <w:r>
        <w:rPr>
          <w:b/>
          <w:i/>
        </w:rPr>
        <w:t>authorised person</w:t>
      </w:r>
      <w:r>
        <w:t xml:space="preserve"> paragraph (b) delete “races or sporting”.</w:t>
      </w:r>
    </w:p>
    <w:p>
      <w:pPr>
        <w:pStyle w:val="Subsection"/>
      </w:pPr>
      <w:r>
        <w:tab/>
        <w:t>(4)</w:t>
      </w:r>
      <w:r>
        <w:tab/>
        <w:t>After section 27A(2) insert:</w:t>
      </w:r>
    </w:p>
    <w:p>
      <w:pPr>
        <w:pStyle w:val="BlankOpen"/>
      </w:pPr>
    </w:p>
    <w:p>
      <w:pPr>
        <w:pStyle w:val="zSubsection"/>
      </w:pPr>
      <w:r>
        <w:tab/>
        <w:t>(2A)</w:t>
      </w:r>
      <w:r>
        <w:tab/>
        <w:t>A person in this State who makes an interstate or offshore bet on an event or contingency that is not a permitted event or contingency commits an offence.</w:t>
      </w:r>
    </w:p>
    <w:p>
      <w:pPr>
        <w:pStyle w:val="zPenstart"/>
      </w:pPr>
      <w:r>
        <w:tab/>
        <w:t>Penalty for this subsection: a fine of $2 500.</w:t>
      </w:r>
    </w:p>
    <w:p>
      <w:pPr>
        <w:pStyle w:val="zSubsection"/>
      </w:pPr>
      <w:r>
        <w:tab/>
        <w:t>(2B)</w:t>
      </w:r>
      <w:r>
        <w:tab/>
        <w:t>A person other than an authorised person who offers an interstate or offshore bet in this State commits an offence.</w:t>
      </w:r>
    </w:p>
    <w:p>
      <w:pPr>
        <w:pStyle w:val="zPenstart"/>
      </w:pPr>
      <w:r>
        <w:tab/>
        <w:t>Penalty for this subsection: a fine of $5 000 and imprisonment for 1 year.</w:t>
      </w:r>
    </w:p>
    <w:p>
      <w:pPr>
        <w:pStyle w:val="zSubsection"/>
      </w:pPr>
      <w:r>
        <w:tab/>
        <w:t>(2C)</w:t>
      </w:r>
      <w:r>
        <w:tab/>
        <w:t>A person who offers an interstate or offshore bet in this State on an event or contingency that is not a permitted event or contingency commits an offence.</w:t>
      </w:r>
    </w:p>
    <w:p>
      <w:pPr>
        <w:pStyle w:val="zPenstart"/>
      </w:pPr>
      <w:r>
        <w:tab/>
        <w:t>Penalty for this subsection: a fine of $5 000 and imprisonment for 1 year.</w:t>
      </w:r>
    </w:p>
    <w:p>
      <w:pPr>
        <w:pStyle w:val="BlankClose"/>
      </w:pPr>
    </w:p>
    <w:p>
      <w:pPr>
        <w:pStyle w:val="Subsection"/>
        <w:keepNext/>
      </w:pPr>
      <w:r>
        <w:tab/>
        <w:t>(5)</w:t>
      </w:r>
      <w:r>
        <w:tab/>
        <w:t>In section 27A(3) delete “offshore” (each occurrence) and insert:</w:t>
      </w:r>
    </w:p>
    <w:p>
      <w:pPr>
        <w:pStyle w:val="BlankOpen"/>
      </w:pPr>
    </w:p>
    <w:p>
      <w:pPr>
        <w:pStyle w:val="Subsection"/>
      </w:pPr>
      <w:r>
        <w:tab/>
      </w:r>
      <w:r>
        <w:tab/>
        <w:t>interstate or offshore</w:t>
      </w:r>
    </w:p>
    <w:p>
      <w:pPr>
        <w:pStyle w:val="BlankClose"/>
      </w:pPr>
    </w:p>
    <w:p>
      <w:pPr>
        <w:pStyle w:val="Subsection"/>
      </w:pPr>
      <w:r>
        <w:tab/>
        <w:t>(6)</w:t>
      </w:r>
      <w:r>
        <w:tab/>
        <w:t>In section 27A(5) delete “races or sporting” (each occurrence).</w:t>
      </w:r>
    </w:p>
    <w:p>
      <w:pPr>
        <w:pStyle w:val="SectAltNote"/>
      </w:pPr>
      <w:r>
        <w:tab/>
        <w:t>Note:</w:t>
      </w:r>
      <w:r>
        <w:tab/>
        <w:t>The heading to amended section 27A is to read:</w:t>
      </w:r>
    </w:p>
    <w:p>
      <w:pPr>
        <w:pStyle w:val="SectAltHeading"/>
      </w:pPr>
      <w:r>
        <w:rPr>
          <w:b w:val="0"/>
        </w:rPr>
        <w:tab/>
      </w:r>
      <w:r>
        <w:rPr>
          <w:b w:val="0"/>
        </w:rPr>
        <w:tab/>
      </w:r>
      <w:r>
        <w:t>Interstate and offshore betting</w:t>
      </w:r>
    </w:p>
    <w:p>
      <w:pPr>
        <w:pStyle w:val="Heading5"/>
      </w:pPr>
      <w:bookmarkStart w:id="58" w:name="_Toc532383897"/>
      <w:bookmarkStart w:id="59" w:name="_Toc532396520"/>
      <w:bookmarkStart w:id="60" w:name="_Toc532539760"/>
      <w:r>
        <w:rPr>
          <w:rStyle w:val="CharSectno"/>
        </w:rPr>
        <w:t>13</w:t>
      </w:r>
      <w:r>
        <w:t>.</w:t>
      </w:r>
      <w:r>
        <w:tab/>
        <w:t>Section 31 amended</w:t>
      </w:r>
      <w:bookmarkEnd w:id="58"/>
      <w:bookmarkEnd w:id="59"/>
      <w:bookmarkEnd w:id="60"/>
    </w:p>
    <w:p>
      <w:pPr>
        <w:pStyle w:val="Subsection"/>
        <w:keepNext/>
      </w:pPr>
      <w:r>
        <w:tab/>
      </w:r>
      <w:r>
        <w:tab/>
        <w:t>Delete section 31(1)(h)(ii) and insert:</w:t>
      </w:r>
    </w:p>
    <w:p>
      <w:pPr>
        <w:pStyle w:val="BlankOpen"/>
      </w:pPr>
    </w:p>
    <w:p>
      <w:pPr>
        <w:pStyle w:val="zIndenti"/>
        <w:keepNext/>
      </w:pPr>
      <w:r>
        <w:tab/>
        <w:t>(ii)</w:t>
      </w:r>
      <w:r>
        <w:tab/>
        <w:t>an event or contingency approved under section 4B(2).</w:t>
      </w:r>
    </w:p>
    <w:p>
      <w:pPr>
        <w:pStyle w:val="BlankClose"/>
        <w:keepNext/>
      </w:pPr>
    </w:p>
    <w:p>
      <w:pPr>
        <w:pStyle w:val="Heading5"/>
      </w:pPr>
      <w:bookmarkStart w:id="61" w:name="_Toc532383898"/>
      <w:bookmarkStart w:id="62" w:name="_Toc532396521"/>
      <w:bookmarkStart w:id="63" w:name="_Toc532539761"/>
      <w:r>
        <w:rPr>
          <w:rStyle w:val="CharSectno"/>
        </w:rPr>
        <w:t>14</w:t>
      </w:r>
      <w:r>
        <w:t>.</w:t>
      </w:r>
      <w:r>
        <w:tab/>
        <w:t>Section 33 amended</w:t>
      </w:r>
      <w:bookmarkEnd w:id="61"/>
      <w:bookmarkEnd w:id="62"/>
      <w:bookmarkEnd w:id="63"/>
    </w:p>
    <w:p>
      <w:pPr>
        <w:pStyle w:val="Subsection"/>
      </w:pPr>
      <w:r>
        <w:tab/>
      </w:r>
      <w:r>
        <w:tab/>
        <w:t>In section 33(1)(a) delete “sporting”.</w:t>
      </w:r>
    </w:p>
    <w:p>
      <w:pPr>
        <w:pStyle w:val="Heading5"/>
      </w:pPr>
      <w:bookmarkStart w:id="64" w:name="_Toc532383899"/>
      <w:bookmarkStart w:id="65" w:name="_Toc532396522"/>
      <w:bookmarkStart w:id="66" w:name="_Toc532539762"/>
      <w:r>
        <w:rPr>
          <w:rStyle w:val="CharSectno"/>
        </w:rPr>
        <w:t>15</w:t>
      </w:r>
      <w:r>
        <w:t>.</w:t>
      </w:r>
      <w:r>
        <w:tab/>
        <w:t>Various penalties amended</w:t>
      </w:r>
      <w:bookmarkEnd w:id="64"/>
      <w:bookmarkEnd w:id="65"/>
      <w:bookmarkEnd w:id="66"/>
    </w:p>
    <w:p>
      <w:pPr>
        <w:pStyle w:val="Subsection"/>
      </w:pPr>
      <w:r>
        <w:tab/>
        <w:t>(1)</w:t>
      </w:r>
      <w:r>
        <w:tab/>
        <w:t>In the provisions listed in the Table delete “Penalty:” and insert:</w:t>
      </w:r>
    </w:p>
    <w:p>
      <w:pPr>
        <w:pStyle w:val="BlankOpen"/>
      </w:pPr>
    </w:p>
    <w:p>
      <w:pPr>
        <w:pStyle w:val="Subsection"/>
      </w:pPr>
      <w:r>
        <w:tab/>
      </w:r>
      <w:r>
        <w:tab/>
        <w:t>Penalty for this subsection: a fine of</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4A(6)</w:t>
            </w:r>
          </w:p>
        </w:tc>
        <w:tc>
          <w:tcPr>
            <w:tcW w:w="3402" w:type="dxa"/>
          </w:tcPr>
          <w:p>
            <w:pPr>
              <w:pStyle w:val="TableAm"/>
            </w:pPr>
            <w:r>
              <w:t>s. 11(6)</w:t>
            </w:r>
          </w:p>
        </w:tc>
      </w:tr>
      <w:tr>
        <w:trPr>
          <w:cantSplit/>
          <w:jc w:val="center"/>
        </w:trPr>
        <w:tc>
          <w:tcPr>
            <w:tcW w:w="3402" w:type="dxa"/>
          </w:tcPr>
          <w:p>
            <w:pPr>
              <w:pStyle w:val="TableAm"/>
            </w:pPr>
            <w:r>
              <w:t>s. 11B(4)</w:t>
            </w:r>
          </w:p>
        </w:tc>
        <w:tc>
          <w:tcPr>
            <w:tcW w:w="3402" w:type="dxa"/>
          </w:tcPr>
          <w:p>
            <w:pPr>
              <w:pStyle w:val="TableAm"/>
            </w:pPr>
            <w:r>
              <w:t>s. 11B(11)</w:t>
            </w:r>
          </w:p>
        </w:tc>
      </w:tr>
      <w:tr>
        <w:trPr>
          <w:cantSplit/>
          <w:jc w:val="center"/>
        </w:trPr>
        <w:tc>
          <w:tcPr>
            <w:tcW w:w="3402" w:type="dxa"/>
          </w:tcPr>
          <w:p>
            <w:pPr>
              <w:pStyle w:val="TableAm"/>
            </w:pPr>
            <w:r>
              <w:t>s. 11B(13)</w:t>
            </w:r>
          </w:p>
        </w:tc>
        <w:tc>
          <w:tcPr>
            <w:tcW w:w="3402" w:type="dxa"/>
          </w:tcPr>
          <w:p>
            <w:pPr>
              <w:pStyle w:val="TableAm"/>
            </w:pPr>
            <w:r>
              <w:t>s. 11B(14)</w:t>
            </w:r>
          </w:p>
        </w:tc>
      </w:tr>
      <w:tr>
        <w:trPr>
          <w:cantSplit/>
          <w:jc w:val="center"/>
        </w:trPr>
        <w:tc>
          <w:tcPr>
            <w:tcW w:w="3402" w:type="dxa"/>
          </w:tcPr>
          <w:p>
            <w:pPr>
              <w:pStyle w:val="TableAm"/>
            </w:pPr>
            <w:r>
              <w:t>s. 11C(2)</w:t>
            </w:r>
          </w:p>
        </w:tc>
        <w:tc>
          <w:tcPr>
            <w:tcW w:w="3402" w:type="dxa"/>
          </w:tcPr>
          <w:p>
            <w:pPr>
              <w:pStyle w:val="TableAm"/>
            </w:pPr>
            <w:r>
              <w:t>s. 11C(9)</w:t>
            </w:r>
          </w:p>
        </w:tc>
      </w:tr>
      <w:tr>
        <w:trPr>
          <w:cantSplit/>
          <w:jc w:val="center"/>
        </w:trPr>
        <w:tc>
          <w:tcPr>
            <w:tcW w:w="3402" w:type="dxa"/>
          </w:tcPr>
          <w:p>
            <w:pPr>
              <w:pStyle w:val="TableAm"/>
            </w:pPr>
            <w:r>
              <w:t>s. 11C(12)</w:t>
            </w:r>
          </w:p>
        </w:tc>
        <w:tc>
          <w:tcPr>
            <w:tcW w:w="3402" w:type="dxa"/>
          </w:tcPr>
          <w:p>
            <w:pPr>
              <w:pStyle w:val="TableAm"/>
            </w:pPr>
            <w:r>
              <w:t>s. 11C(13)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11E(5)</w:t>
            </w:r>
          </w:p>
        </w:tc>
        <w:tc>
          <w:tcPr>
            <w:tcW w:w="3402" w:type="dxa"/>
            <w:tcBorders>
              <w:top w:val="single" w:sz="4" w:space="0" w:color="auto"/>
              <w:left w:val="single" w:sz="4" w:space="0" w:color="auto"/>
              <w:bottom w:val="single" w:sz="4" w:space="0" w:color="auto"/>
              <w:right w:val="single" w:sz="4" w:space="0" w:color="auto"/>
            </w:tcBorders>
          </w:tcPr>
          <w:p>
            <w:pPr>
              <w:pStyle w:val="TableAm"/>
            </w:pPr>
            <w:r>
              <w:t>s. 11G(1)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11G(2)</w:t>
            </w:r>
          </w:p>
        </w:tc>
        <w:tc>
          <w:tcPr>
            <w:tcW w:w="3402" w:type="dxa"/>
            <w:tcBorders>
              <w:top w:val="single" w:sz="4" w:space="0" w:color="auto"/>
              <w:left w:val="single" w:sz="4" w:space="0" w:color="auto"/>
              <w:bottom w:val="single" w:sz="4" w:space="0" w:color="auto"/>
              <w:right w:val="single" w:sz="4" w:space="0" w:color="auto"/>
            </w:tcBorders>
          </w:tcPr>
          <w:p>
            <w:pPr>
              <w:pStyle w:val="TableAm"/>
            </w:pPr>
            <w:r>
              <w:t>s. 11G(3)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11G(4)</w:t>
            </w:r>
          </w:p>
        </w:tc>
        <w:tc>
          <w:tcPr>
            <w:tcW w:w="3402" w:type="dxa"/>
            <w:tcBorders>
              <w:top w:val="single" w:sz="4" w:space="0" w:color="auto"/>
              <w:left w:val="single" w:sz="4" w:space="0" w:color="auto"/>
              <w:bottom w:val="single" w:sz="4" w:space="0" w:color="auto"/>
              <w:right w:val="single" w:sz="4" w:space="0" w:color="auto"/>
            </w:tcBorders>
          </w:tcPr>
          <w:p>
            <w:pPr>
              <w:pStyle w:val="TableAm"/>
            </w:pPr>
            <w:r>
              <w:t>s. 20A(2)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20B(6)</w:t>
            </w:r>
          </w:p>
        </w:tc>
        <w:tc>
          <w:tcPr>
            <w:tcW w:w="3402" w:type="dxa"/>
            <w:tcBorders>
              <w:top w:val="single" w:sz="4" w:space="0" w:color="auto"/>
              <w:left w:val="single" w:sz="4" w:space="0" w:color="auto"/>
              <w:bottom w:val="single" w:sz="4" w:space="0" w:color="auto"/>
              <w:right w:val="single" w:sz="4" w:space="0" w:color="auto"/>
            </w:tcBorders>
          </w:tcPr>
          <w:p>
            <w:pPr>
              <w:pStyle w:val="TableAm"/>
            </w:pPr>
            <w:r>
              <w:t>s. 22(1)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22(2)</w:t>
            </w:r>
          </w:p>
        </w:tc>
        <w:tc>
          <w:tcPr>
            <w:tcW w:w="3402" w:type="dxa"/>
            <w:tcBorders>
              <w:top w:val="single" w:sz="4" w:space="0" w:color="auto"/>
              <w:left w:val="single" w:sz="4" w:space="0" w:color="auto"/>
              <w:bottom w:val="single" w:sz="4" w:space="0" w:color="auto"/>
              <w:right w:val="single" w:sz="4" w:space="0" w:color="auto"/>
            </w:tcBorders>
          </w:tcPr>
          <w:p>
            <w:pPr>
              <w:pStyle w:val="TableAm"/>
            </w:pPr>
            <w:r>
              <w:t>s. 23(1)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23(2)</w:t>
            </w:r>
          </w:p>
        </w:tc>
        <w:tc>
          <w:tcPr>
            <w:tcW w:w="3402" w:type="dxa"/>
            <w:tcBorders>
              <w:top w:val="single" w:sz="4" w:space="0" w:color="auto"/>
              <w:left w:val="single" w:sz="4" w:space="0" w:color="auto"/>
              <w:bottom w:val="single" w:sz="4" w:space="0" w:color="auto"/>
              <w:right w:val="single" w:sz="4" w:space="0" w:color="auto"/>
            </w:tcBorders>
          </w:tcPr>
          <w:p>
            <w:pPr>
              <w:pStyle w:val="TableAm"/>
            </w:pPr>
            <w:r>
              <w:t>s. 24(1)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25(3)</w:t>
            </w:r>
          </w:p>
        </w:tc>
        <w:tc>
          <w:tcPr>
            <w:tcW w:w="3402" w:type="dxa"/>
            <w:tcBorders>
              <w:top w:val="single" w:sz="4" w:space="0" w:color="auto"/>
              <w:left w:val="single" w:sz="4" w:space="0" w:color="auto"/>
              <w:bottom w:val="single" w:sz="4" w:space="0" w:color="auto"/>
              <w:right w:val="single" w:sz="4" w:space="0" w:color="auto"/>
            </w:tcBorders>
          </w:tcPr>
          <w:p>
            <w:pPr>
              <w:pStyle w:val="TableAm"/>
            </w:pPr>
            <w:r>
              <w:t>s. 26A(3)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26C(5)</w:t>
            </w:r>
          </w:p>
        </w:tc>
        <w:tc>
          <w:tcPr>
            <w:tcW w:w="3402" w:type="dxa"/>
            <w:tcBorders>
              <w:top w:val="single" w:sz="4" w:space="0" w:color="auto"/>
              <w:left w:val="single" w:sz="4" w:space="0" w:color="auto"/>
              <w:bottom w:val="single" w:sz="4" w:space="0" w:color="auto"/>
              <w:right w:val="single" w:sz="4" w:space="0" w:color="auto"/>
            </w:tcBorders>
          </w:tcPr>
          <w:p>
            <w:pPr>
              <w:pStyle w:val="TableAm"/>
            </w:pPr>
            <w:r>
              <w:t>s. 27A(2)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27A(3)</w:t>
            </w:r>
          </w:p>
        </w:tc>
        <w:tc>
          <w:tcPr>
            <w:tcW w:w="3402" w:type="dxa"/>
            <w:tcBorders>
              <w:top w:val="single" w:sz="4" w:space="0" w:color="auto"/>
              <w:left w:val="single" w:sz="4" w:space="0" w:color="auto"/>
              <w:bottom w:val="single" w:sz="4" w:space="0" w:color="auto"/>
              <w:right w:val="single" w:sz="4" w:space="0" w:color="auto"/>
            </w:tcBorders>
          </w:tcPr>
          <w:p>
            <w:pPr>
              <w:pStyle w:val="TableAm"/>
            </w:pPr>
            <w:r>
              <w:t>s. 28G(1)</w:t>
            </w:r>
          </w:p>
        </w:tc>
      </w:tr>
    </w:tbl>
    <w:p>
      <w:pPr>
        <w:pStyle w:val="Subsection"/>
      </w:pPr>
      <w:r>
        <w:tab/>
        <w:t>(2)</w:t>
      </w:r>
      <w:r>
        <w:tab/>
        <w:t>In the provisions listed in the Table delete “Penalty:” and insert:</w:t>
      </w:r>
    </w:p>
    <w:p>
      <w:pPr>
        <w:pStyle w:val="BlankOpen"/>
      </w:pPr>
    </w:p>
    <w:p>
      <w:pPr>
        <w:pStyle w:val="Subsection"/>
      </w:pPr>
      <w:r>
        <w:tab/>
      </w:r>
      <w:r>
        <w:tab/>
        <w:t>Penalty for this subsection:</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27D(2A)</w:t>
            </w:r>
          </w:p>
        </w:tc>
        <w:tc>
          <w:tcPr>
            <w:tcW w:w="3402" w:type="dxa"/>
            <w:tcBorders>
              <w:top w:val="single" w:sz="4" w:space="0" w:color="auto"/>
              <w:left w:val="single" w:sz="4" w:space="0" w:color="auto"/>
              <w:bottom w:val="single" w:sz="4" w:space="0" w:color="auto"/>
              <w:right w:val="single" w:sz="4" w:space="0" w:color="auto"/>
            </w:tcBorders>
          </w:tcPr>
          <w:p>
            <w:pPr>
              <w:pStyle w:val="TableAm"/>
            </w:pPr>
            <w:r>
              <w:t>s. 27E(2)</w:t>
            </w:r>
          </w:p>
        </w:tc>
      </w:tr>
    </w:tbl>
    <w:p>
      <w:pPr>
        <w:pStyle w:val="Subsection"/>
      </w:pPr>
      <w:r>
        <w:tab/>
        <w:t>(3)</w:t>
      </w:r>
      <w:r>
        <w:tab/>
        <w:t>In the provisions listed in the Table delete “Penalty:” and insert:</w:t>
      </w:r>
    </w:p>
    <w:p>
      <w:pPr>
        <w:pStyle w:val="BlankOpen"/>
      </w:pPr>
    </w:p>
    <w:p>
      <w:pPr>
        <w:pStyle w:val="Subsection"/>
      </w:pPr>
      <w:r>
        <w:tab/>
      </w:r>
      <w:r>
        <w:tab/>
        <w:t>Penalty: a fine of</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22A</w:t>
            </w:r>
          </w:p>
        </w:tc>
        <w:tc>
          <w:tcPr>
            <w:tcW w:w="3402" w:type="dxa"/>
            <w:tcBorders>
              <w:top w:val="single" w:sz="4" w:space="0" w:color="auto"/>
              <w:left w:val="single" w:sz="4" w:space="0" w:color="auto"/>
              <w:bottom w:val="single" w:sz="4" w:space="0" w:color="auto"/>
              <w:right w:val="single" w:sz="4" w:space="0" w:color="auto"/>
            </w:tcBorders>
          </w:tcPr>
          <w:p>
            <w:pPr>
              <w:pStyle w:val="TableAm"/>
            </w:pPr>
            <w:r>
              <w:t>s. 26</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26B</w:t>
            </w:r>
          </w:p>
        </w:tc>
        <w:tc>
          <w:tcPr>
            <w:tcW w:w="3402" w:type="dxa"/>
            <w:tcBorders>
              <w:top w:val="single" w:sz="4" w:space="0" w:color="auto"/>
              <w:left w:val="single" w:sz="4" w:space="0" w:color="auto"/>
              <w:bottom w:val="single" w:sz="4" w:space="0" w:color="auto"/>
              <w:right w:val="single" w:sz="4" w:space="0" w:color="auto"/>
            </w:tcBorders>
          </w:tcPr>
          <w:p>
            <w:pPr>
              <w:pStyle w:val="TableAm"/>
            </w:pPr>
            <w:r>
              <w:t>s. 27</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28C</w:t>
            </w:r>
          </w:p>
        </w:tc>
        <w:tc>
          <w:tcPr>
            <w:tcW w:w="3402" w:type="dxa"/>
            <w:tcBorders>
              <w:top w:val="single" w:sz="4" w:space="0" w:color="auto"/>
              <w:left w:val="single" w:sz="4" w:space="0" w:color="auto"/>
              <w:bottom w:val="single" w:sz="4" w:space="0" w:color="auto"/>
              <w:right w:val="single" w:sz="4" w:space="0" w:color="auto"/>
            </w:tcBorders>
          </w:tcPr>
          <w:p>
            <w:pPr>
              <w:pStyle w:val="TableAm"/>
            </w:pPr>
            <w:r>
              <w:t>s. 28D</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28E</w:t>
            </w:r>
          </w:p>
        </w:tc>
        <w:tc>
          <w:tcPr>
            <w:tcW w:w="3402" w:type="dxa"/>
            <w:tcBorders>
              <w:top w:val="single" w:sz="4" w:space="0" w:color="auto"/>
              <w:left w:val="single" w:sz="4" w:space="0" w:color="auto"/>
              <w:bottom w:val="single" w:sz="4" w:space="0" w:color="auto"/>
              <w:right w:val="single" w:sz="4" w:space="0" w:color="auto"/>
            </w:tcBorders>
          </w:tcPr>
          <w:p>
            <w:pPr>
              <w:pStyle w:val="TableAm"/>
            </w:pPr>
            <w:r>
              <w:t>s. 29</w:t>
            </w:r>
          </w:p>
        </w:tc>
      </w:tr>
    </w:tbl>
    <w:p>
      <w:pPr>
        <w:pStyle w:val="Subsection"/>
      </w:pPr>
    </w:p>
    <w:p>
      <w:pPr>
        <w:pStyle w:val="Heading2"/>
      </w:pPr>
      <w:bookmarkStart w:id="67" w:name="_Toc522628543"/>
      <w:bookmarkStart w:id="68" w:name="_Toc522628574"/>
      <w:bookmarkStart w:id="69" w:name="_Toc522633978"/>
      <w:bookmarkStart w:id="70" w:name="_Toc523226605"/>
      <w:bookmarkStart w:id="71" w:name="_Toc527568505"/>
      <w:bookmarkStart w:id="72" w:name="_Toc531769773"/>
      <w:bookmarkStart w:id="73" w:name="_Toc532383900"/>
      <w:bookmarkStart w:id="74" w:name="_Toc532396523"/>
      <w:bookmarkStart w:id="75" w:name="_Toc532539763"/>
      <w:r>
        <w:rPr>
          <w:rStyle w:val="CharPartNo"/>
        </w:rPr>
        <w:t>Part 3</w:t>
      </w:r>
      <w:r>
        <w:rPr>
          <w:rStyle w:val="CharDivNo"/>
        </w:rPr>
        <w:t> </w:t>
      </w:r>
      <w:r>
        <w:t>—</w:t>
      </w:r>
      <w:r>
        <w:rPr>
          <w:rStyle w:val="CharDivText"/>
        </w:rPr>
        <w:t> </w:t>
      </w:r>
      <w:r>
        <w:rPr>
          <w:rStyle w:val="CharPartText"/>
          <w:i/>
        </w:rPr>
        <w:t>Gaming and Wagering Commission Act 1987</w:t>
      </w:r>
      <w:r>
        <w:rPr>
          <w:rStyle w:val="CharPartText"/>
        </w:rPr>
        <w:t xml:space="preserve"> amended</w:t>
      </w:r>
      <w:bookmarkEnd w:id="67"/>
      <w:bookmarkEnd w:id="68"/>
      <w:bookmarkEnd w:id="69"/>
      <w:bookmarkEnd w:id="70"/>
      <w:bookmarkEnd w:id="71"/>
      <w:bookmarkEnd w:id="72"/>
      <w:bookmarkEnd w:id="73"/>
      <w:bookmarkEnd w:id="74"/>
      <w:bookmarkEnd w:id="75"/>
    </w:p>
    <w:p>
      <w:pPr>
        <w:pStyle w:val="Heading5"/>
        <w:rPr>
          <w:snapToGrid w:val="0"/>
        </w:rPr>
      </w:pPr>
      <w:bookmarkStart w:id="76" w:name="_Toc532383901"/>
      <w:bookmarkStart w:id="77" w:name="_Toc532396524"/>
      <w:bookmarkStart w:id="78" w:name="_Toc532539764"/>
      <w:r>
        <w:rPr>
          <w:rStyle w:val="CharSectno"/>
        </w:rPr>
        <w:t>16</w:t>
      </w:r>
      <w:r>
        <w:rPr>
          <w:snapToGrid w:val="0"/>
        </w:rPr>
        <w:t>.</w:t>
      </w:r>
      <w:r>
        <w:rPr>
          <w:snapToGrid w:val="0"/>
        </w:rPr>
        <w:tab/>
        <w:t>Act amended</w:t>
      </w:r>
      <w:bookmarkEnd w:id="76"/>
      <w:bookmarkEnd w:id="77"/>
      <w:bookmarkEnd w:id="78"/>
    </w:p>
    <w:p>
      <w:pPr>
        <w:pStyle w:val="Subsection"/>
      </w:pPr>
      <w:r>
        <w:tab/>
      </w:r>
      <w:r>
        <w:tab/>
        <w:t xml:space="preserve">This Part amends the </w:t>
      </w:r>
      <w:r>
        <w:rPr>
          <w:i/>
        </w:rPr>
        <w:t>Gaming and Wagering Commission Act 1987</w:t>
      </w:r>
      <w:r>
        <w:t>.</w:t>
      </w:r>
    </w:p>
    <w:p>
      <w:pPr>
        <w:pStyle w:val="Heading5"/>
      </w:pPr>
      <w:bookmarkStart w:id="79" w:name="_Toc532383902"/>
      <w:bookmarkStart w:id="80" w:name="_Toc532396525"/>
      <w:bookmarkStart w:id="81" w:name="_Toc532539765"/>
      <w:r>
        <w:rPr>
          <w:rStyle w:val="CharSectno"/>
        </w:rPr>
        <w:t>17</w:t>
      </w:r>
      <w:r>
        <w:t>.</w:t>
      </w:r>
      <w:r>
        <w:tab/>
        <w:t>Section 3 amended</w:t>
      </w:r>
      <w:bookmarkEnd w:id="79"/>
      <w:bookmarkEnd w:id="80"/>
      <w:bookmarkEnd w:id="81"/>
    </w:p>
    <w:p>
      <w:pPr>
        <w:pStyle w:val="Subsection"/>
      </w:pPr>
      <w:r>
        <w:tab/>
        <w:t>(1)</w:t>
      </w:r>
      <w:r>
        <w:tab/>
        <w:t>In section 3(1) insert in alphabetical order:</w:t>
      </w:r>
    </w:p>
    <w:p>
      <w:pPr>
        <w:pStyle w:val="BlankOpen"/>
      </w:pPr>
    </w:p>
    <w:p>
      <w:pPr>
        <w:pStyle w:val="zDefstart"/>
      </w:pPr>
      <w:r>
        <w:tab/>
      </w:r>
      <w:r>
        <w:rPr>
          <w:rStyle w:val="CharDefText"/>
        </w:rPr>
        <w:t>event</w:t>
      </w:r>
      <w:r>
        <w:t xml:space="preserve"> has the meaning given in the </w:t>
      </w:r>
      <w:r>
        <w:rPr>
          <w:i/>
        </w:rPr>
        <w:t>Betting Control Act 1954</w:t>
      </w:r>
      <w:r>
        <w:t xml:space="preserve"> section 4(1);</w:t>
      </w:r>
    </w:p>
    <w:p>
      <w:pPr>
        <w:pStyle w:val="zDefstart"/>
      </w:pPr>
      <w:r>
        <w:tab/>
      </w:r>
      <w:r>
        <w:rPr>
          <w:rStyle w:val="CharDefText"/>
        </w:rPr>
        <w:t>telecommunication device</w:t>
      </w:r>
      <w:r>
        <w:t xml:space="preserve"> means — </w:t>
      </w:r>
    </w:p>
    <w:p>
      <w:pPr>
        <w:pStyle w:val="zDefpara"/>
      </w:pPr>
      <w:r>
        <w:tab/>
        <w:t>(a)</w:t>
      </w:r>
      <w:r>
        <w:tab/>
        <w:t>a computer adapted for communicating by way of the Internet or another communications network; or</w:t>
      </w:r>
    </w:p>
    <w:p>
      <w:pPr>
        <w:pStyle w:val="zDefpara"/>
      </w:pPr>
      <w:r>
        <w:tab/>
        <w:t>(b)</w:t>
      </w:r>
      <w:r>
        <w:tab/>
        <w:t>a television receiver adapted to allow the viewer to transmit information by way of a cable television network or another communications network; or</w:t>
      </w:r>
    </w:p>
    <w:p>
      <w:pPr>
        <w:pStyle w:val="zDefpara"/>
      </w:pPr>
      <w:r>
        <w:tab/>
        <w:t>(c)</w:t>
      </w:r>
      <w:r>
        <w:tab/>
        <w:t>a telephone; or</w:t>
      </w:r>
    </w:p>
    <w:p>
      <w:pPr>
        <w:pStyle w:val="zDefpara"/>
      </w:pPr>
      <w:r>
        <w:tab/>
        <w:t>(d)</w:t>
      </w:r>
      <w:r>
        <w:tab/>
        <w:t>any other electronic device or thing for communicating at a distance;</w:t>
      </w:r>
    </w:p>
    <w:p>
      <w:pPr>
        <w:pStyle w:val="BlankClose"/>
      </w:pPr>
    </w:p>
    <w:p>
      <w:pPr>
        <w:pStyle w:val="Subsection"/>
      </w:pPr>
      <w:r>
        <w:tab/>
        <w:t>(2)</w:t>
      </w:r>
      <w:r>
        <w:tab/>
        <w:t xml:space="preserve">In section 3(1) in the definition of </w:t>
      </w:r>
      <w:r>
        <w:rPr>
          <w:b/>
          <w:i/>
        </w:rPr>
        <w:t>machine</w:t>
      </w:r>
      <w:r>
        <w:t xml:space="preserve"> delete “any” and insert:</w:t>
      </w:r>
    </w:p>
    <w:p>
      <w:pPr>
        <w:pStyle w:val="BlankOpen"/>
      </w:pPr>
    </w:p>
    <w:p>
      <w:pPr>
        <w:pStyle w:val="Subsection"/>
      </w:pPr>
      <w:r>
        <w:tab/>
      </w:r>
      <w:r>
        <w:tab/>
        <w:t xml:space="preserve">a telecommunications device and any other </w:t>
      </w:r>
    </w:p>
    <w:p>
      <w:pPr>
        <w:pStyle w:val="BlankClose"/>
      </w:pPr>
    </w:p>
    <w:p>
      <w:pPr>
        <w:pStyle w:val="Heading5"/>
      </w:pPr>
      <w:bookmarkStart w:id="82" w:name="_Toc532383903"/>
      <w:bookmarkStart w:id="83" w:name="_Toc532396526"/>
      <w:bookmarkStart w:id="84" w:name="_Toc532539766"/>
      <w:r>
        <w:rPr>
          <w:rStyle w:val="CharSectno"/>
        </w:rPr>
        <w:t>18</w:t>
      </w:r>
      <w:r>
        <w:t>.</w:t>
      </w:r>
      <w:r>
        <w:tab/>
        <w:t>Section 8 amended</w:t>
      </w:r>
      <w:bookmarkEnd w:id="82"/>
      <w:bookmarkEnd w:id="83"/>
      <w:bookmarkEnd w:id="84"/>
    </w:p>
    <w:p>
      <w:pPr>
        <w:pStyle w:val="Subsection"/>
        <w:keepNext/>
      </w:pPr>
      <w:r>
        <w:tab/>
      </w:r>
      <w:r>
        <w:tab/>
        <w:t>After section 8(2)(c)(iii) insert:</w:t>
      </w:r>
    </w:p>
    <w:p>
      <w:pPr>
        <w:pStyle w:val="BlankOpen"/>
      </w:pPr>
    </w:p>
    <w:p>
      <w:pPr>
        <w:pStyle w:val="zIndenti"/>
      </w:pPr>
      <w:r>
        <w:tab/>
        <w:t>(iiia)</w:t>
      </w:r>
      <w:r>
        <w:tab/>
        <w:t>the advertising of live odds during events, whether generally or by specific classes of persons or in a specified manner or place; and</w:t>
      </w:r>
    </w:p>
    <w:p>
      <w:pPr>
        <w:pStyle w:val="BlankClose"/>
      </w:pPr>
    </w:p>
    <w:p>
      <w:pPr>
        <w:pStyle w:val="Heading5"/>
      </w:pPr>
      <w:bookmarkStart w:id="85" w:name="_Toc532383904"/>
      <w:bookmarkStart w:id="86" w:name="_Toc532396527"/>
      <w:bookmarkStart w:id="87" w:name="_Toc532539767"/>
      <w:r>
        <w:rPr>
          <w:rStyle w:val="CharSectno"/>
        </w:rPr>
        <w:t>19</w:t>
      </w:r>
      <w:r>
        <w:t>.</w:t>
      </w:r>
      <w:r>
        <w:tab/>
        <w:t>Section 43A amended</w:t>
      </w:r>
      <w:bookmarkEnd w:id="85"/>
      <w:bookmarkEnd w:id="86"/>
      <w:bookmarkEnd w:id="87"/>
    </w:p>
    <w:p>
      <w:pPr>
        <w:pStyle w:val="Subsection"/>
      </w:pPr>
      <w:r>
        <w:tab/>
      </w:r>
      <w:r>
        <w:tab/>
        <w:t>In section 43A(3)(da) delete “races or sporting events; or” and insert:</w:t>
      </w:r>
    </w:p>
    <w:p>
      <w:pPr>
        <w:pStyle w:val="BlankOpen"/>
      </w:pPr>
    </w:p>
    <w:p>
      <w:pPr>
        <w:pStyle w:val="Subsection"/>
      </w:pPr>
      <w:r>
        <w:tab/>
      </w:r>
      <w:r>
        <w:tab/>
        <w:t>events; or</w:t>
      </w:r>
    </w:p>
    <w:p>
      <w:pPr>
        <w:pStyle w:val="BlankClose"/>
      </w:pPr>
    </w:p>
    <w:p>
      <w:pPr>
        <w:pStyle w:val="Heading5"/>
      </w:pPr>
      <w:bookmarkStart w:id="88" w:name="_Toc532383905"/>
      <w:bookmarkStart w:id="89" w:name="_Toc532396528"/>
      <w:bookmarkStart w:id="90" w:name="_Toc532539768"/>
      <w:r>
        <w:rPr>
          <w:rStyle w:val="CharSectno"/>
        </w:rPr>
        <w:t>20</w:t>
      </w:r>
      <w:r>
        <w:t>.</w:t>
      </w:r>
      <w:r>
        <w:tab/>
        <w:t>Section 81 amended</w:t>
      </w:r>
      <w:bookmarkEnd w:id="88"/>
      <w:bookmarkEnd w:id="89"/>
      <w:bookmarkEnd w:id="90"/>
    </w:p>
    <w:p>
      <w:pPr>
        <w:pStyle w:val="Subsection"/>
      </w:pPr>
      <w:r>
        <w:tab/>
      </w:r>
      <w:r>
        <w:tab/>
        <w:t>Delete section 81(3).</w:t>
      </w:r>
    </w:p>
    <w:p>
      <w:pPr>
        <w:pStyle w:val="Heading5"/>
      </w:pPr>
      <w:bookmarkStart w:id="91" w:name="_Toc532383906"/>
      <w:bookmarkStart w:id="92" w:name="_Toc532396529"/>
      <w:bookmarkStart w:id="93" w:name="_Toc532539769"/>
      <w:r>
        <w:rPr>
          <w:rStyle w:val="CharSectno"/>
        </w:rPr>
        <w:t>21</w:t>
      </w:r>
      <w:r>
        <w:t>.</w:t>
      </w:r>
      <w:r>
        <w:tab/>
        <w:t>Part V Division 5A inserted</w:t>
      </w:r>
      <w:bookmarkEnd w:id="91"/>
      <w:bookmarkEnd w:id="92"/>
      <w:bookmarkEnd w:id="93"/>
    </w:p>
    <w:p>
      <w:pPr>
        <w:pStyle w:val="Subsection"/>
      </w:pPr>
      <w:r>
        <w:tab/>
      </w:r>
      <w:r>
        <w:tab/>
        <w:t>After Part V Division 5 insert:</w:t>
      </w:r>
    </w:p>
    <w:p>
      <w:pPr>
        <w:pStyle w:val="BlankOpen"/>
      </w:pPr>
    </w:p>
    <w:p>
      <w:pPr>
        <w:pStyle w:val="zHeading3"/>
      </w:pPr>
      <w:bookmarkStart w:id="94" w:name="_Toc522628550"/>
      <w:bookmarkStart w:id="95" w:name="_Toc522628581"/>
      <w:bookmarkStart w:id="96" w:name="_Toc522633985"/>
      <w:bookmarkStart w:id="97" w:name="_Toc523226612"/>
      <w:bookmarkStart w:id="98" w:name="_Toc527568512"/>
      <w:bookmarkStart w:id="99" w:name="_Toc531769780"/>
      <w:bookmarkStart w:id="100" w:name="_Toc532383907"/>
      <w:bookmarkStart w:id="101" w:name="_Toc532396530"/>
      <w:bookmarkStart w:id="102" w:name="_Toc532539770"/>
      <w:r>
        <w:t>Division 5A — Remote gambling devices</w:t>
      </w:r>
      <w:bookmarkEnd w:id="94"/>
      <w:bookmarkEnd w:id="95"/>
      <w:bookmarkEnd w:id="96"/>
      <w:bookmarkEnd w:id="97"/>
      <w:bookmarkEnd w:id="98"/>
      <w:bookmarkEnd w:id="99"/>
      <w:bookmarkEnd w:id="100"/>
      <w:bookmarkEnd w:id="101"/>
      <w:bookmarkEnd w:id="102"/>
    </w:p>
    <w:p>
      <w:pPr>
        <w:pStyle w:val="zHeading5"/>
      </w:pPr>
      <w:bookmarkStart w:id="103" w:name="_Toc532383908"/>
      <w:bookmarkStart w:id="104" w:name="_Toc532396531"/>
      <w:bookmarkStart w:id="105" w:name="_Toc532539771"/>
      <w:r>
        <w:t>93A.</w:t>
      </w:r>
      <w:r>
        <w:tab/>
        <w:t>Terms used</w:t>
      </w:r>
      <w:bookmarkEnd w:id="103"/>
      <w:bookmarkEnd w:id="104"/>
      <w:bookmarkEnd w:id="105"/>
    </w:p>
    <w:p>
      <w:pPr>
        <w:pStyle w:val="zSubsection"/>
      </w:pPr>
      <w:r>
        <w:tab/>
      </w:r>
      <w:r>
        <w:tab/>
        <w:t xml:space="preserve">In this Division — </w:t>
      </w:r>
    </w:p>
    <w:p>
      <w:pPr>
        <w:pStyle w:val="zDefstart"/>
      </w:pPr>
      <w:r>
        <w:tab/>
      </w:r>
      <w:r>
        <w:rPr>
          <w:rStyle w:val="CharDefText"/>
        </w:rPr>
        <w:t>public premises</w:t>
      </w:r>
      <w:r>
        <w:t xml:space="preserve"> means premises in a public place, except — </w:t>
      </w:r>
    </w:p>
    <w:p>
      <w:pPr>
        <w:pStyle w:val="zDefpara"/>
      </w:pPr>
      <w:r>
        <w:tab/>
        <w:t>(a)</w:t>
      </w:r>
      <w:r>
        <w:tab/>
        <w:t xml:space="preserve">premises comprising a totalisator agency as defined in the </w:t>
      </w:r>
      <w:r>
        <w:rPr>
          <w:i/>
        </w:rPr>
        <w:t>Racing and Wagering Western Australia Act 2003</w:t>
      </w:r>
      <w:r>
        <w:t xml:space="preserve"> section 3(1); or</w:t>
      </w:r>
    </w:p>
    <w:p>
      <w:pPr>
        <w:pStyle w:val="zDefpara"/>
      </w:pPr>
      <w:r>
        <w:tab/>
        <w:t>(b)</w:t>
      </w:r>
      <w:r>
        <w:tab/>
        <w:t xml:space="preserve">premises established by the Commission as defined in the </w:t>
      </w:r>
      <w:r>
        <w:rPr>
          <w:i/>
        </w:rPr>
        <w:t>Lotteries Commission Act 1990</w:t>
      </w:r>
      <w:r>
        <w:t xml:space="preserve"> section 3(1) for or in connection with the performance of the Commission’s functions under that Act; or</w:t>
      </w:r>
    </w:p>
    <w:p>
      <w:pPr>
        <w:pStyle w:val="zDefpara"/>
      </w:pPr>
      <w:r>
        <w:tab/>
        <w:t>(c)</w:t>
      </w:r>
      <w:r>
        <w:tab/>
        <w:t>prescribed premises or a prescribed class of premises;</w:t>
      </w:r>
    </w:p>
    <w:p>
      <w:pPr>
        <w:pStyle w:val="zDefstart"/>
      </w:pPr>
      <w:r>
        <w:tab/>
      </w:r>
      <w:r>
        <w:rPr>
          <w:rStyle w:val="CharDefText"/>
        </w:rPr>
        <w:t>remote gambling device</w:t>
      </w:r>
      <w:r>
        <w:t xml:space="preserve"> means a telecommunications device that is primarily or exclusively built to transmit a bet on an event or contingency.</w:t>
      </w:r>
    </w:p>
    <w:p>
      <w:pPr>
        <w:pStyle w:val="zHeading5"/>
      </w:pPr>
      <w:bookmarkStart w:id="106" w:name="_Toc532383909"/>
      <w:bookmarkStart w:id="107" w:name="_Toc532396532"/>
      <w:bookmarkStart w:id="108" w:name="_Toc532539772"/>
      <w:r>
        <w:t>93B.</w:t>
      </w:r>
      <w:r>
        <w:tab/>
        <w:t>Offences relating to remote gambling devices</w:t>
      </w:r>
      <w:bookmarkEnd w:id="106"/>
      <w:bookmarkEnd w:id="107"/>
      <w:bookmarkEnd w:id="108"/>
    </w:p>
    <w:p>
      <w:pPr>
        <w:pStyle w:val="zSubsection"/>
      </w:pPr>
      <w:r>
        <w:tab/>
        <w:t>(1)</w:t>
      </w:r>
      <w:r>
        <w:tab/>
        <w:t>A person who places a remote gambling device on public premises commits an offence.</w:t>
      </w:r>
    </w:p>
    <w:p>
      <w:pPr>
        <w:pStyle w:val="zPenstart"/>
      </w:pPr>
      <w:r>
        <w:tab/>
        <w:t>Penalty for this subsection: a fine of $20 000.</w:t>
      </w:r>
    </w:p>
    <w:p>
      <w:pPr>
        <w:pStyle w:val="zSubsection"/>
      </w:pPr>
      <w:r>
        <w:tab/>
        <w:t>(2)</w:t>
      </w:r>
      <w:r>
        <w:tab/>
        <w:t>A person who uses a remote gambling device on public premises commits an offence.</w:t>
      </w:r>
    </w:p>
    <w:p>
      <w:pPr>
        <w:pStyle w:val="zPenstart"/>
      </w:pPr>
      <w:r>
        <w:tab/>
        <w:t>Penalty for this subsection: a fine of $20 000.</w:t>
      </w:r>
    </w:p>
    <w:p>
      <w:pPr>
        <w:pStyle w:val="zSubsection"/>
      </w:pPr>
      <w:r>
        <w:tab/>
        <w:t>(3)</w:t>
      </w:r>
      <w:r>
        <w:tab/>
        <w:t>An owner or occupier of public premises commits an offence if the owner or occupier permits a remote gambling device to be placed or used on the premises.</w:t>
      </w:r>
    </w:p>
    <w:p>
      <w:pPr>
        <w:pStyle w:val="zPenstart"/>
      </w:pPr>
      <w:r>
        <w:tab/>
        <w:t>Penalty for this subsection: a fine of $20 000.</w:t>
      </w:r>
    </w:p>
    <w:p>
      <w:pPr>
        <w:pStyle w:val="BlankClose"/>
      </w:pPr>
    </w:p>
    <w:p>
      <w:pPr>
        <w:pStyle w:val="Heading5"/>
      </w:pPr>
      <w:bookmarkStart w:id="109" w:name="_Toc532383910"/>
      <w:bookmarkStart w:id="110" w:name="_Toc532396533"/>
      <w:bookmarkStart w:id="111" w:name="_Toc532539773"/>
      <w:r>
        <w:rPr>
          <w:rStyle w:val="CharSectno"/>
        </w:rPr>
        <w:t>22</w:t>
      </w:r>
      <w:r>
        <w:t>.</w:t>
      </w:r>
      <w:r>
        <w:tab/>
        <w:t>Section 101 amended</w:t>
      </w:r>
      <w:bookmarkEnd w:id="109"/>
      <w:bookmarkEnd w:id="110"/>
      <w:bookmarkEnd w:id="111"/>
    </w:p>
    <w:p>
      <w:pPr>
        <w:pStyle w:val="Subsection"/>
      </w:pPr>
      <w:r>
        <w:tab/>
      </w:r>
      <w:r>
        <w:tab/>
        <w:t xml:space="preserve">In section 101(1) in the definition of </w:t>
      </w:r>
      <w:r>
        <w:rPr>
          <w:b/>
          <w:i/>
        </w:rPr>
        <w:t>foreign lottery</w:t>
      </w:r>
      <w:r>
        <w:t xml:space="preserve"> delete “the State,” and insert:</w:t>
      </w:r>
    </w:p>
    <w:p>
      <w:pPr>
        <w:pStyle w:val="BlankOpen"/>
      </w:pPr>
    </w:p>
    <w:p>
      <w:pPr>
        <w:pStyle w:val="Subsection"/>
      </w:pPr>
      <w:r>
        <w:tab/>
      </w:r>
      <w:r>
        <w:tab/>
        <w:t xml:space="preserve">Australia, </w:t>
      </w:r>
    </w:p>
    <w:p>
      <w:pPr>
        <w:pStyle w:val="BlankClose"/>
      </w:pPr>
    </w:p>
    <w:p>
      <w:pPr>
        <w:pStyle w:val="Heading5"/>
      </w:pPr>
      <w:bookmarkStart w:id="112" w:name="_Toc532383911"/>
      <w:bookmarkStart w:id="113" w:name="_Toc532396534"/>
      <w:bookmarkStart w:id="114" w:name="_Toc532539774"/>
      <w:r>
        <w:rPr>
          <w:rStyle w:val="CharSectno"/>
        </w:rPr>
        <w:t>23</w:t>
      </w:r>
      <w:r>
        <w:t>.</w:t>
      </w:r>
      <w:r>
        <w:tab/>
        <w:t>Section 107 amended</w:t>
      </w:r>
      <w:bookmarkEnd w:id="112"/>
      <w:bookmarkEnd w:id="113"/>
      <w:bookmarkEnd w:id="114"/>
    </w:p>
    <w:p>
      <w:pPr>
        <w:pStyle w:val="Subsection"/>
        <w:keepNext/>
      </w:pPr>
      <w:r>
        <w:tab/>
      </w:r>
      <w:r>
        <w:tab/>
        <w:t>In section 107(1) delete “sporting”.</w:t>
      </w:r>
    </w:p>
    <w:p>
      <w:pPr>
        <w:pStyle w:val="Heading5"/>
      </w:pPr>
      <w:bookmarkStart w:id="115" w:name="_Toc532383912"/>
      <w:bookmarkStart w:id="116" w:name="_Toc532396535"/>
      <w:bookmarkStart w:id="117" w:name="_Toc532539775"/>
      <w:r>
        <w:rPr>
          <w:rStyle w:val="CharSectno"/>
        </w:rPr>
        <w:t>24</w:t>
      </w:r>
      <w:r>
        <w:t>.</w:t>
      </w:r>
      <w:r>
        <w:tab/>
        <w:t>Section 109D amended</w:t>
      </w:r>
      <w:bookmarkEnd w:id="115"/>
      <w:bookmarkEnd w:id="116"/>
      <w:bookmarkEnd w:id="117"/>
    </w:p>
    <w:p>
      <w:pPr>
        <w:pStyle w:val="Subsection"/>
      </w:pPr>
      <w:r>
        <w:tab/>
      </w:r>
      <w:r>
        <w:tab/>
        <w:t>In section 109D(3)(b) delete “Burswood Nominees Pty Ltd; and” and insert:</w:t>
      </w:r>
    </w:p>
    <w:p>
      <w:pPr>
        <w:pStyle w:val="BlankOpen"/>
      </w:pPr>
    </w:p>
    <w:p>
      <w:pPr>
        <w:pStyle w:val="Subsection"/>
      </w:pPr>
      <w:r>
        <w:tab/>
      </w:r>
      <w:r>
        <w:tab/>
        <w:t xml:space="preserve">the casino licensee as defined in the </w:t>
      </w:r>
      <w:r>
        <w:rPr>
          <w:i/>
        </w:rPr>
        <w:t>Casino Control Act 1984</w:t>
      </w:r>
      <w:r>
        <w:t xml:space="preserve"> section 3(1); and </w:t>
      </w:r>
    </w:p>
    <w:p>
      <w:pPr>
        <w:pStyle w:val="BlankClose"/>
      </w:pPr>
    </w:p>
    <w:p>
      <w:pPr>
        <w:pStyle w:val="Heading5"/>
      </w:pPr>
      <w:bookmarkStart w:id="118" w:name="_Toc532383913"/>
      <w:bookmarkStart w:id="119" w:name="_Toc532396536"/>
      <w:bookmarkStart w:id="120" w:name="_Toc532539776"/>
      <w:r>
        <w:rPr>
          <w:rStyle w:val="CharSectno"/>
        </w:rPr>
        <w:t>25</w:t>
      </w:r>
      <w:r>
        <w:t>.</w:t>
      </w:r>
      <w:r>
        <w:tab/>
        <w:t>Various penalties amended</w:t>
      </w:r>
      <w:bookmarkEnd w:id="118"/>
      <w:bookmarkEnd w:id="119"/>
      <w:bookmarkEnd w:id="120"/>
    </w:p>
    <w:p>
      <w:pPr>
        <w:pStyle w:val="Subsection"/>
      </w:pPr>
      <w:r>
        <w:tab/>
        <w:t>(1)</w:t>
      </w:r>
      <w:r>
        <w:tab/>
        <w:t>In the provisions listed in the Table delete “Penalty:” and insert:</w:t>
      </w:r>
    </w:p>
    <w:p>
      <w:pPr>
        <w:pStyle w:val="BlankOpen"/>
      </w:pPr>
    </w:p>
    <w:p>
      <w:pPr>
        <w:pStyle w:val="Subsection"/>
      </w:pPr>
      <w:r>
        <w:tab/>
      </w:r>
      <w:r>
        <w:tab/>
        <w:t>Penalty for this subsection: a fine of</w:t>
      </w:r>
    </w:p>
    <w:p>
      <w:pPr>
        <w:pStyle w:val="BlankClose"/>
      </w:pPr>
    </w:p>
    <w:p>
      <w:pPr>
        <w:pStyle w:val="THeading"/>
        <w:spacing w:before="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20(3)</w:t>
            </w:r>
          </w:p>
        </w:tc>
        <w:tc>
          <w:tcPr>
            <w:tcW w:w="3402" w:type="dxa"/>
          </w:tcPr>
          <w:p>
            <w:pPr>
              <w:pStyle w:val="TableAm"/>
            </w:pPr>
            <w:r>
              <w:t>s. 22(5)</w:t>
            </w:r>
          </w:p>
        </w:tc>
      </w:tr>
      <w:tr>
        <w:trPr>
          <w:cantSplit/>
          <w:jc w:val="center"/>
        </w:trPr>
        <w:tc>
          <w:tcPr>
            <w:tcW w:w="3402" w:type="dxa"/>
          </w:tcPr>
          <w:p>
            <w:pPr>
              <w:pStyle w:val="TableAm"/>
            </w:pPr>
            <w:r>
              <w:t>s. 29(1)</w:t>
            </w:r>
          </w:p>
        </w:tc>
        <w:tc>
          <w:tcPr>
            <w:tcW w:w="3402" w:type="dxa"/>
          </w:tcPr>
          <w:p>
            <w:pPr>
              <w:pStyle w:val="TableAm"/>
            </w:pPr>
            <w:r>
              <w:t>s. 29(2)</w:t>
            </w:r>
          </w:p>
        </w:tc>
      </w:tr>
      <w:tr>
        <w:trPr>
          <w:cantSplit/>
          <w:jc w:val="center"/>
        </w:trPr>
        <w:tc>
          <w:tcPr>
            <w:tcW w:w="3402" w:type="dxa"/>
          </w:tcPr>
          <w:p>
            <w:pPr>
              <w:pStyle w:val="TableAm"/>
            </w:pPr>
            <w:r>
              <w:t>s. 41(3)</w:t>
            </w:r>
          </w:p>
        </w:tc>
        <w:tc>
          <w:tcPr>
            <w:tcW w:w="3402" w:type="dxa"/>
          </w:tcPr>
          <w:p>
            <w:pPr>
              <w:pStyle w:val="TableAm"/>
            </w:pPr>
            <w:r>
              <w:t>s. 41(6)</w:t>
            </w:r>
          </w:p>
        </w:tc>
      </w:tr>
      <w:tr>
        <w:trPr>
          <w:cantSplit/>
          <w:jc w:val="center"/>
        </w:trPr>
        <w:tc>
          <w:tcPr>
            <w:tcW w:w="3402" w:type="dxa"/>
          </w:tcPr>
          <w:p>
            <w:pPr>
              <w:pStyle w:val="TableAm"/>
            </w:pPr>
            <w:r>
              <w:t>s. 42(4)</w:t>
            </w:r>
          </w:p>
        </w:tc>
        <w:tc>
          <w:tcPr>
            <w:tcW w:w="3402" w:type="dxa"/>
          </w:tcPr>
          <w:p>
            <w:pPr>
              <w:pStyle w:val="TableAm"/>
            </w:pPr>
            <w:r>
              <w:t>s. 42(5)</w:t>
            </w:r>
          </w:p>
        </w:tc>
      </w:tr>
      <w:tr>
        <w:trPr>
          <w:cantSplit/>
          <w:jc w:val="center"/>
        </w:trPr>
        <w:tc>
          <w:tcPr>
            <w:tcW w:w="3402" w:type="dxa"/>
          </w:tcPr>
          <w:p>
            <w:pPr>
              <w:pStyle w:val="TableAm"/>
            </w:pPr>
            <w:r>
              <w:t>s. 43A(2)</w:t>
            </w:r>
          </w:p>
        </w:tc>
        <w:tc>
          <w:tcPr>
            <w:tcW w:w="3402" w:type="dxa"/>
          </w:tcPr>
          <w:p>
            <w:pPr>
              <w:pStyle w:val="TableAm"/>
            </w:pPr>
            <w:r>
              <w:t>s. 43A(3)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44(1)</w:t>
            </w:r>
          </w:p>
        </w:tc>
        <w:tc>
          <w:tcPr>
            <w:tcW w:w="3402" w:type="dxa"/>
            <w:tcBorders>
              <w:top w:val="single" w:sz="4" w:space="0" w:color="auto"/>
              <w:left w:val="single" w:sz="4" w:space="0" w:color="auto"/>
              <w:bottom w:val="single" w:sz="4" w:space="0" w:color="auto"/>
              <w:right w:val="single" w:sz="4" w:space="0" w:color="auto"/>
            </w:tcBorders>
          </w:tcPr>
          <w:p>
            <w:pPr>
              <w:pStyle w:val="TableAm"/>
            </w:pPr>
            <w:r>
              <w:t>s. 45(1)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45(2)</w:t>
            </w:r>
          </w:p>
        </w:tc>
        <w:tc>
          <w:tcPr>
            <w:tcW w:w="3402" w:type="dxa"/>
            <w:tcBorders>
              <w:top w:val="single" w:sz="4" w:space="0" w:color="auto"/>
              <w:left w:val="single" w:sz="4" w:space="0" w:color="auto"/>
              <w:bottom w:val="single" w:sz="4" w:space="0" w:color="auto"/>
              <w:right w:val="single" w:sz="4" w:space="0" w:color="auto"/>
            </w:tcBorders>
          </w:tcPr>
          <w:p>
            <w:pPr>
              <w:pStyle w:val="TableAm"/>
            </w:pPr>
            <w:r>
              <w:t>s. 45(3)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45(4)</w:t>
            </w:r>
          </w:p>
        </w:tc>
        <w:tc>
          <w:tcPr>
            <w:tcW w:w="3402" w:type="dxa"/>
            <w:tcBorders>
              <w:top w:val="single" w:sz="4" w:space="0" w:color="auto"/>
              <w:left w:val="single" w:sz="4" w:space="0" w:color="auto"/>
              <w:bottom w:val="single" w:sz="4" w:space="0" w:color="auto"/>
              <w:right w:val="single" w:sz="4" w:space="0" w:color="auto"/>
            </w:tcBorders>
          </w:tcPr>
          <w:p>
            <w:pPr>
              <w:pStyle w:val="TableAm"/>
            </w:pPr>
            <w:r>
              <w:t>s. 57(3)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58(4)</w:t>
            </w:r>
          </w:p>
        </w:tc>
        <w:tc>
          <w:tcPr>
            <w:tcW w:w="3402" w:type="dxa"/>
            <w:tcBorders>
              <w:top w:val="single" w:sz="4" w:space="0" w:color="auto"/>
              <w:left w:val="single" w:sz="4" w:space="0" w:color="auto"/>
              <w:bottom w:val="single" w:sz="4" w:space="0" w:color="auto"/>
              <w:right w:val="single" w:sz="4" w:space="0" w:color="auto"/>
            </w:tcBorders>
          </w:tcPr>
          <w:p>
            <w:pPr>
              <w:pStyle w:val="TableAm"/>
            </w:pPr>
            <w:r>
              <w:t>s. 85(4)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88(3)</w:t>
            </w:r>
          </w:p>
        </w:tc>
        <w:tc>
          <w:tcPr>
            <w:tcW w:w="3402" w:type="dxa"/>
            <w:tcBorders>
              <w:top w:val="single" w:sz="4" w:space="0" w:color="auto"/>
              <w:left w:val="single" w:sz="4" w:space="0" w:color="auto"/>
              <w:bottom w:val="single" w:sz="4" w:space="0" w:color="auto"/>
              <w:right w:val="single" w:sz="4" w:space="0" w:color="auto"/>
            </w:tcBorders>
          </w:tcPr>
          <w:p>
            <w:pPr>
              <w:pStyle w:val="TableAm"/>
            </w:pPr>
            <w:r>
              <w:t>s. 89(2)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91(1)</w:t>
            </w:r>
          </w:p>
        </w:tc>
        <w:tc>
          <w:tcPr>
            <w:tcW w:w="3402" w:type="dxa"/>
            <w:tcBorders>
              <w:top w:val="single" w:sz="4" w:space="0" w:color="auto"/>
              <w:left w:val="single" w:sz="4" w:space="0" w:color="auto"/>
              <w:bottom w:val="single" w:sz="4" w:space="0" w:color="auto"/>
              <w:right w:val="single" w:sz="4" w:space="0" w:color="auto"/>
            </w:tcBorders>
          </w:tcPr>
          <w:p>
            <w:pPr>
              <w:pStyle w:val="TableAm"/>
            </w:pPr>
            <w:r>
              <w:t>s. 91(4)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95(4)</w:t>
            </w:r>
          </w:p>
        </w:tc>
        <w:tc>
          <w:tcPr>
            <w:tcW w:w="3402" w:type="dxa"/>
            <w:tcBorders>
              <w:top w:val="single" w:sz="4" w:space="0" w:color="auto"/>
              <w:left w:val="single" w:sz="4" w:space="0" w:color="auto"/>
              <w:bottom w:val="single" w:sz="4" w:space="0" w:color="auto"/>
              <w:right w:val="single" w:sz="4" w:space="0" w:color="auto"/>
            </w:tcBorders>
          </w:tcPr>
          <w:p>
            <w:pPr>
              <w:pStyle w:val="TableAm"/>
            </w:pPr>
            <w:r>
              <w:t>s. 96(3)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97(3)</w:t>
            </w:r>
          </w:p>
        </w:tc>
        <w:tc>
          <w:tcPr>
            <w:tcW w:w="3402" w:type="dxa"/>
            <w:tcBorders>
              <w:top w:val="single" w:sz="4" w:space="0" w:color="auto"/>
              <w:left w:val="single" w:sz="4" w:space="0" w:color="auto"/>
              <w:bottom w:val="single" w:sz="4" w:space="0" w:color="auto"/>
              <w:right w:val="single" w:sz="4" w:space="0" w:color="auto"/>
            </w:tcBorders>
          </w:tcPr>
          <w:p>
            <w:pPr>
              <w:pStyle w:val="TableAm"/>
            </w:pPr>
            <w:r>
              <w:t>s. 104(4)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104(5)</w:t>
            </w:r>
          </w:p>
        </w:tc>
        <w:tc>
          <w:tcPr>
            <w:tcW w:w="3402" w:type="dxa"/>
            <w:tcBorders>
              <w:top w:val="single" w:sz="4" w:space="0" w:color="auto"/>
              <w:left w:val="single" w:sz="4" w:space="0" w:color="auto"/>
              <w:bottom w:val="single" w:sz="4" w:space="0" w:color="auto"/>
              <w:right w:val="single" w:sz="4" w:space="0" w:color="auto"/>
            </w:tcBorders>
          </w:tcPr>
          <w:p>
            <w:pPr>
              <w:pStyle w:val="TableAm"/>
            </w:pPr>
            <w:r>
              <w:t>s. 104C(4)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104E(1)</w:t>
            </w:r>
          </w:p>
        </w:tc>
        <w:tc>
          <w:tcPr>
            <w:tcW w:w="3402" w:type="dxa"/>
            <w:tcBorders>
              <w:top w:val="single" w:sz="4" w:space="0" w:color="auto"/>
              <w:left w:val="single" w:sz="4" w:space="0" w:color="auto"/>
              <w:bottom w:val="single" w:sz="4" w:space="0" w:color="auto"/>
              <w:right w:val="single" w:sz="4" w:space="0" w:color="auto"/>
            </w:tcBorders>
          </w:tcPr>
          <w:p>
            <w:pPr>
              <w:pStyle w:val="TableAm"/>
            </w:pPr>
            <w:r>
              <w:t>s. 104E(2)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104E(3)</w:t>
            </w:r>
          </w:p>
        </w:tc>
        <w:tc>
          <w:tcPr>
            <w:tcW w:w="3402" w:type="dxa"/>
            <w:tcBorders>
              <w:top w:val="single" w:sz="4" w:space="0" w:color="auto"/>
              <w:left w:val="single" w:sz="4" w:space="0" w:color="auto"/>
              <w:bottom w:val="single" w:sz="4" w:space="0" w:color="auto"/>
              <w:right w:val="single" w:sz="4" w:space="0" w:color="auto"/>
            </w:tcBorders>
          </w:tcPr>
          <w:p>
            <w:pPr>
              <w:pStyle w:val="TableAm"/>
            </w:pPr>
            <w:r>
              <w:t>s. 104F(1)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104F(4)</w:t>
            </w:r>
          </w:p>
        </w:tc>
        <w:tc>
          <w:tcPr>
            <w:tcW w:w="3402" w:type="dxa"/>
            <w:tcBorders>
              <w:top w:val="single" w:sz="4" w:space="0" w:color="auto"/>
              <w:left w:val="single" w:sz="4" w:space="0" w:color="auto"/>
              <w:bottom w:val="single" w:sz="4" w:space="0" w:color="auto"/>
              <w:right w:val="single" w:sz="4" w:space="0" w:color="auto"/>
            </w:tcBorders>
          </w:tcPr>
          <w:p>
            <w:pPr>
              <w:pStyle w:val="TableAm"/>
            </w:pPr>
            <w:r>
              <w:t>s. 104L(1)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104L(2)</w:t>
            </w:r>
          </w:p>
        </w:tc>
        <w:tc>
          <w:tcPr>
            <w:tcW w:w="3402" w:type="dxa"/>
            <w:tcBorders>
              <w:top w:val="single" w:sz="4" w:space="0" w:color="auto"/>
              <w:left w:val="single" w:sz="4" w:space="0" w:color="auto"/>
              <w:bottom w:val="single" w:sz="4" w:space="0" w:color="auto"/>
              <w:right w:val="single" w:sz="4" w:space="0" w:color="auto"/>
            </w:tcBorders>
          </w:tcPr>
          <w:p>
            <w:pPr>
              <w:pStyle w:val="TableAm"/>
            </w:pPr>
            <w:r>
              <w:t>s. 104L(3)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104M(1)</w:t>
            </w:r>
          </w:p>
        </w:tc>
        <w:tc>
          <w:tcPr>
            <w:tcW w:w="3402" w:type="dxa"/>
            <w:tcBorders>
              <w:top w:val="single" w:sz="4" w:space="0" w:color="auto"/>
              <w:left w:val="single" w:sz="4" w:space="0" w:color="auto"/>
              <w:bottom w:val="single" w:sz="4" w:space="0" w:color="auto"/>
              <w:right w:val="single" w:sz="4" w:space="0" w:color="auto"/>
            </w:tcBorders>
          </w:tcPr>
          <w:p>
            <w:pPr>
              <w:pStyle w:val="TableAm"/>
            </w:pPr>
            <w:r>
              <w:t>s. 104M(2)</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104M(3)</w:t>
            </w:r>
          </w:p>
        </w:tc>
        <w:tc>
          <w:tcPr>
            <w:tcW w:w="3402" w:type="dxa"/>
            <w:tcBorders>
              <w:top w:val="single" w:sz="4" w:space="0" w:color="auto"/>
              <w:left w:val="single" w:sz="4" w:space="0" w:color="auto"/>
              <w:bottom w:val="single" w:sz="4" w:space="0" w:color="auto"/>
              <w:right w:val="single" w:sz="4" w:space="0" w:color="auto"/>
            </w:tcBorders>
          </w:tcPr>
          <w:p>
            <w:pPr>
              <w:pStyle w:val="TableAm"/>
            </w:pPr>
            <w:r>
              <w:t>s. 106(1)</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106(2)</w:t>
            </w:r>
          </w:p>
        </w:tc>
        <w:tc>
          <w:tcPr>
            <w:tcW w:w="3402" w:type="dxa"/>
            <w:tcBorders>
              <w:top w:val="single" w:sz="4" w:space="0" w:color="auto"/>
              <w:left w:val="single" w:sz="4" w:space="0" w:color="auto"/>
              <w:bottom w:val="single" w:sz="4" w:space="0" w:color="auto"/>
              <w:right w:val="single" w:sz="4" w:space="0" w:color="auto"/>
            </w:tcBorders>
          </w:tcPr>
          <w:p>
            <w:pPr>
              <w:pStyle w:val="TableAm"/>
            </w:pPr>
            <w:r>
              <w:t>s. 108(4)</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109H(2)</w:t>
            </w:r>
          </w:p>
        </w:tc>
        <w:tc>
          <w:tcPr>
            <w:tcW w:w="3402" w:type="dxa"/>
            <w:tcBorders>
              <w:top w:val="single" w:sz="4" w:space="0" w:color="auto"/>
              <w:left w:val="single" w:sz="4" w:space="0" w:color="auto"/>
              <w:bottom w:val="single" w:sz="4" w:space="0" w:color="auto"/>
              <w:right w:val="single" w:sz="4" w:space="0" w:color="auto"/>
            </w:tcBorders>
          </w:tcPr>
          <w:p>
            <w:pPr>
              <w:pStyle w:val="TableAm"/>
            </w:pPr>
          </w:p>
        </w:tc>
      </w:tr>
    </w:tbl>
    <w:p>
      <w:pPr>
        <w:pStyle w:val="Subsection"/>
        <w:keepNext/>
      </w:pPr>
      <w:r>
        <w:tab/>
        <w:t>(2)</w:t>
      </w:r>
      <w:r>
        <w:tab/>
        <w:t>In the provisions listed in the Table delete “Penalty:” and insert:</w:t>
      </w:r>
    </w:p>
    <w:p>
      <w:pPr>
        <w:pStyle w:val="BlankOpen"/>
      </w:pPr>
    </w:p>
    <w:p>
      <w:pPr>
        <w:pStyle w:val="Subsection"/>
        <w:keepNext/>
        <w:spacing w:before="0"/>
      </w:pPr>
      <w:r>
        <w:tab/>
      </w:r>
      <w:r>
        <w:tab/>
        <w:t>Penalty: a fine of</w:t>
      </w:r>
    </w:p>
    <w:p>
      <w:pPr>
        <w:pStyle w:val="BlankClose"/>
        <w:keepNext/>
      </w:pPr>
    </w:p>
    <w:p>
      <w:pPr>
        <w:pStyle w:val="THeading"/>
        <w:spacing w:before="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keepNext/>
            </w:pPr>
            <w:r>
              <w:t>s. 86</w:t>
            </w:r>
          </w:p>
        </w:tc>
        <w:tc>
          <w:tcPr>
            <w:tcW w:w="3402" w:type="dxa"/>
            <w:tcBorders>
              <w:top w:val="single" w:sz="4" w:space="0" w:color="auto"/>
              <w:left w:val="single" w:sz="4" w:space="0" w:color="auto"/>
              <w:bottom w:val="single" w:sz="4" w:space="0" w:color="auto"/>
              <w:right w:val="single" w:sz="4" w:space="0" w:color="auto"/>
            </w:tcBorders>
          </w:tcPr>
          <w:p>
            <w:pPr>
              <w:pStyle w:val="TableAm"/>
              <w:keepNext/>
            </w:pPr>
            <w:r>
              <w:t>s. 93</w:t>
            </w:r>
          </w:p>
        </w:tc>
      </w:tr>
      <w:tr>
        <w:trPr>
          <w:cantSplit/>
          <w:jc w:val="center"/>
        </w:trPr>
        <w:tc>
          <w:tcPr>
            <w:tcW w:w="3402" w:type="dxa"/>
            <w:tcBorders>
              <w:top w:val="single" w:sz="4" w:space="0" w:color="auto"/>
              <w:left w:val="single" w:sz="4" w:space="0" w:color="auto"/>
              <w:bottom w:val="single" w:sz="4" w:space="0" w:color="auto"/>
              <w:right w:val="single" w:sz="4" w:space="0" w:color="auto"/>
            </w:tcBorders>
          </w:tcPr>
          <w:p>
            <w:pPr>
              <w:pStyle w:val="TableAm"/>
            </w:pPr>
            <w:r>
              <w:t>s. 98</w:t>
            </w:r>
          </w:p>
        </w:tc>
        <w:tc>
          <w:tcPr>
            <w:tcW w:w="3402" w:type="dxa"/>
            <w:tcBorders>
              <w:top w:val="single" w:sz="4" w:space="0" w:color="auto"/>
              <w:left w:val="single" w:sz="4" w:space="0" w:color="auto"/>
              <w:bottom w:val="single" w:sz="4" w:space="0" w:color="auto"/>
              <w:right w:val="single" w:sz="4" w:space="0" w:color="auto"/>
            </w:tcBorders>
          </w:tcPr>
          <w:p>
            <w:pPr>
              <w:pStyle w:val="TableAm"/>
            </w:pPr>
          </w:p>
        </w:tc>
      </w:tr>
    </w:tbl>
    <w:p>
      <w:pPr>
        <w:pStyle w:val="CentredBaseLine"/>
        <w:jc w:val="cente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6609" cy="2574925"/>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6609" cy="257492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95pt;height:202.7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41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Legislation Amendment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Legislation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Legislation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Legislation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Legislation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Legislation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114173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821141735" w:val="RemoveTocBookmarks,RemoveUnusedBookmarks,RemoveLanguageTags,UsedStyles,ResetPageSize"/>
    <w:docVar w:name="WAFER_20180821141735_GUID" w:val="75ca54a9-8810-486e-9bb4-fe55990202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541D-1AB3-413E-B8A7-1D125E26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2155</Words>
  <Characters>10475</Characters>
  <Application>Microsoft Office Word</Application>
  <DocSecurity>0</DocSecurity>
  <Lines>523</Lines>
  <Paragraphs>382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12248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Legislation Amendment Act 2018 - 00-00-01</dc:title>
  <dc:subject/>
  <dc:creator/>
  <cp:keywords/>
  <dc:description/>
  <cp:lastModifiedBy>svcMRProcess</cp:lastModifiedBy>
  <cp:revision>4</cp:revision>
  <cp:lastPrinted>2018-12-12T05:16:00Z</cp:lastPrinted>
  <dcterms:created xsi:type="dcterms:W3CDTF">2018-12-20T01:22:00Z</dcterms:created>
  <dcterms:modified xsi:type="dcterms:W3CDTF">2018-12-20T01:22:00Z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3.0</vt:lpwstr>
  </property>
  <property fmtid="{D5CDD505-2E9C-101B-9397-08002B2CF9AE}" pid="3" name="Confidentiality">
    <vt:lpwstr>Confidential</vt:lpwstr>
  </property>
  <property fmtid="{D5CDD505-2E9C-101B-9397-08002B2CF9AE}" pid="4" name="StationID">
    <vt:lpwstr>18</vt:lpwstr>
  </property>
  <property fmtid="{D5CDD505-2E9C-101B-9397-08002B2CF9AE}" pid="5" name="LawPages">
    <vt:i4>18</vt:i4>
  </property>
  <property fmtid="{D5CDD505-2E9C-101B-9397-08002B2CF9AE}" pid="6" name="SLPBillNumber">
    <vt:lpwstr>93—2</vt:lpwstr>
  </property>
  <property fmtid="{D5CDD505-2E9C-101B-9397-08002B2CF9AE}" pid="7" name="BillID">
    <vt:lpwstr>2610</vt:lpwstr>
  </property>
  <property fmtid="{D5CDD505-2E9C-101B-9397-08002B2CF9AE}" pid="8" name="ShortTitle">
    <vt:lpwstr>Gaming and Wagering Legislation Amendment Act 2018</vt:lpwstr>
  </property>
  <property fmtid="{D5CDD505-2E9C-101B-9397-08002B2CF9AE}" pid="9" name="Citation">
    <vt:lpwstr>Gaming and Wagering Legislation Amendment Act 2018</vt:lpwstr>
  </property>
  <property fmtid="{D5CDD505-2E9C-101B-9397-08002B2CF9AE}" pid="10" name="PrincipalAct">
    <vt:lpwstr>Betting Control Act 1954</vt:lpwstr>
  </property>
  <property fmtid="{D5CDD505-2E9C-101B-9397-08002B2CF9AE}" pid="11" name="DraftNo">
    <vt:lpwstr>Final</vt:lpwstr>
  </property>
  <property fmtid="{D5CDD505-2E9C-101B-9397-08002B2CF9AE}" pid="12" name="Complexity">
    <vt:lpwstr>4</vt:lpwstr>
  </property>
  <property fmtid="{D5CDD505-2E9C-101B-9397-08002B2CF9AE}" pid="13" name="OurFileNo">
    <vt:lpwstr>17/01323-00</vt:lpwstr>
  </property>
  <property fmtid="{D5CDD505-2E9C-101B-9397-08002B2CF9AE}" pid="14" name="Date">
    <vt:filetime>2018-05-18T03:23:48Z</vt:filetime>
  </property>
  <property fmtid="{D5CDD505-2E9C-101B-9397-08002B2CF9AE}" pid="15" name="PhoneNo">
    <vt:lpwstr>(08) 9264 1444</vt:lpwstr>
  </property>
  <property fmtid="{D5CDD505-2E9C-101B-9397-08002B2CF9AE}" pid="16" name="Counsel">
    <vt:lpwstr>Dan Djurdjevic</vt:lpwstr>
  </property>
  <property fmtid="{D5CDD505-2E9C-101B-9397-08002B2CF9AE}" pid="17" name="CounselEmail">
    <vt:lpwstr>dan.djurdjevic@pco.wa.gov.au</vt:lpwstr>
  </property>
  <property fmtid="{D5CDD505-2E9C-101B-9397-08002B2CF9AE}" pid="18" name="CounselPosition">
    <vt:lpwstr>Senior Assistant Parliamentary Counsel</vt:lpwstr>
  </property>
  <property fmtid="{D5CDD505-2E9C-101B-9397-08002B2CF9AE}" pid="19" name="Priority">
    <vt:lpwstr>AA</vt:lpwstr>
  </property>
  <property fmtid="{D5CDD505-2E9C-101B-9397-08002B2CF9AE}" pid="20" name="PrivateMember">
    <vt:lpwstr/>
  </property>
  <property fmtid="{D5CDD505-2E9C-101B-9397-08002B2CF9AE}" pid="21" name="Minister">
    <vt:lpwstr>Minister for Racing and Gaming</vt:lpwstr>
  </property>
  <property fmtid="{D5CDD505-2E9C-101B-9397-08002B2CF9AE}" pid="22" name="InstructingDepartment">
    <vt:lpwstr>Department of Local Government, Sport and Cultural Industries</vt:lpwstr>
  </property>
  <property fmtid="{D5CDD505-2E9C-101B-9397-08002B2CF9AE}" pid="23" name="InstructingOfficer">
    <vt:lpwstr>Donna Kennedy</vt:lpwstr>
  </property>
  <property fmtid="{D5CDD505-2E9C-101B-9397-08002B2CF9AE}" pid="24" name="InstructingPhoneNo">
    <vt:lpwstr>6551 4956</vt:lpwstr>
  </property>
  <property fmtid="{D5CDD505-2E9C-101B-9397-08002B2CF9AE}" pid="25" name="InstructingFaxNo">
    <vt:lpwstr/>
  </property>
  <property fmtid="{D5CDD505-2E9C-101B-9397-08002B2CF9AE}" pid="26" name="InstructingEmail">
    <vt:lpwstr>Donna.Kennedy@dlgsc.wa.gov.au</vt:lpwstr>
  </property>
  <property fmtid="{D5CDD505-2E9C-101B-9397-08002B2CF9AE}" pid="27" name="DepartmentReference">
    <vt:lpwstr>RGL-L10/03/06</vt:lpwstr>
  </property>
  <property fmtid="{D5CDD505-2E9C-101B-9397-08002B2CF9AE}" pid="28" name="CabinetDecisions">
    <vt:lpwstr>23/10/2017</vt:lpwstr>
  </property>
  <property fmtid="{D5CDD505-2E9C-101B-9397-08002B2CF9AE}" pid="29" name="CabinetID">
    <vt:lpwstr>2102</vt:lpwstr>
  </property>
  <property fmtid="{D5CDD505-2E9C-101B-9397-08002B2CF9AE}" pid="30" name="ActNo">
    <vt:lpwstr>41 of 2018</vt:lpwstr>
  </property>
  <property fmtid="{D5CDD505-2E9C-101B-9397-08002B2CF9AE}" pid="31" name="KitandImprint">
    <vt:lpwstr>  </vt:lpwstr>
  </property>
  <property fmtid="{D5CDD505-2E9C-101B-9397-08002B2CF9AE}" pid="32" name="Assent Date">
    <vt:lpwstr>12 December 2018</vt:lpwstr>
  </property>
  <property fmtid="{D5CDD505-2E9C-101B-9397-08002B2CF9AE}" pid="33" name="PerfectBound">
    <vt:lpwstr>NO</vt:lpwstr>
  </property>
  <property fmtid="{D5CDD505-2E9C-101B-9397-08002B2CF9AE}" pid="34" name="_AdHocReviewCycleID">
    <vt:i4>-648645174</vt:i4>
  </property>
  <property fmtid="{D5CDD505-2E9C-101B-9397-08002B2CF9AE}" pid="35" name="_NewReviewCycle">
    <vt:lpwstr/>
  </property>
  <property fmtid="{D5CDD505-2E9C-101B-9397-08002B2CF9AE}" pid="36" name="_EmailSubject">
    <vt:lpwstr>Act 41 of 2018  (Gaming and Wagering Legislation Amendment Act 2018)</vt:lpwstr>
  </property>
  <property fmtid="{D5CDD505-2E9C-101B-9397-08002B2CF9AE}" pid="37" name="_AuthorEmail">
    <vt:lpwstr>Allan.Mathieson@dpc.wa.gov.au</vt:lpwstr>
  </property>
  <property fmtid="{D5CDD505-2E9C-101B-9397-08002B2CF9AE}" pid="38" name="_AuthorEmailDisplayName">
    <vt:lpwstr>Mathieson, Alan</vt:lpwstr>
  </property>
  <property fmtid="{D5CDD505-2E9C-101B-9397-08002B2CF9AE}" pid="39" name="_ReviewingToolsShownOnce">
    <vt:lpwstr/>
  </property>
  <property fmtid="{D5CDD505-2E9C-101B-9397-08002B2CF9AE}" pid="40" name="DocumentType">
    <vt:lpwstr>Act</vt:lpwstr>
  </property>
  <property fmtid="{D5CDD505-2E9C-101B-9397-08002B2CF9AE}" pid="41" name="AsAtDate">
    <vt:lpwstr>12 Dec 2018</vt:lpwstr>
  </property>
  <property fmtid="{D5CDD505-2E9C-101B-9397-08002B2CF9AE}" pid="42" name="Suffix">
    <vt:lpwstr>00-00-01</vt:lpwstr>
  </property>
  <property fmtid="{D5CDD505-2E9C-101B-9397-08002B2CF9AE}" pid="43" name="ActNoFooter">
    <vt:lpwstr>No. 41 of 2018</vt:lpwstr>
  </property>
  <property fmtid="{D5CDD505-2E9C-101B-9397-08002B2CF9AE}" pid="44" name="CommencementDate">
    <vt:lpwstr>20181212</vt:lpwstr>
  </property>
</Properties>
</file>