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_Toc532213169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_Toc532213170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_Toc532213171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_Toc532213172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_Toc532213173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_Toc532213174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_Toc532213175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_Toc532213176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_Toc532213177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_Toc532213178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_Toc532213179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_Toc532213180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_Toc532213181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_Toc532213182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_Toc532213183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_Toc532213189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32213169"/>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32213170"/>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3221317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6" w:name="_Toc532213172"/>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532213173"/>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532213174"/>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32213175"/>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32213176"/>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1" w:name="_Toc532213177"/>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12" w:name="_Toc532213178"/>
      <w:r>
        <w:rPr>
          <w:rStyle w:val="CharSectno"/>
        </w:rPr>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3" w:name="_Toc532213179"/>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4" w:name="_Toc532213180"/>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5" w:name="_Toc532213181"/>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6" w:name="_Toc532213182"/>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7" w:name="_Toc532213183"/>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531868888"/>
      <w:bookmarkStart w:id="19" w:name="_Toc531868915"/>
      <w:bookmarkStart w:id="20" w:name="_Toc531872713"/>
      <w:bookmarkStart w:id="21" w:name="_Toc531872763"/>
      <w:bookmarkStart w:id="22" w:name="_Toc532213184"/>
      <w:r>
        <w:rPr>
          <w:rStyle w:val="CharSchNo"/>
        </w:rPr>
        <w:t>Schedule 1</w:t>
      </w:r>
      <w:r>
        <w:t> — </w:t>
      </w:r>
      <w:r>
        <w:rPr>
          <w:rStyle w:val="CharSchText"/>
        </w:rPr>
        <w:t>Fees</w:t>
      </w:r>
      <w:bookmarkEnd w:id="18"/>
      <w:bookmarkEnd w:id="19"/>
      <w:bookmarkEnd w:id="20"/>
      <w:bookmarkEnd w:id="21"/>
      <w:bookmarkEnd w:id="22"/>
    </w:p>
    <w:p>
      <w:pPr>
        <w:pStyle w:val="yShoulderClause"/>
      </w:pPr>
      <w:r>
        <w:t>[r. 4]</w:t>
      </w:r>
    </w:p>
    <w:p>
      <w:pPr>
        <w:pStyle w:val="yFootnoteheading"/>
        <w:spacing w:before="0"/>
      </w:pPr>
      <w:r>
        <w:tab/>
        <w:t>[Heading inserted: Gazette 15 Jun 2018 p. 1964.]</w:t>
      </w:r>
    </w:p>
    <w:p>
      <w:pPr>
        <w:pStyle w:val="yHeading3"/>
        <w:spacing w:before="120"/>
      </w:pPr>
      <w:bookmarkStart w:id="23" w:name="_Toc531868889"/>
      <w:bookmarkStart w:id="24" w:name="_Toc531868916"/>
      <w:bookmarkStart w:id="25" w:name="_Toc531872714"/>
      <w:bookmarkStart w:id="26" w:name="_Toc531872764"/>
      <w:bookmarkStart w:id="27" w:name="_Toc532213185"/>
      <w:r>
        <w:rPr>
          <w:rStyle w:val="CharSDivNo"/>
        </w:rPr>
        <w:t>Division 1</w:t>
      </w:r>
      <w:r>
        <w:rPr>
          <w:b w:val="0"/>
        </w:rPr>
        <w:t> — </w:t>
      </w:r>
      <w:r>
        <w:rPr>
          <w:rStyle w:val="CharSDivText"/>
        </w:rPr>
        <w:t>General</w:t>
      </w:r>
      <w:bookmarkEnd w:id="23"/>
      <w:bookmarkEnd w:id="24"/>
      <w:bookmarkEnd w:id="25"/>
      <w:bookmarkEnd w:id="26"/>
      <w:bookmarkEnd w:id="27"/>
    </w:p>
    <w:p>
      <w:pPr>
        <w:pStyle w:val="yFootnoteheading"/>
      </w:pPr>
      <w:r>
        <w:tab/>
        <w:t>[Heading inserted: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the preparation of a transcript, or part of a transcript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20.50 plus</w:t>
            </w:r>
            <w:r>
              <w:br/>
              <w:t>8.45 per page</w:t>
            </w:r>
          </w:p>
        </w:tc>
        <w:tc>
          <w:tcPr>
            <w:tcW w:w="1418" w:type="dxa"/>
          </w:tcPr>
          <w:p>
            <w:pPr>
              <w:pStyle w:val="yTableNAm"/>
            </w:pPr>
            <w:r>
              <w:t xml:space="preserve">6.15 plus </w:t>
            </w:r>
            <w:r>
              <w:br/>
              <w:t>2.55 per page</w:t>
            </w:r>
          </w:p>
        </w:tc>
      </w:tr>
      <w:tr>
        <w:trPr>
          <w:cantSplit/>
        </w:trPr>
        <w:tc>
          <w:tcPr>
            <w:tcW w:w="709" w:type="dxa"/>
          </w:tcPr>
          <w:p>
            <w:pPr>
              <w:pStyle w:val="yTableNAm"/>
            </w:pPr>
          </w:p>
        </w:tc>
        <w:tc>
          <w:tcPr>
            <w:tcW w:w="3544" w:type="dxa"/>
          </w:tcPr>
          <w:p>
            <w:pPr>
              <w:pStyle w:val="yTableNAm"/>
              <w:ind w:left="1168" w:hanging="1168"/>
            </w:pPr>
            <w:r>
              <w:tab/>
              <w:t>(ii)</w:t>
            </w:r>
            <w:r>
              <w:tab/>
              <w:t xml:space="preserve">provided within 2 days after the day on which the fee is paid </w:t>
            </w:r>
          </w:p>
        </w:tc>
        <w:tc>
          <w:tcPr>
            <w:tcW w:w="1417" w:type="dxa"/>
          </w:tcPr>
          <w:p>
            <w:pPr>
              <w:pStyle w:val="yTableNAm"/>
            </w:pPr>
            <w:r>
              <w:t>20.50 plus</w:t>
            </w:r>
            <w:r>
              <w:br/>
              <w:t>7.75 per page</w:t>
            </w:r>
          </w:p>
        </w:tc>
        <w:tc>
          <w:tcPr>
            <w:tcW w:w="1418" w:type="dxa"/>
          </w:tcPr>
          <w:p>
            <w:pPr>
              <w:pStyle w:val="yTableNAm"/>
            </w:pPr>
            <w:r>
              <w:t xml:space="preserve">6.15 plus </w:t>
            </w:r>
            <w:r>
              <w:br/>
              <w:t>2.35 per page</w:t>
            </w:r>
          </w:p>
        </w:tc>
      </w:tr>
      <w:tr>
        <w:trPr>
          <w:cantSplit/>
        </w:trPr>
        <w:tc>
          <w:tcPr>
            <w:tcW w:w="709" w:type="dxa"/>
          </w:tcPr>
          <w:p>
            <w:pPr>
              <w:pStyle w:val="yTableNAm"/>
            </w:pPr>
          </w:p>
        </w:tc>
        <w:tc>
          <w:tcPr>
            <w:tcW w:w="3544" w:type="dxa"/>
          </w:tcPr>
          <w:p>
            <w:pPr>
              <w:pStyle w:val="yTableNAm"/>
              <w:ind w:left="1168" w:hanging="1168"/>
            </w:pPr>
            <w:r>
              <w:tab/>
              <w:t>(iii)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yTableNAm"/>
            </w:pPr>
          </w:p>
        </w:tc>
        <w:tc>
          <w:tcPr>
            <w:tcW w:w="3544" w:type="dxa"/>
          </w:tcPr>
          <w:p>
            <w:pPr>
              <w:pStyle w:val="yTableNAm"/>
              <w:ind w:left="1168" w:hanging="1168"/>
            </w:pPr>
            <w:r>
              <w:tab/>
              <w:t>(iv)</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yTableNAm"/>
            </w:pPr>
          </w:p>
        </w:tc>
        <w:tc>
          <w:tcPr>
            <w:tcW w:w="3544" w:type="dxa"/>
          </w:tcPr>
          <w:p>
            <w:pPr>
              <w:pStyle w:val="yTableNAm"/>
              <w:ind w:left="1168" w:hanging="1168"/>
            </w:pPr>
            <w:r>
              <w:tab/>
              <w:t>(v)</w:t>
            </w:r>
            <w:r>
              <w:tab/>
              <w:t xml:space="preserve">provided within 14 days after the day on which the fee is paid </w:t>
            </w:r>
          </w:p>
        </w:tc>
        <w:tc>
          <w:tcPr>
            <w:tcW w:w="1417" w:type="dxa"/>
          </w:tcPr>
          <w:p>
            <w:pPr>
              <w:pStyle w:val="yTableNAm"/>
            </w:pPr>
            <w:r>
              <w:t xml:space="preserve">20.50 plus </w:t>
            </w:r>
            <w:r>
              <w:br/>
              <w:t>6.00 per page</w:t>
            </w:r>
          </w:p>
        </w:tc>
        <w:tc>
          <w:tcPr>
            <w:tcW w:w="1418" w:type="dxa"/>
          </w:tcPr>
          <w:p>
            <w:pPr>
              <w:pStyle w:val="yTableNAm"/>
            </w:pPr>
            <w:r>
              <w:t xml:space="preserve">6.15 plus </w:t>
            </w:r>
            <w:r>
              <w:br/>
              <w:t>2.00 per page</w:t>
            </w:r>
          </w:p>
        </w:tc>
      </w:tr>
      <w:tr>
        <w:trPr>
          <w:cantSplit/>
        </w:trPr>
        <w:tc>
          <w:tcPr>
            <w:tcW w:w="709" w:type="dxa"/>
          </w:tcPr>
          <w:p>
            <w:pPr>
              <w:pStyle w:val="yTableNAm"/>
            </w:pPr>
          </w:p>
        </w:tc>
        <w:tc>
          <w:tcPr>
            <w:tcW w:w="3544" w:type="dxa"/>
          </w:tcPr>
          <w:p>
            <w:pPr>
              <w:pStyle w:val="yTableNAm"/>
              <w:ind w:left="1168" w:hanging="1168"/>
            </w:pPr>
            <w:r>
              <w:tab/>
              <w:t>(vi)</w:t>
            </w:r>
            <w:r>
              <w:tab/>
              <w:t>provided on a running basis (i.e. periodically throughout or following the day of the proceedings)</w:t>
            </w:r>
          </w:p>
        </w:tc>
        <w:tc>
          <w:tcPr>
            <w:tcW w:w="1417" w:type="dxa"/>
          </w:tcPr>
          <w:p>
            <w:pPr>
              <w:pStyle w:val="yTableNAm"/>
            </w:pPr>
            <w:r>
              <w:t xml:space="preserve">20.50 plus </w:t>
            </w:r>
            <w:r>
              <w:br/>
              <w:t>9.00 per page</w:t>
            </w:r>
          </w:p>
        </w:tc>
        <w:tc>
          <w:tcPr>
            <w:tcW w:w="1418" w:type="dxa"/>
          </w:tcPr>
          <w:p>
            <w:pPr>
              <w:pStyle w:val="yTableNAm"/>
            </w:pPr>
            <w:r>
              <w:t xml:space="preserve">6.15 plus </w:t>
            </w:r>
            <w:r>
              <w:br/>
              <w:t>3.00 per page</w:t>
            </w:r>
          </w:p>
        </w:tc>
      </w:tr>
      <w:tr>
        <w:trPr>
          <w:cantSplit/>
        </w:trPr>
        <w:tc>
          <w:tcPr>
            <w:tcW w:w="709" w:type="dxa"/>
          </w:tcPr>
          <w:p>
            <w:pPr>
              <w:pStyle w:val="yTableNAm"/>
            </w:pPr>
          </w:p>
        </w:tc>
        <w:tc>
          <w:tcPr>
            <w:tcW w:w="3544" w:type="dxa"/>
          </w:tcPr>
          <w:p>
            <w:pPr>
              <w:pStyle w:val="yTableNAm"/>
              <w:ind w:left="601" w:hanging="601"/>
            </w:pPr>
            <w:r>
              <w:t>(b)</w:t>
            </w:r>
            <w:r>
              <w:tab/>
              <w:t>For a copy of a transcript, or part of a transcript, that has already been prepared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Gazette 15 Jun 2018 p. 1964</w:t>
      </w:r>
      <w:r>
        <w:noBreakHyphen/>
        <w:t>7; amended: Gazette 7 Dec 2018 p. 4667</w:t>
      </w:r>
      <w:r>
        <w:noBreakHyphen/>
        <w:t>8.]</w:t>
      </w:r>
    </w:p>
    <w:p>
      <w:pPr>
        <w:pStyle w:val="yHeading3"/>
        <w:pageBreakBefore/>
        <w:spacing w:before="0"/>
      </w:pPr>
      <w:bookmarkStart w:id="28" w:name="_Toc531868890"/>
      <w:bookmarkStart w:id="29" w:name="_Toc531868917"/>
      <w:bookmarkStart w:id="30" w:name="_Toc531872715"/>
      <w:bookmarkStart w:id="31" w:name="_Toc531872765"/>
      <w:bookmarkStart w:id="32" w:name="_Toc532213186"/>
      <w:r>
        <w:rPr>
          <w:rStyle w:val="CharSDivNo"/>
        </w:rPr>
        <w:t>Division 2</w:t>
      </w:r>
      <w:r>
        <w:rPr>
          <w:b w:val="0"/>
        </w:rPr>
        <w:t> — </w:t>
      </w:r>
      <w:r>
        <w:rPr>
          <w:rStyle w:val="CharSDivText"/>
        </w:rPr>
        <w:t>Civil jurisdiction</w:t>
      </w:r>
      <w:bookmarkEnd w:id="28"/>
      <w:bookmarkEnd w:id="29"/>
      <w:bookmarkEnd w:id="30"/>
      <w:bookmarkEnd w:id="31"/>
      <w:bookmarkEnd w:id="32"/>
    </w:p>
    <w:p>
      <w:pPr>
        <w:pStyle w:val="yFootnoteheading"/>
        <w:keepNext/>
      </w:pPr>
      <w:r>
        <w:tab/>
        <w:t>[Heading inserted: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Gazette 15 Jun 2018 p. 1968</w:t>
      </w:r>
      <w:r>
        <w:noBreakHyphen/>
        <w:t>9.]</w:t>
      </w:r>
    </w:p>
    <w:p>
      <w:pPr>
        <w:pStyle w:val="yHeading3"/>
      </w:pPr>
      <w:bookmarkStart w:id="33" w:name="_Toc531868891"/>
      <w:bookmarkStart w:id="34" w:name="_Toc531868918"/>
      <w:bookmarkStart w:id="35" w:name="_Toc531872716"/>
      <w:bookmarkStart w:id="36" w:name="_Toc531872766"/>
      <w:bookmarkStart w:id="37" w:name="_Toc532213187"/>
      <w:r>
        <w:rPr>
          <w:rStyle w:val="CharSDivNo"/>
        </w:rPr>
        <w:t>Division 3</w:t>
      </w:r>
      <w:r>
        <w:t> — </w:t>
      </w:r>
      <w:r>
        <w:rPr>
          <w:rStyle w:val="CharSDivText"/>
        </w:rPr>
        <w:t>Criminal jurisdiction</w:t>
      </w:r>
      <w:bookmarkEnd w:id="33"/>
      <w:bookmarkEnd w:id="34"/>
      <w:bookmarkEnd w:id="35"/>
      <w:bookmarkEnd w:id="36"/>
      <w:bookmarkEnd w:id="37"/>
    </w:p>
    <w:p>
      <w:pPr>
        <w:pStyle w:val="yFootnoteheading"/>
      </w:pPr>
      <w:r>
        <w:tab/>
        <w:t>[Heading inserted: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Gazette 15 Jun 2018 p. 1969.]</w:t>
      </w:r>
    </w:p>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9" w:name="_Toc531868892"/>
      <w:bookmarkStart w:id="40" w:name="_Toc531868919"/>
      <w:bookmarkStart w:id="41" w:name="_Toc531872717"/>
      <w:bookmarkStart w:id="42" w:name="_Toc531872767"/>
      <w:bookmarkStart w:id="43" w:name="_Toc532213188"/>
      <w:r>
        <w:t>Notes</w:t>
      </w:r>
      <w:bookmarkEnd w:id="39"/>
      <w:bookmarkEnd w:id="40"/>
      <w:bookmarkEnd w:id="41"/>
      <w:bookmarkEnd w:id="42"/>
      <w:bookmarkEnd w:id="43"/>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44" w:name="_Toc532213189"/>
      <w: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rFonts w:ascii="Times" w:hAnsi="Times"/>
                <w:bCs/>
                <w:snapToGrid w:val="0"/>
              </w:rPr>
              <w:t>21 Jul 2018 (see r. 2(b))</w:t>
            </w:r>
          </w:p>
        </w:tc>
      </w:tr>
      <w:tr>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c>
          <w:tcPr>
            <w:tcW w:w="3118" w:type="dxa"/>
            <w:tcBorders>
              <w:bottom w:val="single" w:sz="4" w:space="0" w:color="auto"/>
            </w:tcBorders>
            <w:shd w:val="clear" w:color="auto" w:fill="auto"/>
          </w:tcPr>
          <w:p>
            <w:pPr>
              <w:pStyle w:val="nTable"/>
              <w:spacing w:after="40"/>
            </w:pPr>
            <w:r>
              <w:rPr>
                <w:i/>
              </w:rPr>
              <w:t>Attorney General Regulations Amendment (Transcript Fees) Regulations 2018</w:t>
            </w:r>
            <w:r>
              <w:t xml:space="preserve"> Pt. 2</w:t>
            </w:r>
          </w:p>
        </w:tc>
        <w:tc>
          <w:tcPr>
            <w:tcW w:w="1276" w:type="dxa"/>
            <w:tcBorders>
              <w:bottom w:val="single" w:sz="4" w:space="0" w:color="auto"/>
            </w:tcBorders>
            <w:shd w:val="clear" w:color="auto" w:fill="auto"/>
          </w:tcPr>
          <w:p>
            <w:pPr>
              <w:pStyle w:val="nTable"/>
              <w:spacing w:after="40"/>
            </w:pPr>
            <w:r>
              <w:t>7 Dec 2018 p. 4667</w:t>
            </w:r>
            <w:r>
              <w:noBreakHyphen/>
              <w:t>74</w:t>
            </w:r>
          </w:p>
        </w:tc>
        <w:tc>
          <w:tcPr>
            <w:tcW w:w="2693" w:type="dxa"/>
            <w:tcBorders>
              <w:bottom w:val="single" w:sz="4" w:space="0" w:color="auto"/>
            </w:tcBorders>
            <w:shd w:val="clear" w:color="auto" w:fill="auto"/>
          </w:tcPr>
          <w:p>
            <w:pPr>
              <w:pStyle w:val="nTable"/>
              <w:spacing w:after="40"/>
              <w:rPr>
                <w:bCs/>
                <w:snapToGrid w:val="0"/>
              </w:rPr>
            </w:pPr>
            <w:r>
              <w:t>18 Dec 2018 (see r. 2(b)(i))</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6" w:name="_Toc531868895"/>
      <w:bookmarkStart w:id="47" w:name="_Toc531868922"/>
      <w:bookmarkStart w:id="48" w:name="_Toc531872720"/>
      <w:bookmarkStart w:id="49" w:name="_Toc531872770"/>
      <w:bookmarkStart w:id="50" w:name="_Toc532213190"/>
      <w:r>
        <w:rPr>
          <w:sz w:val="28"/>
        </w:rPr>
        <w:t>Defined terms</w:t>
      </w:r>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3305"/>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3928</Words>
  <Characters>18306</Characters>
  <Application>Microsoft Office Word</Application>
  <DocSecurity>0</DocSecurity>
  <Lines>963</Lines>
  <Paragraphs>505</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2005 - 03-c0-01</dc:title>
  <dc:subject/>
  <dc:creator/>
  <cp:keywords/>
  <dc:description/>
  <cp:lastModifiedBy>svcMRProcess</cp:lastModifiedBy>
  <cp:revision>4</cp:revision>
  <cp:lastPrinted>2018-09-04T01:15:00Z</cp:lastPrinted>
  <dcterms:created xsi:type="dcterms:W3CDTF">2019-01-18T08:54:00Z</dcterms:created>
  <dcterms:modified xsi:type="dcterms:W3CDTF">2019-01-18T08:54:00Z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18 Dec 2018</vt:lpwstr>
  </property>
  <property fmtid="{D5CDD505-2E9C-101B-9397-08002B2CF9AE}" pid="8" name="Suffix">
    <vt:lpwstr>03-c0-01</vt:lpwstr>
  </property>
  <property fmtid="{D5CDD505-2E9C-101B-9397-08002B2CF9AE}" pid="9" name="CommencementDate">
    <vt:lpwstr>20181218</vt:lpwstr>
  </property>
</Properties>
</file>