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_Toc532219530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_Toc532219531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_Toc532219532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_Toc532219533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_Toc532219534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_Toc532219535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_Toc532219536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_Toc532219537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_Toc532219538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_Toc532219539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_Toc532219540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_Toc532219541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_Toc532219542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_Toc532219543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_Toc532219544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_Toc532219545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_Toc532219546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_Toc532219547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_Toc532219548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_Toc532219549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_Toc532219554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32219530"/>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32219531"/>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32219532"/>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keepNext w:val="0"/>
        <w:keepLines w:val="0"/>
        <w:rPr>
          <w:snapToGrid w:val="0"/>
        </w:rPr>
      </w:pPr>
      <w:bookmarkStart w:id="6" w:name="_Toc532219533"/>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532219534"/>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532219535"/>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532219536"/>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532219537"/>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532219538"/>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532219539"/>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532219540"/>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532219541"/>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532219542"/>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532219543"/>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532219544"/>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532219545"/>
      <w:r>
        <w:rPr>
          <w:rStyle w:val="CharSectno"/>
        </w:rPr>
        <w:t>9</w:t>
      </w:r>
      <w:r>
        <w:t>.</w:t>
      </w:r>
      <w:r>
        <w:tab/>
        <w:t>Allocation of hearing date — Schedule 1 item 6</w:t>
      </w:r>
      <w:bookmarkEnd w:id="18"/>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532219546"/>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532219547"/>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532219548"/>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532219549"/>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531869700"/>
      <w:bookmarkStart w:id="24" w:name="_Toc531869730"/>
      <w:bookmarkStart w:id="25" w:name="_Toc532214175"/>
      <w:bookmarkStart w:id="26" w:name="_Toc532219550"/>
      <w:r>
        <w:rPr>
          <w:rStyle w:val="CharSchNo"/>
        </w:rPr>
        <w:t>Schedule 1</w:t>
      </w:r>
      <w:r>
        <w:rPr>
          <w:rStyle w:val="CharSDivNo"/>
        </w:rPr>
        <w:t> </w:t>
      </w:r>
      <w:r>
        <w:t>—</w:t>
      </w:r>
      <w:r>
        <w:rPr>
          <w:rStyle w:val="CharSDivText"/>
        </w:rPr>
        <w:t> </w:t>
      </w:r>
      <w:r>
        <w:rPr>
          <w:rStyle w:val="CharSchText"/>
        </w:rPr>
        <w:t>Registry fees</w:t>
      </w:r>
      <w:bookmarkEnd w:id="23"/>
      <w:bookmarkEnd w:id="24"/>
      <w:bookmarkEnd w:id="25"/>
      <w:bookmarkEnd w:id="26"/>
    </w:p>
    <w:p>
      <w:pPr>
        <w:pStyle w:val="yShoulderClause"/>
      </w:pPr>
      <w:r>
        <w:t>[r. 4]</w:t>
      </w:r>
    </w:p>
    <w:p>
      <w:pPr>
        <w:pStyle w:val="yFootnoteheading"/>
      </w:pPr>
      <w:r>
        <w:tab/>
        <w:t>[Heading inserted: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for each copy issued to a person not a party to the proceedings and for each copy in excess of 1 copy issued to a party to the proceedings</w:t>
            </w:r>
          </w:p>
          <w:p>
            <w:pPr>
              <w:pStyle w:val="yTableNAm"/>
              <w:tabs>
                <w:tab w:val="clear" w:pos="567"/>
                <w:tab w:val="left" w:pos="637"/>
              </w:tabs>
              <w:ind w:left="1062" w:hanging="1062"/>
              <w:rPr>
                <w:spacing w:val="-4"/>
                <w:szCs w:val="22"/>
              </w:rPr>
            </w:pPr>
            <w:r>
              <w:rPr>
                <w:szCs w:val="22"/>
              </w:rPr>
              <w:tab/>
              <w:t>(ii)</w:t>
            </w:r>
            <w:r>
              <w:rPr>
                <w:szCs w:val="22"/>
              </w:rPr>
              <w:tab/>
              <w:t>for each copy consisting of 10 or more pages an additional fee per page of</w:t>
            </w:r>
          </w:p>
        </w:tc>
        <w:tc>
          <w:tcPr>
            <w:tcW w:w="1275"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15.50</w:t>
            </w:r>
          </w:p>
          <w:p>
            <w:pPr>
              <w:pStyle w:val="zyTableNAm"/>
              <w:jc w:val="center"/>
              <w:rPr>
                <w:szCs w:val="22"/>
              </w:rPr>
            </w:pPr>
            <w:r>
              <w:rPr>
                <w:szCs w:val="22"/>
              </w:rPr>
              <w:br/>
            </w:r>
            <w:r>
              <w:rPr>
                <w:szCs w:val="22"/>
              </w:rPr>
              <w:br/>
            </w:r>
            <w:r>
              <w:rPr>
                <w:szCs w:val="22"/>
              </w:rPr>
              <w:br/>
            </w:r>
            <w:r>
              <w:rPr>
                <w:szCs w:val="22"/>
              </w:rPr>
              <w:br/>
            </w:r>
            <w:r>
              <w:rPr>
                <w:szCs w:val="22"/>
              </w:rPr>
              <w:br/>
              <w:t>2.00</w:t>
            </w:r>
          </w:p>
        </w:tc>
        <w:tc>
          <w:tcPr>
            <w:tcW w:w="1276" w:type="dxa"/>
            <w:vAlign w:val="bottom"/>
          </w:tcPr>
          <w:p>
            <w:pPr>
              <w:pStyle w:val="zyTableNAm"/>
              <w:jc w:val="center"/>
              <w:rPr>
                <w:szCs w:val="22"/>
              </w:rPr>
            </w:pPr>
            <w:r>
              <w:t>4.55</w:t>
            </w:r>
          </w:p>
          <w:p>
            <w:pPr>
              <w:pStyle w:val="zyTableNAm"/>
              <w:jc w:val="center"/>
              <w:rPr>
                <w:szCs w:val="22"/>
              </w:rPr>
            </w:pPr>
            <w:r>
              <w:rPr>
                <w:szCs w:val="22"/>
              </w:rPr>
              <w:br/>
            </w:r>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zyTableNAm"/>
              <w:rPr>
                <w:szCs w:val="22"/>
              </w:rPr>
            </w:pPr>
            <w:r>
              <w:rPr>
                <w:szCs w:val="22"/>
              </w:rPr>
              <w:t>16.</w:t>
            </w:r>
          </w:p>
        </w:tc>
        <w:tc>
          <w:tcPr>
            <w:tcW w:w="2588" w:type="dxa"/>
          </w:tcPr>
          <w:p>
            <w:pPr>
              <w:pStyle w:val="yTableNAm"/>
              <w:tabs>
                <w:tab w:val="clear" w:pos="567"/>
                <w:tab w:val="left" w:pos="637"/>
              </w:tabs>
              <w:ind w:left="637" w:hanging="637"/>
              <w:rPr>
                <w:szCs w:val="22"/>
              </w:rPr>
            </w:pPr>
            <w:r>
              <w:rPr>
                <w:szCs w:val="22"/>
              </w:rPr>
              <w:t>(a)</w:t>
            </w:r>
            <w:r>
              <w:rPr>
                <w:szCs w:val="22"/>
              </w:rPr>
              <w:tab/>
              <w:t xml:space="preserve">For the preparation of a transcript, or part of a transcript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provided </w:t>
            </w:r>
            <w:r>
              <w:t>within</w:t>
            </w:r>
            <w:r>
              <w:rPr>
                <w:szCs w:val="22"/>
              </w:rPr>
              <w:t xml:space="preserve"> 1 day after the day on which the fee is paid </w:t>
            </w:r>
          </w:p>
        </w:tc>
        <w:tc>
          <w:tcPr>
            <w:tcW w:w="1275" w:type="dxa"/>
          </w:tcPr>
          <w:p>
            <w:pPr>
              <w:pStyle w:val="yTableNAm"/>
            </w:pPr>
            <w:r>
              <w:t>20.50 plus</w:t>
            </w:r>
            <w:r>
              <w:br/>
              <w:t>8.45 per page</w:t>
            </w:r>
          </w:p>
        </w:tc>
        <w:tc>
          <w:tcPr>
            <w:tcW w:w="1276" w:type="dxa"/>
          </w:tcPr>
          <w:p>
            <w:pPr>
              <w:pStyle w:val="yTableNAm"/>
            </w:pPr>
            <w:r>
              <w:t>20.50 plus</w:t>
            </w:r>
            <w:r>
              <w:br/>
              <w:t>16.90 per page</w:t>
            </w:r>
          </w:p>
        </w:tc>
        <w:tc>
          <w:tcPr>
            <w:tcW w:w="1276" w:type="dxa"/>
          </w:tcPr>
          <w:p>
            <w:pPr>
              <w:pStyle w:val="yTableNAm"/>
            </w:pPr>
            <w:r>
              <w:t xml:space="preserve">6.15 plus </w:t>
            </w:r>
            <w:r>
              <w:br/>
              <w:t>2.55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w:t>
            </w:r>
            <w:r>
              <w:rPr>
                <w:szCs w:val="22"/>
              </w:rPr>
              <w:tab/>
              <w:t xml:space="preserve">provided within 2 days after the day on which the fee is paid </w:t>
            </w:r>
          </w:p>
        </w:tc>
        <w:tc>
          <w:tcPr>
            <w:tcW w:w="1275" w:type="dxa"/>
          </w:tcPr>
          <w:p>
            <w:pPr>
              <w:pStyle w:val="yTableNAm"/>
            </w:pPr>
            <w:r>
              <w:t>20.50 plus</w:t>
            </w:r>
            <w:r>
              <w:br/>
              <w:t>7.75 per page</w:t>
            </w:r>
          </w:p>
        </w:tc>
        <w:tc>
          <w:tcPr>
            <w:tcW w:w="1276" w:type="dxa"/>
          </w:tcPr>
          <w:p>
            <w:pPr>
              <w:pStyle w:val="yTableNAm"/>
            </w:pPr>
            <w:r>
              <w:t>20.50 plus</w:t>
            </w:r>
            <w:r>
              <w:br/>
              <w:t>15.50 per page</w:t>
            </w:r>
          </w:p>
        </w:tc>
        <w:tc>
          <w:tcPr>
            <w:tcW w:w="1276" w:type="dxa"/>
          </w:tcPr>
          <w:p>
            <w:pPr>
              <w:pStyle w:val="yTableNAm"/>
            </w:pPr>
            <w:r>
              <w:t xml:space="preserve">6.15 plus </w:t>
            </w:r>
            <w:r>
              <w:br/>
              <w:t>2.35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(iii)</w:t>
            </w:r>
            <w:r>
              <w:rPr>
                <w:szCs w:val="22"/>
              </w:rPr>
              <w:tab/>
              <w:t xml:space="preserve">provided within 4 days after the day on which the fee is paid </w:t>
            </w:r>
          </w:p>
        </w:tc>
        <w:tc>
          <w:tcPr>
            <w:tcW w:w="1275" w:type="dxa"/>
          </w:tcPr>
          <w:p>
            <w:pPr>
              <w:pStyle w:val="yTableNAm"/>
            </w:pPr>
            <w:r>
              <w:t>20.50 plus</w:t>
            </w:r>
            <w:r>
              <w:br/>
              <w:t>7.30 per page</w:t>
            </w:r>
          </w:p>
        </w:tc>
        <w:tc>
          <w:tcPr>
            <w:tcW w:w="1276" w:type="dxa"/>
          </w:tcPr>
          <w:p>
            <w:pPr>
              <w:pStyle w:val="yTableNAm"/>
            </w:pPr>
            <w:r>
              <w:t>20.50 plus</w:t>
            </w:r>
            <w:r>
              <w:br/>
              <w:t>14.75 per page</w:t>
            </w:r>
          </w:p>
        </w:tc>
        <w:tc>
          <w:tcPr>
            <w:tcW w:w="1276" w:type="dxa"/>
          </w:tcPr>
          <w:p>
            <w:pPr>
              <w:pStyle w:val="yTableNAm"/>
            </w:pPr>
            <w:r>
              <w:t xml:space="preserve">6.15 plus </w:t>
            </w:r>
            <w:r>
              <w:br/>
              <w:t>2.20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(iv)</w:t>
            </w:r>
            <w:r>
              <w:rPr>
                <w:szCs w:val="22"/>
              </w:rPr>
              <w:tab/>
              <w:t xml:space="preserve">provided within 7 days after the day on which the fee is paid </w:t>
            </w:r>
          </w:p>
        </w:tc>
        <w:tc>
          <w:tcPr>
            <w:tcW w:w="1275" w:type="dxa"/>
          </w:tcPr>
          <w:p>
            <w:pPr>
              <w:pStyle w:val="yTableNAm"/>
            </w:pPr>
            <w:r>
              <w:t xml:space="preserve">20.50 plus </w:t>
            </w:r>
            <w:r>
              <w:br/>
              <w:t>7.05 per page</w:t>
            </w:r>
          </w:p>
        </w:tc>
        <w:tc>
          <w:tcPr>
            <w:tcW w:w="1276" w:type="dxa"/>
          </w:tcPr>
          <w:p>
            <w:pPr>
              <w:pStyle w:val="yTableNAm"/>
            </w:pPr>
            <w:r>
              <w:t>20.50 plus</w:t>
            </w:r>
            <w:r>
              <w:br/>
              <w:t>14.05 per page</w:t>
            </w:r>
          </w:p>
        </w:tc>
        <w:tc>
          <w:tcPr>
            <w:tcW w:w="1276" w:type="dxa"/>
          </w:tcPr>
          <w:p>
            <w:pPr>
              <w:pStyle w:val="yTableNAm"/>
            </w:pPr>
            <w:r>
              <w:t xml:space="preserve">6.15 plus </w:t>
            </w:r>
            <w:r>
              <w:br/>
              <w:t>2.15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(v)</w:t>
            </w:r>
            <w:r>
              <w:rPr>
                <w:szCs w:val="22"/>
              </w:rPr>
              <w:tab/>
              <w:t xml:space="preserve">provided within 14 days after the day on which the fee is paid </w:t>
            </w:r>
          </w:p>
        </w:tc>
        <w:tc>
          <w:tcPr>
            <w:tcW w:w="1275" w:type="dxa"/>
          </w:tcPr>
          <w:p>
            <w:pPr>
              <w:pStyle w:val="yTableNAm"/>
            </w:pPr>
            <w:r>
              <w:t xml:space="preserve">20.50 plus </w:t>
            </w:r>
            <w:r>
              <w:br/>
              <w:t>6.00 per page</w:t>
            </w:r>
          </w:p>
        </w:tc>
        <w:tc>
          <w:tcPr>
            <w:tcW w:w="1276" w:type="dxa"/>
          </w:tcPr>
          <w:p>
            <w:pPr>
              <w:pStyle w:val="yTableNAm"/>
            </w:pPr>
            <w:r>
              <w:t>20.50 plus</w:t>
            </w:r>
            <w:r>
              <w:br/>
              <w:t>12.00 per page</w:t>
            </w:r>
          </w:p>
        </w:tc>
        <w:tc>
          <w:tcPr>
            <w:tcW w:w="1276" w:type="dxa"/>
          </w:tcPr>
          <w:p>
            <w:pPr>
              <w:pStyle w:val="yTableNAm"/>
            </w:pPr>
            <w:r>
              <w:t xml:space="preserve">6.15 plus </w:t>
            </w:r>
            <w:r>
              <w:br/>
              <w:t>2.00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pPr>
            <w:r>
              <w:tab/>
              <w:t>(vi)</w:t>
            </w:r>
            <w:r>
              <w:tab/>
              <w:t xml:space="preserve">provided on a running basis (i.e. periodically </w:t>
            </w:r>
            <w:r>
              <w:rPr>
                <w:szCs w:val="22"/>
              </w:rPr>
              <w:t>throughout</w:t>
            </w:r>
            <w:r>
              <w:t xml:space="preserve"> or following the day of the proceedings)</w:t>
            </w:r>
          </w:p>
        </w:tc>
        <w:tc>
          <w:tcPr>
            <w:tcW w:w="1275" w:type="dxa"/>
          </w:tcPr>
          <w:p>
            <w:pPr>
              <w:pStyle w:val="yTableNAm"/>
            </w:pPr>
            <w:r>
              <w:t xml:space="preserve">20.50 plus </w:t>
            </w:r>
            <w:r>
              <w:br/>
              <w:t>9.00 per page</w:t>
            </w:r>
          </w:p>
        </w:tc>
        <w:tc>
          <w:tcPr>
            <w:tcW w:w="1276" w:type="dxa"/>
          </w:tcPr>
          <w:p>
            <w:pPr>
              <w:pStyle w:val="yTableNAm"/>
            </w:pPr>
            <w:r>
              <w:t>20.50 plus</w:t>
            </w:r>
            <w:r>
              <w:br/>
              <w:t>18.00 per page</w:t>
            </w:r>
          </w:p>
        </w:tc>
        <w:tc>
          <w:tcPr>
            <w:tcW w:w="1276" w:type="dxa"/>
          </w:tcPr>
          <w:p>
            <w:pPr>
              <w:pStyle w:val="yTableNAm"/>
            </w:pPr>
            <w:r>
              <w:t xml:space="preserve">6.15 plus </w:t>
            </w:r>
            <w:r>
              <w:br/>
              <w:t>3.00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rPr>
                <w:szCs w:val="22"/>
              </w:rPr>
            </w:pPr>
            <w:r>
              <w:rPr>
                <w:szCs w:val="22"/>
              </w:rPr>
              <w:t>(b)</w:t>
            </w:r>
            <w:r>
              <w:rPr>
                <w:szCs w:val="22"/>
              </w:rPr>
              <w:tab/>
              <w:t xml:space="preserve">For a copy of a transcript, or part of a transcript, that has already been prepared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electronic format </w:t>
            </w:r>
          </w:p>
        </w:tc>
        <w:tc>
          <w:tcPr>
            <w:tcW w:w="1275" w:type="dxa"/>
          </w:tcPr>
          <w:p>
            <w:pPr>
              <w:pStyle w:val="yTableNAm"/>
            </w:pPr>
            <w:r>
              <w:t>21.40 per copy</w:t>
            </w:r>
          </w:p>
        </w:tc>
        <w:tc>
          <w:tcPr>
            <w:tcW w:w="1276" w:type="dxa"/>
          </w:tcPr>
          <w:p>
            <w:pPr>
              <w:pStyle w:val="yTableNAm"/>
            </w:pPr>
            <w:r>
              <w:t>21.40 per copy</w:t>
            </w:r>
          </w:p>
        </w:tc>
        <w:tc>
          <w:tcPr>
            <w:tcW w:w="1276" w:type="dxa"/>
          </w:tcPr>
          <w:p>
            <w:pPr>
              <w:pStyle w:val="yTableNAm"/>
            </w:pPr>
            <w: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tabs>
                <w:tab w:val="clear" w:pos="567"/>
                <w:tab w:val="left" w:pos="637"/>
              </w:tabs>
              <w:ind w:left="1062" w:hanging="1062"/>
              <w:rPr>
                <w:szCs w:val="22"/>
              </w:rPr>
            </w:pPr>
            <w:r>
              <w:rPr>
                <w:szCs w:val="22"/>
              </w:rPr>
              <w:tab/>
              <w:t>(ii)</w:t>
            </w:r>
            <w:r>
              <w:rPr>
                <w:szCs w:val="22"/>
              </w:rPr>
              <w:tab/>
              <w:t xml:space="preserve">paper copy </w:t>
            </w:r>
          </w:p>
        </w:tc>
        <w:tc>
          <w:tcPr>
            <w:tcW w:w="1275"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0.60 per page</w:t>
            </w:r>
          </w:p>
        </w:tc>
      </w:tr>
    </w:tbl>
    <w:p>
      <w:pPr>
        <w:pStyle w:val="yFootnotesection"/>
      </w:pPr>
      <w:r>
        <w:tab/>
        <w:t>[Schedule 1 inserted: Gazette 15 Jun 2018 p. 1986</w:t>
      </w:r>
      <w:r>
        <w:noBreakHyphen/>
        <w:t>95; amended: Gazette 7 Dec 2018 p. 4669</w:t>
      </w:r>
      <w:r>
        <w:noBreakHyphen/>
        <w:t>70.]</w:t>
      </w:r>
    </w:p>
    <w:p>
      <w:pPr>
        <w:pStyle w:val="yScheduleHeading"/>
      </w:pPr>
      <w:bookmarkStart w:id="27" w:name="_Toc531869701"/>
      <w:bookmarkStart w:id="28" w:name="_Toc531869731"/>
      <w:bookmarkStart w:id="29" w:name="_Toc532214176"/>
      <w:bookmarkStart w:id="30" w:name="_Toc532219551"/>
      <w:r>
        <w:rPr>
          <w:rStyle w:val="CharSchNo"/>
        </w:rPr>
        <w:t>Schedule 2</w:t>
      </w:r>
      <w:r>
        <w:rPr>
          <w:rStyle w:val="CharSDivNo"/>
        </w:rPr>
        <w:t> </w:t>
      </w:r>
      <w:r>
        <w:t>—</w:t>
      </w:r>
      <w:r>
        <w:rPr>
          <w:rStyle w:val="CharSDivText"/>
        </w:rPr>
        <w:t> </w:t>
      </w:r>
      <w:r>
        <w:rPr>
          <w:rStyle w:val="CharSchText"/>
        </w:rPr>
        <w:t>Sheriff’s fees</w:t>
      </w:r>
      <w:bookmarkEnd w:id="27"/>
      <w:bookmarkEnd w:id="28"/>
      <w:bookmarkEnd w:id="29"/>
      <w:bookmarkEnd w:id="30"/>
    </w:p>
    <w:p>
      <w:pPr>
        <w:pStyle w:val="yShoulderClause"/>
      </w:pPr>
      <w:r>
        <w:t>[r. 4]</w:t>
      </w:r>
    </w:p>
    <w:p>
      <w:pPr>
        <w:pStyle w:val="yFootnoteheading"/>
      </w:pPr>
      <w:r>
        <w:tab/>
        <w:t>[Heading inserted: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Gazette 15 Jun 2018 p. 1996</w:t>
      </w:r>
      <w:r>
        <w:noBreakHyphen/>
        <w:t>7.]</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2" w:name="_Toc531869702"/>
      <w:bookmarkStart w:id="33" w:name="_Toc531869732"/>
      <w:bookmarkStart w:id="34" w:name="_Toc532214177"/>
      <w:bookmarkStart w:id="35" w:name="_Toc532219552"/>
      <w:r>
        <w:rPr>
          <w:rStyle w:val="CharSchNo"/>
        </w:rPr>
        <w:t>Schedule 3</w:t>
      </w:r>
      <w:r>
        <w:t xml:space="preserve"> — </w:t>
      </w:r>
      <w:r>
        <w:rPr>
          <w:rStyle w:val="CharSchText"/>
        </w:rPr>
        <w:t>Forms</w:t>
      </w:r>
      <w:bookmarkEnd w:id="32"/>
      <w:bookmarkEnd w:id="33"/>
      <w:bookmarkEnd w:id="34"/>
      <w:bookmarkEnd w:id="35"/>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6" w:name="_Toc531869703"/>
      <w:bookmarkStart w:id="37" w:name="_Toc531869733"/>
      <w:bookmarkStart w:id="38" w:name="_Toc532214178"/>
      <w:bookmarkStart w:id="39" w:name="_Toc532219553"/>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0" w:name="_Toc532219554"/>
      <w:r>
        <w:t>Compilation table</w:t>
      </w:r>
      <w:bookmarkEnd w:id="4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rFonts w:ascii="Times" w:hAnsi="Times"/>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rFonts w:ascii="Times" w:hAnsi="Times"/>
                <w:bCs/>
                <w:snapToGrid w:val="0"/>
              </w:rPr>
              <w:t>21 Jul 2018 (see r. 2(b))</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2018 </w:t>
            </w:r>
            <w:r>
              <w:t>Pt. 4</w:t>
            </w:r>
          </w:p>
        </w:tc>
        <w:tc>
          <w:tcPr>
            <w:tcW w:w="1276" w:type="dxa"/>
            <w:tcBorders>
              <w:bottom w:val="single" w:sz="4" w:space="0" w:color="auto"/>
            </w:tcBorders>
            <w:shd w:val="clear" w:color="auto" w:fill="auto"/>
          </w:tcPr>
          <w:p>
            <w:pPr>
              <w:pStyle w:val="nTable"/>
              <w:spacing w:after="40"/>
            </w:pPr>
            <w:r>
              <w:t>7 Dec 2018 p. 4667</w:t>
            </w:r>
            <w:r>
              <w:noBreakHyphen/>
              <w:t>74</w:t>
            </w:r>
          </w:p>
        </w:tc>
        <w:tc>
          <w:tcPr>
            <w:tcW w:w="2712"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2" w:name="_Toc531869706"/>
      <w:bookmarkStart w:id="43" w:name="_Toc531869736"/>
      <w:bookmarkStart w:id="44" w:name="_Toc532214180"/>
      <w:bookmarkStart w:id="45" w:name="_Toc532219555"/>
      <w:r>
        <w:rPr>
          <w:sz w:val="28"/>
        </w:rPr>
        <w:t>Defined terms</w:t>
      </w:r>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t>Schedule 1</w:t>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2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D1DF-63F7-4802-98C4-A7BB7274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7816</Words>
  <Characters>37990</Characters>
  <Application>Microsoft Office Word</Application>
  <DocSecurity>0</DocSecurity>
  <Lines>2234</Lines>
  <Paragraphs>1090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2002 - 03-o0-03</dc:title>
  <dc:subject/>
  <dc:creator/>
  <cp:keywords/>
  <dc:description/>
  <cp:lastModifiedBy>svcMRProcess</cp:lastModifiedBy>
  <cp:revision>4</cp:revision>
  <cp:lastPrinted>2016-07-22T01:04:00Z</cp:lastPrinted>
  <dcterms:created xsi:type="dcterms:W3CDTF">2019-01-15T07:32:00Z</dcterms:created>
  <dcterms:modified xsi:type="dcterms:W3CDTF">2019-01-15T07:32:00Z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18 Dec 2018</vt:lpwstr>
  </property>
  <property fmtid="{D5CDD505-2E9C-101B-9397-08002B2CF9AE}" pid="8" name="Suffix">
    <vt:lpwstr>03-o0-03</vt:lpwstr>
  </property>
  <property fmtid="{D5CDD505-2E9C-101B-9397-08002B2CF9AE}" pid="9" name="CommencementDate">
    <vt:lpwstr>20181218</vt:lpwstr>
  </property>
</Properties>
</file>