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Education and Care Services National Law (WA)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Law (WA)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_Toc80611722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_Toc80611723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_Toc80611724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Education and Care Services National Law</w:t>
      </w:r>
    </w:p>
    <w:p>
      <w:pPr>
        <w:pStyle w:val="TOC8"/>
        <w:rPr>
          <w:rFonts w:asciiTheme="minorHAnsi" w:eastAsiaTheme="minorEastAsia" w:hAnsiTheme="minorHAnsi" w:cstheme="minorBidi"/>
          <w:szCs w:val="22"/>
        </w:rPr>
      </w:pPr>
      <w:r>
        <w:t>4.</w:t>
      </w:r>
      <w:r>
        <w:tab/>
        <w:t>Application of the Education and Care Services National Law</w:t>
      </w:r>
      <w:r>
        <w:tab/>
      </w:r>
      <w:r>
        <w:fldChar w:fldCharType="begin"/>
      </w:r>
      <w:r>
        <w:instrText xml:space="preserve"> PAGEREF _Toc80611726 \h </w:instrText>
      </w:r>
      <w:r>
        <w:fldChar w:fldCharType="separate"/>
      </w:r>
      <w:r>
        <w:t>3</w:t>
      </w:r>
      <w:r>
        <w:fldChar w:fldCharType="end"/>
      </w:r>
    </w:p>
    <w:p>
      <w:pPr>
        <w:pStyle w:val="TOC8"/>
        <w:rPr>
          <w:rFonts w:asciiTheme="minorHAnsi" w:eastAsiaTheme="minorEastAsia" w:hAnsiTheme="minorHAnsi" w:cstheme="minorBidi"/>
          <w:szCs w:val="22"/>
        </w:rPr>
      </w:pPr>
      <w:r>
        <w:t>5.</w:t>
      </w:r>
      <w:r>
        <w:tab/>
        <w:t>Exclusion of legislation of this jurisdiction</w:t>
      </w:r>
      <w:r>
        <w:tab/>
      </w:r>
      <w:r>
        <w:fldChar w:fldCharType="begin"/>
      </w:r>
      <w:r>
        <w:instrText xml:space="preserve"> PAGEREF _Toc80611727 \h </w:instrText>
      </w:r>
      <w:r>
        <w:fldChar w:fldCharType="separate"/>
      </w:r>
      <w:r>
        <w:t>3</w:t>
      </w:r>
      <w:r>
        <w:fldChar w:fldCharType="end"/>
      </w:r>
    </w:p>
    <w:p>
      <w:pPr>
        <w:pStyle w:val="TOC8"/>
        <w:rPr>
          <w:rFonts w:asciiTheme="minorHAnsi" w:eastAsiaTheme="minorEastAsia" w:hAnsiTheme="minorHAnsi" w:cstheme="minorBidi"/>
          <w:szCs w:val="22"/>
        </w:rPr>
      </w:pPr>
      <w:r>
        <w:t>6.</w:t>
      </w:r>
      <w:r>
        <w:tab/>
        <w:t>Meaning of generic terms in Education and Care Services National Law for the purposes of this jurisdiction</w:t>
      </w:r>
      <w:r>
        <w:tab/>
      </w:r>
      <w:r>
        <w:fldChar w:fldCharType="begin"/>
      </w:r>
      <w:r>
        <w:instrText xml:space="preserve"> PAGEREF _Toc80611728 \h </w:instrText>
      </w:r>
      <w:r>
        <w:fldChar w:fldCharType="separate"/>
      </w:r>
      <w:r>
        <w:t>4</w:t>
      </w:r>
      <w:r>
        <w:fldChar w:fldCharType="end"/>
      </w:r>
    </w:p>
    <w:p>
      <w:pPr>
        <w:pStyle w:val="TOC8"/>
        <w:rPr>
          <w:rFonts w:asciiTheme="minorHAnsi" w:eastAsiaTheme="minorEastAsia" w:hAnsiTheme="minorHAnsi" w:cstheme="minorBidi"/>
          <w:szCs w:val="22"/>
        </w:rPr>
      </w:pPr>
      <w:r>
        <w:t>7.</w:t>
      </w:r>
      <w:r>
        <w:tab/>
        <w:t>Relevant tribunal or court</w:t>
      </w:r>
      <w:r>
        <w:tab/>
      </w:r>
      <w:r>
        <w:fldChar w:fldCharType="begin"/>
      </w:r>
      <w:r>
        <w:instrText xml:space="preserve"> PAGEREF _Toc80611729 \h </w:instrText>
      </w:r>
      <w:r>
        <w:fldChar w:fldCharType="separate"/>
      </w:r>
      <w:r>
        <w:t>4</w:t>
      </w:r>
      <w:r>
        <w:fldChar w:fldCharType="end"/>
      </w:r>
    </w:p>
    <w:p>
      <w:pPr>
        <w:pStyle w:val="TOC8"/>
        <w:rPr>
          <w:rFonts w:asciiTheme="minorHAnsi" w:eastAsiaTheme="minorEastAsia" w:hAnsiTheme="minorHAnsi" w:cstheme="minorBidi"/>
          <w:szCs w:val="22"/>
        </w:rPr>
      </w:pPr>
      <w:r>
        <w:t>8.</w:t>
      </w:r>
      <w:r>
        <w:tab/>
        <w:t>Regulatory Authority</w:t>
      </w:r>
      <w:r>
        <w:tab/>
      </w:r>
      <w:r>
        <w:fldChar w:fldCharType="begin"/>
      </w:r>
      <w:r>
        <w:instrText xml:space="preserve"> PAGEREF _Toc80611730 \h </w:instrText>
      </w:r>
      <w:r>
        <w:fldChar w:fldCharType="separate"/>
      </w:r>
      <w:r>
        <w:t>5</w:t>
      </w:r>
      <w:r>
        <w:fldChar w:fldCharType="end"/>
      </w:r>
    </w:p>
    <w:p>
      <w:pPr>
        <w:pStyle w:val="TOC8"/>
        <w:rPr>
          <w:rFonts w:asciiTheme="minorHAnsi" w:eastAsiaTheme="minorEastAsia" w:hAnsiTheme="minorHAnsi" w:cstheme="minorBidi"/>
          <w:szCs w:val="22"/>
        </w:rPr>
      </w:pPr>
      <w:r>
        <w:t>9.</w:t>
      </w:r>
      <w:r>
        <w:tab/>
        <w:t>Children’s services law</w:t>
      </w:r>
      <w:r>
        <w:tab/>
      </w:r>
      <w:r>
        <w:fldChar w:fldCharType="begin"/>
      </w:r>
      <w:r>
        <w:instrText xml:space="preserve"> PAGEREF _Toc80611731 \h </w:instrText>
      </w:r>
      <w:r>
        <w:fldChar w:fldCharType="separate"/>
      </w:r>
      <w:r>
        <w:t>5</w:t>
      </w:r>
      <w:r>
        <w:fldChar w:fldCharType="end"/>
      </w:r>
    </w:p>
    <w:p>
      <w:pPr>
        <w:pStyle w:val="TOC8"/>
        <w:rPr>
          <w:rFonts w:asciiTheme="minorHAnsi" w:eastAsiaTheme="minorEastAsia" w:hAnsiTheme="minorHAnsi" w:cstheme="minorBidi"/>
          <w:szCs w:val="22"/>
        </w:rPr>
      </w:pPr>
      <w:r>
        <w:t>10.</w:t>
      </w:r>
      <w:r>
        <w:tab/>
        <w:t>Education law</w:t>
      </w:r>
      <w:r>
        <w:tab/>
      </w:r>
      <w:r>
        <w:fldChar w:fldCharType="begin"/>
      </w:r>
      <w:r>
        <w:instrText xml:space="preserve"> PAGEREF _Toc80611732 \h </w:instrText>
      </w:r>
      <w:r>
        <w:fldChar w:fldCharType="separate"/>
      </w:r>
      <w:r>
        <w:t>5</w:t>
      </w:r>
      <w:r>
        <w:fldChar w:fldCharType="end"/>
      </w:r>
    </w:p>
    <w:p>
      <w:pPr>
        <w:pStyle w:val="TOC8"/>
        <w:rPr>
          <w:rFonts w:asciiTheme="minorHAnsi" w:eastAsiaTheme="minorEastAsia" w:hAnsiTheme="minorHAnsi" w:cstheme="minorBidi"/>
          <w:szCs w:val="22"/>
        </w:rPr>
      </w:pPr>
      <w:r>
        <w:t>11.</w:t>
      </w:r>
      <w:r>
        <w:tab/>
        <w:t>Former education and care services law</w:t>
      </w:r>
      <w:r>
        <w:tab/>
      </w:r>
      <w:r>
        <w:fldChar w:fldCharType="begin"/>
      </w:r>
      <w:r>
        <w:instrText xml:space="preserve"> PAGEREF _Toc80611733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Infringements law</w:t>
      </w:r>
      <w:r>
        <w:tab/>
      </w:r>
      <w:r>
        <w:fldChar w:fldCharType="begin"/>
      </w:r>
      <w:r>
        <w:instrText xml:space="preserve"> PAGEREF _Toc80611734 \h </w:instrText>
      </w:r>
      <w:r>
        <w:fldChar w:fldCharType="separate"/>
      </w:r>
      <w:r>
        <w:t>6</w:t>
      </w:r>
      <w:r>
        <w:fldChar w:fldCharType="end"/>
      </w:r>
    </w:p>
    <w:p>
      <w:pPr>
        <w:pStyle w:val="TOC8"/>
        <w:rPr>
          <w:rFonts w:asciiTheme="minorHAnsi" w:eastAsiaTheme="minorEastAsia" w:hAnsiTheme="minorHAnsi" w:cstheme="minorBidi"/>
          <w:szCs w:val="22"/>
        </w:rPr>
      </w:pPr>
      <w:r>
        <w:t>13.</w:t>
      </w:r>
      <w:r>
        <w:tab/>
        <w:t>Public sector law</w:t>
      </w:r>
      <w:r>
        <w:tab/>
      </w:r>
      <w:r>
        <w:fldChar w:fldCharType="begin"/>
      </w:r>
      <w:r>
        <w:instrText xml:space="preserve"> PAGEREF _Toc80611735 \h </w:instrText>
      </w:r>
      <w:r>
        <w:fldChar w:fldCharType="separate"/>
      </w:r>
      <w:r>
        <w:t>6</w:t>
      </w:r>
      <w:r>
        <w:fldChar w:fldCharType="end"/>
      </w:r>
    </w:p>
    <w:p>
      <w:pPr>
        <w:pStyle w:val="TOC8"/>
        <w:rPr>
          <w:rFonts w:asciiTheme="minorHAnsi" w:eastAsiaTheme="minorEastAsia" w:hAnsiTheme="minorHAnsi" w:cstheme="minorBidi"/>
          <w:szCs w:val="22"/>
        </w:rPr>
      </w:pPr>
      <w:r>
        <w:t>14.</w:t>
      </w:r>
      <w:r>
        <w:tab/>
        <w:t>Working with children law</w:t>
      </w:r>
      <w:r>
        <w:tab/>
      </w:r>
      <w:r>
        <w:fldChar w:fldCharType="begin"/>
      </w:r>
      <w:r>
        <w:instrText xml:space="preserve"> PAGEREF _Toc80611736 \h </w:instrText>
      </w:r>
      <w:r>
        <w:fldChar w:fldCharType="separate"/>
      </w:r>
      <w:r>
        <w:t>6</w:t>
      </w:r>
      <w:r>
        <w:fldChar w:fldCharType="end"/>
      </w:r>
    </w:p>
    <w:p>
      <w:pPr>
        <w:pStyle w:val="TOC8"/>
        <w:rPr>
          <w:rFonts w:asciiTheme="minorHAnsi" w:eastAsiaTheme="minorEastAsia" w:hAnsiTheme="minorHAnsi" w:cstheme="minorBidi"/>
          <w:szCs w:val="22"/>
        </w:rPr>
      </w:pPr>
      <w:r>
        <w:t>15.</w:t>
      </w:r>
      <w:r>
        <w:tab/>
        <w:t>Transitional</w:t>
      </w:r>
      <w:r>
        <w:tab/>
      </w:r>
      <w:r>
        <w:fldChar w:fldCharType="begin"/>
      </w:r>
      <w:r>
        <w:instrText xml:space="preserve"> PAGEREF _Toc80611737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Other local provisions</w:t>
      </w:r>
    </w:p>
    <w:p>
      <w:pPr>
        <w:pStyle w:val="TOC8"/>
        <w:rPr>
          <w:rFonts w:asciiTheme="minorHAnsi" w:eastAsiaTheme="minorEastAsia" w:hAnsiTheme="minorHAnsi" w:cstheme="minorBidi"/>
          <w:szCs w:val="22"/>
        </w:rPr>
      </w:pPr>
      <w:r>
        <w:t>16.</w:t>
      </w:r>
      <w:r>
        <w:tab/>
        <w:t>Tabling of annual report</w:t>
      </w:r>
      <w:r>
        <w:tab/>
      </w:r>
      <w:r>
        <w:fldChar w:fldCharType="begin"/>
      </w:r>
      <w:r>
        <w:instrText xml:space="preserve"> PAGEREF _Toc80611739 \h </w:instrText>
      </w:r>
      <w:r>
        <w:fldChar w:fldCharType="separate"/>
      </w:r>
      <w:r>
        <w:t>9</w:t>
      </w:r>
      <w:r>
        <w:fldChar w:fldCharType="end"/>
      </w:r>
    </w:p>
    <w:p>
      <w:pPr>
        <w:pStyle w:val="TOC8"/>
        <w:rPr>
          <w:rFonts w:asciiTheme="minorHAnsi" w:eastAsiaTheme="minorEastAsia" w:hAnsiTheme="minorHAnsi" w:cstheme="minorBidi"/>
          <w:szCs w:val="22"/>
        </w:rPr>
      </w:pPr>
      <w:r>
        <w:t>17.</w:t>
      </w:r>
      <w:r>
        <w:tab/>
        <w:t>National regulations under the WA national law</w:t>
      </w:r>
      <w:r>
        <w:tab/>
      </w:r>
      <w:r>
        <w:fldChar w:fldCharType="begin"/>
      </w:r>
      <w:r>
        <w:instrText xml:space="preserve"> PAGEREF _Toc80611740 \h </w:instrText>
      </w:r>
      <w:r>
        <w:fldChar w:fldCharType="separate"/>
      </w:r>
      <w:r>
        <w:t>9</w:t>
      </w:r>
      <w:r>
        <w:fldChar w:fldCharType="end"/>
      </w:r>
    </w:p>
    <w:p>
      <w:pPr>
        <w:pStyle w:val="TOC8"/>
        <w:rPr>
          <w:rFonts w:asciiTheme="minorHAnsi" w:eastAsiaTheme="minorEastAsia" w:hAnsiTheme="minorHAnsi" w:cstheme="minorBidi"/>
          <w:szCs w:val="22"/>
        </w:rPr>
      </w:pPr>
      <w:r>
        <w:lastRenderedPageBreak/>
        <w:t>18.</w:t>
      </w:r>
      <w:r>
        <w:tab/>
        <w:t>Review of Act</w:t>
      </w:r>
      <w:r>
        <w:tab/>
      </w:r>
      <w:r>
        <w:fldChar w:fldCharType="begin"/>
      </w:r>
      <w:r>
        <w:instrText xml:space="preserve"> PAGEREF _Toc80611741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 Education and Care Services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_Toc80611744 \h </w:instrText>
      </w:r>
      <w:r>
        <w:fldChar w:fldCharType="separate"/>
      </w:r>
      <w:r>
        <w:t>10</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_Toc80611745 \h </w:instrText>
      </w:r>
      <w:r>
        <w:fldChar w:fldCharType="separate"/>
      </w:r>
      <w:r>
        <w:t>10</w:t>
      </w:r>
      <w:r>
        <w:fldChar w:fldCharType="end"/>
      </w:r>
    </w:p>
    <w:p>
      <w:pPr>
        <w:pStyle w:val="TOC8"/>
        <w:rPr>
          <w:rFonts w:asciiTheme="minorHAnsi" w:eastAsiaTheme="minorEastAsia" w:hAnsiTheme="minorHAnsi" w:cstheme="minorBidi"/>
          <w:szCs w:val="22"/>
        </w:rPr>
      </w:pPr>
      <w:r>
        <w:t>3.</w:t>
      </w:r>
      <w:r>
        <w:tab/>
        <w:t>Objectives and guiding principles</w:t>
      </w:r>
      <w:r>
        <w:tab/>
      </w:r>
      <w:r>
        <w:fldChar w:fldCharType="begin"/>
      </w:r>
      <w:r>
        <w:instrText xml:space="preserve"> PAGEREF _Toc80611746 \h </w:instrText>
      </w:r>
      <w:r>
        <w:fldChar w:fldCharType="separate"/>
      </w:r>
      <w:r>
        <w:t>10</w:t>
      </w:r>
      <w:r>
        <w:fldChar w:fldCharType="end"/>
      </w:r>
    </w:p>
    <w:p>
      <w:pPr>
        <w:pStyle w:val="TOC8"/>
        <w:rPr>
          <w:rFonts w:asciiTheme="minorHAnsi" w:eastAsiaTheme="minorEastAsia" w:hAnsiTheme="minorHAnsi" w:cstheme="minorBidi"/>
          <w:szCs w:val="22"/>
        </w:rPr>
      </w:pPr>
      <w:r>
        <w:t>4.</w:t>
      </w:r>
      <w:r>
        <w:tab/>
        <w:t>How functions to be exercised</w:t>
      </w:r>
      <w:r>
        <w:tab/>
      </w:r>
      <w:r>
        <w:fldChar w:fldCharType="begin"/>
      </w:r>
      <w:r>
        <w:instrText xml:space="preserve"> PAGEREF _Toc80611747 \h </w:instrText>
      </w:r>
      <w:r>
        <w:fldChar w:fldCharType="separate"/>
      </w:r>
      <w:r>
        <w:t>11</w:t>
      </w:r>
      <w:r>
        <w:fldChar w:fldCharType="end"/>
      </w:r>
    </w:p>
    <w:p>
      <w:pPr>
        <w:pStyle w:val="TOC8"/>
        <w:rPr>
          <w:rFonts w:asciiTheme="minorHAnsi" w:eastAsiaTheme="minorEastAsia" w:hAnsiTheme="minorHAnsi" w:cstheme="minorBidi"/>
          <w:szCs w:val="22"/>
        </w:rPr>
      </w:pPr>
      <w:r>
        <w:t>5.</w:t>
      </w:r>
      <w:r>
        <w:tab/>
        <w:t>Definitions</w:t>
      </w:r>
      <w:r>
        <w:tab/>
      </w:r>
      <w:r>
        <w:fldChar w:fldCharType="begin"/>
      </w:r>
      <w:r>
        <w:instrText xml:space="preserve"> PAGEREF _Toc80611748 \h </w:instrText>
      </w:r>
      <w:r>
        <w:fldChar w:fldCharType="separate"/>
      </w:r>
      <w:r>
        <w:t>11</w:t>
      </w:r>
      <w:r>
        <w:fldChar w:fldCharType="end"/>
      </w:r>
    </w:p>
    <w:p>
      <w:pPr>
        <w:pStyle w:val="TOC8"/>
        <w:rPr>
          <w:rFonts w:asciiTheme="minorHAnsi" w:eastAsiaTheme="minorEastAsia" w:hAnsiTheme="minorHAnsi" w:cstheme="minorBidi"/>
          <w:szCs w:val="22"/>
        </w:rPr>
      </w:pPr>
      <w:r>
        <w:t>6.</w:t>
      </w:r>
      <w:r>
        <w:tab/>
        <w:t>Interpretation generally</w:t>
      </w:r>
      <w:r>
        <w:tab/>
      </w:r>
      <w:r>
        <w:fldChar w:fldCharType="begin"/>
      </w:r>
      <w:r>
        <w:instrText xml:space="preserve"> PAGEREF _Toc80611749 \h </w:instrText>
      </w:r>
      <w:r>
        <w:fldChar w:fldCharType="separate"/>
      </w:r>
      <w:r>
        <w:t>20</w:t>
      </w:r>
      <w:r>
        <w:fldChar w:fldCharType="end"/>
      </w:r>
    </w:p>
    <w:p>
      <w:pPr>
        <w:pStyle w:val="TOC8"/>
        <w:rPr>
          <w:rFonts w:asciiTheme="minorHAnsi" w:eastAsiaTheme="minorEastAsia" w:hAnsiTheme="minorHAnsi" w:cstheme="minorBidi"/>
          <w:szCs w:val="22"/>
        </w:rPr>
      </w:pPr>
      <w:r>
        <w:t>7.</w:t>
      </w:r>
      <w:r>
        <w:tab/>
        <w:t>Single national entity</w:t>
      </w:r>
      <w:r>
        <w:tab/>
      </w:r>
      <w:r>
        <w:fldChar w:fldCharType="begin"/>
      </w:r>
      <w:r>
        <w:instrText xml:space="preserve"> PAGEREF _Toc80611750 \h </w:instrText>
      </w:r>
      <w:r>
        <w:fldChar w:fldCharType="separate"/>
      </w:r>
      <w:r>
        <w:t>20</w:t>
      </w:r>
      <w:r>
        <w:fldChar w:fldCharType="end"/>
      </w:r>
    </w:p>
    <w:p>
      <w:pPr>
        <w:pStyle w:val="TOC8"/>
        <w:rPr>
          <w:rFonts w:asciiTheme="minorHAnsi" w:eastAsiaTheme="minorEastAsia" w:hAnsiTheme="minorHAnsi" w:cstheme="minorBidi"/>
          <w:szCs w:val="22"/>
        </w:rPr>
      </w:pPr>
      <w:r>
        <w:t>8.</w:t>
      </w:r>
      <w:r>
        <w:tab/>
        <w:t>Extraterritorial operation of Law</w:t>
      </w:r>
      <w:r>
        <w:tab/>
      </w:r>
      <w:r>
        <w:fldChar w:fldCharType="begin"/>
      </w:r>
      <w:r>
        <w:instrText xml:space="preserve"> PAGEREF _Toc80611751 \h </w:instrText>
      </w:r>
      <w:r>
        <w:fldChar w:fldCharType="separate"/>
      </w:r>
      <w:r>
        <w:t>21</w:t>
      </w:r>
      <w:r>
        <w:fldChar w:fldCharType="end"/>
      </w:r>
    </w:p>
    <w:p>
      <w:pPr>
        <w:pStyle w:val="TOC8"/>
        <w:rPr>
          <w:rFonts w:asciiTheme="minorHAnsi" w:eastAsiaTheme="minorEastAsia" w:hAnsiTheme="minorHAnsi" w:cstheme="minorBidi"/>
          <w:szCs w:val="22"/>
        </w:rPr>
      </w:pPr>
      <w:r>
        <w:t>9.</w:t>
      </w:r>
      <w:r>
        <w:tab/>
        <w:t>Law binds the State</w:t>
      </w:r>
      <w:r>
        <w:tab/>
      </w:r>
      <w:r>
        <w:fldChar w:fldCharType="begin"/>
      </w:r>
      <w:r>
        <w:instrText xml:space="preserve"> PAGEREF _Toc80611752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Part 2 — Provider approval</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Application for provider approval</w:t>
      </w:r>
    </w:p>
    <w:p>
      <w:pPr>
        <w:pStyle w:val="TOC8"/>
        <w:rPr>
          <w:rFonts w:asciiTheme="minorHAnsi" w:eastAsiaTheme="minorEastAsia" w:hAnsiTheme="minorHAnsi" w:cstheme="minorBidi"/>
          <w:szCs w:val="22"/>
        </w:rPr>
      </w:pPr>
      <w:r>
        <w:t>10.</w:t>
      </w:r>
      <w:r>
        <w:tab/>
        <w:t>Application for provider approval</w:t>
      </w:r>
      <w:r>
        <w:tab/>
      </w:r>
      <w:r>
        <w:fldChar w:fldCharType="begin"/>
      </w:r>
      <w:r>
        <w:instrText xml:space="preserve"> PAGEREF _Toc80611755 \h </w:instrText>
      </w:r>
      <w:r>
        <w:fldChar w:fldCharType="separate"/>
      </w:r>
      <w:r>
        <w:t>21</w:t>
      </w:r>
      <w:r>
        <w:fldChar w:fldCharType="end"/>
      </w:r>
    </w:p>
    <w:p>
      <w:pPr>
        <w:pStyle w:val="TOC8"/>
        <w:rPr>
          <w:rFonts w:asciiTheme="minorHAnsi" w:eastAsiaTheme="minorEastAsia" w:hAnsiTheme="minorHAnsi" w:cstheme="minorBidi"/>
          <w:szCs w:val="22"/>
        </w:rPr>
      </w:pPr>
      <w:r>
        <w:t>11.</w:t>
      </w:r>
      <w:r>
        <w:tab/>
        <w:t>Form of application</w:t>
      </w:r>
      <w:r>
        <w:tab/>
      </w:r>
      <w:r>
        <w:fldChar w:fldCharType="begin"/>
      </w:r>
      <w:r>
        <w:instrText xml:space="preserve"> PAGEREF _Toc80611756 \h </w:instrText>
      </w:r>
      <w:r>
        <w:fldChar w:fldCharType="separate"/>
      </w:r>
      <w:r>
        <w:t>22</w:t>
      </w:r>
      <w:r>
        <w:fldChar w:fldCharType="end"/>
      </w:r>
    </w:p>
    <w:p>
      <w:pPr>
        <w:pStyle w:val="TOC8"/>
        <w:rPr>
          <w:rFonts w:asciiTheme="minorHAnsi" w:eastAsiaTheme="minorEastAsia" w:hAnsiTheme="minorHAnsi" w:cstheme="minorBidi"/>
          <w:szCs w:val="22"/>
        </w:rPr>
      </w:pPr>
      <w:r>
        <w:t>12.</w:t>
      </w:r>
      <w:r>
        <w:tab/>
        <w:t>Applicant must be fit and proper person</w:t>
      </w:r>
      <w:r>
        <w:tab/>
      </w:r>
      <w:r>
        <w:fldChar w:fldCharType="begin"/>
      </w:r>
      <w:r>
        <w:instrText xml:space="preserve"> PAGEREF _Toc80611757 \h </w:instrText>
      </w:r>
      <w:r>
        <w:fldChar w:fldCharType="separate"/>
      </w:r>
      <w:r>
        <w:t>22</w:t>
      </w:r>
      <w:r>
        <w:fldChar w:fldCharType="end"/>
      </w:r>
    </w:p>
    <w:p>
      <w:pPr>
        <w:pStyle w:val="TOC8"/>
        <w:rPr>
          <w:rFonts w:asciiTheme="minorHAnsi" w:eastAsiaTheme="minorEastAsia" w:hAnsiTheme="minorHAnsi" w:cstheme="minorBidi"/>
          <w:szCs w:val="22"/>
        </w:rPr>
      </w:pPr>
      <w:r>
        <w:t>13.</w:t>
      </w:r>
      <w:r>
        <w:tab/>
        <w:t>Matters to be taken into account in assessing whether fit and proper person</w:t>
      </w:r>
      <w:r>
        <w:tab/>
      </w:r>
      <w:r>
        <w:fldChar w:fldCharType="begin"/>
      </w:r>
      <w:r>
        <w:instrText xml:space="preserve"> PAGEREF _Toc80611758 \h </w:instrText>
      </w:r>
      <w:r>
        <w:fldChar w:fldCharType="separate"/>
      </w:r>
      <w:r>
        <w:t>23</w:t>
      </w:r>
      <w:r>
        <w:fldChar w:fldCharType="end"/>
      </w:r>
    </w:p>
    <w:p>
      <w:pPr>
        <w:pStyle w:val="TOC8"/>
        <w:rPr>
          <w:rFonts w:asciiTheme="minorHAnsi" w:eastAsiaTheme="minorEastAsia" w:hAnsiTheme="minorHAnsi" w:cstheme="minorBidi"/>
          <w:szCs w:val="22"/>
        </w:rPr>
      </w:pPr>
      <w:r>
        <w:t>14.</w:t>
      </w:r>
      <w:r>
        <w:tab/>
        <w:t>Regulatory Authority may seek further information</w:t>
      </w:r>
      <w:r>
        <w:tab/>
      </w:r>
      <w:r>
        <w:fldChar w:fldCharType="begin"/>
      </w:r>
      <w:r>
        <w:instrText xml:space="preserve"> PAGEREF _Toc80611759 \h </w:instrText>
      </w:r>
      <w:r>
        <w:fldChar w:fldCharType="separate"/>
      </w:r>
      <w:r>
        <w:t>24</w:t>
      </w:r>
      <w:r>
        <w:fldChar w:fldCharType="end"/>
      </w:r>
    </w:p>
    <w:p>
      <w:pPr>
        <w:pStyle w:val="TOC8"/>
        <w:rPr>
          <w:rFonts w:asciiTheme="minorHAnsi" w:eastAsiaTheme="minorEastAsia" w:hAnsiTheme="minorHAnsi" w:cstheme="minorBidi"/>
          <w:szCs w:val="22"/>
        </w:rPr>
      </w:pPr>
      <w:r>
        <w:t>15.</w:t>
      </w:r>
      <w:r>
        <w:tab/>
        <w:t>Grant or refusal of provider approval</w:t>
      </w:r>
      <w:r>
        <w:tab/>
      </w:r>
      <w:r>
        <w:fldChar w:fldCharType="begin"/>
      </w:r>
      <w:r>
        <w:instrText xml:space="preserve"> PAGEREF _Toc80611760 \h </w:instrText>
      </w:r>
      <w:r>
        <w:fldChar w:fldCharType="separate"/>
      </w:r>
      <w:r>
        <w:t>25</w:t>
      </w:r>
      <w:r>
        <w:fldChar w:fldCharType="end"/>
      </w:r>
    </w:p>
    <w:p>
      <w:pPr>
        <w:pStyle w:val="TOC8"/>
        <w:rPr>
          <w:rFonts w:asciiTheme="minorHAnsi" w:eastAsiaTheme="minorEastAsia" w:hAnsiTheme="minorHAnsi" w:cstheme="minorBidi"/>
          <w:szCs w:val="22"/>
        </w:rPr>
      </w:pPr>
      <w:r>
        <w:t>16.</w:t>
      </w:r>
      <w:r>
        <w:tab/>
        <w:t>Notice of decision on application</w:t>
      </w:r>
      <w:r>
        <w:tab/>
      </w:r>
      <w:r>
        <w:fldChar w:fldCharType="begin"/>
      </w:r>
      <w:r>
        <w:instrText xml:space="preserve"> PAGEREF _Toc80611761 \h </w:instrText>
      </w:r>
      <w:r>
        <w:fldChar w:fldCharType="separate"/>
      </w:r>
      <w:r>
        <w:t>25</w:t>
      </w:r>
      <w:r>
        <w:fldChar w:fldCharType="end"/>
      </w:r>
    </w:p>
    <w:p>
      <w:pPr>
        <w:pStyle w:val="TOC8"/>
        <w:rPr>
          <w:rFonts w:asciiTheme="minorHAnsi" w:eastAsiaTheme="minorEastAsia" w:hAnsiTheme="minorHAnsi" w:cstheme="minorBidi"/>
          <w:szCs w:val="22"/>
        </w:rPr>
      </w:pPr>
      <w:r>
        <w:t>17.</w:t>
      </w:r>
      <w:r>
        <w:tab/>
        <w:t>Duration of provider approval</w:t>
      </w:r>
      <w:r>
        <w:tab/>
      </w:r>
      <w:r>
        <w:fldChar w:fldCharType="begin"/>
      </w:r>
      <w:r>
        <w:instrText xml:space="preserve"> PAGEREF _Toc80611762 \h </w:instrText>
      </w:r>
      <w:r>
        <w:fldChar w:fldCharType="separate"/>
      </w:r>
      <w:r>
        <w:t>26</w:t>
      </w:r>
      <w:r>
        <w:fldChar w:fldCharType="end"/>
      </w:r>
    </w:p>
    <w:p>
      <w:pPr>
        <w:pStyle w:val="TOC8"/>
        <w:rPr>
          <w:rFonts w:asciiTheme="minorHAnsi" w:eastAsiaTheme="minorEastAsia" w:hAnsiTheme="minorHAnsi" w:cstheme="minorBidi"/>
          <w:szCs w:val="22"/>
        </w:rPr>
      </w:pPr>
      <w:r>
        <w:t>18.</w:t>
      </w:r>
      <w:r>
        <w:tab/>
        <w:t>Effect of provider approval</w:t>
      </w:r>
      <w:r>
        <w:tab/>
      </w:r>
      <w:r>
        <w:fldChar w:fldCharType="begin"/>
      </w:r>
      <w:r>
        <w:instrText xml:space="preserve"> PAGEREF _Toc80611763 \h </w:instrText>
      </w:r>
      <w:r>
        <w:fldChar w:fldCharType="separate"/>
      </w:r>
      <w:r>
        <w:t>26</w:t>
      </w:r>
      <w:r>
        <w:fldChar w:fldCharType="end"/>
      </w:r>
    </w:p>
    <w:p>
      <w:pPr>
        <w:pStyle w:val="TOC8"/>
        <w:rPr>
          <w:rFonts w:asciiTheme="minorHAnsi" w:eastAsiaTheme="minorEastAsia" w:hAnsiTheme="minorHAnsi" w:cstheme="minorBidi"/>
          <w:szCs w:val="22"/>
        </w:rPr>
      </w:pPr>
      <w:r>
        <w:t>19.</w:t>
      </w:r>
      <w:r>
        <w:tab/>
        <w:t>Conditions on provider approval</w:t>
      </w:r>
      <w:r>
        <w:tab/>
      </w:r>
      <w:r>
        <w:fldChar w:fldCharType="begin"/>
      </w:r>
      <w:r>
        <w:instrText xml:space="preserve"> PAGEREF _Toc80611764 \h </w:instrText>
      </w:r>
      <w:r>
        <w:fldChar w:fldCharType="separate"/>
      </w:r>
      <w:r>
        <w:t>26</w:t>
      </w:r>
      <w:r>
        <w:fldChar w:fldCharType="end"/>
      </w:r>
    </w:p>
    <w:p>
      <w:pPr>
        <w:pStyle w:val="TOC8"/>
        <w:rPr>
          <w:rFonts w:asciiTheme="minorHAnsi" w:eastAsiaTheme="minorEastAsia" w:hAnsiTheme="minorHAnsi" w:cstheme="minorBidi"/>
          <w:szCs w:val="22"/>
        </w:rPr>
      </w:pPr>
      <w:r>
        <w:t>20.</w:t>
      </w:r>
      <w:r>
        <w:tab/>
        <w:t>Copy of provider approval</w:t>
      </w:r>
      <w:r>
        <w:tab/>
      </w:r>
      <w:r>
        <w:fldChar w:fldCharType="begin"/>
      </w:r>
      <w:r>
        <w:instrText xml:space="preserve"> PAGEREF _Toc80611765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Reassessment</w:t>
      </w:r>
    </w:p>
    <w:p>
      <w:pPr>
        <w:pStyle w:val="TOC8"/>
        <w:rPr>
          <w:rFonts w:asciiTheme="minorHAnsi" w:eastAsiaTheme="minorEastAsia" w:hAnsiTheme="minorHAnsi" w:cstheme="minorBidi"/>
          <w:szCs w:val="22"/>
        </w:rPr>
      </w:pPr>
      <w:r>
        <w:t>21.</w:t>
      </w:r>
      <w:r>
        <w:tab/>
        <w:t>Reassessment of fitness and propriety</w:t>
      </w:r>
      <w:r>
        <w:tab/>
      </w:r>
      <w:r>
        <w:fldChar w:fldCharType="begin"/>
      </w:r>
      <w:r>
        <w:instrText xml:space="preserve"> PAGEREF _Toc80611767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Amendment of provider approvals</w:t>
      </w:r>
    </w:p>
    <w:p>
      <w:pPr>
        <w:pStyle w:val="TOC8"/>
        <w:rPr>
          <w:rFonts w:asciiTheme="minorHAnsi" w:eastAsiaTheme="minorEastAsia" w:hAnsiTheme="minorHAnsi" w:cstheme="minorBidi"/>
          <w:szCs w:val="22"/>
        </w:rPr>
      </w:pPr>
      <w:r>
        <w:t>22.</w:t>
      </w:r>
      <w:r>
        <w:tab/>
        <w:t>Amendment of provider approval on application</w:t>
      </w:r>
      <w:r>
        <w:tab/>
      </w:r>
      <w:r>
        <w:fldChar w:fldCharType="begin"/>
      </w:r>
      <w:r>
        <w:instrText xml:space="preserve"> PAGEREF _Toc80611769 \h </w:instrText>
      </w:r>
      <w:r>
        <w:fldChar w:fldCharType="separate"/>
      </w:r>
      <w:r>
        <w:t>27</w:t>
      </w:r>
      <w:r>
        <w:fldChar w:fldCharType="end"/>
      </w:r>
    </w:p>
    <w:p>
      <w:pPr>
        <w:pStyle w:val="TOC8"/>
        <w:rPr>
          <w:rFonts w:asciiTheme="minorHAnsi" w:eastAsiaTheme="minorEastAsia" w:hAnsiTheme="minorHAnsi" w:cstheme="minorBidi"/>
          <w:szCs w:val="22"/>
        </w:rPr>
      </w:pPr>
      <w:r>
        <w:t>23.</w:t>
      </w:r>
      <w:r>
        <w:tab/>
        <w:t>Amendment of provider approval by Regulatory Authority</w:t>
      </w:r>
      <w:r>
        <w:tab/>
      </w:r>
      <w:r>
        <w:fldChar w:fldCharType="begin"/>
      </w:r>
      <w:r>
        <w:instrText xml:space="preserve"> PAGEREF _Toc80611770 \h </w:instrText>
      </w:r>
      <w:r>
        <w:fldChar w:fldCharType="separate"/>
      </w:r>
      <w:r>
        <w:t>28</w:t>
      </w:r>
      <w:r>
        <w:fldChar w:fldCharType="end"/>
      </w:r>
    </w:p>
    <w:p>
      <w:pPr>
        <w:pStyle w:val="TOC8"/>
        <w:rPr>
          <w:rFonts w:asciiTheme="minorHAnsi" w:eastAsiaTheme="minorEastAsia" w:hAnsiTheme="minorHAnsi" w:cstheme="minorBidi"/>
          <w:szCs w:val="22"/>
        </w:rPr>
      </w:pPr>
      <w:r>
        <w:t>24.</w:t>
      </w:r>
      <w:r>
        <w:tab/>
        <w:t>Copy of amended provider approval to be provided</w:t>
      </w:r>
      <w:r>
        <w:tab/>
      </w:r>
      <w:r>
        <w:fldChar w:fldCharType="begin"/>
      </w:r>
      <w:r>
        <w:instrText xml:space="preserve"> PAGEREF _Toc80611771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Suspension or cancellation of provider approval</w:t>
      </w:r>
    </w:p>
    <w:p>
      <w:pPr>
        <w:pStyle w:val="TOC8"/>
        <w:rPr>
          <w:rFonts w:asciiTheme="minorHAnsi" w:eastAsiaTheme="minorEastAsia" w:hAnsiTheme="minorHAnsi" w:cstheme="minorBidi"/>
          <w:szCs w:val="22"/>
        </w:rPr>
      </w:pPr>
      <w:r>
        <w:t>25.</w:t>
      </w:r>
      <w:r>
        <w:tab/>
        <w:t>Grounds for suspension of provider approval</w:t>
      </w:r>
      <w:r>
        <w:tab/>
      </w:r>
      <w:r>
        <w:fldChar w:fldCharType="begin"/>
      </w:r>
      <w:r>
        <w:instrText xml:space="preserve"> PAGEREF _Toc80611773 \h </w:instrText>
      </w:r>
      <w:r>
        <w:fldChar w:fldCharType="separate"/>
      </w:r>
      <w:r>
        <w:t>29</w:t>
      </w:r>
      <w:r>
        <w:fldChar w:fldCharType="end"/>
      </w:r>
    </w:p>
    <w:p>
      <w:pPr>
        <w:pStyle w:val="TOC8"/>
        <w:rPr>
          <w:rFonts w:asciiTheme="minorHAnsi" w:eastAsiaTheme="minorEastAsia" w:hAnsiTheme="minorHAnsi" w:cstheme="minorBidi"/>
          <w:szCs w:val="22"/>
        </w:rPr>
      </w:pPr>
      <w:r>
        <w:t>26.</w:t>
      </w:r>
      <w:r>
        <w:tab/>
        <w:t>Show cause notice before suspension</w:t>
      </w:r>
      <w:r>
        <w:tab/>
      </w:r>
      <w:r>
        <w:fldChar w:fldCharType="begin"/>
      </w:r>
      <w:r>
        <w:instrText xml:space="preserve"> PAGEREF _Toc80611774 \h </w:instrText>
      </w:r>
      <w:r>
        <w:fldChar w:fldCharType="separate"/>
      </w:r>
      <w:r>
        <w:t>30</w:t>
      </w:r>
      <w:r>
        <w:fldChar w:fldCharType="end"/>
      </w:r>
    </w:p>
    <w:p>
      <w:pPr>
        <w:pStyle w:val="TOC8"/>
        <w:rPr>
          <w:rFonts w:asciiTheme="minorHAnsi" w:eastAsiaTheme="minorEastAsia" w:hAnsiTheme="minorHAnsi" w:cstheme="minorBidi"/>
          <w:szCs w:val="22"/>
        </w:rPr>
      </w:pPr>
      <w:r>
        <w:lastRenderedPageBreak/>
        <w:t>27.</w:t>
      </w:r>
      <w:r>
        <w:tab/>
        <w:t>Decision to suspend after show cause process</w:t>
      </w:r>
      <w:r>
        <w:tab/>
      </w:r>
      <w:r>
        <w:fldChar w:fldCharType="begin"/>
      </w:r>
      <w:r>
        <w:instrText xml:space="preserve"> PAGEREF _Toc80611775 \h </w:instrText>
      </w:r>
      <w:r>
        <w:fldChar w:fldCharType="separate"/>
      </w:r>
      <w:r>
        <w:t>30</w:t>
      </w:r>
      <w:r>
        <w:fldChar w:fldCharType="end"/>
      </w:r>
    </w:p>
    <w:p>
      <w:pPr>
        <w:pStyle w:val="TOC8"/>
        <w:rPr>
          <w:rFonts w:asciiTheme="minorHAnsi" w:eastAsiaTheme="minorEastAsia" w:hAnsiTheme="minorHAnsi" w:cstheme="minorBidi"/>
          <w:szCs w:val="22"/>
        </w:rPr>
      </w:pPr>
      <w:r>
        <w:t>28.</w:t>
      </w:r>
      <w:r>
        <w:tab/>
        <w:t>Suspension without show cause notice</w:t>
      </w:r>
      <w:r>
        <w:tab/>
      </w:r>
      <w:r>
        <w:fldChar w:fldCharType="begin"/>
      </w:r>
      <w:r>
        <w:instrText xml:space="preserve"> PAGEREF _Toc80611776 \h </w:instrText>
      </w:r>
      <w:r>
        <w:fldChar w:fldCharType="separate"/>
      </w:r>
      <w:r>
        <w:t>31</w:t>
      </w:r>
      <w:r>
        <w:fldChar w:fldCharType="end"/>
      </w:r>
    </w:p>
    <w:p>
      <w:pPr>
        <w:pStyle w:val="TOC8"/>
        <w:rPr>
          <w:rFonts w:asciiTheme="minorHAnsi" w:eastAsiaTheme="minorEastAsia" w:hAnsiTheme="minorHAnsi" w:cstheme="minorBidi"/>
          <w:szCs w:val="22"/>
        </w:rPr>
      </w:pPr>
      <w:r>
        <w:t>29.</w:t>
      </w:r>
      <w:r>
        <w:tab/>
        <w:t>Notice and taking effect of suspension</w:t>
      </w:r>
      <w:r>
        <w:tab/>
      </w:r>
      <w:r>
        <w:fldChar w:fldCharType="begin"/>
      </w:r>
      <w:r>
        <w:instrText xml:space="preserve"> PAGEREF _Toc80611777 \h </w:instrText>
      </w:r>
      <w:r>
        <w:fldChar w:fldCharType="separate"/>
      </w:r>
      <w:r>
        <w:t>31</w:t>
      </w:r>
      <w:r>
        <w:fldChar w:fldCharType="end"/>
      </w:r>
    </w:p>
    <w:p>
      <w:pPr>
        <w:pStyle w:val="TOC8"/>
        <w:rPr>
          <w:rFonts w:asciiTheme="minorHAnsi" w:eastAsiaTheme="minorEastAsia" w:hAnsiTheme="minorHAnsi" w:cstheme="minorBidi"/>
          <w:szCs w:val="22"/>
        </w:rPr>
      </w:pPr>
      <w:r>
        <w:t>30.</w:t>
      </w:r>
      <w:r>
        <w:tab/>
        <w:t>Effect of suspension</w:t>
      </w:r>
      <w:r>
        <w:tab/>
      </w:r>
      <w:r>
        <w:fldChar w:fldCharType="begin"/>
      </w:r>
      <w:r>
        <w:instrText xml:space="preserve"> PAGEREF _Toc80611778 \h </w:instrText>
      </w:r>
      <w:r>
        <w:fldChar w:fldCharType="separate"/>
      </w:r>
      <w:r>
        <w:t>31</w:t>
      </w:r>
      <w:r>
        <w:fldChar w:fldCharType="end"/>
      </w:r>
    </w:p>
    <w:p>
      <w:pPr>
        <w:pStyle w:val="TOC8"/>
        <w:rPr>
          <w:rFonts w:asciiTheme="minorHAnsi" w:eastAsiaTheme="minorEastAsia" w:hAnsiTheme="minorHAnsi" w:cstheme="minorBidi"/>
          <w:szCs w:val="22"/>
        </w:rPr>
      </w:pPr>
      <w:r>
        <w:t>31.</w:t>
      </w:r>
      <w:r>
        <w:tab/>
        <w:t>Grounds for cancellation of provider approval</w:t>
      </w:r>
      <w:r>
        <w:tab/>
      </w:r>
      <w:r>
        <w:fldChar w:fldCharType="begin"/>
      </w:r>
      <w:r>
        <w:instrText xml:space="preserve"> PAGEREF _Toc80611779 \h </w:instrText>
      </w:r>
      <w:r>
        <w:fldChar w:fldCharType="separate"/>
      </w:r>
      <w:r>
        <w:t>32</w:t>
      </w:r>
      <w:r>
        <w:fldChar w:fldCharType="end"/>
      </w:r>
    </w:p>
    <w:p>
      <w:pPr>
        <w:pStyle w:val="TOC8"/>
        <w:rPr>
          <w:rFonts w:asciiTheme="minorHAnsi" w:eastAsiaTheme="minorEastAsia" w:hAnsiTheme="minorHAnsi" w:cstheme="minorBidi"/>
          <w:szCs w:val="22"/>
        </w:rPr>
      </w:pPr>
      <w:r>
        <w:t>32.</w:t>
      </w:r>
      <w:r>
        <w:tab/>
        <w:t>Show cause notice before cancellation</w:t>
      </w:r>
      <w:r>
        <w:tab/>
      </w:r>
      <w:r>
        <w:fldChar w:fldCharType="begin"/>
      </w:r>
      <w:r>
        <w:instrText xml:space="preserve"> PAGEREF _Toc80611780 \h </w:instrText>
      </w:r>
      <w:r>
        <w:fldChar w:fldCharType="separate"/>
      </w:r>
      <w:r>
        <w:t>33</w:t>
      </w:r>
      <w:r>
        <w:fldChar w:fldCharType="end"/>
      </w:r>
    </w:p>
    <w:p>
      <w:pPr>
        <w:pStyle w:val="TOC8"/>
        <w:rPr>
          <w:rFonts w:asciiTheme="minorHAnsi" w:eastAsiaTheme="minorEastAsia" w:hAnsiTheme="minorHAnsi" w:cstheme="minorBidi"/>
          <w:szCs w:val="22"/>
        </w:rPr>
      </w:pPr>
      <w:r>
        <w:t>33.</w:t>
      </w:r>
      <w:r>
        <w:tab/>
        <w:t>Decision in relation to cancellation</w:t>
      </w:r>
      <w:r>
        <w:tab/>
      </w:r>
      <w:r>
        <w:fldChar w:fldCharType="begin"/>
      </w:r>
      <w:r>
        <w:instrText xml:space="preserve"> PAGEREF _Toc80611781 \h </w:instrText>
      </w:r>
      <w:r>
        <w:fldChar w:fldCharType="separate"/>
      </w:r>
      <w:r>
        <w:t>33</w:t>
      </w:r>
      <w:r>
        <w:fldChar w:fldCharType="end"/>
      </w:r>
    </w:p>
    <w:p>
      <w:pPr>
        <w:pStyle w:val="TOC8"/>
        <w:rPr>
          <w:rFonts w:asciiTheme="minorHAnsi" w:eastAsiaTheme="minorEastAsia" w:hAnsiTheme="minorHAnsi" w:cstheme="minorBidi"/>
          <w:szCs w:val="22"/>
        </w:rPr>
      </w:pPr>
      <w:r>
        <w:t>34.</w:t>
      </w:r>
      <w:r>
        <w:tab/>
        <w:t>Effect of cancellation</w:t>
      </w:r>
      <w:r>
        <w:tab/>
      </w:r>
      <w:r>
        <w:fldChar w:fldCharType="begin"/>
      </w:r>
      <w:r>
        <w:instrText xml:space="preserve"> PAGEREF _Toc80611782 \h </w:instrText>
      </w:r>
      <w:r>
        <w:fldChar w:fldCharType="separate"/>
      </w:r>
      <w:r>
        <w:t>34</w:t>
      </w:r>
      <w:r>
        <w:fldChar w:fldCharType="end"/>
      </w:r>
    </w:p>
    <w:p>
      <w:pPr>
        <w:pStyle w:val="TOC8"/>
        <w:rPr>
          <w:rFonts w:asciiTheme="minorHAnsi" w:eastAsiaTheme="minorEastAsia" w:hAnsiTheme="minorHAnsi" w:cstheme="minorBidi"/>
          <w:szCs w:val="22"/>
        </w:rPr>
      </w:pPr>
      <w:r>
        <w:t>35.</w:t>
      </w:r>
      <w:r>
        <w:tab/>
        <w:t>Approved provider to provide information to Regulatory Authority</w:t>
      </w:r>
      <w:r>
        <w:tab/>
      </w:r>
      <w:r>
        <w:fldChar w:fldCharType="begin"/>
      </w:r>
      <w:r>
        <w:instrText xml:space="preserve"> PAGEREF _Toc80611783 \h </w:instrText>
      </w:r>
      <w:r>
        <w:fldChar w:fldCharType="separate"/>
      </w:r>
      <w:r>
        <w:t>34</w:t>
      </w:r>
      <w:r>
        <w:fldChar w:fldCharType="end"/>
      </w:r>
    </w:p>
    <w:p>
      <w:pPr>
        <w:pStyle w:val="TOC8"/>
        <w:rPr>
          <w:rFonts w:asciiTheme="minorHAnsi" w:eastAsiaTheme="minorEastAsia" w:hAnsiTheme="minorHAnsi" w:cstheme="minorBidi"/>
          <w:szCs w:val="22"/>
        </w:rPr>
      </w:pPr>
      <w:r>
        <w:t>36.</w:t>
      </w:r>
      <w:r>
        <w:tab/>
        <w:t>Notice to parents of suspension or cancellation</w:t>
      </w:r>
      <w:r>
        <w:tab/>
      </w:r>
      <w:r>
        <w:fldChar w:fldCharType="begin"/>
      </w:r>
      <w:r>
        <w:instrText xml:space="preserve"> PAGEREF _Toc80611784 \h </w:instrText>
      </w:r>
      <w:r>
        <w:fldChar w:fldCharType="separate"/>
      </w:r>
      <w:r>
        <w:t>35</w:t>
      </w:r>
      <w:r>
        <w:fldChar w:fldCharType="end"/>
      </w:r>
    </w:p>
    <w:p>
      <w:pPr>
        <w:pStyle w:val="TOC8"/>
        <w:rPr>
          <w:rFonts w:asciiTheme="minorHAnsi" w:eastAsiaTheme="minorEastAsia" w:hAnsiTheme="minorHAnsi" w:cstheme="minorBidi"/>
          <w:szCs w:val="22"/>
        </w:rPr>
      </w:pPr>
      <w:r>
        <w:t>37.</w:t>
      </w:r>
      <w:r>
        <w:tab/>
        <w:t>Voluntary suspension of provider approval</w:t>
      </w:r>
      <w:r>
        <w:tab/>
      </w:r>
      <w:r>
        <w:fldChar w:fldCharType="begin"/>
      </w:r>
      <w:r>
        <w:instrText xml:space="preserve"> PAGEREF _Toc80611785 \h </w:instrText>
      </w:r>
      <w:r>
        <w:fldChar w:fldCharType="separate"/>
      </w:r>
      <w:r>
        <w:t>35</w:t>
      </w:r>
      <w:r>
        <w:fldChar w:fldCharType="end"/>
      </w:r>
    </w:p>
    <w:p>
      <w:pPr>
        <w:pStyle w:val="TOC8"/>
        <w:rPr>
          <w:rFonts w:asciiTheme="minorHAnsi" w:eastAsiaTheme="minorEastAsia" w:hAnsiTheme="minorHAnsi" w:cstheme="minorBidi"/>
          <w:szCs w:val="22"/>
        </w:rPr>
      </w:pPr>
      <w:r>
        <w:t>38.</w:t>
      </w:r>
      <w:r>
        <w:tab/>
        <w:t>Surrender of provider approval by approved provider</w:t>
      </w:r>
      <w:r>
        <w:tab/>
      </w:r>
      <w:r>
        <w:fldChar w:fldCharType="begin"/>
      </w:r>
      <w:r>
        <w:instrText xml:space="preserve"> PAGEREF _Toc80611786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Approval of executor, representative or guardian as approved provider</w:t>
      </w:r>
    </w:p>
    <w:p>
      <w:pPr>
        <w:pStyle w:val="TOC8"/>
        <w:rPr>
          <w:rFonts w:asciiTheme="minorHAnsi" w:eastAsiaTheme="minorEastAsia" w:hAnsiTheme="minorHAnsi" w:cstheme="minorBidi"/>
          <w:szCs w:val="22"/>
        </w:rPr>
      </w:pPr>
      <w:r>
        <w:t>39.</w:t>
      </w:r>
      <w:r>
        <w:tab/>
        <w:t>Death of approved provider</w:t>
      </w:r>
      <w:r>
        <w:tab/>
      </w:r>
      <w:r>
        <w:fldChar w:fldCharType="begin"/>
      </w:r>
      <w:r>
        <w:instrText xml:space="preserve"> PAGEREF _Toc80611788 \h </w:instrText>
      </w:r>
      <w:r>
        <w:fldChar w:fldCharType="separate"/>
      </w:r>
      <w:r>
        <w:t>37</w:t>
      </w:r>
      <w:r>
        <w:fldChar w:fldCharType="end"/>
      </w:r>
    </w:p>
    <w:p>
      <w:pPr>
        <w:pStyle w:val="TOC8"/>
        <w:rPr>
          <w:rFonts w:asciiTheme="minorHAnsi" w:eastAsiaTheme="minorEastAsia" w:hAnsiTheme="minorHAnsi" w:cstheme="minorBidi"/>
          <w:szCs w:val="22"/>
        </w:rPr>
      </w:pPr>
      <w:r>
        <w:t>40.</w:t>
      </w:r>
      <w:r>
        <w:tab/>
        <w:t>Incapacity of approved provider</w:t>
      </w:r>
      <w:r>
        <w:tab/>
      </w:r>
      <w:r>
        <w:fldChar w:fldCharType="begin"/>
      </w:r>
      <w:r>
        <w:instrText xml:space="preserve"> PAGEREF _Toc80611789 \h </w:instrText>
      </w:r>
      <w:r>
        <w:fldChar w:fldCharType="separate"/>
      </w:r>
      <w:r>
        <w:t>38</w:t>
      </w:r>
      <w:r>
        <w:fldChar w:fldCharType="end"/>
      </w:r>
    </w:p>
    <w:p>
      <w:pPr>
        <w:pStyle w:val="TOC8"/>
        <w:rPr>
          <w:rFonts w:asciiTheme="minorHAnsi" w:eastAsiaTheme="minorEastAsia" w:hAnsiTheme="minorHAnsi" w:cstheme="minorBidi"/>
          <w:szCs w:val="22"/>
        </w:rPr>
      </w:pPr>
      <w:r>
        <w:t>41.</w:t>
      </w:r>
      <w:r>
        <w:tab/>
        <w:t>Decision on application</w:t>
      </w:r>
      <w:r>
        <w:tab/>
      </w:r>
      <w:r>
        <w:fldChar w:fldCharType="begin"/>
      </w:r>
      <w:r>
        <w:instrText xml:space="preserve"> PAGEREF _Toc80611790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Exercise of powers by another Regulatory Authority</w:t>
      </w:r>
    </w:p>
    <w:p>
      <w:pPr>
        <w:pStyle w:val="TOC8"/>
        <w:rPr>
          <w:rFonts w:asciiTheme="minorHAnsi" w:eastAsiaTheme="minorEastAsia" w:hAnsiTheme="minorHAnsi" w:cstheme="minorBidi"/>
          <w:szCs w:val="22"/>
        </w:rPr>
      </w:pPr>
      <w:r>
        <w:t>42.</w:t>
      </w:r>
      <w:r>
        <w:tab/>
        <w:t>Exercise of powers by another Regulatory Authority</w:t>
      </w:r>
      <w:r>
        <w:tab/>
      </w:r>
      <w:r>
        <w:fldChar w:fldCharType="begin"/>
      </w:r>
      <w:r>
        <w:instrText xml:space="preserve"> PAGEREF _Toc80611792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Part 3 — Service approval</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Application for service approval</w:t>
      </w:r>
    </w:p>
    <w:p>
      <w:pPr>
        <w:pStyle w:val="TOC8"/>
        <w:rPr>
          <w:rFonts w:asciiTheme="minorHAnsi" w:eastAsiaTheme="minorEastAsia" w:hAnsiTheme="minorHAnsi" w:cstheme="minorBidi"/>
          <w:szCs w:val="22"/>
        </w:rPr>
      </w:pPr>
      <w:r>
        <w:t>43.</w:t>
      </w:r>
      <w:r>
        <w:tab/>
        <w:t>Application for service approval</w:t>
      </w:r>
      <w:r>
        <w:tab/>
      </w:r>
      <w:r>
        <w:fldChar w:fldCharType="begin"/>
      </w:r>
      <w:r>
        <w:instrText xml:space="preserve"> PAGEREF _Toc80611795 \h </w:instrText>
      </w:r>
      <w:r>
        <w:fldChar w:fldCharType="separate"/>
      </w:r>
      <w:r>
        <w:t>40</w:t>
      </w:r>
      <w:r>
        <w:fldChar w:fldCharType="end"/>
      </w:r>
    </w:p>
    <w:p>
      <w:pPr>
        <w:pStyle w:val="TOC8"/>
        <w:rPr>
          <w:rFonts w:asciiTheme="minorHAnsi" w:eastAsiaTheme="minorEastAsia" w:hAnsiTheme="minorHAnsi" w:cstheme="minorBidi"/>
          <w:szCs w:val="22"/>
        </w:rPr>
      </w:pPr>
      <w:r>
        <w:t>44.</w:t>
      </w:r>
      <w:r>
        <w:tab/>
        <w:t>Form of application</w:t>
      </w:r>
      <w:r>
        <w:tab/>
      </w:r>
      <w:r>
        <w:fldChar w:fldCharType="begin"/>
      </w:r>
      <w:r>
        <w:instrText xml:space="preserve"> PAGEREF _Toc80611796 \h </w:instrText>
      </w:r>
      <w:r>
        <w:fldChar w:fldCharType="separate"/>
      </w:r>
      <w:r>
        <w:t>40</w:t>
      </w:r>
      <w:r>
        <w:fldChar w:fldCharType="end"/>
      </w:r>
    </w:p>
    <w:p>
      <w:pPr>
        <w:pStyle w:val="TOC8"/>
        <w:rPr>
          <w:rFonts w:asciiTheme="minorHAnsi" w:eastAsiaTheme="minorEastAsia" w:hAnsiTheme="minorHAnsi" w:cstheme="minorBidi"/>
          <w:szCs w:val="22"/>
        </w:rPr>
      </w:pPr>
      <w:r>
        <w:t>45.</w:t>
      </w:r>
      <w:r>
        <w:tab/>
        <w:t>Regulatory Authority may seek further information</w:t>
      </w:r>
      <w:r>
        <w:tab/>
      </w:r>
      <w:r>
        <w:fldChar w:fldCharType="begin"/>
      </w:r>
      <w:r>
        <w:instrText xml:space="preserve"> PAGEREF _Toc80611797 \h </w:instrText>
      </w:r>
      <w:r>
        <w:fldChar w:fldCharType="separate"/>
      </w:r>
      <w:r>
        <w:t>41</w:t>
      </w:r>
      <w:r>
        <w:fldChar w:fldCharType="end"/>
      </w:r>
    </w:p>
    <w:p>
      <w:pPr>
        <w:pStyle w:val="TOC8"/>
        <w:rPr>
          <w:rFonts w:asciiTheme="minorHAnsi" w:eastAsiaTheme="minorEastAsia" w:hAnsiTheme="minorHAnsi" w:cstheme="minorBidi"/>
          <w:szCs w:val="22"/>
        </w:rPr>
      </w:pPr>
      <w:r>
        <w:t>46.</w:t>
      </w:r>
      <w:r>
        <w:tab/>
        <w:t>Investigation of application for service approval</w:t>
      </w:r>
      <w:r>
        <w:tab/>
      </w:r>
      <w:r>
        <w:fldChar w:fldCharType="begin"/>
      </w:r>
      <w:r>
        <w:instrText xml:space="preserve"> PAGEREF _Toc80611798 \h </w:instrText>
      </w:r>
      <w:r>
        <w:fldChar w:fldCharType="separate"/>
      </w:r>
      <w:r>
        <w:t>41</w:t>
      </w:r>
      <w:r>
        <w:fldChar w:fldCharType="end"/>
      </w:r>
    </w:p>
    <w:p>
      <w:pPr>
        <w:pStyle w:val="TOC8"/>
        <w:rPr>
          <w:rFonts w:asciiTheme="minorHAnsi" w:eastAsiaTheme="minorEastAsia" w:hAnsiTheme="minorHAnsi" w:cstheme="minorBidi"/>
          <w:szCs w:val="22"/>
        </w:rPr>
      </w:pPr>
      <w:r>
        <w:t>47.</w:t>
      </w:r>
      <w:r>
        <w:tab/>
        <w:t>Determination of application</w:t>
      </w:r>
      <w:r>
        <w:tab/>
      </w:r>
      <w:r>
        <w:fldChar w:fldCharType="begin"/>
      </w:r>
      <w:r>
        <w:instrText xml:space="preserve"> PAGEREF _Toc80611799 \h </w:instrText>
      </w:r>
      <w:r>
        <w:fldChar w:fldCharType="separate"/>
      </w:r>
      <w:r>
        <w:t>42</w:t>
      </w:r>
      <w:r>
        <w:fldChar w:fldCharType="end"/>
      </w:r>
    </w:p>
    <w:p>
      <w:pPr>
        <w:pStyle w:val="TOC8"/>
        <w:rPr>
          <w:rFonts w:asciiTheme="minorHAnsi" w:eastAsiaTheme="minorEastAsia" w:hAnsiTheme="minorHAnsi" w:cstheme="minorBidi"/>
          <w:szCs w:val="22"/>
        </w:rPr>
      </w:pPr>
      <w:r>
        <w:t>48.</w:t>
      </w:r>
      <w:r>
        <w:tab/>
        <w:t>Grant or refusal of service approval</w:t>
      </w:r>
      <w:r>
        <w:tab/>
      </w:r>
      <w:r>
        <w:fldChar w:fldCharType="begin"/>
      </w:r>
      <w:r>
        <w:instrText xml:space="preserve"> PAGEREF _Toc80611800 \h </w:instrText>
      </w:r>
      <w:r>
        <w:fldChar w:fldCharType="separate"/>
      </w:r>
      <w:r>
        <w:t>43</w:t>
      </w:r>
      <w:r>
        <w:fldChar w:fldCharType="end"/>
      </w:r>
    </w:p>
    <w:p>
      <w:pPr>
        <w:pStyle w:val="TOC8"/>
        <w:rPr>
          <w:rFonts w:asciiTheme="minorHAnsi" w:eastAsiaTheme="minorEastAsia" w:hAnsiTheme="minorHAnsi" w:cstheme="minorBidi"/>
          <w:szCs w:val="22"/>
        </w:rPr>
      </w:pPr>
      <w:r>
        <w:t>49.</w:t>
      </w:r>
      <w:r>
        <w:tab/>
        <w:t>Grounds for refusal</w:t>
      </w:r>
      <w:r>
        <w:tab/>
      </w:r>
      <w:r>
        <w:fldChar w:fldCharType="begin"/>
      </w:r>
      <w:r>
        <w:instrText xml:space="preserve"> PAGEREF _Toc80611801 \h </w:instrText>
      </w:r>
      <w:r>
        <w:fldChar w:fldCharType="separate"/>
      </w:r>
      <w:r>
        <w:t>44</w:t>
      </w:r>
      <w:r>
        <w:fldChar w:fldCharType="end"/>
      </w:r>
    </w:p>
    <w:p>
      <w:pPr>
        <w:pStyle w:val="TOC8"/>
        <w:rPr>
          <w:rFonts w:asciiTheme="minorHAnsi" w:eastAsiaTheme="minorEastAsia" w:hAnsiTheme="minorHAnsi" w:cstheme="minorBidi"/>
          <w:szCs w:val="22"/>
        </w:rPr>
      </w:pPr>
      <w:r>
        <w:t>50.</w:t>
      </w:r>
      <w:r>
        <w:tab/>
        <w:t>Notice of decision on application</w:t>
      </w:r>
      <w:r>
        <w:tab/>
      </w:r>
      <w:r>
        <w:fldChar w:fldCharType="begin"/>
      </w:r>
      <w:r>
        <w:instrText xml:space="preserve"> PAGEREF _Toc80611802 \h </w:instrText>
      </w:r>
      <w:r>
        <w:fldChar w:fldCharType="separate"/>
      </w:r>
      <w:r>
        <w:t>44</w:t>
      </w:r>
      <w:r>
        <w:fldChar w:fldCharType="end"/>
      </w:r>
    </w:p>
    <w:p>
      <w:pPr>
        <w:pStyle w:val="TOC8"/>
        <w:rPr>
          <w:rFonts w:asciiTheme="minorHAnsi" w:eastAsiaTheme="minorEastAsia" w:hAnsiTheme="minorHAnsi" w:cstheme="minorBidi"/>
          <w:szCs w:val="22"/>
        </w:rPr>
      </w:pPr>
      <w:r>
        <w:t>50A.</w:t>
      </w:r>
      <w:r>
        <w:tab/>
        <w:t>Approval of a place as a family day care venue</w:t>
      </w:r>
      <w:r>
        <w:tab/>
      </w:r>
      <w:r>
        <w:fldChar w:fldCharType="begin"/>
      </w:r>
      <w:r>
        <w:instrText xml:space="preserve"> PAGEREF _Toc80611803 \h </w:instrText>
      </w:r>
      <w:r>
        <w:fldChar w:fldCharType="separate"/>
      </w:r>
      <w:r>
        <w:t>44</w:t>
      </w:r>
      <w:r>
        <w:fldChar w:fldCharType="end"/>
      </w:r>
    </w:p>
    <w:p>
      <w:pPr>
        <w:pStyle w:val="TOC8"/>
        <w:rPr>
          <w:rFonts w:asciiTheme="minorHAnsi" w:eastAsiaTheme="minorEastAsia" w:hAnsiTheme="minorHAnsi" w:cstheme="minorBidi"/>
          <w:szCs w:val="22"/>
        </w:rPr>
      </w:pPr>
      <w:r>
        <w:t>51.</w:t>
      </w:r>
      <w:r>
        <w:tab/>
        <w:t>Conditions on service approval</w:t>
      </w:r>
      <w:r>
        <w:tab/>
      </w:r>
      <w:r>
        <w:fldChar w:fldCharType="begin"/>
      </w:r>
      <w:r>
        <w:instrText xml:space="preserve"> PAGEREF _Toc80611804 \h </w:instrText>
      </w:r>
      <w:r>
        <w:fldChar w:fldCharType="separate"/>
      </w:r>
      <w:r>
        <w:t>44</w:t>
      </w:r>
      <w:r>
        <w:fldChar w:fldCharType="end"/>
      </w:r>
    </w:p>
    <w:p>
      <w:pPr>
        <w:pStyle w:val="TOC8"/>
        <w:rPr>
          <w:rFonts w:asciiTheme="minorHAnsi" w:eastAsiaTheme="minorEastAsia" w:hAnsiTheme="minorHAnsi" w:cstheme="minorBidi"/>
          <w:szCs w:val="22"/>
        </w:rPr>
      </w:pPr>
      <w:r>
        <w:t>52.</w:t>
      </w:r>
      <w:r>
        <w:tab/>
        <w:t>Copy of service approval to be provided</w:t>
      </w:r>
      <w:r>
        <w:tab/>
      </w:r>
      <w:r>
        <w:fldChar w:fldCharType="begin"/>
      </w:r>
      <w:r>
        <w:instrText xml:space="preserve"> PAGEREF _Toc80611805 \h </w:instrText>
      </w:r>
      <w:r>
        <w:fldChar w:fldCharType="separate"/>
      </w:r>
      <w:r>
        <w:t>46</w:t>
      </w:r>
      <w:r>
        <w:fldChar w:fldCharType="end"/>
      </w:r>
    </w:p>
    <w:p>
      <w:pPr>
        <w:pStyle w:val="TOC8"/>
        <w:rPr>
          <w:rFonts w:asciiTheme="minorHAnsi" w:eastAsiaTheme="minorEastAsia" w:hAnsiTheme="minorHAnsi" w:cstheme="minorBidi"/>
          <w:szCs w:val="22"/>
        </w:rPr>
      </w:pPr>
      <w:r>
        <w:t>53.</w:t>
      </w:r>
      <w:r>
        <w:tab/>
        <w:t>Annual fee</w:t>
      </w:r>
      <w:r>
        <w:tab/>
      </w:r>
      <w:r>
        <w:fldChar w:fldCharType="begin"/>
      </w:r>
      <w:r>
        <w:instrText xml:space="preserve"> PAGEREF _Toc80611806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Amendment of service approval</w:t>
      </w:r>
    </w:p>
    <w:p>
      <w:pPr>
        <w:pStyle w:val="TOC8"/>
        <w:rPr>
          <w:rFonts w:asciiTheme="minorHAnsi" w:eastAsiaTheme="minorEastAsia" w:hAnsiTheme="minorHAnsi" w:cstheme="minorBidi"/>
          <w:szCs w:val="22"/>
        </w:rPr>
      </w:pPr>
      <w:r>
        <w:t>54.</w:t>
      </w:r>
      <w:r>
        <w:tab/>
        <w:t>Amendment of service approval on application</w:t>
      </w:r>
      <w:r>
        <w:tab/>
      </w:r>
      <w:r>
        <w:fldChar w:fldCharType="begin"/>
      </w:r>
      <w:r>
        <w:instrText xml:space="preserve"> PAGEREF _Toc80611808 \h </w:instrText>
      </w:r>
      <w:r>
        <w:fldChar w:fldCharType="separate"/>
      </w:r>
      <w:r>
        <w:t>47</w:t>
      </w:r>
      <w:r>
        <w:fldChar w:fldCharType="end"/>
      </w:r>
    </w:p>
    <w:p>
      <w:pPr>
        <w:pStyle w:val="TOC8"/>
        <w:rPr>
          <w:rFonts w:asciiTheme="minorHAnsi" w:eastAsiaTheme="minorEastAsia" w:hAnsiTheme="minorHAnsi" w:cstheme="minorBidi"/>
          <w:szCs w:val="22"/>
        </w:rPr>
      </w:pPr>
      <w:r>
        <w:lastRenderedPageBreak/>
        <w:t>55.</w:t>
      </w:r>
      <w:r>
        <w:tab/>
        <w:t>Amendment of service approval by Regulatory Authority</w:t>
      </w:r>
      <w:r>
        <w:tab/>
      </w:r>
      <w:r>
        <w:fldChar w:fldCharType="begin"/>
      </w:r>
      <w:r>
        <w:instrText xml:space="preserve"> PAGEREF _Toc80611809 \h </w:instrText>
      </w:r>
      <w:r>
        <w:fldChar w:fldCharType="separate"/>
      </w:r>
      <w:r>
        <w:t>48</w:t>
      </w:r>
      <w:r>
        <w:fldChar w:fldCharType="end"/>
      </w:r>
    </w:p>
    <w:p>
      <w:pPr>
        <w:pStyle w:val="TOC8"/>
        <w:rPr>
          <w:rFonts w:asciiTheme="minorHAnsi" w:eastAsiaTheme="minorEastAsia" w:hAnsiTheme="minorHAnsi" w:cstheme="minorBidi"/>
          <w:szCs w:val="22"/>
        </w:rPr>
      </w:pPr>
      <w:r>
        <w:t>55A.</w:t>
      </w:r>
      <w:r>
        <w:tab/>
        <w:t>Condition relating to family day care co</w:t>
      </w:r>
      <w:r>
        <w:noBreakHyphen/>
        <w:t>ordinators</w:t>
      </w:r>
      <w:r>
        <w:tab/>
      </w:r>
      <w:r>
        <w:fldChar w:fldCharType="begin"/>
      </w:r>
      <w:r>
        <w:instrText xml:space="preserve"> PAGEREF _Toc80611810 \h </w:instrText>
      </w:r>
      <w:r>
        <w:fldChar w:fldCharType="separate"/>
      </w:r>
      <w:r>
        <w:t>49</w:t>
      </w:r>
      <w:r>
        <w:fldChar w:fldCharType="end"/>
      </w:r>
    </w:p>
    <w:p>
      <w:pPr>
        <w:pStyle w:val="TOC8"/>
        <w:rPr>
          <w:rFonts w:asciiTheme="minorHAnsi" w:eastAsiaTheme="minorEastAsia" w:hAnsiTheme="minorHAnsi" w:cstheme="minorBidi"/>
          <w:szCs w:val="22"/>
        </w:rPr>
      </w:pPr>
      <w:r>
        <w:t>56.</w:t>
      </w:r>
      <w:r>
        <w:tab/>
        <w:t>Notice of change to nominated supervisor</w:t>
      </w:r>
      <w:r>
        <w:tab/>
      </w:r>
      <w:r>
        <w:fldChar w:fldCharType="begin"/>
      </w:r>
      <w:r>
        <w:instrText xml:space="preserve"> PAGEREF _Toc80611811 \h </w:instrText>
      </w:r>
      <w:r>
        <w:fldChar w:fldCharType="separate"/>
      </w:r>
      <w:r>
        <w:t>49</w:t>
      </w:r>
      <w:r>
        <w:fldChar w:fldCharType="end"/>
      </w:r>
    </w:p>
    <w:p>
      <w:pPr>
        <w:pStyle w:val="TOC8"/>
        <w:rPr>
          <w:rFonts w:asciiTheme="minorHAnsi" w:eastAsiaTheme="minorEastAsia" w:hAnsiTheme="minorHAnsi" w:cstheme="minorBidi"/>
          <w:szCs w:val="22"/>
        </w:rPr>
      </w:pPr>
      <w:r>
        <w:t>56A.</w:t>
      </w:r>
      <w:r>
        <w:tab/>
        <w:t>Notice of change of a nominated supervisor’s name or contact details</w:t>
      </w:r>
      <w:r>
        <w:tab/>
      </w:r>
      <w:r>
        <w:fldChar w:fldCharType="begin"/>
      </w:r>
      <w:r>
        <w:instrText xml:space="preserve"> PAGEREF _Toc80611812 \h </w:instrText>
      </w:r>
      <w:r>
        <w:fldChar w:fldCharType="separate"/>
      </w:r>
      <w:r>
        <w:t>50</w:t>
      </w:r>
      <w:r>
        <w:fldChar w:fldCharType="end"/>
      </w:r>
    </w:p>
    <w:p>
      <w:pPr>
        <w:pStyle w:val="TOC8"/>
        <w:rPr>
          <w:rFonts w:asciiTheme="minorHAnsi" w:eastAsiaTheme="minorEastAsia" w:hAnsiTheme="minorHAnsi" w:cstheme="minorBidi"/>
          <w:szCs w:val="22"/>
        </w:rPr>
      </w:pPr>
      <w:r>
        <w:t>57.</w:t>
      </w:r>
      <w:r>
        <w:tab/>
        <w:t>Copy of amended service approval to be provided</w:t>
      </w:r>
      <w:r>
        <w:tab/>
      </w:r>
      <w:r>
        <w:fldChar w:fldCharType="begin"/>
      </w:r>
      <w:r>
        <w:instrText xml:space="preserve"> PAGEREF _Toc80611813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Transfer of service approval</w:t>
      </w:r>
    </w:p>
    <w:p>
      <w:pPr>
        <w:pStyle w:val="TOC8"/>
        <w:rPr>
          <w:rFonts w:asciiTheme="minorHAnsi" w:eastAsiaTheme="minorEastAsia" w:hAnsiTheme="minorHAnsi" w:cstheme="minorBidi"/>
          <w:szCs w:val="22"/>
        </w:rPr>
      </w:pPr>
      <w:r>
        <w:t>58.</w:t>
      </w:r>
      <w:r>
        <w:tab/>
        <w:t>Service approval may be transferred</w:t>
      </w:r>
      <w:r>
        <w:tab/>
      </w:r>
      <w:r>
        <w:fldChar w:fldCharType="begin"/>
      </w:r>
      <w:r>
        <w:instrText xml:space="preserve"> PAGEREF _Toc80611815 \h </w:instrText>
      </w:r>
      <w:r>
        <w:fldChar w:fldCharType="separate"/>
      </w:r>
      <w:r>
        <w:t>50</w:t>
      </w:r>
      <w:r>
        <w:fldChar w:fldCharType="end"/>
      </w:r>
    </w:p>
    <w:p>
      <w:pPr>
        <w:pStyle w:val="TOC8"/>
        <w:rPr>
          <w:rFonts w:asciiTheme="minorHAnsi" w:eastAsiaTheme="minorEastAsia" w:hAnsiTheme="minorHAnsi" w:cstheme="minorBidi"/>
          <w:szCs w:val="22"/>
        </w:rPr>
      </w:pPr>
      <w:r>
        <w:t>59.</w:t>
      </w:r>
      <w:r>
        <w:tab/>
        <w:t>Regulatory Authority to be notified of transfer</w:t>
      </w:r>
      <w:r>
        <w:tab/>
      </w:r>
      <w:r>
        <w:fldChar w:fldCharType="begin"/>
      </w:r>
      <w:r>
        <w:instrText xml:space="preserve"> PAGEREF _Toc80611816 \h </w:instrText>
      </w:r>
      <w:r>
        <w:fldChar w:fldCharType="separate"/>
      </w:r>
      <w:r>
        <w:t>51</w:t>
      </w:r>
      <w:r>
        <w:fldChar w:fldCharType="end"/>
      </w:r>
    </w:p>
    <w:p>
      <w:pPr>
        <w:pStyle w:val="TOC8"/>
        <w:rPr>
          <w:rFonts w:asciiTheme="minorHAnsi" w:eastAsiaTheme="minorEastAsia" w:hAnsiTheme="minorHAnsi" w:cstheme="minorBidi"/>
          <w:szCs w:val="22"/>
        </w:rPr>
      </w:pPr>
      <w:r>
        <w:t>60.</w:t>
      </w:r>
      <w:r>
        <w:tab/>
        <w:t>Consent of Regulatory Authority required for transfer</w:t>
      </w:r>
      <w:r>
        <w:tab/>
      </w:r>
      <w:r>
        <w:fldChar w:fldCharType="begin"/>
      </w:r>
      <w:r>
        <w:instrText xml:space="preserve"> PAGEREF _Toc80611817 \h </w:instrText>
      </w:r>
      <w:r>
        <w:fldChar w:fldCharType="separate"/>
      </w:r>
      <w:r>
        <w:t>51</w:t>
      </w:r>
      <w:r>
        <w:fldChar w:fldCharType="end"/>
      </w:r>
    </w:p>
    <w:p>
      <w:pPr>
        <w:pStyle w:val="TOC8"/>
        <w:rPr>
          <w:rFonts w:asciiTheme="minorHAnsi" w:eastAsiaTheme="minorEastAsia" w:hAnsiTheme="minorHAnsi" w:cstheme="minorBidi"/>
          <w:szCs w:val="22"/>
        </w:rPr>
      </w:pPr>
      <w:r>
        <w:t>61.</w:t>
      </w:r>
      <w:r>
        <w:tab/>
        <w:t>Consent taken to be given unless Regulatory Authority intervenes</w:t>
      </w:r>
      <w:r>
        <w:tab/>
      </w:r>
      <w:r>
        <w:fldChar w:fldCharType="begin"/>
      </w:r>
      <w:r>
        <w:instrText xml:space="preserve"> PAGEREF _Toc80611818 \h </w:instrText>
      </w:r>
      <w:r>
        <w:fldChar w:fldCharType="separate"/>
      </w:r>
      <w:r>
        <w:t>51</w:t>
      </w:r>
      <w:r>
        <w:fldChar w:fldCharType="end"/>
      </w:r>
    </w:p>
    <w:p>
      <w:pPr>
        <w:pStyle w:val="TOC8"/>
        <w:rPr>
          <w:rFonts w:asciiTheme="minorHAnsi" w:eastAsiaTheme="minorEastAsia" w:hAnsiTheme="minorHAnsi" w:cstheme="minorBidi"/>
          <w:szCs w:val="22"/>
        </w:rPr>
      </w:pPr>
      <w:r>
        <w:t>62.</w:t>
      </w:r>
      <w:r>
        <w:tab/>
        <w:t>Transfer may be subject to intervention by Regulatory Authority</w:t>
      </w:r>
      <w:r>
        <w:tab/>
      </w:r>
      <w:r>
        <w:fldChar w:fldCharType="begin"/>
      </w:r>
      <w:r>
        <w:instrText xml:space="preserve"> PAGEREF _Toc80611819 \h </w:instrText>
      </w:r>
      <w:r>
        <w:fldChar w:fldCharType="separate"/>
      </w:r>
      <w:r>
        <w:t>52</w:t>
      </w:r>
      <w:r>
        <w:fldChar w:fldCharType="end"/>
      </w:r>
    </w:p>
    <w:p>
      <w:pPr>
        <w:pStyle w:val="TOC8"/>
        <w:rPr>
          <w:rFonts w:asciiTheme="minorHAnsi" w:eastAsiaTheme="minorEastAsia" w:hAnsiTheme="minorHAnsi" w:cstheme="minorBidi"/>
          <w:szCs w:val="22"/>
        </w:rPr>
      </w:pPr>
      <w:r>
        <w:t>63.</w:t>
      </w:r>
      <w:r>
        <w:tab/>
        <w:t>Effect of intervention</w:t>
      </w:r>
      <w:r>
        <w:tab/>
      </w:r>
      <w:r>
        <w:fldChar w:fldCharType="begin"/>
      </w:r>
      <w:r>
        <w:instrText xml:space="preserve"> PAGEREF _Toc80611820 \h </w:instrText>
      </w:r>
      <w:r>
        <w:fldChar w:fldCharType="separate"/>
      </w:r>
      <w:r>
        <w:t>52</w:t>
      </w:r>
      <w:r>
        <w:fldChar w:fldCharType="end"/>
      </w:r>
    </w:p>
    <w:p>
      <w:pPr>
        <w:pStyle w:val="TOC8"/>
        <w:rPr>
          <w:rFonts w:asciiTheme="minorHAnsi" w:eastAsiaTheme="minorEastAsia" w:hAnsiTheme="minorHAnsi" w:cstheme="minorBidi"/>
          <w:szCs w:val="22"/>
        </w:rPr>
      </w:pPr>
      <w:r>
        <w:t>64.</w:t>
      </w:r>
      <w:r>
        <w:tab/>
        <w:t>Regulatory Authority may request further information</w:t>
      </w:r>
      <w:r>
        <w:tab/>
      </w:r>
      <w:r>
        <w:fldChar w:fldCharType="begin"/>
      </w:r>
      <w:r>
        <w:instrText xml:space="preserve"> PAGEREF _Toc80611821 \h </w:instrText>
      </w:r>
      <w:r>
        <w:fldChar w:fldCharType="separate"/>
      </w:r>
      <w:r>
        <w:t>53</w:t>
      </w:r>
      <w:r>
        <w:fldChar w:fldCharType="end"/>
      </w:r>
    </w:p>
    <w:p>
      <w:pPr>
        <w:pStyle w:val="TOC8"/>
        <w:rPr>
          <w:rFonts w:asciiTheme="minorHAnsi" w:eastAsiaTheme="minorEastAsia" w:hAnsiTheme="minorHAnsi" w:cstheme="minorBidi"/>
          <w:szCs w:val="22"/>
        </w:rPr>
      </w:pPr>
      <w:r>
        <w:t>65.</w:t>
      </w:r>
      <w:r>
        <w:tab/>
        <w:t>Decision after intervention</w:t>
      </w:r>
      <w:r>
        <w:tab/>
      </w:r>
      <w:r>
        <w:fldChar w:fldCharType="begin"/>
      </w:r>
      <w:r>
        <w:instrText xml:space="preserve"> PAGEREF _Toc80611822 \h </w:instrText>
      </w:r>
      <w:r>
        <w:fldChar w:fldCharType="separate"/>
      </w:r>
      <w:r>
        <w:t>53</w:t>
      </w:r>
      <w:r>
        <w:fldChar w:fldCharType="end"/>
      </w:r>
    </w:p>
    <w:p>
      <w:pPr>
        <w:pStyle w:val="TOC8"/>
        <w:rPr>
          <w:rFonts w:asciiTheme="minorHAnsi" w:eastAsiaTheme="minorEastAsia" w:hAnsiTheme="minorHAnsi" w:cstheme="minorBidi"/>
          <w:szCs w:val="22"/>
        </w:rPr>
      </w:pPr>
      <w:r>
        <w:t>66.</w:t>
      </w:r>
      <w:r>
        <w:tab/>
        <w:t>Regulatory Authority to notify outcome 7 days before transfer</w:t>
      </w:r>
      <w:r>
        <w:tab/>
      </w:r>
      <w:r>
        <w:fldChar w:fldCharType="begin"/>
      </w:r>
      <w:r>
        <w:instrText xml:space="preserve"> PAGEREF _Toc80611823 \h </w:instrText>
      </w:r>
      <w:r>
        <w:fldChar w:fldCharType="separate"/>
      </w:r>
      <w:r>
        <w:t>53</w:t>
      </w:r>
      <w:r>
        <w:fldChar w:fldCharType="end"/>
      </w:r>
    </w:p>
    <w:p>
      <w:pPr>
        <w:pStyle w:val="TOC8"/>
        <w:rPr>
          <w:rFonts w:asciiTheme="minorHAnsi" w:eastAsiaTheme="minorEastAsia" w:hAnsiTheme="minorHAnsi" w:cstheme="minorBidi"/>
          <w:szCs w:val="22"/>
        </w:rPr>
      </w:pPr>
      <w:r>
        <w:t>67.</w:t>
      </w:r>
      <w:r>
        <w:tab/>
        <w:t>Transfer of service approval without consent is void</w:t>
      </w:r>
      <w:r>
        <w:tab/>
      </w:r>
      <w:r>
        <w:fldChar w:fldCharType="begin"/>
      </w:r>
      <w:r>
        <w:instrText xml:space="preserve"> PAGEREF _Toc80611824 \h </w:instrText>
      </w:r>
      <w:r>
        <w:fldChar w:fldCharType="separate"/>
      </w:r>
      <w:r>
        <w:t>54</w:t>
      </w:r>
      <w:r>
        <w:fldChar w:fldCharType="end"/>
      </w:r>
    </w:p>
    <w:p>
      <w:pPr>
        <w:pStyle w:val="TOC8"/>
        <w:rPr>
          <w:rFonts w:asciiTheme="minorHAnsi" w:eastAsiaTheme="minorEastAsia" w:hAnsiTheme="minorHAnsi" w:cstheme="minorBidi"/>
          <w:szCs w:val="22"/>
        </w:rPr>
      </w:pPr>
      <w:r>
        <w:t>68.</w:t>
      </w:r>
      <w:r>
        <w:tab/>
        <w:t>Confirmation of transfer</w:t>
      </w:r>
      <w:r>
        <w:tab/>
      </w:r>
      <w:r>
        <w:fldChar w:fldCharType="begin"/>
      </w:r>
      <w:r>
        <w:instrText xml:space="preserve"> PAGEREF _Toc80611825 \h </w:instrText>
      </w:r>
      <w:r>
        <w:fldChar w:fldCharType="separate"/>
      </w:r>
      <w:r>
        <w:t>54</w:t>
      </w:r>
      <w:r>
        <w:fldChar w:fldCharType="end"/>
      </w:r>
    </w:p>
    <w:p>
      <w:pPr>
        <w:pStyle w:val="TOC8"/>
        <w:rPr>
          <w:rFonts w:asciiTheme="minorHAnsi" w:eastAsiaTheme="minorEastAsia" w:hAnsiTheme="minorHAnsi" w:cstheme="minorBidi"/>
          <w:szCs w:val="22"/>
        </w:rPr>
      </w:pPr>
      <w:r>
        <w:t>69.</w:t>
      </w:r>
      <w:r>
        <w:tab/>
        <w:t>Notice to parents</w:t>
      </w:r>
      <w:r>
        <w:tab/>
      </w:r>
      <w:r>
        <w:fldChar w:fldCharType="begin"/>
      </w:r>
      <w:r>
        <w:instrText xml:space="preserve"> PAGEREF _Toc80611826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Suspension or cancellation of service approval</w:t>
      </w:r>
    </w:p>
    <w:p>
      <w:pPr>
        <w:pStyle w:val="TOC8"/>
        <w:rPr>
          <w:rFonts w:asciiTheme="minorHAnsi" w:eastAsiaTheme="minorEastAsia" w:hAnsiTheme="minorHAnsi" w:cstheme="minorBidi"/>
          <w:szCs w:val="22"/>
        </w:rPr>
      </w:pPr>
      <w:r>
        <w:t>70.</w:t>
      </w:r>
      <w:r>
        <w:tab/>
        <w:t>Grounds for suspension of service approval</w:t>
      </w:r>
      <w:r>
        <w:tab/>
      </w:r>
      <w:r>
        <w:fldChar w:fldCharType="begin"/>
      </w:r>
      <w:r>
        <w:instrText xml:space="preserve"> PAGEREF _Toc80611828 \h </w:instrText>
      </w:r>
      <w:r>
        <w:fldChar w:fldCharType="separate"/>
      </w:r>
      <w:r>
        <w:t>55</w:t>
      </w:r>
      <w:r>
        <w:fldChar w:fldCharType="end"/>
      </w:r>
    </w:p>
    <w:p>
      <w:pPr>
        <w:pStyle w:val="TOC8"/>
        <w:rPr>
          <w:rFonts w:asciiTheme="minorHAnsi" w:eastAsiaTheme="minorEastAsia" w:hAnsiTheme="minorHAnsi" w:cstheme="minorBidi"/>
          <w:szCs w:val="22"/>
        </w:rPr>
      </w:pPr>
      <w:r>
        <w:t>71.</w:t>
      </w:r>
      <w:r>
        <w:tab/>
        <w:t>Show cause notice before suspension</w:t>
      </w:r>
      <w:r>
        <w:tab/>
      </w:r>
      <w:r>
        <w:fldChar w:fldCharType="begin"/>
      </w:r>
      <w:r>
        <w:instrText xml:space="preserve"> PAGEREF _Toc80611829 \h </w:instrText>
      </w:r>
      <w:r>
        <w:fldChar w:fldCharType="separate"/>
      </w:r>
      <w:r>
        <w:t>56</w:t>
      </w:r>
      <w:r>
        <w:fldChar w:fldCharType="end"/>
      </w:r>
    </w:p>
    <w:p>
      <w:pPr>
        <w:pStyle w:val="TOC8"/>
        <w:rPr>
          <w:rFonts w:asciiTheme="minorHAnsi" w:eastAsiaTheme="minorEastAsia" w:hAnsiTheme="minorHAnsi" w:cstheme="minorBidi"/>
          <w:szCs w:val="22"/>
        </w:rPr>
      </w:pPr>
      <w:r>
        <w:t>72.</w:t>
      </w:r>
      <w:r>
        <w:tab/>
        <w:t>Decision in relation to suspension</w:t>
      </w:r>
      <w:r>
        <w:tab/>
      </w:r>
      <w:r>
        <w:fldChar w:fldCharType="begin"/>
      </w:r>
      <w:r>
        <w:instrText xml:space="preserve"> PAGEREF _Toc80611830 \h </w:instrText>
      </w:r>
      <w:r>
        <w:fldChar w:fldCharType="separate"/>
      </w:r>
      <w:r>
        <w:t>57</w:t>
      </w:r>
      <w:r>
        <w:fldChar w:fldCharType="end"/>
      </w:r>
    </w:p>
    <w:p>
      <w:pPr>
        <w:pStyle w:val="TOC8"/>
        <w:rPr>
          <w:rFonts w:asciiTheme="minorHAnsi" w:eastAsiaTheme="minorEastAsia" w:hAnsiTheme="minorHAnsi" w:cstheme="minorBidi"/>
          <w:szCs w:val="22"/>
        </w:rPr>
      </w:pPr>
      <w:r>
        <w:t>73.</w:t>
      </w:r>
      <w:r>
        <w:tab/>
        <w:t>Suspension of service approval without show cause</w:t>
      </w:r>
      <w:r>
        <w:tab/>
      </w:r>
      <w:r>
        <w:fldChar w:fldCharType="begin"/>
      </w:r>
      <w:r>
        <w:instrText xml:space="preserve"> PAGEREF _Toc80611831 \h </w:instrText>
      </w:r>
      <w:r>
        <w:fldChar w:fldCharType="separate"/>
      </w:r>
      <w:r>
        <w:t>57</w:t>
      </w:r>
      <w:r>
        <w:fldChar w:fldCharType="end"/>
      </w:r>
    </w:p>
    <w:p>
      <w:pPr>
        <w:pStyle w:val="TOC8"/>
        <w:rPr>
          <w:rFonts w:asciiTheme="minorHAnsi" w:eastAsiaTheme="minorEastAsia" w:hAnsiTheme="minorHAnsi" w:cstheme="minorBidi"/>
          <w:szCs w:val="22"/>
        </w:rPr>
      </w:pPr>
      <w:r>
        <w:t>74.</w:t>
      </w:r>
      <w:r>
        <w:tab/>
        <w:t>Notice and effect of decision</w:t>
      </w:r>
      <w:r>
        <w:tab/>
      </w:r>
      <w:r>
        <w:fldChar w:fldCharType="begin"/>
      </w:r>
      <w:r>
        <w:instrText xml:space="preserve"> PAGEREF _Toc80611832 \h </w:instrText>
      </w:r>
      <w:r>
        <w:fldChar w:fldCharType="separate"/>
      </w:r>
      <w:r>
        <w:t>57</w:t>
      </w:r>
      <w:r>
        <w:fldChar w:fldCharType="end"/>
      </w:r>
    </w:p>
    <w:p>
      <w:pPr>
        <w:pStyle w:val="TOC8"/>
        <w:rPr>
          <w:rFonts w:asciiTheme="minorHAnsi" w:eastAsiaTheme="minorEastAsia" w:hAnsiTheme="minorHAnsi" w:cstheme="minorBidi"/>
          <w:szCs w:val="22"/>
        </w:rPr>
      </w:pPr>
      <w:r>
        <w:t>75.</w:t>
      </w:r>
      <w:r>
        <w:tab/>
        <w:t>Suspension of service approval to the extent that it relates to associated children’s service</w:t>
      </w:r>
      <w:r>
        <w:tab/>
      </w:r>
      <w:r>
        <w:fldChar w:fldCharType="begin"/>
      </w:r>
      <w:r>
        <w:instrText xml:space="preserve"> PAGEREF _Toc80611833 \h </w:instrText>
      </w:r>
      <w:r>
        <w:fldChar w:fldCharType="separate"/>
      </w:r>
      <w:r>
        <w:t>58</w:t>
      </w:r>
      <w:r>
        <w:fldChar w:fldCharType="end"/>
      </w:r>
    </w:p>
    <w:p>
      <w:pPr>
        <w:pStyle w:val="TOC8"/>
        <w:rPr>
          <w:rFonts w:asciiTheme="minorHAnsi" w:eastAsiaTheme="minorEastAsia" w:hAnsiTheme="minorHAnsi" w:cstheme="minorBidi"/>
          <w:szCs w:val="22"/>
        </w:rPr>
      </w:pPr>
      <w:r>
        <w:t>76.</w:t>
      </w:r>
      <w:r>
        <w:tab/>
        <w:t>Transfer of suspended service</w:t>
      </w:r>
      <w:r>
        <w:tab/>
      </w:r>
      <w:r>
        <w:fldChar w:fldCharType="begin"/>
      </w:r>
      <w:r>
        <w:instrText xml:space="preserve"> PAGEREF _Toc80611834 \h </w:instrText>
      </w:r>
      <w:r>
        <w:fldChar w:fldCharType="separate"/>
      </w:r>
      <w:r>
        <w:t>58</w:t>
      </w:r>
      <w:r>
        <w:fldChar w:fldCharType="end"/>
      </w:r>
    </w:p>
    <w:p>
      <w:pPr>
        <w:pStyle w:val="TOC8"/>
        <w:rPr>
          <w:rFonts w:asciiTheme="minorHAnsi" w:eastAsiaTheme="minorEastAsia" w:hAnsiTheme="minorHAnsi" w:cstheme="minorBidi"/>
          <w:szCs w:val="22"/>
        </w:rPr>
      </w:pPr>
      <w:r>
        <w:t>77.</w:t>
      </w:r>
      <w:r>
        <w:tab/>
        <w:t>Grounds for cancellation of service approval</w:t>
      </w:r>
      <w:r>
        <w:tab/>
      </w:r>
      <w:r>
        <w:fldChar w:fldCharType="begin"/>
      </w:r>
      <w:r>
        <w:instrText xml:space="preserve"> PAGEREF _Toc80611835 \h </w:instrText>
      </w:r>
      <w:r>
        <w:fldChar w:fldCharType="separate"/>
      </w:r>
      <w:r>
        <w:t>58</w:t>
      </w:r>
      <w:r>
        <w:fldChar w:fldCharType="end"/>
      </w:r>
    </w:p>
    <w:p>
      <w:pPr>
        <w:pStyle w:val="TOC8"/>
        <w:rPr>
          <w:rFonts w:asciiTheme="minorHAnsi" w:eastAsiaTheme="minorEastAsia" w:hAnsiTheme="minorHAnsi" w:cstheme="minorBidi"/>
          <w:szCs w:val="22"/>
        </w:rPr>
      </w:pPr>
      <w:r>
        <w:t>78.</w:t>
      </w:r>
      <w:r>
        <w:tab/>
        <w:t>Show cause notice before cancellation</w:t>
      </w:r>
      <w:r>
        <w:tab/>
      </w:r>
      <w:r>
        <w:fldChar w:fldCharType="begin"/>
      </w:r>
      <w:r>
        <w:instrText xml:space="preserve"> PAGEREF _Toc80611836 \h </w:instrText>
      </w:r>
      <w:r>
        <w:fldChar w:fldCharType="separate"/>
      </w:r>
      <w:r>
        <w:t>59</w:t>
      </w:r>
      <w:r>
        <w:fldChar w:fldCharType="end"/>
      </w:r>
    </w:p>
    <w:p>
      <w:pPr>
        <w:pStyle w:val="TOC8"/>
        <w:rPr>
          <w:rFonts w:asciiTheme="minorHAnsi" w:eastAsiaTheme="minorEastAsia" w:hAnsiTheme="minorHAnsi" w:cstheme="minorBidi"/>
          <w:szCs w:val="22"/>
        </w:rPr>
      </w:pPr>
      <w:r>
        <w:t>79.</w:t>
      </w:r>
      <w:r>
        <w:tab/>
        <w:t>Decision in relation to cancellation</w:t>
      </w:r>
      <w:r>
        <w:tab/>
      </w:r>
      <w:r>
        <w:fldChar w:fldCharType="begin"/>
      </w:r>
      <w:r>
        <w:instrText xml:space="preserve"> PAGEREF _Toc80611837 \h </w:instrText>
      </w:r>
      <w:r>
        <w:fldChar w:fldCharType="separate"/>
      </w:r>
      <w:r>
        <w:t>59</w:t>
      </w:r>
      <w:r>
        <w:fldChar w:fldCharType="end"/>
      </w:r>
    </w:p>
    <w:p>
      <w:pPr>
        <w:pStyle w:val="TOC8"/>
        <w:rPr>
          <w:rFonts w:asciiTheme="minorHAnsi" w:eastAsiaTheme="minorEastAsia" w:hAnsiTheme="minorHAnsi" w:cstheme="minorBidi"/>
          <w:szCs w:val="22"/>
        </w:rPr>
      </w:pPr>
      <w:r>
        <w:lastRenderedPageBreak/>
        <w:t>80.</w:t>
      </w:r>
      <w:r>
        <w:tab/>
        <w:t>Cancellation of service approval to the extent that it relates to associated children’s service</w:t>
      </w:r>
      <w:r>
        <w:tab/>
      </w:r>
      <w:r>
        <w:fldChar w:fldCharType="begin"/>
      </w:r>
      <w:r>
        <w:instrText xml:space="preserve"> PAGEREF _Toc80611838 \h </w:instrText>
      </w:r>
      <w:r>
        <w:fldChar w:fldCharType="separate"/>
      </w:r>
      <w:r>
        <w:t>60</w:t>
      </w:r>
      <w:r>
        <w:fldChar w:fldCharType="end"/>
      </w:r>
    </w:p>
    <w:p>
      <w:pPr>
        <w:pStyle w:val="TOC8"/>
        <w:rPr>
          <w:rFonts w:asciiTheme="minorHAnsi" w:eastAsiaTheme="minorEastAsia" w:hAnsiTheme="minorHAnsi" w:cstheme="minorBidi"/>
          <w:szCs w:val="22"/>
        </w:rPr>
      </w:pPr>
      <w:r>
        <w:t>81.</w:t>
      </w:r>
      <w:r>
        <w:tab/>
        <w:t>Application for transfer of cancelled service</w:t>
      </w:r>
      <w:r>
        <w:tab/>
      </w:r>
      <w:r>
        <w:fldChar w:fldCharType="begin"/>
      </w:r>
      <w:r>
        <w:instrText xml:space="preserve"> PAGEREF _Toc80611839 \h </w:instrText>
      </w:r>
      <w:r>
        <w:fldChar w:fldCharType="separate"/>
      </w:r>
      <w:r>
        <w:t>60</w:t>
      </w:r>
      <w:r>
        <w:fldChar w:fldCharType="end"/>
      </w:r>
    </w:p>
    <w:p>
      <w:pPr>
        <w:pStyle w:val="TOC8"/>
        <w:rPr>
          <w:rFonts w:asciiTheme="minorHAnsi" w:eastAsiaTheme="minorEastAsia" w:hAnsiTheme="minorHAnsi" w:cstheme="minorBidi"/>
          <w:szCs w:val="22"/>
        </w:rPr>
      </w:pPr>
      <w:r>
        <w:t>82.</w:t>
      </w:r>
      <w:r>
        <w:tab/>
        <w:t>Decision on application to transfer cancelled service</w:t>
      </w:r>
      <w:r>
        <w:tab/>
      </w:r>
      <w:r>
        <w:fldChar w:fldCharType="begin"/>
      </w:r>
      <w:r>
        <w:instrText xml:space="preserve"> PAGEREF _Toc80611840 \h </w:instrText>
      </w:r>
      <w:r>
        <w:fldChar w:fldCharType="separate"/>
      </w:r>
      <w:r>
        <w:t>61</w:t>
      </w:r>
      <w:r>
        <w:fldChar w:fldCharType="end"/>
      </w:r>
    </w:p>
    <w:p>
      <w:pPr>
        <w:pStyle w:val="TOC8"/>
        <w:rPr>
          <w:rFonts w:asciiTheme="minorHAnsi" w:eastAsiaTheme="minorEastAsia" w:hAnsiTheme="minorHAnsi" w:cstheme="minorBidi"/>
          <w:szCs w:val="22"/>
        </w:rPr>
      </w:pPr>
      <w:r>
        <w:t>83.</w:t>
      </w:r>
      <w:r>
        <w:tab/>
        <w:t>Approved provider to provide information to Regulatory Authority</w:t>
      </w:r>
      <w:r>
        <w:tab/>
      </w:r>
      <w:r>
        <w:fldChar w:fldCharType="begin"/>
      </w:r>
      <w:r>
        <w:instrText xml:space="preserve"> PAGEREF _Toc80611841 \h </w:instrText>
      </w:r>
      <w:r>
        <w:fldChar w:fldCharType="separate"/>
      </w:r>
      <w:r>
        <w:t>61</w:t>
      </w:r>
      <w:r>
        <w:fldChar w:fldCharType="end"/>
      </w:r>
    </w:p>
    <w:p>
      <w:pPr>
        <w:pStyle w:val="TOC8"/>
        <w:rPr>
          <w:rFonts w:asciiTheme="minorHAnsi" w:eastAsiaTheme="minorEastAsia" w:hAnsiTheme="minorHAnsi" w:cstheme="minorBidi"/>
          <w:szCs w:val="22"/>
        </w:rPr>
      </w:pPr>
      <w:r>
        <w:t>84.</w:t>
      </w:r>
      <w:r>
        <w:tab/>
        <w:t>Notice to parents of suspension or cancellation</w:t>
      </w:r>
      <w:r>
        <w:tab/>
      </w:r>
      <w:r>
        <w:fldChar w:fldCharType="begin"/>
      </w:r>
      <w:r>
        <w:instrText xml:space="preserve"> PAGEREF _Toc80611842 \h </w:instrText>
      </w:r>
      <w:r>
        <w:fldChar w:fldCharType="separate"/>
      </w:r>
      <w:r>
        <w:t>61</w:t>
      </w:r>
      <w:r>
        <w:fldChar w:fldCharType="end"/>
      </w:r>
    </w:p>
    <w:p>
      <w:pPr>
        <w:pStyle w:val="TOC8"/>
        <w:rPr>
          <w:rFonts w:asciiTheme="minorHAnsi" w:eastAsiaTheme="minorEastAsia" w:hAnsiTheme="minorHAnsi" w:cstheme="minorBidi"/>
          <w:szCs w:val="22"/>
        </w:rPr>
      </w:pPr>
      <w:r>
        <w:t>85.</w:t>
      </w:r>
      <w:r>
        <w:tab/>
        <w:t>Voluntary suspension of service approval</w:t>
      </w:r>
      <w:r>
        <w:tab/>
      </w:r>
      <w:r>
        <w:fldChar w:fldCharType="begin"/>
      </w:r>
      <w:r>
        <w:instrText xml:space="preserve"> PAGEREF _Toc80611843 \h </w:instrText>
      </w:r>
      <w:r>
        <w:fldChar w:fldCharType="separate"/>
      </w:r>
      <w:r>
        <w:t>62</w:t>
      </w:r>
      <w:r>
        <w:fldChar w:fldCharType="end"/>
      </w:r>
    </w:p>
    <w:p>
      <w:pPr>
        <w:pStyle w:val="TOC8"/>
        <w:rPr>
          <w:rFonts w:asciiTheme="minorHAnsi" w:eastAsiaTheme="minorEastAsia" w:hAnsiTheme="minorHAnsi" w:cstheme="minorBidi"/>
          <w:szCs w:val="22"/>
        </w:rPr>
      </w:pPr>
      <w:r>
        <w:t>86.</w:t>
      </w:r>
      <w:r>
        <w:tab/>
        <w:t>Surrender of service approval</w:t>
      </w:r>
      <w:r>
        <w:tab/>
      </w:r>
      <w:r>
        <w:fldChar w:fldCharType="begin"/>
      </w:r>
      <w:r>
        <w:instrText xml:space="preserve"> PAGEREF _Toc80611844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Application for service waiver</w:t>
      </w:r>
    </w:p>
    <w:p>
      <w:pPr>
        <w:pStyle w:val="TOC8"/>
        <w:rPr>
          <w:rFonts w:asciiTheme="minorHAnsi" w:eastAsiaTheme="minorEastAsia" w:hAnsiTheme="minorHAnsi" w:cstheme="minorBidi"/>
          <w:szCs w:val="22"/>
        </w:rPr>
      </w:pPr>
      <w:r>
        <w:t>87.</w:t>
      </w:r>
      <w:r>
        <w:tab/>
        <w:t>Application for service waiver for service</w:t>
      </w:r>
      <w:r>
        <w:tab/>
      </w:r>
      <w:r>
        <w:fldChar w:fldCharType="begin"/>
      </w:r>
      <w:r>
        <w:instrText xml:space="preserve"> PAGEREF _Toc80611846 \h </w:instrText>
      </w:r>
      <w:r>
        <w:fldChar w:fldCharType="separate"/>
      </w:r>
      <w:r>
        <w:t>63</w:t>
      </w:r>
      <w:r>
        <w:fldChar w:fldCharType="end"/>
      </w:r>
    </w:p>
    <w:p>
      <w:pPr>
        <w:pStyle w:val="TOC8"/>
        <w:rPr>
          <w:rFonts w:asciiTheme="minorHAnsi" w:eastAsiaTheme="minorEastAsia" w:hAnsiTheme="minorHAnsi" w:cstheme="minorBidi"/>
          <w:szCs w:val="22"/>
        </w:rPr>
      </w:pPr>
      <w:r>
        <w:t>88.</w:t>
      </w:r>
      <w:r>
        <w:tab/>
        <w:t>Form of application</w:t>
      </w:r>
      <w:r>
        <w:tab/>
      </w:r>
      <w:r>
        <w:fldChar w:fldCharType="begin"/>
      </w:r>
      <w:r>
        <w:instrText xml:space="preserve"> PAGEREF _Toc80611847 \h </w:instrText>
      </w:r>
      <w:r>
        <w:fldChar w:fldCharType="separate"/>
      </w:r>
      <w:r>
        <w:t>63</w:t>
      </w:r>
      <w:r>
        <w:fldChar w:fldCharType="end"/>
      </w:r>
    </w:p>
    <w:p>
      <w:pPr>
        <w:pStyle w:val="TOC8"/>
        <w:rPr>
          <w:rFonts w:asciiTheme="minorHAnsi" w:eastAsiaTheme="minorEastAsia" w:hAnsiTheme="minorHAnsi" w:cstheme="minorBidi"/>
          <w:szCs w:val="22"/>
        </w:rPr>
      </w:pPr>
      <w:r>
        <w:t>89.</w:t>
      </w:r>
      <w:r>
        <w:tab/>
        <w:t>Powers of Regulatory Authority in considering application</w:t>
      </w:r>
      <w:r>
        <w:tab/>
      </w:r>
      <w:r>
        <w:fldChar w:fldCharType="begin"/>
      </w:r>
      <w:r>
        <w:instrText xml:space="preserve"> PAGEREF _Toc80611848 \h </w:instrText>
      </w:r>
      <w:r>
        <w:fldChar w:fldCharType="separate"/>
      </w:r>
      <w:r>
        <w:t>64</w:t>
      </w:r>
      <w:r>
        <w:fldChar w:fldCharType="end"/>
      </w:r>
    </w:p>
    <w:p>
      <w:pPr>
        <w:pStyle w:val="TOC8"/>
        <w:rPr>
          <w:rFonts w:asciiTheme="minorHAnsi" w:eastAsiaTheme="minorEastAsia" w:hAnsiTheme="minorHAnsi" w:cstheme="minorBidi"/>
          <w:szCs w:val="22"/>
        </w:rPr>
      </w:pPr>
      <w:r>
        <w:t>90.</w:t>
      </w:r>
      <w:r>
        <w:tab/>
        <w:t>Matters to be considered</w:t>
      </w:r>
      <w:r>
        <w:tab/>
      </w:r>
      <w:r>
        <w:fldChar w:fldCharType="begin"/>
      </w:r>
      <w:r>
        <w:instrText xml:space="preserve"> PAGEREF _Toc80611849 \h </w:instrText>
      </w:r>
      <w:r>
        <w:fldChar w:fldCharType="separate"/>
      </w:r>
      <w:r>
        <w:t>64</w:t>
      </w:r>
      <w:r>
        <w:fldChar w:fldCharType="end"/>
      </w:r>
    </w:p>
    <w:p>
      <w:pPr>
        <w:pStyle w:val="TOC8"/>
        <w:rPr>
          <w:rFonts w:asciiTheme="minorHAnsi" w:eastAsiaTheme="minorEastAsia" w:hAnsiTheme="minorHAnsi" w:cstheme="minorBidi"/>
          <w:szCs w:val="22"/>
        </w:rPr>
      </w:pPr>
      <w:r>
        <w:t>91.</w:t>
      </w:r>
      <w:r>
        <w:tab/>
        <w:t>Decision on application</w:t>
      </w:r>
      <w:r>
        <w:tab/>
      </w:r>
      <w:r>
        <w:fldChar w:fldCharType="begin"/>
      </w:r>
      <w:r>
        <w:instrText xml:space="preserve"> PAGEREF _Toc80611850 \h </w:instrText>
      </w:r>
      <w:r>
        <w:fldChar w:fldCharType="separate"/>
      </w:r>
      <w:r>
        <w:t>64</w:t>
      </w:r>
      <w:r>
        <w:fldChar w:fldCharType="end"/>
      </w:r>
    </w:p>
    <w:p>
      <w:pPr>
        <w:pStyle w:val="TOC8"/>
        <w:rPr>
          <w:rFonts w:asciiTheme="minorHAnsi" w:eastAsiaTheme="minorEastAsia" w:hAnsiTheme="minorHAnsi" w:cstheme="minorBidi"/>
          <w:szCs w:val="22"/>
        </w:rPr>
      </w:pPr>
      <w:r>
        <w:t>92.</w:t>
      </w:r>
      <w:r>
        <w:tab/>
        <w:t>Revocation of service waiver</w:t>
      </w:r>
      <w:r>
        <w:tab/>
      </w:r>
      <w:r>
        <w:fldChar w:fldCharType="begin"/>
      </w:r>
      <w:r>
        <w:instrText xml:space="preserve"> PAGEREF _Toc80611851 \h </w:instrText>
      </w:r>
      <w:r>
        <w:fldChar w:fldCharType="separate"/>
      </w:r>
      <w:r>
        <w:t>65</w:t>
      </w:r>
      <w:r>
        <w:fldChar w:fldCharType="end"/>
      </w:r>
    </w:p>
    <w:p>
      <w:pPr>
        <w:pStyle w:val="TOC8"/>
        <w:rPr>
          <w:rFonts w:asciiTheme="minorHAnsi" w:eastAsiaTheme="minorEastAsia" w:hAnsiTheme="minorHAnsi" w:cstheme="minorBidi"/>
          <w:szCs w:val="22"/>
        </w:rPr>
      </w:pPr>
      <w:r>
        <w:t>93.</w:t>
      </w:r>
      <w:r>
        <w:tab/>
        <w:t>Effect of service waiver</w:t>
      </w:r>
      <w:r>
        <w:tab/>
      </w:r>
      <w:r>
        <w:fldChar w:fldCharType="begin"/>
      </w:r>
      <w:r>
        <w:instrText xml:space="preserve"> PAGEREF _Toc80611852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Temporary waiver</w:t>
      </w:r>
    </w:p>
    <w:p>
      <w:pPr>
        <w:pStyle w:val="TOC8"/>
        <w:rPr>
          <w:rFonts w:asciiTheme="minorHAnsi" w:eastAsiaTheme="minorEastAsia" w:hAnsiTheme="minorHAnsi" w:cstheme="minorBidi"/>
          <w:szCs w:val="22"/>
        </w:rPr>
      </w:pPr>
      <w:r>
        <w:t>94.</w:t>
      </w:r>
      <w:r>
        <w:tab/>
        <w:t>Application for temporary waiver</w:t>
      </w:r>
      <w:r>
        <w:tab/>
      </w:r>
      <w:r>
        <w:fldChar w:fldCharType="begin"/>
      </w:r>
      <w:r>
        <w:instrText xml:space="preserve"> PAGEREF _Toc80611854 \h </w:instrText>
      </w:r>
      <w:r>
        <w:fldChar w:fldCharType="separate"/>
      </w:r>
      <w:r>
        <w:t>66</w:t>
      </w:r>
      <w:r>
        <w:fldChar w:fldCharType="end"/>
      </w:r>
    </w:p>
    <w:p>
      <w:pPr>
        <w:pStyle w:val="TOC8"/>
        <w:rPr>
          <w:rFonts w:asciiTheme="minorHAnsi" w:eastAsiaTheme="minorEastAsia" w:hAnsiTheme="minorHAnsi" w:cstheme="minorBidi"/>
          <w:szCs w:val="22"/>
        </w:rPr>
      </w:pPr>
      <w:r>
        <w:t>95.</w:t>
      </w:r>
      <w:r>
        <w:tab/>
        <w:t>Form of application</w:t>
      </w:r>
      <w:r>
        <w:tab/>
      </w:r>
      <w:r>
        <w:fldChar w:fldCharType="begin"/>
      </w:r>
      <w:r>
        <w:instrText xml:space="preserve"> PAGEREF _Toc80611855 \h </w:instrText>
      </w:r>
      <w:r>
        <w:fldChar w:fldCharType="separate"/>
      </w:r>
      <w:r>
        <w:t>66</w:t>
      </w:r>
      <w:r>
        <w:fldChar w:fldCharType="end"/>
      </w:r>
    </w:p>
    <w:p>
      <w:pPr>
        <w:pStyle w:val="TOC8"/>
        <w:rPr>
          <w:rFonts w:asciiTheme="minorHAnsi" w:eastAsiaTheme="minorEastAsia" w:hAnsiTheme="minorHAnsi" w:cstheme="minorBidi"/>
          <w:szCs w:val="22"/>
        </w:rPr>
      </w:pPr>
      <w:r>
        <w:t>96.</w:t>
      </w:r>
      <w:r>
        <w:tab/>
        <w:t>Regulatory Authority may seek further information</w:t>
      </w:r>
      <w:r>
        <w:tab/>
      </w:r>
      <w:r>
        <w:fldChar w:fldCharType="begin"/>
      </w:r>
      <w:r>
        <w:instrText xml:space="preserve"> PAGEREF _Toc80611856 \h </w:instrText>
      </w:r>
      <w:r>
        <w:fldChar w:fldCharType="separate"/>
      </w:r>
      <w:r>
        <w:t>66</w:t>
      </w:r>
      <w:r>
        <w:fldChar w:fldCharType="end"/>
      </w:r>
    </w:p>
    <w:p>
      <w:pPr>
        <w:pStyle w:val="TOC8"/>
        <w:rPr>
          <w:rFonts w:asciiTheme="minorHAnsi" w:eastAsiaTheme="minorEastAsia" w:hAnsiTheme="minorHAnsi" w:cstheme="minorBidi"/>
          <w:szCs w:val="22"/>
        </w:rPr>
      </w:pPr>
      <w:r>
        <w:t>97.</w:t>
      </w:r>
      <w:r>
        <w:tab/>
        <w:t>Special circumstances</w:t>
      </w:r>
      <w:r>
        <w:tab/>
      </w:r>
      <w:r>
        <w:fldChar w:fldCharType="begin"/>
      </w:r>
      <w:r>
        <w:instrText xml:space="preserve"> PAGEREF _Toc80611857 \h </w:instrText>
      </w:r>
      <w:r>
        <w:fldChar w:fldCharType="separate"/>
      </w:r>
      <w:r>
        <w:t>67</w:t>
      </w:r>
      <w:r>
        <w:fldChar w:fldCharType="end"/>
      </w:r>
    </w:p>
    <w:p>
      <w:pPr>
        <w:pStyle w:val="TOC8"/>
        <w:rPr>
          <w:rFonts w:asciiTheme="minorHAnsi" w:eastAsiaTheme="minorEastAsia" w:hAnsiTheme="minorHAnsi" w:cstheme="minorBidi"/>
          <w:szCs w:val="22"/>
        </w:rPr>
      </w:pPr>
      <w:r>
        <w:t>98.</w:t>
      </w:r>
      <w:r>
        <w:tab/>
        <w:t>Decision on application</w:t>
      </w:r>
      <w:r>
        <w:tab/>
      </w:r>
      <w:r>
        <w:fldChar w:fldCharType="begin"/>
      </w:r>
      <w:r>
        <w:instrText xml:space="preserve"> PAGEREF _Toc80611858 \h </w:instrText>
      </w:r>
      <w:r>
        <w:fldChar w:fldCharType="separate"/>
      </w:r>
      <w:r>
        <w:t>67</w:t>
      </w:r>
      <w:r>
        <w:fldChar w:fldCharType="end"/>
      </w:r>
    </w:p>
    <w:p>
      <w:pPr>
        <w:pStyle w:val="TOC8"/>
        <w:rPr>
          <w:rFonts w:asciiTheme="minorHAnsi" w:eastAsiaTheme="minorEastAsia" w:hAnsiTheme="minorHAnsi" w:cstheme="minorBidi"/>
          <w:szCs w:val="22"/>
        </w:rPr>
      </w:pPr>
      <w:r>
        <w:t>99.</w:t>
      </w:r>
      <w:r>
        <w:tab/>
        <w:t>Revocation of temporary waiver</w:t>
      </w:r>
      <w:r>
        <w:tab/>
      </w:r>
      <w:r>
        <w:fldChar w:fldCharType="begin"/>
      </w:r>
      <w:r>
        <w:instrText xml:space="preserve"> PAGEREF _Toc80611859 \h </w:instrText>
      </w:r>
      <w:r>
        <w:fldChar w:fldCharType="separate"/>
      </w:r>
      <w:r>
        <w:t>68</w:t>
      </w:r>
      <w:r>
        <w:fldChar w:fldCharType="end"/>
      </w:r>
    </w:p>
    <w:p>
      <w:pPr>
        <w:pStyle w:val="TOC8"/>
        <w:rPr>
          <w:rFonts w:asciiTheme="minorHAnsi" w:eastAsiaTheme="minorEastAsia" w:hAnsiTheme="minorHAnsi" w:cstheme="minorBidi"/>
          <w:szCs w:val="22"/>
        </w:rPr>
      </w:pPr>
      <w:r>
        <w:t>100.</w:t>
      </w:r>
      <w:r>
        <w:tab/>
        <w:t>Effect of temporary waiver</w:t>
      </w:r>
      <w:r>
        <w:tab/>
      </w:r>
      <w:r>
        <w:fldChar w:fldCharType="begin"/>
      </w:r>
      <w:r>
        <w:instrText xml:space="preserve"> PAGEREF _Toc80611860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xml:space="preserve"> — </w:t>
      </w:r>
      <w:r>
        <w:t>Exercise of powers by another Regulatory Authority</w:t>
      </w:r>
    </w:p>
    <w:p>
      <w:pPr>
        <w:pStyle w:val="TOC8"/>
        <w:rPr>
          <w:rFonts w:asciiTheme="minorHAnsi" w:eastAsiaTheme="minorEastAsia" w:hAnsiTheme="minorHAnsi" w:cstheme="minorBidi"/>
          <w:szCs w:val="22"/>
        </w:rPr>
      </w:pPr>
      <w:r>
        <w:t>101.</w:t>
      </w:r>
      <w:r>
        <w:tab/>
        <w:t>Exercise of powers by another Regulatory Authority — family day care services</w:t>
      </w:r>
      <w:r>
        <w:tab/>
      </w:r>
      <w:r>
        <w:fldChar w:fldCharType="begin"/>
      </w:r>
      <w:r>
        <w:instrText xml:space="preserve"> PAGEREF _Toc80611862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xml:space="preserve"> — </w:t>
      </w:r>
      <w:r>
        <w:t>Associated children’s services</w:t>
      </w:r>
    </w:p>
    <w:p>
      <w:pPr>
        <w:pStyle w:val="TOC8"/>
        <w:rPr>
          <w:rFonts w:asciiTheme="minorHAnsi" w:eastAsiaTheme="minorEastAsia" w:hAnsiTheme="minorHAnsi" w:cstheme="minorBidi"/>
          <w:szCs w:val="22"/>
        </w:rPr>
      </w:pPr>
      <w:r>
        <w:t>102.</w:t>
      </w:r>
      <w:r>
        <w:tab/>
        <w:t>Application of this Law to associated children’s services</w:t>
      </w:r>
      <w:r>
        <w:tab/>
      </w:r>
      <w:r>
        <w:fldChar w:fldCharType="begin"/>
      </w:r>
      <w:r>
        <w:instrText xml:space="preserve"> PAGEREF _Toc80611864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xml:space="preserve"> — </w:t>
      </w:r>
      <w:r>
        <w:t>Offences</w:t>
      </w:r>
    </w:p>
    <w:p>
      <w:pPr>
        <w:pStyle w:val="TOC8"/>
        <w:rPr>
          <w:rFonts w:asciiTheme="minorHAnsi" w:eastAsiaTheme="minorEastAsia" w:hAnsiTheme="minorHAnsi" w:cstheme="minorBidi"/>
          <w:szCs w:val="22"/>
        </w:rPr>
      </w:pPr>
      <w:r>
        <w:t>103.</w:t>
      </w:r>
      <w:r>
        <w:tab/>
        <w:t>Offence to provide an education and care service without service approval</w:t>
      </w:r>
      <w:r>
        <w:tab/>
      </w:r>
      <w:r>
        <w:fldChar w:fldCharType="begin"/>
      </w:r>
      <w:r>
        <w:instrText xml:space="preserve"> PAGEREF _Toc80611866 \h </w:instrText>
      </w:r>
      <w:r>
        <w:fldChar w:fldCharType="separate"/>
      </w:r>
      <w:r>
        <w:t>69</w:t>
      </w:r>
      <w:r>
        <w:fldChar w:fldCharType="end"/>
      </w:r>
    </w:p>
    <w:p>
      <w:pPr>
        <w:pStyle w:val="TOC8"/>
        <w:rPr>
          <w:rFonts w:asciiTheme="minorHAnsi" w:eastAsiaTheme="minorEastAsia" w:hAnsiTheme="minorHAnsi" w:cstheme="minorBidi"/>
          <w:szCs w:val="22"/>
        </w:rPr>
      </w:pPr>
      <w:r>
        <w:t>103A.</w:t>
      </w:r>
      <w:r>
        <w:tab/>
        <w:t>Offence relating to places where education and care is provided as part of a family day care service</w:t>
      </w:r>
      <w:r>
        <w:tab/>
      </w:r>
      <w:r>
        <w:fldChar w:fldCharType="begin"/>
      </w:r>
      <w:r>
        <w:instrText xml:space="preserve"> PAGEREF _Toc80611867 \h </w:instrText>
      </w:r>
      <w:r>
        <w:fldChar w:fldCharType="separate"/>
      </w:r>
      <w:r>
        <w:t>69</w:t>
      </w:r>
      <w:r>
        <w:fldChar w:fldCharType="end"/>
      </w:r>
    </w:p>
    <w:p>
      <w:pPr>
        <w:pStyle w:val="TOC8"/>
        <w:rPr>
          <w:rFonts w:asciiTheme="minorHAnsi" w:eastAsiaTheme="minorEastAsia" w:hAnsiTheme="minorHAnsi" w:cstheme="minorBidi"/>
          <w:szCs w:val="22"/>
        </w:rPr>
      </w:pPr>
      <w:r>
        <w:lastRenderedPageBreak/>
        <w:t>104.</w:t>
      </w:r>
      <w:r>
        <w:tab/>
        <w:t>Offence to advertise education and care service without service approval</w:t>
      </w:r>
      <w:r>
        <w:tab/>
      </w:r>
      <w:r>
        <w:fldChar w:fldCharType="begin"/>
      </w:r>
      <w:r>
        <w:instrText xml:space="preserve"> PAGEREF _Toc80611868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Part 5 — Assessments and ratings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Assessment and rating</w:t>
      </w:r>
    </w:p>
    <w:p>
      <w:pPr>
        <w:pStyle w:val="TOC8"/>
        <w:rPr>
          <w:rFonts w:asciiTheme="minorHAnsi" w:eastAsiaTheme="minorEastAsia" w:hAnsiTheme="minorHAnsi" w:cstheme="minorBidi"/>
          <w:szCs w:val="22"/>
        </w:rPr>
      </w:pPr>
      <w:r>
        <w:t>133.</w:t>
      </w:r>
      <w:r>
        <w:tab/>
        <w:t>Assessment for rating purposes</w:t>
      </w:r>
      <w:r>
        <w:tab/>
      </w:r>
      <w:r>
        <w:fldChar w:fldCharType="begin"/>
      </w:r>
      <w:r>
        <w:instrText xml:space="preserve"> PAGEREF _Toc80611871 \h </w:instrText>
      </w:r>
      <w:r>
        <w:fldChar w:fldCharType="separate"/>
      </w:r>
      <w:r>
        <w:t>70</w:t>
      </w:r>
      <w:r>
        <w:fldChar w:fldCharType="end"/>
      </w:r>
    </w:p>
    <w:p>
      <w:pPr>
        <w:pStyle w:val="TOC8"/>
        <w:rPr>
          <w:rFonts w:asciiTheme="minorHAnsi" w:eastAsiaTheme="minorEastAsia" w:hAnsiTheme="minorHAnsi" w:cstheme="minorBidi"/>
          <w:szCs w:val="22"/>
        </w:rPr>
      </w:pPr>
      <w:r>
        <w:t>134.</w:t>
      </w:r>
      <w:r>
        <w:tab/>
        <w:t>Rating levels</w:t>
      </w:r>
      <w:r>
        <w:tab/>
      </w:r>
      <w:r>
        <w:fldChar w:fldCharType="begin"/>
      </w:r>
      <w:r>
        <w:instrText xml:space="preserve"> PAGEREF _Toc80611872 \h </w:instrText>
      </w:r>
      <w:r>
        <w:fldChar w:fldCharType="separate"/>
      </w:r>
      <w:r>
        <w:t>70</w:t>
      </w:r>
      <w:r>
        <w:fldChar w:fldCharType="end"/>
      </w:r>
    </w:p>
    <w:p>
      <w:pPr>
        <w:pStyle w:val="TOC8"/>
        <w:rPr>
          <w:rFonts w:asciiTheme="minorHAnsi" w:eastAsiaTheme="minorEastAsia" w:hAnsiTheme="minorHAnsi" w:cstheme="minorBidi"/>
          <w:szCs w:val="22"/>
        </w:rPr>
      </w:pPr>
      <w:r>
        <w:t>135.</w:t>
      </w:r>
      <w:r>
        <w:tab/>
        <w:t>Rating of approved education and care service</w:t>
      </w:r>
      <w:r>
        <w:tab/>
      </w:r>
      <w:r>
        <w:fldChar w:fldCharType="begin"/>
      </w:r>
      <w:r>
        <w:instrText xml:space="preserve"> PAGEREF _Toc80611873 \h </w:instrText>
      </w:r>
      <w:r>
        <w:fldChar w:fldCharType="separate"/>
      </w:r>
      <w:r>
        <w:t>71</w:t>
      </w:r>
      <w:r>
        <w:fldChar w:fldCharType="end"/>
      </w:r>
    </w:p>
    <w:p>
      <w:pPr>
        <w:pStyle w:val="TOC8"/>
        <w:rPr>
          <w:rFonts w:asciiTheme="minorHAnsi" w:eastAsiaTheme="minorEastAsia" w:hAnsiTheme="minorHAnsi" w:cstheme="minorBidi"/>
          <w:szCs w:val="22"/>
        </w:rPr>
      </w:pPr>
      <w:r>
        <w:t>136.</w:t>
      </w:r>
      <w:r>
        <w:tab/>
        <w:t>Notice to approved education and care service of rating</w:t>
      </w:r>
      <w:r>
        <w:tab/>
      </w:r>
      <w:r>
        <w:fldChar w:fldCharType="begin"/>
      </w:r>
      <w:r>
        <w:instrText xml:space="preserve"> PAGEREF _Toc80611874 \h </w:instrText>
      </w:r>
      <w:r>
        <w:fldChar w:fldCharType="separate"/>
      </w:r>
      <w:r>
        <w:t>71</w:t>
      </w:r>
      <w:r>
        <w:fldChar w:fldCharType="end"/>
      </w:r>
    </w:p>
    <w:p>
      <w:pPr>
        <w:pStyle w:val="TOC8"/>
        <w:rPr>
          <w:rFonts w:asciiTheme="minorHAnsi" w:eastAsiaTheme="minorEastAsia" w:hAnsiTheme="minorHAnsi" w:cstheme="minorBidi"/>
          <w:szCs w:val="22"/>
        </w:rPr>
      </w:pPr>
      <w:r>
        <w:t>137.</w:t>
      </w:r>
      <w:r>
        <w:tab/>
        <w:t>Suspension of rating assessment</w:t>
      </w:r>
      <w:r>
        <w:tab/>
      </w:r>
      <w:r>
        <w:fldChar w:fldCharType="begin"/>
      </w:r>
      <w:r>
        <w:instrText xml:space="preserve"> PAGEREF _Toc80611875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Reassessment and re</w:t>
      </w:r>
      <w:r>
        <w:noBreakHyphen/>
        <w:t>rating</w:t>
      </w:r>
    </w:p>
    <w:p>
      <w:pPr>
        <w:pStyle w:val="TOC8"/>
        <w:rPr>
          <w:rFonts w:asciiTheme="minorHAnsi" w:eastAsiaTheme="minorEastAsia" w:hAnsiTheme="minorHAnsi" w:cstheme="minorBidi"/>
          <w:szCs w:val="22"/>
        </w:rPr>
      </w:pPr>
      <w:r>
        <w:t>138.</w:t>
      </w:r>
      <w:r>
        <w:tab/>
        <w:t>Regulatory Authority may reassess and re</w:t>
      </w:r>
      <w:r>
        <w:noBreakHyphen/>
        <w:t>rate approved education and care service</w:t>
      </w:r>
      <w:r>
        <w:tab/>
      </w:r>
      <w:r>
        <w:fldChar w:fldCharType="begin"/>
      </w:r>
      <w:r>
        <w:instrText xml:space="preserve"> PAGEREF _Toc80611877 \h </w:instrText>
      </w:r>
      <w:r>
        <w:fldChar w:fldCharType="separate"/>
      </w:r>
      <w:r>
        <w:t>72</w:t>
      </w:r>
      <w:r>
        <w:fldChar w:fldCharType="end"/>
      </w:r>
    </w:p>
    <w:p>
      <w:pPr>
        <w:pStyle w:val="TOC8"/>
        <w:rPr>
          <w:rFonts w:asciiTheme="minorHAnsi" w:eastAsiaTheme="minorEastAsia" w:hAnsiTheme="minorHAnsi" w:cstheme="minorBidi"/>
          <w:szCs w:val="22"/>
        </w:rPr>
      </w:pPr>
      <w:r>
        <w:t>139.</w:t>
      </w:r>
      <w:r>
        <w:tab/>
        <w:t>Application for reassessment and re</w:t>
      </w:r>
      <w:r>
        <w:noBreakHyphen/>
        <w:t>rating by approved provider</w:t>
      </w:r>
      <w:r>
        <w:tab/>
      </w:r>
      <w:r>
        <w:fldChar w:fldCharType="begin"/>
      </w:r>
      <w:r>
        <w:instrText xml:space="preserve"> PAGEREF _Toc80611878 \h </w:instrText>
      </w:r>
      <w:r>
        <w:fldChar w:fldCharType="separate"/>
      </w:r>
      <w:r>
        <w:t>72</w:t>
      </w:r>
      <w:r>
        <w:fldChar w:fldCharType="end"/>
      </w:r>
    </w:p>
    <w:p>
      <w:pPr>
        <w:pStyle w:val="TOC8"/>
        <w:rPr>
          <w:rFonts w:asciiTheme="minorHAnsi" w:eastAsiaTheme="minorEastAsia" w:hAnsiTheme="minorHAnsi" w:cstheme="minorBidi"/>
          <w:szCs w:val="22"/>
        </w:rPr>
      </w:pPr>
      <w:r>
        <w:t>140.</w:t>
      </w:r>
      <w:r>
        <w:tab/>
        <w:t>Application of Division 1</w:t>
      </w:r>
      <w:r>
        <w:tab/>
      </w:r>
      <w:r>
        <w:fldChar w:fldCharType="begin"/>
      </w:r>
      <w:r>
        <w:instrText xml:space="preserve"> PAGEREF _Toc80611879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Review by Regulatory Authority</w:t>
      </w:r>
    </w:p>
    <w:p>
      <w:pPr>
        <w:pStyle w:val="TOC8"/>
        <w:rPr>
          <w:rFonts w:asciiTheme="minorHAnsi" w:eastAsiaTheme="minorEastAsia" w:hAnsiTheme="minorHAnsi" w:cstheme="minorBidi"/>
          <w:szCs w:val="22"/>
        </w:rPr>
      </w:pPr>
      <w:r>
        <w:t>141.</w:t>
      </w:r>
      <w:r>
        <w:tab/>
        <w:t>Review by Regulatory Authority</w:t>
      </w:r>
      <w:r>
        <w:tab/>
      </w:r>
      <w:r>
        <w:fldChar w:fldCharType="begin"/>
      </w:r>
      <w:r>
        <w:instrText xml:space="preserve"> PAGEREF _Toc80611881 \h </w:instrText>
      </w:r>
      <w:r>
        <w:fldChar w:fldCharType="separate"/>
      </w:r>
      <w:r>
        <w:t>73</w:t>
      </w:r>
      <w:r>
        <w:fldChar w:fldCharType="end"/>
      </w:r>
    </w:p>
    <w:p>
      <w:pPr>
        <w:pStyle w:val="TOC8"/>
        <w:rPr>
          <w:rFonts w:asciiTheme="minorHAnsi" w:eastAsiaTheme="minorEastAsia" w:hAnsiTheme="minorHAnsi" w:cstheme="minorBidi"/>
          <w:szCs w:val="22"/>
        </w:rPr>
      </w:pPr>
      <w:r>
        <w:t>142.</w:t>
      </w:r>
      <w:r>
        <w:tab/>
        <w:t>Process for review</w:t>
      </w:r>
      <w:r>
        <w:tab/>
      </w:r>
      <w:r>
        <w:fldChar w:fldCharType="begin"/>
      </w:r>
      <w:r>
        <w:instrText xml:space="preserve"> PAGEREF _Toc80611882 \h </w:instrText>
      </w:r>
      <w:r>
        <w:fldChar w:fldCharType="separate"/>
      </w:r>
      <w:r>
        <w:t>74</w:t>
      </w:r>
      <w:r>
        <w:fldChar w:fldCharType="end"/>
      </w:r>
    </w:p>
    <w:p>
      <w:pPr>
        <w:pStyle w:val="TOC8"/>
        <w:rPr>
          <w:rFonts w:asciiTheme="minorHAnsi" w:eastAsiaTheme="minorEastAsia" w:hAnsiTheme="minorHAnsi" w:cstheme="minorBidi"/>
          <w:szCs w:val="22"/>
        </w:rPr>
      </w:pPr>
      <w:r>
        <w:t>143.</w:t>
      </w:r>
      <w:r>
        <w:tab/>
        <w:t>Outcome of review by Regulatory Authority</w:t>
      </w:r>
      <w:r>
        <w:tab/>
      </w:r>
      <w:r>
        <w:fldChar w:fldCharType="begin"/>
      </w:r>
      <w:r>
        <w:instrText xml:space="preserve"> PAGEREF _Toc80611883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Review by Ratings Review Panel</w:t>
      </w:r>
    </w:p>
    <w:p>
      <w:pPr>
        <w:pStyle w:val="TOC6"/>
        <w:tabs>
          <w:tab w:val="right" w:leader="dot" w:pos="7077"/>
        </w:tabs>
        <w:rPr>
          <w:rFonts w:asciiTheme="minorHAnsi" w:eastAsiaTheme="minorEastAsia" w:hAnsiTheme="minorHAnsi" w:cstheme="minorBidi"/>
          <w:b w:val="0"/>
          <w:sz w:val="22"/>
          <w:szCs w:val="22"/>
        </w:rPr>
      </w:pPr>
      <w:r>
        <w:t>Subdivision 1 — Application for review</w:t>
      </w:r>
    </w:p>
    <w:p>
      <w:pPr>
        <w:pStyle w:val="TOC8"/>
        <w:rPr>
          <w:rFonts w:asciiTheme="minorHAnsi" w:eastAsiaTheme="minorEastAsia" w:hAnsiTheme="minorHAnsi" w:cstheme="minorBidi"/>
          <w:szCs w:val="22"/>
        </w:rPr>
      </w:pPr>
      <w:r>
        <w:t>144.</w:t>
      </w:r>
      <w:r>
        <w:tab/>
        <w:t>Application for further review by Ratings Review Panel</w:t>
      </w:r>
      <w:r>
        <w:tab/>
      </w:r>
      <w:r>
        <w:fldChar w:fldCharType="begin"/>
      </w:r>
      <w:r>
        <w:instrText xml:space="preserve"> PAGEREF _Toc80611886 \h </w:instrText>
      </w:r>
      <w:r>
        <w:fldChar w:fldCharType="separate"/>
      </w:r>
      <w:r>
        <w:t>75</w:t>
      </w:r>
      <w:r>
        <w:fldChar w:fldCharType="end"/>
      </w:r>
    </w:p>
    <w:p>
      <w:pPr>
        <w:pStyle w:val="TOC8"/>
        <w:rPr>
          <w:rFonts w:asciiTheme="minorHAnsi" w:eastAsiaTheme="minorEastAsia" w:hAnsiTheme="minorHAnsi" w:cstheme="minorBidi"/>
          <w:szCs w:val="22"/>
        </w:rPr>
      </w:pPr>
      <w:r>
        <w:t>145.</w:t>
      </w:r>
      <w:r>
        <w:tab/>
        <w:t>Form and time of application</w:t>
      </w:r>
      <w:r>
        <w:tab/>
      </w:r>
      <w:r>
        <w:fldChar w:fldCharType="begin"/>
      </w:r>
      <w:r>
        <w:instrText xml:space="preserve"> PAGEREF _Toc80611887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Establishment of Ratings Review Panel</w:t>
      </w:r>
    </w:p>
    <w:p>
      <w:pPr>
        <w:pStyle w:val="TOC8"/>
        <w:rPr>
          <w:rFonts w:asciiTheme="minorHAnsi" w:eastAsiaTheme="minorEastAsia" w:hAnsiTheme="minorHAnsi" w:cstheme="minorBidi"/>
          <w:szCs w:val="22"/>
        </w:rPr>
      </w:pPr>
      <w:r>
        <w:t>146.</w:t>
      </w:r>
      <w:r>
        <w:tab/>
        <w:t>Establishment of Ratings Review Panel</w:t>
      </w:r>
      <w:r>
        <w:tab/>
      </w:r>
      <w:r>
        <w:fldChar w:fldCharType="begin"/>
      </w:r>
      <w:r>
        <w:instrText xml:space="preserve"> PAGEREF _Toc80611889 \h </w:instrText>
      </w:r>
      <w:r>
        <w:fldChar w:fldCharType="separate"/>
      </w:r>
      <w:r>
        <w:t>76</w:t>
      </w:r>
      <w:r>
        <w:fldChar w:fldCharType="end"/>
      </w:r>
    </w:p>
    <w:p>
      <w:pPr>
        <w:pStyle w:val="TOC8"/>
        <w:rPr>
          <w:rFonts w:asciiTheme="minorHAnsi" w:eastAsiaTheme="minorEastAsia" w:hAnsiTheme="minorHAnsi" w:cstheme="minorBidi"/>
          <w:szCs w:val="22"/>
        </w:rPr>
      </w:pPr>
      <w:r>
        <w:t>147.</w:t>
      </w:r>
      <w:r>
        <w:tab/>
        <w:t>Review Panel pool</w:t>
      </w:r>
      <w:r>
        <w:tab/>
      </w:r>
      <w:r>
        <w:fldChar w:fldCharType="begin"/>
      </w:r>
      <w:r>
        <w:instrText xml:space="preserve"> PAGEREF _Toc80611890 \h </w:instrText>
      </w:r>
      <w:r>
        <w:fldChar w:fldCharType="separate"/>
      </w:r>
      <w:r>
        <w:t>76</w:t>
      </w:r>
      <w:r>
        <w:fldChar w:fldCharType="end"/>
      </w:r>
    </w:p>
    <w:p>
      <w:pPr>
        <w:pStyle w:val="TOC8"/>
        <w:rPr>
          <w:rFonts w:asciiTheme="minorHAnsi" w:eastAsiaTheme="minorEastAsia" w:hAnsiTheme="minorHAnsi" w:cstheme="minorBidi"/>
          <w:szCs w:val="22"/>
        </w:rPr>
      </w:pPr>
      <w:r>
        <w:t>148.</w:t>
      </w:r>
      <w:r>
        <w:tab/>
        <w:t>Procedure of Panel</w:t>
      </w:r>
      <w:r>
        <w:tab/>
      </w:r>
      <w:r>
        <w:fldChar w:fldCharType="begin"/>
      </w:r>
      <w:r>
        <w:instrText xml:space="preserve"> PAGEREF _Toc80611891 \h </w:instrText>
      </w:r>
      <w:r>
        <w:fldChar w:fldCharType="separate"/>
      </w:r>
      <w:r>
        <w:t>77</w:t>
      </w:r>
      <w:r>
        <w:fldChar w:fldCharType="end"/>
      </w:r>
    </w:p>
    <w:p>
      <w:pPr>
        <w:pStyle w:val="TOC8"/>
        <w:rPr>
          <w:rFonts w:asciiTheme="minorHAnsi" w:eastAsiaTheme="minorEastAsia" w:hAnsiTheme="minorHAnsi" w:cstheme="minorBidi"/>
          <w:szCs w:val="22"/>
        </w:rPr>
      </w:pPr>
      <w:r>
        <w:t>149.</w:t>
      </w:r>
      <w:r>
        <w:tab/>
        <w:t>Transaction of business by alternative means</w:t>
      </w:r>
      <w:r>
        <w:tab/>
      </w:r>
      <w:r>
        <w:fldChar w:fldCharType="begin"/>
      </w:r>
      <w:r>
        <w:instrText xml:space="preserve"> PAGEREF _Toc80611892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Conduct of review</w:t>
      </w:r>
    </w:p>
    <w:p>
      <w:pPr>
        <w:pStyle w:val="TOC8"/>
        <w:rPr>
          <w:rFonts w:asciiTheme="minorHAnsi" w:eastAsiaTheme="minorEastAsia" w:hAnsiTheme="minorHAnsi" w:cstheme="minorBidi"/>
          <w:szCs w:val="22"/>
        </w:rPr>
      </w:pPr>
      <w:r>
        <w:t>150.</w:t>
      </w:r>
      <w:r>
        <w:tab/>
        <w:t>Conduct of review</w:t>
      </w:r>
      <w:r>
        <w:tab/>
      </w:r>
      <w:r>
        <w:fldChar w:fldCharType="begin"/>
      </w:r>
      <w:r>
        <w:instrText xml:space="preserve"> PAGEREF _Toc80611894 \h </w:instrText>
      </w:r>
      <w:r>
        <w:fldChar w:fldCharType="separate"/>
      </w:r>
      <w:r>
        <w:t>78</w:t>
      </w:r>
      <w:r>
        <w:fldChar w:fldCharType="end"/>
      </w:r>
    </w:p>
    <w:p>
      <w:pPr>
        <w:pStyle w:val="TOC8"/>
        <w:rPr>
          <w:rFonts w:asciiTheme="minorHAnsi" w:eastAsiaTheme="minorEastAsia" w:hAnsiTheme="minorHAnsi" w:cstheme="minorBidi"/>
          <w:szCs w:val="22"/>
        </w:rPr>
      </w:pPr>
      <w:r>
        <w:t>151.</w:t>
      </w:r>
      <w:r>
        <w:tab/>
        <w:t>Decision on review by Ratings Review Panel</w:t>
      </w:r>
      <w:r>
        <w:tab/>
      </w:r>
      <w:r>
        <w:fldChar w:fldCharType="begin"/>
      </w:r>
      <w:r>
        <w:instrText xml:space="preserve"> PAGEREF _Toc80611895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Awarding of highest rating</w:t>
      </w:r>
    </w:p>
    <w:p>
      <w:pPr>
        <w:pStyle w:val="TOC8"/>
        <w:rPr>
          <w:rFonts w:asciiTheme="minorHAnsi" w:eastAsiaTheme="minorEastAsia" w:hAnsiTheme="minorHAnsi" w:cstheme="minorBidi"/>
          <w:szCs w:val="22"/>
        </w:rPr>
      </w:pPr>
      <w:r>
        <w:t>152.</w:t>
      </w:r>
      <w:r>
        <w:tab/>
        <w:t>Application for highest rating</w:t>
      </w:r>
      <w:r>
        <w:tab/>
      </w:r>
      <w:r>
        <w:fldChar w:fldCharType="begin"/>
      </w:r>
      <w:r>
        <w:instrText xml:space="preserve"> PAGEREF _Toc80611897 \h </w:instrText>
      </w:r>
      <w:r>
        <w:fldChar w:fldCharType="separate"/>
      </w:r>
      <w:r>
        <w:t>79</w:t>
      </w:r>
      <w:r>
        <w:fldChar w:fldCharType="end"/>
      </w:r>
    </w:p>
    <w:p>
      <w:pPr>
        <w:pStyle w:val="TOC8"/>
        <w:rPr>
          <w:rFonts w:asciiTheme="minorHAnsi" w:eastAsiaTheme="minorEastAsia" w:hAnsiTheme="minorHAnsi" w:cstheme="minorBidi"/>
          <w:szCs w:val="22"/>
        </w:rPr>
      </w:pPr>
      <w:r>
        <w:t>153.</w:t>
      </w:r>
      <w:r>
        <w:tab/>
        <w:t>Assessment of education and care service</w:t>
      </w:r>
      <w:r>
        <w:tab/>
      </w:r>
      <w:r>
        <w:fldChar w:fldCharType="begin"/>
      </w:r>
      <w:r>
        <w:instrText xml:space="preserve"> PAGEREF _Toc80611898 \h </w:instrText>
      </w:r>
      <w:r>
        <w:fldChar w:fldCharType="separate"/>
      </w:r>
      <w:r>
        <w:t>80</w:t>
      </w:r>
      <w:r>
        <w:fldChar w:fldCharType="end"/>
      </w:r>
    </w:p>
    <w:p>
      <w:pPr>
        <w:pStyle w:val="TOC8"/>
        <w:rPr>
          <w:rFonts w:asciiTheme="minorHAnsi" w:eastAsiaTheme="minorEastAsia" w:hAnsiTheme="minorHAnsi" w:cstheme="minorBidi"/>
          <w:szCs w:val="22"/>
        </w:rPr>
      </w:pPr>
      <w:r>
        <w:t>154.</w:t>
      </w:r>
      <w:r>
        <w:tab/>
        <w:t>Board may seek information and documents</w:t>
      </w:r>
      <w:r>
        <w:tab/>
      </w:r>
      <w:r>
        <w:fldChar w:fldCharType="begin"/>
      </w:r>
      <w:r>
        <w:instrText xml:space="preserve"> PAGEREF _Toc80611899 \h </w:instrText>
      </w:r>
      <w:r>
        <w:fldChar w:fldCharType="separate"/>
      </w:r>
      <w:r>
        <w:t>81</w:t>
      </w:r>
      <w:r>
        <w:fldChar w:fldCharType="end"/>
      </w:r>
    </w:p>
    <w:p>
      <w:pPr>
        <w:pStyle w:val="TOC8"/>
        <w:rPr>
          <w:rFonts w:asciiTheme="minorHAnsi" w:eastAsiaTheme="minorEastAsia" w:hAnsiTheme="minorHAnsi" w:cstheme="minorBidi"/>
          <w:szCs w:val="22"/>
        </w:rPr>
      </w:pPr>
      <w:r>
        <w:lastRenderedPageBreak/>
        <w:t>155.</w:t>
      </w:r>
      <w:r>
        <w:tab/>
        <w:t>Decision on application</w:t>
      </w:r>
      <w:r>
        <w:tab/>
      </w:r>
      <w:r>
        <w:fldChar w:fldCharType="begin"/>
      </w:r>
      <w:r>
        <w:instrText xml:space="preserve"> PAGEREF _Toc80611900 \h </w:instrText>
      </w:r>
      <w:r>
        <w:fldChar w:fldCharType="separate"/>
      </w:r>
      <w:r>
        <w:t>81</w:t>
      </w:r>
      <w:r>
        <w:fldChar w:fldCharType="end"/>
      </w:r>
    </w:p>
    <w:p>
      <w:pPr>
        <w:pStyle w:val="TOC8"/>
        <w:rPr>
          <w:rFonts w:asciiTheme="minorHAnsi" w:eastAsiaTheme="minorEastAsia" w:hAnsiTheme="minorHAnsi" w:cstheme="minorBidi"/>
          <w:szCs w:val="22"/>
        </w:rPr>
      </w:pPr>
      <w:r>
        <w:t>156.</w:t>
      </w:r>
      <w:r>
        <w:tab/>
        <w:t>Notice of decision</w:t>
      </w:r>
      <w:r>
        <w:tab/>
      </w:r>
      <w:r>
        <w:fldChar w:fldCharType="begin"/>
      </w:r>
      <w:r>
        <w:instrText xml:space="preserve"> PAGEREF _Toc80611901 \h </w:instrText>
      </w:r>
      <w:r>
        <w:fldChar w:fldCharType="separate"/>
      </w:r>
      <w:r>
        <w:t>82</w:t>
      </w:r>
      <w:r>
        <w:fldChar w:fldCharType="end"/>
      </w:r>
    </w:p>
    <w:p>
      <w:pPr>
        <w:pStyle w:val="TOC8"/>
        <w:rPr>
          <w:rFonts w:asciiTheme="minorHAnsi" w:eastAsiaTheme="minorEastAsia" w:hAnsiTheme="minorHAnsi" w:cstheme="minorBidi"/>
          <w:szCs w:val="22"/>
        </w:rPr>
      </w:pPr>
      <w:r>
        <w:t>157.</w:t>
      </w:r>
      <w:r>
        <w:tab/>
        <w:t>Reassessment of highest rating level</w:t>
      </w:r>
      <w:r>
        <w:tab/>
      </w:r>
      <w:r>
        <w:fldChar w:fldCharType="begin"/>
      </w:r>
      <w:r>
        <w:instrText xml:space="preserve"> PAGEREF _Toc80611902 \h </w:instrText>
      </w:r>
      <w:r>
        <w:fldChar w:fldCharType="separate"/>
      </w:r>
      <w:r>
        <w:t>82</w:t>
      </w:r>
      <w:r>
        <w:fldChar w:fldCharType="end"/>
      </w:r>
    </w:p>
    <w:p>
      <w:pPr>
        <w:pStyle w:val="TOC8"/>
        <w:rPr>
          <w:rFonts w:asciiTheme="minorHAnsi" w:eastAsiaTheme="minorEastAsia" w:hAnsiTheme="minorHAnsi" w:cstheme="minorBidi"/>
          <w:szCs w:val="22"/>
        </w:rPr>
      </w:pPr>
      <w:r>
        <w:t>158.</w:t>
      </w:r>
      <w:r>
        <w:tab/>
        <w:t>Revocation of highest rating level</w:t>
      </w:r>
      <w:r>
        <w:tab/>
      </w:r>
      <w:r>
        <w:fldChar w:fldCharType="begin"/>
      </w:r>
      <w:r>
        <w:instrText xml:space="preserve"> PAGEREF _Toc80611903 \h </w:instrText>
      </w:r>
      <w:r>
        <w:fldChar w:fldCharType="separate"/>
      </w:r>
      <w:r>
        <w:t>82</w:t>
      </w:r>
      <w:r>
        <w:fldChar w:fldCharType="end"/>
      </w:r>
    </w:p>
    <w:p>
      <w:pPr>
        <w:pStyle w:val="TOC8"/>
        <w:rPr>
          <w:rFonts w:asciiTheme="minorHAnsi" w:eastAsiaTheme="minorEastAsia" w:hAnsiTheme="minorHAnsi" w:cstheme="minorBidi"/>
          <w:szCs w:val="22"/>
        </w:rPr>
      </w:pPr>
      <w:r>
        <w:t>159.</w:t>
      </w:r>
      <w:r>
        <w:tab/>
        <w:t>Re</w:t>
      </w:r>
      <w:r>
        <w:noBreakHyphen/>
        <w:t>application for highest rating level</w:t>
      </w:r>
      <w:r>
        <w:tab/>
      </w:r>
      <w:r>
        <w:fldChar w:fldCharType="begin"/>
      </w:r>
      <w:r>
        <w:instrText xml:space="preserve"> PAGEREF _Toc80611904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Publication of rating levels</w:t>
      </w:r>
    </w:p>
    <w:p>
      <w:pPr>
        <w:pStyle w:val="TOC8"/>
        <w:rPr>
          <w:rFonts w:asciiTheme="minorHAnsi" w:eastAsiaTheme="minorEastAsia" w:hAnsiTheme="minorHAnsi" w:cstheme="minorBidi"/>
          <w:szCs w:val="22"/>
        </w:rPr>
      </w:pPr>
      <w:r>
        <w:t>160.</w:t>
      </w:r>
      <w:r>
        <w:tab/>
        <w:t>Publication of ratings</w:t>
      </w:r>
      <w:r>
        <w:tab/>
      </w:r>
      <w:r>
        <w:fldChar w:fldCharType="begin"/>
      </w:r>
      <w:r>
        <w:instrText xml:space="preserve"> PAGEREF _Toc80611906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Part 6 — Operating an education and care service</w:t>
      </w:r>
    </w:p>
    <w:p>
      <w:pPr>
        <w:pStyle w:val="TOC8"/>
        <w:rPr>
          <w:rFonts w:asciiTheme="minorHAnsi" w:eastAsiaTheme="minorEastAsia" w:hAnsiTheme="minorHAnsi" w:cstheme="minorBidi"/>
          <w:szCs w:val="22"/>
        </w:rPr>
      </w:pPr>
      <w:r>
        <w:t>161.</w:t>
      </w:r>
      <w:r>
        <w:tab/>
        <w:t>Offence to operate education and care service without nominated supervisor</w:t>
      </w:r>
      <w:r>
        <w:tab/>
      </w:r>
      <w:r>
        <w:fldChar w:fldCharType="begin"/>
      </w:r>
      <w:r>
        <w:instrText xml:space="preserve"> PAGEREF _Toc80611908 \h </w:instrText>
      </w:r>
      <w:r>
        <w:fldChar w:fldCharType="separate"/>
      </w:r>
      <w:r>
        <w:t>83</w:t>
      </w:r>
      <w:r>
        <w:fldChar w:fldCharType="end"/>
      </w:r>
    </w:p>
    <w:p>
      <w:pPr>
        <w:pStyle w:val="TOC8"/>
        <w:rPr>
          <w:rFonts w:asciiTheme="minorHAnsi" w:eastAsiaTheme="minorEastAsia" w:hAnsiTheme="minorHAnsi" w:cstheme="minorBidi"/>
          <w:szCs w:val="22"/>
        </w:rPr>
      </w:pPr>
      <w:r>
        <w:t>161A.</w:t>
      </w:r>
      <w:r>
        <w:tab/>
        <w:t>Offence for nominated supervisor not to meet prescribed minimum requirements</w:t>
      </w:r>
      <w:r>
        <w:tab/>
      </w:r>
      <w:r>
        <w:fldChar w:fldCharType="begin"/>
      </w:r>
      <w:r>
        <w:instrText xml:space="preserve"> PAGEREF _Toc80611909 \h </w:instrText>
      </w:r>
      <w:r>
        <w:fldChar w:fldCharType="separate"/>
      </w:r>
      <w:r>
        <w:t>84</w:t>
      </w:r>
      <w:r>
        <w:fldChar w:fldCharType="end"/>
      </w:r>
    </w:p>
    <w:p>
      <w:pPr>
        <w:pStyle w:val="TOC8"/>
        <w:rPr>
          <w:rFonts w:asciiTheme="minorHAnsi" w:eastAsiaTheme="minorEastAsia" w:hAnsiTheme="minorHAnsi" w:cstheme="minorBidi"/>
          <w:szCs w:val="22"/>
        </w:rPr>
      </w:pPr>
      <w:r>
        <w:t>162.</w:t>
      </w:r>
      <w:r>
        <w:tab/>
        <w:t>Offence to operate education and care service unless responsible person is present</w:t>
      </w:r>
      <w:r>
        <w:tab/>
      </w:r>
      <w:r>
        <w:fldChar w:fldCharType="begin"/>
      </w:r>
      <w:r>
        <w:instrText xml:space="preserve"> PAGEREF _Toc80611910 \h </w:instrText>
      </w:r>
      <w:r>
        <w:fldChar w:fldCharType="separate"/>
      </w:r>
      <w:r>
        <w:t>84</w:t>
      </w:r>
      <w:r>
        <w:fldChar w:fldCharType="end"/>
      </w:r>
    </w:p>
    <w:p>
      <w:pPr>
        <w:pStyle w:val="TOC8"/>
        <w:rPr>
          <w:rFonts w:asciiTheme="minorHAnsi" w:eastAsiaTheme="minorEastAsia" w:hAnsiTheme="minorHAnsi" w:cstheme="minorBidi"/>
          <w:szCs w:val="22"/>
        </w:rPr>
      </w:pPr>
      <w:r>
        <w:t>162A.</w:t>
      </w:r>
      <w:r>
        <w:tab/>
        <w:t>Persons in day</w:t>
      </w:r>
      <w:r>
        <w:noBreakHyphen/>
        <w:t>to</w:t>
      </w:r>
      <w:r>
        <w:noBreakHyphen/>
        <w:t>day charge and nominated supervisors to have child protection training</w:t>
      </w:r>
      <w:r>
        <w:tab/>
      </w:r>
      <w:r>
        <w:fldChar w:fldCharType="begin"/>
      </w:r>
      <w:r>
        <w:instrText xml:space="preserve"> PAGEREF _Toc80611911 \h </w:instrText>
      </w:r>
      <w:r>
        <w:fldChar w:fldCharType="separate"/>
      </w:r>
      <w:r>
        <w:t>84</w:t>
      </w:r>
      <w:r>
        <w:fldChar w:fldCharType="end"/>
      </w:r>
    </w:p>
    <w:p>
      <w:pPr>
        <w:pStyle w:val="TOC8"/>
        <w:rPr>
          <w:rFonts w:asciiTheme="minorHAnsi" w:eastAsiaTheme="minorEastAsia" w:hAnsiTheme="minorHAnsi" w:cstheme="minorBidi"/>
          <w:szCs w:val="22"/>
        </w:rPr>
      </w:pPr>
      <w:r>
        <w:t>163.</w:t>
      </w:r>
      <w:r>
        <w:tab/>
        <w:t>Offence relating to appointment or engagement of family day care co</w:t>
      </w:r>
      <w:r>
        <w:noBreakHyphen/>
        <w:t>ordinators</w:t>
      </w:r>
      <w:r>
        <w:tab/>
      </w:r>
      <w:r>
        <w:fldChar w:fldCharType="begin"/>
      </w:r>
      <w:r>
        <w:instrText xml:space="preserve"> PAGEREF _Toc80611912 \h </w:instrText>
      </w:r>
      <w:r>
        <w:fldChar w:fldCharType="separate"/>
      </w:r>
      <w:r>
        <w:t>85</w:t>
      </w:r>
      <w:r>
        <w:fldChar w:fldCharType="end"/>
      </w:r>
    </w:p>
    <w:p>
      <w:pPr>
        <w:pStyle w:val="TOC8"/>
        <w:rPr>
          <w:rFonts w:asciiTheme="minorHAnsi" w:eastAsiaTheme="minorEastAsia" w:hAnsiTheme="minorHAnsi" w:cstheme="minorBidi"/>
          <w:szCs w:val="22"/>
        </w:rPr>
      </w:pPr>
      <w:r>
        <w:t>164.</w:t>
      </w:r>
      <w:r>
        <w:tab/>
        <w:t>Offence relating to assistance to family day care educators</w:t>
      </w:r>
      <w:r>
        <w:tab/>
      </w:r>
      <w:r>
        <w:fldChar w:fldCharType="begin"/>
      </w:r>
      <w:r>
        <w:instrText xml:space="preserve"> PAGEREF _Toc80611913 \h </w:instrText>
      </w:r>
      <w:r>
        <w:fldChar w:fldCharType="separate"/>
      </w:r>
      <w:r>
        <w:t>85</w:t>
      </w:r>
      <w:r>
        <w:fldChar w:fldCharType="end"/>
      </w:r>
    </w:p>
    <w:p>
      <w:pPr>
        <w:pStyle w:val="TOC8"/>
        <w:rPr>
          <w:rFonts w:asciiTheme="minorHAnsi" w:eastAsiaTheme="minorEastAsia" w:hAnsiTheme="minorHAnsi" w:cstheme="minorBidi"/>
          <w:szCs w:val="22"/>
        </w:rPr>
      </w:pPr>
      <w:r>
        <w:t>164A.</w:t>
      </w:r>
      <w:r>
        <w:tab/>
        <w:t>Offence relating to the education and care of children by family day care service</w:t>
      </w:r>
      <w:r>
        <w:tab/>
      </w:r>
      <w:r>
        <w:fldChar w:fldCharType="begin"/>
      </w:r>
      <w:r>
        <w:instrText xml:space="preserve"> PAGEREF _Toc80611914 \h </w:instrText>
      </w:r>
      <w:r>
        <w:fldChar w:fldCharType="separate"/>
      </w:r>
      <w:r>
        <w:t>86</w:t>
      </w:r>
      <w:r>
        <w:fldChar w:fldCharType="end"/>
      </w:r>
    </w:p>
    <w:p>
      <w:pPr>
        <w:pStyle w:val="TOC8"/>
        <w:rPr>
          <w:rFonts w:asciiTheme="minorHAnsi" w:eastAsiaTheme="minorEastAsia" w:hAnsiTheme="minorHAnsi" w:cstheme="minorBidi"/>
          <w:szCs w:val="22"/>
        </w:rPr>
      </w:pPr>
      <w:r>
        <w:t>165.</w:t>
      </w:r>
      <w:r>
        <w:tab/>
        <w:t>Offence to inadequately supervise children</w:t>
      </w:r>
      <w:r>
        <w:tab/>
      </w:r>
      <w:r>
        <w:fldChar w:fldCharType="begin"/>
      </w:r>
      <w:r>
        <w:instrText xml:space="preserve"> PAGEREF _Toc80611915 \h </w:instrText>
      </w:r>
      <w:r>
        <w:fldChar w:fldCharType="separate"/>
      </w:r>
      <w:r>
        <w:t>86</w:t>
      </w:r>
      <w:r>
        <w:fldChar w:fldCharType="end"/>
      </w:r>
    </w:p>
    <w:p>
      <w:pPr>
        <w:pStyle w:val="TOC8"/>
        <w:rPr>
          <w:rFonts w:asciiTheme="minorHAnsi" w:eastAsiaTheme="minorEastAsia" w:hAnsiTheme="minorHAnsi" w:cstheme="minorBidi"/>
          <w:szCs w:val="22"/>
        </w:rPr>
      </w:pPr>
      <w:r>
        <w:t>165A.</w:t>
      </w:r>
      <w:r>
        <w:tab/>
        <w:t>Offence relating to children leaving the education and care service premises unauthorised</w:t>
      </w:r>
      <w:r>
        <w:tab/>
      </w:r>
      <w:r>
        <w:fldChar w:fldCharType="begin"/>
      </w:r>
      <w:r>
        <w:instrText xml:space="preserve"> PAGEREF _Toc80611916 \h </w:instrText>
      </w:r>
      <w:r>
        <w:fldChar w:fldCharType="separate"/>
      </w:r>
      <w:r>
        <w:t>87</w:t>
      </w:r>
      <w:r>
        <w:fldChar w:fldCharType="end"/>
      </w:r>
    </w:p>
    <w:p>
      <w:pPr>
        <w:pStyle w:val="TOC8"/>
        <w:rPr>
          <w:rFonts w:asciiTheme="minorHAnsi" w:eastAsiaTheme="minorEastAsia" w:hAnsiTheme="minorHAnsi" w:cstheme="minorBidi"/>
          <w:szCs w:val="22"/>
        </w:rPr>
      </w:pPr>
      <w:r>
        <w:t>166.</w:t>
      </w:r>
      <w:r>
        <w:tab/>
        <w:t>Offence to use inappropriate discipline</w:t>
      </w:r>
      <w:r>
        <w:tab/>
      </w:r>
      <w:r>
        <w:fldChar w:fldCharType="begin"/>
      </w:r>
      <w:r>
        <w:instrText xml:space="preserve"> PAGEREF _Toc80611917 \h </w:instrText>
      </w:r>
      <w:r>
        <w:fldChar w:fldCharType="separate"/>
      </w:r>
      <w:r>
        <w:t>88</w:t>
      </w:r>
      <w:r>
        <w:fldChar w:fldCharType="end"/>
      </w:r>
    </w:p>
    <w:p>
      <w:pPr>
        <w:pStyle w:val="TOC8"/>
        <w:rPr>
          <w:rFonts w:asciiTheme="minorHAnsi" w:eastAsiaTheme="minorEastAsia" w:hAnsiTheme="minorHAnsi" w:cstheme="minorBidi"/>
          <w:szCs w:val="22"/>
        </w:rPr>
      </w:pPr>
      <w:r>
        <w:t>167.</w:t>
      </w:r>
      <w:r>
        <w:tab/>
        <w:t>Offence relating to protection of children from harm and hazards</w:t>
      </w:r>
      <w:r>
        <w:tab/>
      </w:r>
      <w:r>
        <w:fldChar w:fldCharType="begin"/>
      </w:r>
      <w:r>
        <w:instrText xml:space="preserve"> PAGEREF _Toc80611918 \h </w:instrText>
      </w:r>
      <w:r>
        <w:fldChar w:fldCharType="separate"/>
      </w:r>
      <w:r>
        <w:t>89</w:t>
      </w:r>
      <w:r>
        <w:fldChar w:fldCharType="end"/>
      </w:r>
    </w:p>
    <w:p>
      <w:pPr>
        <w:pStyle w:val="TOC8"/>
        <w:rPr>
          <w:rFonts w:asciiTheme="minorHAnsi" w:eastAsiaTheme="minorEastAsia" w:hAnsiTheme="minorHAnsi" w:cstheme="minorBidi"/>
          <w:szCs w:val="22"/>
        </w:rPr>
      </w:pPr>
      <w:r>
        <w:t>168.</w:t>
      </w:r>
      <w:r>
        <w:tab/>
        <w:t>Offence relating to required programs</w:t>
      </w:r>
      <w:r>
        <w:tab/>
      </w:r>
      <w:r>
        <w:fldChar w:fldCharType="begin"/>
      </w:r>
      <w:r>
        <w:instrText xml:space="preserve"> PAGEREF _Toc80611919 \h </w:instrText>
      </w:r>
      <w:r>
        <w:fldChar w:fldCharType="separate"/>
      </w:r>
      <w:r>
        <w:t>89</w:t>
      </w:r>
      <w:r>
        <w:fldChar w:fldCharType="end"/>
      </w:r>
    </w:p>
    <w:p>
      <w:pPr>
        <w:pStyle w:val="TOC8"/>
        <w:rPr>
          <w:rFonts w:asciiTheme="minorHAnsi" w:eastAsiaTheme="minorEastAsia" w:hAnsiTheme="minorHAnsi" w:cstheme="minorBidi"/>
          <w:szCs w:val="22"/>
        </w:rPr>
      </w:pPr>
      <w:r>
        <w:t>169.</w:t>
      </w:r>
      <w:r>
        <w:tab/>
        <w:t>Offence relating to staffing arrangements</w:t>
      </w:r>
      <w:r>
        <w:tab/>
      </w:r>
      <w:r>
        <w:fldChar w:fldCharType="begin"/>
      </w:r>
      <w:r>
        <w:instrText xml:space="preserve"> PAGEREF _Toc80611920 \h </w:instrText>
      </w:r>
      <w:r>
        <w:fldChar w:fldCharType="separate"/>
      </w:r>
      <w:r>
        <w:t>90</w:t>
      </w:r>
      <w:r>
        <w:fldChar w:fldCharType="end"/>
      </w:r>
    </w:p>
    <w:p>
      <w:pPr>
        <w:pStyle w:val="TOC8"/>
        <w:rPr>
          <w:rFonts w:asciiTheme="minorHAnsi" w:eastAsiaTheme="minorEastAsia" w:hAnsiTheme="minorHAnsi" w:cstheme="minorBidi"/>
          <w:szCs w:val="22"/>
        </w:rPr>
      </w:pPr>
      <w:r>
        <w:t>170.</w:t>
      </w:r>
      <w:r>
        <w:tab/>
        <w:t>Offence relating to unauthorised persons on education and care service premises</w:t>
      </w:r>
      <w:r>
        <w:tab/>
      </w:r>
      <w:r>
        <w:fldChar w:fldCharType="begin"/>
      </w:r>
      <w:r>
        <w:instrText xml:space="preserve"> PAGEREF _Toc80611921 \h </w:instrText>
      </w:r>
      <w:r>
        <w:fldChar w:fldCharType="separate"/>
      </w:r>
      <w:r>
        <w:t>91</w:t>
      </w:r>
      <w:r>
        <w:fldChar w:fldCharType="end"/>
      </w:r>
    </w:p>
    <w:p>
      <w:pPr>
        <w:pStyle w:val="TOC8"/>
        <w:rPr>
          <w:rFonts w:asciiTheme="minorHAnsi" w:eastAsiaTheme="minorEastAsia" w:hAnsiTheme="minorHAnsi" w:cstheme="minorBidi"/>
          <w:szCs w:val="22"/>
        </w:rPr>
      </w:pPr>
      <w:r>
        <w:t>171.</w:t>
      </w:r>
      <w:r>
        <w:tab/>
        <w:t>Offence relating to direction to exclude inappropriate persons from education and care service premises</w:t>
      </w:r>
      <w:r>
        <w:tab/>
      </w:r>
      <w:r>
        <w:fldChar w:fldCharType="begin"/>
      </w:r>
      <w:r>
        <w:instrText xml:space="preserve"> PAGEREF _Toc80611922 \h </w:instrText>
      </w:r>
      <w:r>
        <w:fldChar w:fldCharType="separate"/>
      </w:r>
      <w:r>
        <w:t>93</w:t>
      </w:r>
      <w:r>
        <w:fldChar w:fldCharType="end"/>
      </w:r>
    </w:p>
    <w:p>
      <w:pPr>
        <w:pStyle w:val="TOC8"/>
        <w:rPr>
          <w:rFonts w:asciiTheme="minorHAnsi" w:eastAsiaTheme="minorEastAsia" w:hAnsiTheme="minorHAnsi" w:cstheme="minorBidi"/>
          <w:szCs w:val="22"/>
        </w:rPr>
      </w:pPr>
      <w:r>
        <w:t>172.</w:t>
      </w:r>
      <w:r>
        <w:tab/>
        <w:t>Offence to fail to display prescribed information</w:t>
      </w:r>
      <w:r>
        <w:tab/>
      </w:r>
      <w:r>
        <w:fldChar w:fldCharType="begin"/>
      </w:r>
      <w:r>
        <w:instrText xml:space="preserve"> PAGEREF _Toc80611923 \h </w:instrText>
      </w:r>
      <w:r>
        <w:fldChar w:fldCharType="separate"/>
      </w:r>
      <w:r>
        <w:t>94</w:t>
      </w:r>
      <w:r>
        <w:fldChar w:fldCharType="end"/>
      </w:r>
    </w:p>
    <w:p>
      <w:pPr>
        <w:pStyle w:val="TOC8"/>
        <w:rPr>
          <w:rFonts w:asciiTheme="minorHAnsi" w:eastAsiaTheme="minorEastAsia" w:hAnsiTheme="minorHAnsi" w:cstheme="minorBidi"/>
          <w:szCs w:val="22"/>
        </w:rPr>
      </w:pPr>
      <w:r>
        <w:t>173.</w:t>
      </w:r>
      <w:r>
        <w:tab/>
        <w:t>Offence to fail to notify certain circumstances to Regulatory Authority</w:t>
      </w:r>
      <w:r>
        <w:tab/>
      </w:r>
      <w:r>
        <w:fldChar w:fldCharType="begin"/>
      </w:r>
      <w:r>
        <w:instrText xml:space="preserve"> PAGEREF _Toc80611924 \h </w:instrText>
      </w:r>
      <w:r>
        <w:fldChar w:fldCharType="separate"/>
      </w:r>
      <w:r>
        <w:t>94</w:t>
      </w:r>
      <w:r>
        <w:fldChar w:fldCharType="end"/>
      </w:r>
    </w:p>
    <w:p>
      <w:pPr>
        <w:pStyle w:val="TOC8"/>
        <w:rPr>
          <w:rFonts w:asciiTheme="minorHAnsi" w:eastAsiaTheme="minorEastAsia" w:hAnsiTheme="minorHAnsi" w:cstheme="minorBidi"/>
          <w:szCs w:val="22"/>
        </w:rPr>
      </w:pPr>
      <w:r>
        <w:lastRenderedPageBreak/>
        <w:t>174.</w:t>
      </w:r>
      <w:r>
        <w:tab/>
        <w:t>Offence to fail to notify certain information to Regulatory Authority</w:t>
      </w:r>
      <w:r>
        <w:tab/>
      </w:r>
      <w:r>
        <w:fldChar w:fldCharType="begin"/>
      </w:r>
      <w:r>
        <w:instrText xml:space="preserve"> PAGEREF _Toc80611925 \h </w:instrText>
      </w:r>
      <w:r>
        <w:fldChar w:fldCharType="separate"/>
      </w:r>
      <w:r>
        <w:t>96</w:t>
      </w:r>
      <w:r>
        <w:fldChar w:fldCharType="end"/>
      </w:r>
    </w:p>
    <w:p>
      <w:pPr>
        <w:pStyle w:val="TOC8"/>
        <w:rPr>
          <w:rFonts w:asciiTheme="minorHAnsi" w:eastAsiaTheme="minorEastAsia" w:hAnsiTheme="minorHAnsi" w:cstheme="minorBidi"/>
          <w:szCs w:val="22"/>
        </w:rPr>
      </w:pPr>
      <w:r>
        <w:t>174A.</w:t>
      </w:r>
      <w:r>
        <w:tab/>
        <w:t>Family day care educator to notify certain information to approved provider</w:t>
      </w:r>
      <w:r>
        <w:tab/>
      </w:r>
      <w:r>
        <w:fldChar w:fldCharType="begin"/>
      </w:r>
      <w:r>
        <w:instrText xml:space="preserve"> PAGEREF _Toc80611926 \h </w:instrText>
      </w:r>
      <w:r>
        <w:fldChar w:fldCharType="separate"/>
      </w:r>
      <w:r>
        <w:t>97</w:t>
      </w:r>
      <w:r>
        <w:fldChar w:fldCharType="end"/>
      </w:r>
    </w:p>
    <w:p>
      <w:pPr>
        <w:pStyle w:val="TOC8"/>
        <w:rPr>
          <w:rFonts w:asciiTheme="minorHAnsi" w:eastAsiaTheme="minorEastAsia" w:hAnsiTheme="minorHAnsi" w:cstheme="minorBidi"/>
          <w:szCs w:val="22"/>
        </w:rPr>
      </w:pPr>
      <w:r>
        <w:t>175.</w:t>
      </w:r>
      <w:r>
        <w:tab/>
        <w:t>Offence relating to requirement to keep enrolment and other documents</w:t>
      </w:r>
      <w:r>
        <w:tab/>
      </w:r>
      <w:r>
        <w:fldChar w:fldCharType="begin"/>
      </w:r>
      <w:r>
        <w:instrText xml:space="preserve"> PAGEREF _Toc80611927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Part 7 — Compliance with this Law</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Notices</w:t>
      </w:r>
    </w:p>
    <w:p>
      <w:pPr>
        <w:pStyle w:val="TOC8"/>
        <w:rPr>
          <w:rFonts w:asciiTheme="minorHAnsi" w:eastAsiaTheme="minorEastAsia" w:hAnsiTheme="minorHAnsi" w:cstheme="minorBidi"/>
          <w:szCs w:val="22"/>
        </w:rPr>
      </w:pPr>
      <w:r>
        <w:t>176.</w:t>
      </w:r>
      <w:r>
        <w:tab/>
        <w:t>Compliance directions</w:t>
      </w:r>
      <w:r>
        <w:tab/>
      </w:r>
      <w:r>
        <w:fldChar w:fldCharType="begin"/>
      </w:r>
      <w:r>
        <w:instrText xml:space="preserve"> PAGEREF _Toc80611930 \h </w:instrText>
      </w:r>
      <w:r>
        <w:fldChar w:fldCharType="separate"/>
      </w:r>
      <w:r>
        <w:t>98</w:t>
      </w:r>
      <w:r>
        <w:fldChar w:fldCharType="end"/>
      </w:r>
    </w:p>
    <w:p>
      <w:pPr>
        <w:pStyle w:val="TOC8"/>
        <w:rPr>
          <w:rFonts w:asciiTheme="minorHAnsi" w:eastAsiaTheme="minorEastAsia" w:hAnsiTheme="minorHAnsi" w:cstheme="minorBidi"/>
          <w:szCs w:val="22"/>
        </w:rPr>
      </w:pPr>
      <w:r>
        <w:t>177.</w:t>
      </w:r>
      <w:r>
        <w:tab/>
        <w:t>Compliance notices</w:t>
      </w:r>
      <w:r>
        <w:tab/>
      </w:r>
      <w:r>
        <w:fldChar w:fldCharType="begin"/>
      </w:r>
      <w:r>
        <w:instrText xml:space="preserve"> PAGEREF _Toc80611931 \h </w:instrText>
      </w:r>
      <w:r>
        <w:fldChar w:fldCharType="separate"/>
      </w:r>
      <w:r>
        <w:t>98</w:t>
      </w:r>
      <w:r>
        <w:fldChar w:fldCharType="end"/>
      </w:r>
    </w:p>
    <w:p>
      <w:pPr>
        <w:pStyle w:val="TOC8"/>
        <w:rPr>
          <w:rFonts w:asciiTheme="minorHAnsi" w:eastAsiaTheme="minorEastAsia" w:hAnsiTheme="minorHAnsi" w:cstheme="minorBidi"/>
          <w:szCs w:val="22"/>
        </w:rPr>
      </w:pPr>
      <w:r>
        <w:t>178.</w:t>
      </w:r>
      <w:r>
        <w:tab/>
        <w:t>Notice to suspend education and care by a family day care educator</w:t>
      </w:r>
      <w:r>
        <w:tab/>
      </w:r>
      <w:r>
        <w:fldChar w:fldCharType="begin"/>
      </w:r>
      <w:r>
        <w:instrText xml:space="preserve"> PAGEREF _Toc80611932 \h </w:instrText>
      </w:r>
      <w:r>
        <w:fldChar w:fldCharType="separate"/>
      </w:r>
      <w:r>
        <w:t>99</w:t>
      </w:r>
      <w:r>
        <w:fldChar w:fldCharType="end"/>
      </w:r>
    </w:p>
    <w:p>
      <w:pPr>
        <w:pStyle w:val="TOC8"/>
        <w:rPr>
          <w:rFonts w:asciiTheme="minorHAnsi" w:eastAsiaTheme="minorEastAsia" w:hAnsiTheme="minorHAnsi" w:cstheme="minorBidi"/>
          <w:szCs w:val="22"/>
        </w:rPr>
      </w:pPr>
      <w:r>
        <w:t>179.</w:t>
      </w:r>
      <w:r>
        <w:tab/>
        <w:t>Emergency action notices</w:t>
      </w:r>
      <w:r>
        <w:tab/>
      </w:r>
      <w:r>
        <w:fldChar w:fldCharType="begin"/>
      </w:r>
      <w:r>
        <w:instrText xml:space="preserve"> PAGEREF _Toc80611933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Division 2 — Enforceable undertakings</w:t>
      </w:r>
    </w:p>
    <w:p>
      <w:pPr>
        <w:pStyle w:val="TOC8"/>
        <w:rPr>
          <w:rFonts w:asciiTheme="minorHAnsi" w:eastAsiaTheme="minorEastAsia" w:hAnsiTheme="minorHAnsi" w:cstheme="minorBidi"/>
          <w:szCs w:val="22"/>
        </w:rPr>
      </w:pPr>
      <w:r>
        <w:t>179A.</w:t>
      </w:r>
      <w:r>
        <w:tab/>
        <w:t>Enforceable undertakings</w:t>
      </w:r>
      <w:r>
        <w:tab/>
      </w:r>
      <w:r>
        <w:fldChar w:fldCharType="begin"/>
      </w:r>
      <w:r>
        <w:instrText xml:space="preserve"> PAGEREF _Toc80611935 \h </w:instrText>
      </w:r>
      <w:r>
        <w:fldChar w:fldCharType="separate"/>
      </w:r>
      <w:r>
        <w:t>101</w:t>
      </w:r>
      <w:r>
        <w:fldChar w:fldCharType="end"/>
      </w:r>
    </w:p>
    <w:p>
      <w:pPr>
        <w:pStyle w:val="TOC8"/>
        <w:rPr>
          <w:rFonts w:asciiTheme="minorHAnsi" w:eastAsiaTheme="minorEastAsia" w:hAnsiTheme="minorHAnsi" w:cstheme="minorBidi"/>
          <w:szCs w:val="22"/>
        </w:rPr>
      </w:pPr>
      <w:r>
        <w:t>179B.</w:t>
      </w:r>
      <w:r>
        <w:tab/>
        <w:t>Certain actions prohibited while undertaking is in force</w:t>
      </w:r>
      <w:r>
        <w:tab/>
      </w:r>
      <w:r>
        <w:fldChar w:fldCharType="begin"/>
      </w:r>
      <w:r>
        <w:instrText xml:space="preserve"> PAGEREF _Toc80611936 \h </w:instrText>
      </w:r>
      <w:r>
        <w:fldChar w:fldCharType="separate"/>
      </w:r>
      <w:r>
        <w:t>102</w:t>
      </w:r>
      <w:r>
        <w:fldChar w:fldCharType="end"/>
      </w:r>
    </w:p>
    <w:p>
      <w:pPr>
        <w:pStyle w:val="TOC8"/>
        <w:rPr>
          <w:rFonts w:asciiTheme="minorHAnsi" w:eastAsiaTheme="minorEastAsia" w:hAnsiTheme="minorHAnsi" w:cstheme="minorBidi"/>
          <w:szCs w:val="22"/>
        </w:rPr>
      </w:pPr>
      <w:r>
        <w:t>180.</w:t>
      </w:r>
      <w:r>
        <w:tab/>
        <w:t>Certain actions prohibited if undertaking is complied with</w:t>
      </w:r>
      <w:r>
        <w:tab/>
      </w:r>
      <w:r>
        <w:fldChar w:fldCharType="begin"/>
      </w:r>
      <w:r>
        <w:instrText xml:space="preserve"> PAGEREF _Toc80611937 \h </w:instrText>
      </w:r>
      <w:r>
        <w:fldChar w:fldCharType="separate"/>
      </w:r>
      <w:r>
        <w:t>102</w:t>
      </w:r>
      <w:r>
        <w:fldChar w:fldCharType="end"/>
      </w:r>
    </w:p>
    <w:p>
      <w:pPr>
        <w:pStyle w:val="TOC8"/>
        <w:rPr>
          <w:rFonts w:asciiTheme="minorHAnsi" w:eastAsiaTheme="minorEastAsia" w:hAnsiTheme="minorHAnsi" w:cstheme="minorBidi"/>
          <w:szCs w:val="22"/>
        </w:rPr>
      </w:pPr>
      <w:r>
        <w:t>181.</w:t>
      </w:r>
      <w:r>
        <w:tab/>
        <w:t>Failure to comply with enforceable undertakings</w:t>
      </w:r>
      <w:r>
        <w:tab/>
      </w:r>
      <w:r>
        <w:fldChar w:fldCharType="begin"/>
      </w:r>
      <w:r>
        <w:instrText xml:space="preserve"> PAGEREF _Toc80611938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Prohibition notices</w:t>
      </w:r>
    </w:p>
    <w:p>
      <w:pPr>
        <w:pStyle w:val="TOC8"/>
        <w:rPr>
          <w:rFonts w:asciiTheme="minorHAnsi" w:eastAsiaTheme="minorEastAsia" w:hAnsiTheme="minorHAnsi" w:cstheme="minorBidi"/>
          <w:szCs w:val="22"/>
        </w:rPr>
      </w:pPr>
      <w:r>
        <w:t>182.</w:t>
      </w:r>
      <w:r>
        <w:tab/>
        <w:t>Grounds for giving prohibition notice</w:t>
      </w:r>
      <w:r>
        <w:tab/>
      </w:r>
      <w:r>
        <w:fldChar w:fldCharType="begin"/>
      </w:r>
      <w:r>
        <w:instrText xml:space="preserve"> PAGEREF _Toc80611940 \h </w:instrText>
      </w:r>
      <w:r>
        <w:fldChar w:fldCharType="separate"/>
      </w:r>
      <w:r>
        <w:t>104</w:t>
      </w:r>
      <w:r>
        <w:fldChar w:fldCharType="end"/>
      </w:r>
    </w:p>
    <w:p>
      <w:pPr>
        <w:pStyle w:val="TOC8"/>
        <w:rPr>
          <w:rFonts w:asciiTheme="minorHAnsi" w:eastAsiaTheme="minorEastAsia" w:hAnsiTheme="minorHAnsi" w:cstheme="minorBidi"/>
          <w:szCs w:val="22"/>
        </w:rPr>
      </w:pPr>
      <w:r>
        <w:t>183.</w:t>
      </w:r>
      <w:r>
        <w:tab/>
        <w:t>Show cause notice to be given before prohibition notice</w:t>
      </w:r>
      <w:r>
        <w:tab/>
      </w:r>
      <w:r>
        <w:fldChar w:fldCharType="begin"/>
      </w:r>
      <w:r>
        <w:instrText xml:space="preserve"> PAGEREF _Toc80611941 \h </w:instrText>
      </w:r>
      <w:r>
        <w:fldChar w:fldCharType="separate"/>
      </w:r>
      <w:r>
        <w:t>105</w:t>
      </w:r>
      <w:r>
        <w:fldChar w:fldCharType="end"/>
      </w:r>
    </w:p>
    <w:p>
      <w:pPr>
        <w:pStyle w:val="TOC8"/>
        <w:rPr>
          <w:rFonts w:asciiTheme="minorHAnsi" w:eastAsiaTheme="minorEastAsia" w:hAnsiTheme="minorHAnsi" w:cstheme="minorBidi"/>
          <w:szCs w:val="22"/>
        </w:rPr>
      </w:pPr>
      <w:r>
        <w:t>184.</w:t>
      </w:r>
      <w:r>
        <w:tab/>
        <w:t>Deciding whether to give prohibition notice</w:t>
      </w:r>
      <w:r>
        <w:tab/>
      </w:r>
      <w:r>
        <w:fldChar w:fldCharType="begin"/>
      </w:r>
      <w:r>
        <w:instrText xml:space="preserve"> PAGEREF _Toc80611942 \h </w:instrText>
      </w:r>
      <w:r>
        <w:fldChar w:fldCharType="separate"/>
      </w:r>
      <w:r>
        <w:t>105</w:t>
      </w:r>
      <w:r>
        <w:fldChar w:fldCharType="end"/>
      </w:r>
    </w:p>
    <w:p>
      <w:pPr>
        <w:pStyle w:val="TOC8"/>
        <w:rPr>
          <w:rFonts w:asciiTheme="minorHAnsi" w:eastAsiaTheme="minorEastAsia" w:hAnsiTheme="minorHAnsi" w:cstheme="minorBidi"/>
          <w:szCs w:val="22"/>
        </w:rPr>
      </w:pPr>
      <w:r>
        <w:t>185.</w:t>
      </w:r>
      <w:r>
        <w:tab/>
        <w:t>Content of prohibition notice</w:t>
      </w:r>
      <w:r>
        <w:tab/>
      </w:r>
      <w:r>
        <w:fldChar w:fldCharType="begin"/>
      </w:r>
      <w:r>
        <w:instrText xml:space="preserve"> PAGEREF _Toc80611943 \h </w:instrText>
      </w:r>
      <w:r>
        <w:fldChar w:fldCharType="separate"/>
      </w:r>
      <w:r>
        <w:t>106</w:t>
      </w:r>
      <w:r>
        <w:fldChar w:fldCharType="end"/>
      </w:r>
    </w:p>
    <w:p>
      <w:pPr>
        <w:pStyle w:val="TOC8"/>
        <w:rPr>
          <w:rFonts w:asciiTheme="minorHAnsi" w:eastAsiaTheme="minorEastAsia" w:hAnsiTheme="minorHAnsi" w:cstheme="minorBidi"/>
          <w:szCs w:val="22"/>
        </w:rPr>
      </w:pPr>
      <w:r>
        <w:t>186.</w:t>
      </w:r>
      <w:r>
        <w:tab/>
        <w:t>Cancellation of prohibition notice</w:t>
      </w:r>
      <w:r>
        <w:tab/>
      </w:r>
      <w:r>
        <w:fldChar w:fldCharType="begin"/>
      </w:r>
      <w:r>
        <w:instrText xml:space="preserve"> PAGEREF _Toc80611944 \h </w:instrText>
      </w:r>
      <w:r>
        <w:fldChar w:fldCharType="separate"/>
      </w:r>
      <w:r>
        <w:t>107</w:t>
      </w:r>
      <w:r>
        <w:fldChar w:fldCharType="end"/>
      </w:r>
    </w:p>
    <w:p>
      <w:pPr>
        <w:pStyle w:val="TOC8"/>
        <w:rPr>
          <w:rFonts w:asciiTheme="minorHAnsi" w:eastAsiaTheme="minorEastAsia" w:hAnsiTheme="minorHAnsi" w:cstheme="minorBidi"/>
          <w:szCs w:val="22"/>
        </w:rPr>
      </w:pPr>
      <w:r>
        <w:t>187.</w:t>
      </w:r>
      <w:r>
        <w:tab/>
        <w:t>Person must not contravene prohibition notice</w:t>
      </w:r>
      <w:r>
        <w:tab/>
      </w:r>
      <w:r>
        <w:fldChar w:fldCharType="begin"/>
      </w:r>
      <w:r>
        <w:instrText xml:space="preserve"> PAGEREF _Toc80611945 \h </w:instrText>
      </w:r>
      <w:r>
        <w:fldChar w:fldCharType="separate"/>
      </w:r>
      <w:r>
        <w:t>108</w:t>
      </w:r>
      <w:r>
        <w:fldChar w:fldCharType="end"/>
      </w:r>
    </w:p>
    <w:p>
      <w:pPr>
        <w:pStyle w:val="TOC8"/>
        <w:rPr>
          <w:rFonts w:asciiTheme="minorHAnsi" w:eastAsiaTheme="minorEastAsia" w:hAnsiTheme="minorHAnsi" w:cstheme="minorBidi"/>
          <w:szCs w:val="22"/>
        </w:rPr>
      </w:pPr>
      <w:r>
        <w:t>188.</w:t>
      </w:r>
      <w:r>
        <w:tab/>
        <w:t>Offence to engage person to whom prohibition notice applies</w:t>
      </w:r>
      <w:r>
        <w:tab/>
      </w:r>
      <w:r>
        <w:fldChar w:fldCharType="begin"/>
      </w:r>
      <w:r>
        <w:instrText xml:space="preserve"> PAGEREF _Toc80611946 \h </w:instrText>
      </w:r>
      <w:r>
        <w:fldChar w:fldCharType="separate"/>
      </w:r>
      <w:r>
        <w:t>108</w:t>
      </w:r>
      <w:r>
        <w:fldChar w:fldCharType="end"/>
      </w:r>
    </w:p>
    <w:p>
      <w:pPr>
        <w:pStyle w:val="TOC8"/>
        <w:rPr>
          <w:rFonts w:asciiTheme="minorHAnsi" w:eastAsiaTheme="minorEastAsia" w:hAnsiTheme="minorHAnsi" w:cstheme="minorBidi"/>
          <w:szCs w:val="22"/>
        </w:rPr>
      </w:pPr>
      <w:r>
        <w:t>188A.</w:t>
      </w:r>
      <w:r>
        <w:tab/>
        <w:t>False or misleading information about prohibition notice</w:t>
      </w:r>
      <w:r>
        <w:tab/>
      </w:r>
      <w:r>
        <w:fldChar w:fldCharType="begin"/>
      </w:r>
      <w:r>
        <w:instrText xml:space="preserve"> PAGEREF _Toc80611947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Division 3A — Disciplinary action</w:t>
      </w:r>
    </w:p>
    <w:p>
      <w:pPr>
        <w:pStyle w:val="TOC8"/>
        <w:rPr>
          <w:rFonts w:asciiTheme="minorHAnsi" w:eastAsiaTheme="minorEastAsia" w:hAnsiTheme="minorHAnsi" w:cstheme="minorBidi"/>
          <w:szCs w:val="22"/>
        </w:rPr>
      </w:pPr>
      <w:r>
        <w:t>188AA.</w:t>
      </w:r>
      <w:r>
        <w:tab/>
        <w:t>Persons against whom disciplinary action may be taken</w:t>
      </w:r>
      <w:r>
        <w:tab/>
      </w:r>
      <w:r>
        <w:fldChar w:fldCharType="begin"/>
      </w:r>
      <w:r>
        <w:instrText xml:space="preserve"> PAGEREF _Toc80611949 \h </w:instrText>
      </w:r>
      <w:r>
        <w:fldChar w:fldCharType="separate"/>
      </w:r>
      <w:r>
        <w:t>109</w:t>
      </w:r>
      <w:r>
        <w:fldChar w:fldCharType="end"/>
      </w:r>
    </w:p>
    <w:p>
      <w:pPr>
        <w:pStyle w:val="TOC8"/>
        <w:rPr>
          <w:rFonts w:asciiTheme="minorHAnsi" w:eastAsiaTheme="minorEastAsia" w:hAnsiTheme="minorHAnsi" w:cstheme="minorBidi"/>
          <w:szCs w:val="22"/>
        </w:rPr>
      </w:pPr>
      <w:r>
        <w:t>188AB.</w:t>
      </w:r>
      <w:r>
        <w:tab/>
        <w:t>Disciplinary action</w:t>
      </w:r>
      <w:r>
        <w:tab/>
      </w:r>
      <w:r>
        <w:fldChar w:fldCharType="begin"/>
      </w:r>
      <w:r>
        <w:instrText xml:space="preserve"> PAGEREF _Toc80611950 \h </w:instrText>
      </w:r>
      <w:r>
        <w:fldChar w:fldCharType="separate"/>
      </w:r>
      <w:r>
        <w:t>110</w:t>
      </w:r>
      <w:r>
        <w:fldChar w:fldCharType="end"/>
      </w:r>
    </w:p>
    <w:p>
      <w:pPr>
        <w:pStyle w:val="TOC8"/>
        <w:rPr>
          <w:rFonts w:asciiTheme="minorHAnsi" w:eastAsiaTheme="minorEastAsia" w:hAnsiTheme="minorHAnsi" w:cstheme="minorBidi"/>
          <w:szCs w:val="22"/>
        </w:rPr>
      </w:pPr>
      <w:r>
        <w:t>188AC.</w:t>
      </w:r>
      <w:r>
        <w:tab/>
        <w:t>Limitation on section 188AB(3)(b)</w:t>
      </w:r>
      <w:r>
        <w:tab/>
      </w:r>
      <w:r>
        <w:fldChar w:fldCharType="begin"/>
      </w:r>
      <w:r>
        <w:instrText xml:space="preserve"> PAGEREF _Toc80611951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Emergency removal of children</w:t>
      </w:r>
    </w:p>
    <w:p>
      <w:pPr>
        <w:pStyle w:val="TOC8"/>
        <w:rPr>
          <w:rFonts w:asciiTheme="minorHAnsi" w:eastAsiaTheme="minorEastAsia" w:hAnsiTheme="minorHAnsi" w:cstheme="minorBidi"/>
          <w:szCs w:val="22"/>
        </w:rPr>
      </w:pPr>
      <w:r>
        <w:t>189.</w:t>
      </w:r>
      <w:r>
        <w:tab/>
        <w:t>Emergency removal of children</w:t>
      </w:r>
      <w:r>
        <w:tab/>
      </w:r>
      <w:r>
        <w:fldChar w:fldCharType="begin"/>
      </w:r>
      <w:r>
        <w:instrText xml:space="preserve"> PAGEREF _Toc80611953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8 — Review</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Internal review</w:t>
      </w:r>
    </w:p>
    <w:p>
      <w:pPr>
        <w:pStyle w:val="TOC8"/>
        <w:rPr>
          <w:rFonts w:asciiTheme="minorHAnsi" w:eastAsiaTheme="minorEastAsia" w:hAnsiTheme="minorHAnsi" w:cstheme="minorBidi"/>
          <w:szCs w:val="22"/>
        </w:rPr>
      </w:pPr>
      <w:r>
        <w:t>190.</w:t>
      </w:r>
      <w:r>
        <w:tab/>
        <w:t>Reviewable decision — internal review</w:t>
      </w:r>
      <w:r>
        <w:tab/>
      </w:r>
      <w:r>
        <w:fldChar w:fldCharType="begin"/>
      </w:r>
      <w:r>
        <w:instrText xml:space="preserve"> PAGEREF _Toc80611956 \h </w:instrText>
      </w:r>
      <w:r>
        <w:fldChar w:fldCharType="separate"/>
      </w:r>
      <w:r>
        <w:t>112</w:t>
      </w:r>
      <w:r>
        <w:fldChar w:fldCharType="end"/>
      </w:r>
    </w:p>
    <w:p>
      <w:pPr>
        <w:pStyle w:val="TOC8"/>
        <w:rPr>
          <w:rFonts w:asciiTheme="minorHAnsi" w:eastAsiaTheme="minorEastAsia" w:hAnsiTheme="minorHAnsi" w:cstheme="minorBidi"/>
          <w:szCs w:val="22"/>
        </w:rPr>
      </w:pPr>
      <w:r>
        <w:t>191.</w:t>
      </w:r>
      <w:r>
        <w:tab/>
        <w:t>Internal review of reviewable decisions</w:t>
      </w:r>
      <w:r>
        <w:tab/>
      </w:r>
      <w:r>
        <w:fldChar w:fldCharType="begin"/>
      </w:r>
      <w:r>
        <w:instrText xml:space="preserve"> PAGEREF _Toc80611957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External review</w:t>
      </w:r>
    </w:p>
    <w:p>
      <w:pPr>
        <w:pStyle w:val="TOC8"/>
        <w:rPr>
          <w:rFonts w:asciiTheme="minorHAnsi" w:eastAsiaTheme="minorEastAsia" w:hAnsiTheme="minorHAnsi" w:cstheme="minorBidi"/>
          <w:szCs w:val="22"/>
        </w:rPr>
      </w:pPr>
      <w:r>
        <w:t>192.</w:t>
      </w:r>
      <w:r>
        <w:tab/>
        <w:t>Reviewable decision — external review</w:t>
      </w:r>
      <w:r>
        <w:tab/>
      </w:r>
      <w:r>
        <w:fldChar w:fldCharType="begin"/>
      </w:r>
      <w:r>
        <w:instrText xml:space="preserve"> PAGEREF _Toc80611959 \h </w:instrText>
      </w:r>
      <w:r>
        <w:fldChar w:fldCharType="separate"/>
      </w:r>
      <w:r>
        <w:t>114</w:t>
      </w:r>
      <w:r>
        <w:fldChar w:fldCharType="end"/>
      </w:r>
    </w:p>
    <w:p>
      <w:pPr>
        <w:pStyle w:val="TOC8"/>
        <w:rPr>
          <w:rFonts w:asciiTheme="minorHAnsi" w:eastAsiaTheme="minorEastAsia" w:hAnsiTheme="minorHAnsi" w:cstheme="minorBidi"/>
          <w:szCs w:val="22"/>
        </w:rPr>
      </w:pPr>
      <w:r>
        <w:t>193.</w:t>
      </w:r>
      <w:r>
        <w:tab/>
        <w:t>Application for review of decision of the Regulatory Authority</w:t>
      </w:r>
      <w:r>
        <w:tab/>
      </w:r>
      <w:r>
        <w:fldChar w:fldCharType="begin"/>
      </w:r>
      <w:r>
        <w:instrText xml:space="preserve"> PAGEREF _Toc80611960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General</w:t>
      </w:r>
    </w:p>
    <w:p>
      <w:pPr>
        <w:pStyle w:val="TOC8"/>
        <w:rPr>
          <w:rFonts w:asciiTheme="minorHAnsi" w:eastAsiaTheme="minorEastAsia" w:hAnsiTheme="minorHAnsi" w:cstheme="minorBidi"/>
          <w:szCs w:val="22"/>
        </w:rPr>
      </w:pPr>
      <w:r>
        <w:t>194.</w:t>
      </w:r>
      <w:r>
        <w:tab/>
        <w:t>Relationship with Act establishing administrative body</w:t>
      </w:r>
      <w:r>
        <w:tab/>
      </w:r>
      <w:r>
        <w:fldChar w:fldCharType="begin"/>
      </w:r>
      <w:r>
        <w:instrText xml:space="preserve"> PAGEREF _Toc80611962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Part 9 — Monitoring and enforcement</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Authorised officers</w:t>
      </w:r>
    </w:p>
    <w:p>
      <w:pPr>
        <w:pStyle w:val="TOC8"/>
        <w:rPr>
          <w:rFonts w:asciiTheme="minorHAnsi" w:eastAsiaTheme="minorEastAsia" w:hAnsiTheme="minorHAnsi" w:cstheme="minorBidi"/>
          <w:szCs w:val="22"/>
        </w:rPr>
      </w:pPr>
      <w:r>
        <w:t>195.</w:t>
      </w:r>
      <w:r>
        <w:tab/>
        <w:t>Authorisation of authorised officers</w:t>
      </w:r>
      <w:r>
        <w:tab/>
      </w:r>
      <w:r>
        <w:fldChar w:fldCharType="begin"/>
      </w:r>
      <w:r>
        <w:instrText xml:space="preserve"> PAGEREF _Toc80611965 \h </w:instrText>
      </w:r>
      <w:r>
        <w:fldChar w:fldCharType="separate"/>
      </w:r>
      <w:r>
        <w:t>115</w:t>
      </w:r>
      <w:r>
        <w:fldChar w:fldCharType="end"/>
      </w:r>
    </w:p>
    <w:p>
      <w:pPr>
        <w:pStyle w:val="TOC8"/>
        <w:rPr>
          <w:rFonts w:asciiTheme="minorHAnsi" w:eastAsiaTheme="minorEastAsia" w:hAnsiTheme="minorHAnsi" w:cstheme="minorBidi"/>
          <w:szCs w:val="22"/>
        </w:rPr>
      </w:pPr>
      <w:r>
        <w:t>196.</w:t>
      </w:r>
      <w:r>
        <w:tab/>
        <w:t>Identity card</w:t>
      </w:r>
      <w:r>
        <w:tab/>
      </w:r>
      <w:r>
        <w:fldChar w:fldCharType="begin"/>
      </w:r>
      <w:r>
        <w:instrText xml:space="preserve"> PAGEREF _Toc80611966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Powers of entry</w:t>
      </w:r>
    </w:p>
    <w:p>
      <w:pPr>
        <w:pStyle w:val="TOC8"/>
        <w:rPr>
          <w:rFonts w:asciiTheme="minorHAnsi" w:eastAsiaTheme="minorEastAsia" w:hAnsiTheme="minorHAnsi" w:cstheme="minorBidi"/>
          <w:szCs w:val="22"/>
        </w:rPr>
      </w:pPr>
      <w:r>
        <w:t>197.</w:t>
      </w:r>
      <w:r>
        <w:tab/>
        <w:t>Powers of entry for assessing and monitoring approved education and care service</w:t>
      </w:r>
      <w:r>
        <w:tab/>
      </w:r>
      <w:r>
        <w:fldChar w:fldCharType="begin"/>
      </w:r>
      <w:r>
        <w:instrText xml:space="preserve"> PAGEREF _Toc80611968 \h </w:instrText>
      </w:r>
      <w:r>
        <w:fldChar w:fldCharType="separate"/>
      </w:r>
      <w:r>
        <w:t>116</w:t>
      </w:r>
      <w:r>
        <w:fldChar w:fldCharType="end"/>
      </w:r>
    </w:p>
    <w:p>
      <w:pPr>
        <w:pStyle w:val="TOC8"/>
        <w:rPr>
          <w:rFonts w:asciiTheme="minorHAnsi" w:eastAsiaTheme="minorEastAsia" w:hAnsiTheme="minorHAnsi" w:cstheme="minorBidi"/>
          <w:szCs w:val="22"/>
        </w:rPr>
      </w:pPr>
      <w:r>
        <w:t>198.</w:t>
      </w:r>
      <w:r>
        <w:tab/>
        <w:t>National Authority representative may enter service premises in company with Regulatory Authority</w:t>
      </w:r>
      <w:r>
        <w:tab/>
      </w:r>
      <w:r>
        <w:fldChar w:fldCharType="begin"/>
      </w:r>
      <w:r>
        <w:instrText xml:space="preserve"> PAGEREF _Toc80611969 \h </w:instrText>
      </w:r>
      <w:r>
        <w:fldChar w:fldCharType="separate"/>
      </w:r>
      <w:r>
        <w:t>118</w:t>
      </w:r>
      <w:r>
        <w:fldChar w:fldCharType="end"/>
      </w:r>
    </w:p>
    <w:p>
      <w:pPr>
        <w:pStyle w:val="TOC8"/>
        <w:rPr>
          <w:rFonts w:asciiTheme="minorHAnsi" w:eastAsiaTheme="minorEastAsia" w:hAnsiTheme="minorHAnsi" w:cstheme="minorBidi"/>
          <w:szCs w:val="22"/>
        </w:rPr>
      </w:pPr>
      <w:r>
        <w:t>199.</w:t>
      </w:r>
      <w:r>
        <w:tab/>
        <w:t>Powers of entry for investigating approved education and care service</w:t>
      </w:r>
      <w:r>
        <w:tab/>
      </w:r>
      <w:r>
        <w:fldChar w:fldCharType="begin"/>
      </w:r>
      <w:r>
        <w:instrText xml:space="preserve"> PAGEREF _Toc80611970 \h </w:instrText>
      </w:r>
      <w:r>
        <w:fldChar w:fldCharType="separate"/>
      </w:r>
      <w:r>
        <w:t>118</w:t>
      </w:r>
      <w:r>
        <w:fldChar w:fldCharType="end"/>
      </w:r>
    </w:p>
    <w:p>
      <w:pPr>
        <w:pStyle w:val="TOC8"/>
        <w:rPr>
          <w:rFonts w:asciiTheme="minorHAnsi" w:eastAsiaTheme="minorEastAsia" w:hAnsiTheme="minorHAnsi" w:cstheme="minorBidi"/>
          <w:szCs w:val="22"/>
        </w:rPr>
      </w:pPr>
      <w:r>
        <w:t>200.</w:t>
      </w:r>
      <w:r>
        <w:tab/>
        <w:t>Powers of entry to business premises</w:t>
      </w:r>
      <w:r>
        <w:tab/>
      </w:r>
      <w:r>
        <w:fldChar w:fldCharType="begin"/>
      </w:r>
      <w:r>
        <w:instrText xml:space="preserve"> PAGEREF _Toc80611971 \h </w:instrText>
      </w:r>
      <w:r>
        <w:fldChar w:fldCharType="separate"/>
      </w:r>
      <w:r>
        <w:t>119</w:t>
      </w:r>
      <w:r>
        <w:fldChar w:fldCharType="end"/>
      </w:r>
    </w:p>
    <w:p>
      <w:pPr>
        <w:pStyle w:val="TOC8"/>
        <w:rPr>
          <w:rFonts w:asciiTheme="minorHAnsi" w:eastAsiaTheme="minorEastAsia" w:hAnsiTheme="minorHAnsi" w:cstheme="minorBidi"/>
          <w:szCs w:val="22"/>
        </w:rPr>
      </w:pPr>
      <w:r>
        <w:t>200A.</w:t>
      </w:r>
      <w:r>
        <w:tab/>
        <w:t>Entry to premises without search warrant</w:t>
      </w:r>
      <w:r>
        <w:tab/>
      </w:r>
      <w:r>
        <w:fldChar w:fldCharType="begin"/>
      </w:r>
      <w:r>
        <w:instrText xml:space="preserve"> PAGEREF _Toc80611972 \h </w:instrText>
      </w:r>
      <w:r>
        <w:fldChar w:fldCharType="separate"/>
      </w:r>
      <w:r>
        <w:t>120</w:t>
      </w:r>
      <w:r>
        <w:fldChar w:fldCharType="end"/>
      </w:r>
    </w:p>
    <w:p>
      <w:pPr>
        <w:pStyle w:val="TOC8"/>
        <w:rPr>
          <w:rFonts w:asciiTheme="minorHAnsi" w:eastAsiaTheme="minorEastAsia" w:hAnsiTheme="minorHAnsi" w:cstheme="minorBidi"/>
          <w:szCs w:val="22"/>
        </w:rPr>
      </w:pPr>
      <w:r>
        <w:t>201.</w:t>
      </w:r>
      <w:r>
        <w:tab/>
        <w:t>Entry to premises with search warrant</w:t>
      </w:r>
      <w:r>
        <w:tab/>
      </w:r>
      <w:r>
        <w:fldChar w:fldCharType="begin"/>
      </w:r>
      <w:r>
        <w:instrText xml:space="preserve"> PAGEREF _Toc80611973 \h </w:instrText>
      </w:r>
      <w:r>
        <w:fldChar w:fldCharType="separate"/>
      </w:r>
      <w:r>
        <w:t>121</w:t>
      </w:r>
      <w:r>
        <w:fldChar w:fldCharType="end"/>
      </w:r>
    </w:p>
    <w:p>
      <w:pPr>
        <w:pStyle w:val="TOC8"/>
        <w:rPr>
          <w:rFonts w:asciiTheme="minorHAnsi" w:eastAsiaTheme="minorEastAsia" w:hAnsiTheme="minorHAnsi" w:cstheme="minorBidi"/>
          <w:szCs w:val="22"/>
        </w:rPr>
      </w:pPr>
      <w:r>
        <w:t>202.</w:t>
      </w:r>
      <w:r>
        <w:tab/>
        <w:t>Seized items</w:t>
      </w:r>
      <w:r>
        <w:tab/>
      </w:r>
      <w:r>
        <w:fldChar w:fldCharType="begin"/>
      </w:r>
      <w:r>
        <w:instrText xml:space="preserve"> PAGEREF _Toc80611974 \h </w:instrText>
      </w:r>
      <w:r>
        <w:fldChar w:fldCharType="separate"/>
      </w:r>
      <w:r>
        <w:t>122</w:t>
      </w:r>
      <w:r>
        <w:fldChar w:fldCharType="end"/>
      </w:r>
    </w:p>
    <w:p>
      <w:pPr>
        <w:pStyle w:val="TOC8"/>
        <w:rPr>
          <w:rFonts w:asciiTheme="minorHAnsi" w:eastAsiaTheme="minorEastAsia" w:hAnsiTheme="minorHAnsi" w:cstheme="minorBidi"/>
          <w:szCs w:val="22"/>
        </w:rPr>
      </w:pPr>
      <w:r>
        <w:t>203.</w:t>
      </w:r>
      <w:r>
        <w:tab/>
        <w:t>Court may extend period</w:t>
      </w:r>
      <w:r>
        <w:tab/>
      </w:r>
      <w:r>
        <w:fldChar w:fldCharType="begin"/>
      </w:r>
      <w:r>
        <w:instrText xml:space="preserve"> PAGEREF _Toc80611975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Other powers</w:t>
      </w:r>
    </w:p>
    <w:p>
      <w:pPr>
        <w:pStyle w:val="TOC8"/>
        <w:rPr>
          <w:rFonts w:asciiTheme="minorHAnsi" w:eastAsiaTheme="minorEastAsia" w:hAnsiTheme="minorHAnsi" w:cstheme="minorBidi"/>
          <w:szCs w:val="22"/>
        </w:rPr>
      </w:pPr>
      <w:r>
        <w:t>204.</w:t>
      </w:r>
      <w:r>
        <w:tab/>
        <w:t>Power to require name and address</w:t>
      </w:r>
      <w:r>
        <w:tab/>
      </w:r>
      <w:r>
        <w:fldChar w:fldCharType="begin"/>
      </w:r>
      <w:r>
        <w:instrText xml:space="preserve"> PAGEREF _Toc80611977 \h </w:instrText>
      </w:r>
      <w:r>
        <w:fldChar w:fldCharType="separate"/>
      </w:r>
      <w:r>
        <w:t>123</w:t>
      </w:r>
      <w:r>
        <w:fldChar w:fldCharType="end"/>
      </w:r>
    </w:p>
    <w:p>
      <w:pPr>
        <w:pStyle w:val="TOC8"/>
        <w:rPr>
          <w:rFonts w:asciiTheme="minorHAnsi" w:eastAsiaTheme="minorEastAsia" w:hAnsiTheme="minorHAnsi" w:cstheme="minorBidi"/>
          <w:szCs w:val="22"/>
        </w:rPr>
      </w:pPr>
      <w:r>
        <w:t>205.</w:t>
      </w:r>
      <w:r>
        <w:tab/>
        <w:t>Power to require evidence of age, name and address of person</w:t>
      </w:r>
      <w:r>
        <w:tab/>
      </w:r>
      <w:r>
        <w:fldChar w:fldCharType="begin"/>
      </w:r>
      <w:r>
        <w:instrText xml:space="preserve"> PAGEREF _Toc80611978 \h </w:instrText>
      </w:r>
      <w:r>
        <w:fldChar w:fldCharType="separate"/>
      </w:r>
      <w:r>
        <w:t>123</w:t>
      </w:r>
      <w:r>
        <w:fldChar w:fldCharType="end"/>
      </w:r>
    </w:p>
    <w:p>
      <w:pPr>
        <w:pStyle w:val="TOC8"/>
        <w:rPr>
          <w:rFonts w:asciiTheme="minorHAnsi" w:eastAsiaTheme="minorEastAsia" w:hAnsiTheme="minorHAnsi" w:cstheme="minorBidi"/>
          <w:szCs w:val="22"/>
        </w:rPr>
      </w:pPr>
      <w:r>
        <w:t>206.</w:t>
      </w:r>
      <w:r>
        <w:tab/>
        <w:t>Power of authorised officers to obtain information documents and evidence</w:t>
      </w:r>
      <w:r>
        <w:tab/>
      </w:r>
      <w:r>
        <w:fldChar w:fldCharType="begin"/>
      </w:r>
      <w:r>
        <w:instrText xml:space="preserve"> PAGEREF _Toc80611979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Offences relating to enforcement</w:t>
      </w:r>
    </w:p>
    <w:p>
      <w:pPr>
        <w:pStyle w:val="TOC8"/>
        <w:rPr>
          <w:rFonts w:asciiTheme="minorHAnsi" w:eastAsiaTheme="minorEastAsia" w:hAnsiTheme="minorHAnsi" w:cstheme="minorBidi"/>
          <w:szCs w:val="22"/>
        </w:rPr>
      </w:pPr>
      <w:r>
        <w:t>207.</w:t>
      </w:r>
      <w:r>
        <w:tab/>
        <w:t>Offence to obstruct authorised officer</w:t>
      </w:r>
      <w:r>
        <w:tab/>
      </w:r>
      <w:r>
        <w:fldChar w:fldCharType="begin"/>
      </w:r>
      <w:r>
        <w:instrText xml:space="preserve"> PAGEREF _Toc80611981 \h </w:instrText>
      </w:r>
      <w:r>
        <w:fldChar w:fldCharType="separate"/>
      </w:r>
      <w:r>
        <w:t>125</w:t>
      </w:r>
      <w:r>
        <w:fldChar w:fldCharType="end"/>
      </w:r>
    </w:p>
    <w:p>
      <w:pPr>
        <w:pStyle w:val="TOC8"/>
        <w:rPr>
          <w:rFonts w:asciiTheme="minorHAnsi" w:eastAsiaTheme="minorEastAsia" w:hAnsiTheme="minorHAnsi" w:cstheme="minorBidi"/>
          <w:szCs w:val="22"/>
        </w:rPr>
      </w:pPr>
      <w:r>
        <w:t>208.</w:t>
      </w:r>
      <w:r>
        <w:tab/>
        <w:t>Offence to fail to assist authorised officer</w:t>
      </w:r>
      <w:r>
        <w:tab/>
      </w:r>
      <w:r>
        <w:fldChar w:fldCharType="begin"/>
      </w:r>
      <w:r>
        <w:instrText xml:space="preserve"> PAGEREF _Toc80611982 \h </w:instrText>
      </w:r>
      <w:r>
        <w:fldChar w:fldCharType="separate"/>
      </w:r>
      <w:r>
        <w:t>125</w:t>
      </w:r>
      <w:r>
        <w:fldChar w:fldCharType="end"/>
      </w:r>
    </w:p>
    <w:p>
      <w:pPr>
        <w:pStyle w:val="TOC8"/>
        <w:rPr>
          <w:rFonts w:asciiTheme="minorHAnsi" w:eastAsiaTheme="minorEastAsia" w:hAnsiTheme="minorHAnsi" w:cstheme="minorBidi"/>
          <w:szCs w:val="22"/>
        </w:rPr>
      </w:pPr>
      <w:r>
        <w:lastRenderedPageBreak/>
        <w:t>209.</w:t>
      </w:r>
      <w:r>
        <w:tab/>
        <w:t>Offence to destroy or damage notices or documents</w:t>
      </w:r>
      <w:r>
        <w:tab/>
      </w:r>
      <w:r>
        <w:fldChar w:fldCharType="begin"/>
      </w:r>
      <w:r>
        <w:instrText xml:space="preserve"> PAGEREF _Toc80611983 \h </w:instrText>
      </w:r>
      <w:r>
        <w:fldChar w:fldCharType="separate"/>
      </w:r>
      <w:r>
        <w:t>126</w:t>
      </w:r>
      <w:r>
        <w:fldChar w:fldCharType="end"/>
      </w:r>
    </w:p>
    <w:p>
      <w:pPr>
        <w:pStyle w:val="TOC8"/>
        <w:rPr>
          <w:rFonts w:asciiTheme="minorHAnsi" w:eastAsiaTheme="minorEastAsia" w:hAnsiTheme="minorHAnsi" w:cstheme="minorBidi"/>
          <w:szCs w:val="22"/>
        </w:rPr>
      </w:pPr>
      <w:r>
        <w:t>210.</w:t>
      </w:r>
      <w:r>
        <w:tab/>
        <w:t>Offence to impersonate authorised officer</w:t>
      </w:r>
      <w:r>
        <w:tab/>
      </w:r>
      <w:r>
        <w:fldChar w:fldCharType="begin"/>
      </w:r>
      <w:r>
        <w:instrText xml:space="preserve"> PAGEREF _Toc80611984 \h </w:instrText>
      </w:r>
      <w:r>
        <w:fldChar w:fldCharType="separate"/>
      </w:r>
      <w:r>
        <w:t>126</w:t>
      </w:r>
      <w:r>
        <w:fldChar w:fldCharType="end"/>
      </w:r>
    </w:p>
    <w:p>
      <w:pPr>
        <w:pStyle w:val="TOC8"/>
        <w:rPr>
          <w:rFonts w:asciiTheme="minorHAnsi" w:eastAsiaTheme="minorEastAsia" w:hAnsiTheme="minorHAnsi" w:cstheme="minorBidi"/>
          <w:szCs w:val="22"/>
        </w:rPr>
      </w:pPr>
      <w:r>
        <w:t>211.</w:t>
      </w:r>
      <w:r>
        <w:tab/>
        <w:t>Protection against self-incrimination</w:t>
      </w:r>
      <w:r>
        <w:tab/>
      </w:r>
      <w:r>
        <w:fldChar w:fldCharType="begin"/>
      </w:r>
      <w:r>
        <w:instrText xml:space="preserve"> PAGEREF _Toc80611985 \h </w:instrText>
      </w:r>
      <w:r>
        <w:fldChar w:fldCharType="separate"/>
      </w:r>
      <w:r>
        <w:t>126</w:t>
      </w:r>
      <w:r>
        <w:fldChar w:fldCharType="end"/>
      </w:r>
    </w:p>
    <w:p>
      <w:pPr>
        <w:pStyle w:val="TOC8"/>
        <w:rPr>
          <w:rFonts w:asciiTheme="minorHAnsi" w:eastAsiaTheme="minorEastAsia" w:hAnsiTheme="minorHAnsi" w:cstheme="minorBidi"/>
          <w:szCs w:val="22"/>
        </w:rPr>
      </w:pPr>
      <w:r>
        <w:t>212.</w:t>
      </w:r>
      <w:r>
        <w:tab/>
        <w:t>Warning to be given</w:t>
      </w:r>
      <w:r>
        <w:tab/>
      </w:r>
      <w:r>
        <w:fldChar w:fldCharType="begin"/>
      </w:r>
      <w:r>
        <w:instrText xml:space="preserve"> PAGEREF _Toc80611986 \h </w:instrText>
      </w:r>
      <w:r>
        <w:fldChar w:fldCharType="separate"/>
      </w:r>
      <w:r>
        <w:t>127</w:t>
      </w:r>
      <w:r>
        <w:fldChar w:fldCharType="end"/>
      </w:r>
    </w:p>
    <w:p>
      <w:pPr>
        <w:pStyle w:val="TOC8"/>
        <w:rPr>
          <w:rFonts w:asciiTheme="minorHAnsi" w:eastAsiaTheme="minorEastAsia" w:hAnsiTheme="minorHAnsi" w:cstheme="minorBidi"/>
          <w:szCs w:val="22"/>
        </w:rPr>
      </w:pPr>
      <w:r>
        <w:t>213.</w:t>
      </w:r>
      <w:r>
        <w:tab/>
        <w:t>Occupier’s consent to search</w:t>
      </w:r>
      <w:r>
        <w:tab/>
      </w:r>
      <w:r>
        <w:fldChar w:fldCharType="begin"/>
      </w:r>
      <w:r>
        <w:instrText xml:space="preserve"> PAGEREF _Toc80611987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Powers of Regulatory Authority</w:t>
      </w:r>
    </w:p>
    <w:p>
      <w:pPr>
        <w:pStyle w:val="TOC8"/>
        <w:rPr>
          <w:rFonts w:asciiTheme="minorHAnsi" w:eastAsiaTheme="minorEastAsia" w:hAnsiTheme="minorHAnsi" w:cstheme="minorBidi"/>
          <w:szCs w:val="22"/>
        </w:rPr>
      </w:pPr>
      <w:r>
        <w:t>214.</w:t>
      </w:r>
      <w:r>
        <w:tab/>
        <w:t>Powers of Regulatory Authority to obtain information for rating purposes</w:t>
      </w:r>
      <w:r>
        <w:tab/>
      </w:r>
      <w:r>
        <w:fldChar w:fldCharType="begin"/>
      </w:r>
      <w:r>
        <w:instrText xml:space="preserve"> PAGEREF _Toc80611989 \h </w:instrText>
      </w:r>
      <w:r>
        <w:fldChar w:fldCharType="separate"/>
      </w:r>
      <w:r>
        <w:t>127</w:t>
      </w:r>
      <w:r>
        <w:fldChar w:fldCharType="end"/>
      </w:r>
    </w:p>
    <w:p>
      <w:pPr>
        <w:pStyle w:val="TOC8"/>
        <w:rPr>
          <w:rFonts w:asciiTheme="minorHAnsi" w:eastAsiaTheme="minorEastAsia" w:hAnsiTheme="minorHAnsi" w:cstheme="minorBidi"/>
          <w:szCs w:val="22"/>
        </w:rPr>
      </w:pPr>
      <w:r>
        <w:t>215.</w:t>
      </w:r>
      <w:r>
        <w:tab/>
        <w:t>Power of Regulatory Authority to obtain information, documents and evidence by notice</w:t>
      </w:r>
      <w:r>
        <w:tab/>
      </w:r>
      <w:r>
        <w:fldChar w:fldCharType="begin"/>
      </w:r>
      <w:r>
        <w:instrText xml:space="preserve"> PAGEREF _Toc80611990 \h </w:instrText>
      </w:r>
      <w:r>
        <w:fldChar w:fldCharType="separate"/>
      </w:r>
      <w:r>
        <w:t>128</w:t>
      </w:r>
      <w:r>
        <w:fldChar w:fldCharType="end"/>
      </w:r>
    </w:p>
    <w:p>
      <w:pPr>
        <w:pStyle w:val="TOC8"/>
        <w:rPr>
          <w:rFonts w:asciiTheme="minorHAnsi" w:eastAsiaTheme="minorEastAsia" w:hAnsiTheme="minorHAnsi" w:cstheme="minorBidi"/>
          <w:szCs w:val="22"/>
        </w:rPr>
      </w:pPr>
      <w:r>
        <w:t>216.</w:t>
      </w:r>
      <w:r>
        <w:tab/>
        <w:t>Power of Regulatory Authority to obtain information, documents and evidence at education and care service</w:t>
      </w:r>
      <w:r>
        <w:tab/>
      </w:r>
      <w:r>
        <w:fldChar w:fldCharType="begin"/>
      </w:r>
      <w:r>
        <w:instrText xml:space="preserve"> PAGEREF _Toc80611991 \h </w:instrText>
      </w:r>
      <w:r>
        <w:fldChar w:fldCharType="separate"/>
      </w:r>
      <w:r>
        <w:t>129</w:t>
      </w:r>
      <w:r>
        <w:fldChar w:fldCharType="end"/>
      </w:r>
    </w:p>
    <w:p>
      <w:pPr>
        <w:pStyle w:val="TOC8"/>
        <w:rPr>
          <w:rFonts w:asciiTheme="minorHAnsi" w:eastAsiaTheme="minorEastAsia" w:hAnsiTheme="minorHAnsi" w:cstheme="minorBidi"/>
          <w:szCs w:val="22"/>
        </w:rPr>
      </w:pPr>
      <w:r>
        <w:t>217.</w:t>
      </w:r>
      <w:r>
        <w:tab/>
        <w:t>Offence to fail to comply with notice or requirement</w:t>
      </w:r>
      <w:r>
        <w:tab/>
      </w:r>
      <w:r>
        <w:fldChar w:fldCharType="begin"/>
      </w:r>
      <w:r>
        <w:instrText xml:space="preserve"> PAGEREF _Toc80611992 \h </w:instrText>
      </w:r>
      <w:r>
        <w:fldChar w:fldCharType="separate"/>
      </w:r>
      <w:r>
        <w:t>129</w:t>
      </w:r>
      <w:r>
        <w:fldChar w:fldCharType="end"/>
      </w:r>
    </w:p>
    <w:p>
      <w:pPr>
        <w:pStyle w:val="TOC8"/>
        <w:rPr>
          <w:rFonts w:asciiTheme="minorHAnsi" w:eastAsiaTheme="minorEastAsia" w:hAnsiTheme="minorHAnsi" w:cstheme="minorBidi"/>
          <w:szCs w:val="22"/>
        </w:rPr>
      </w:pPr>
      <w:r>
        <w:t>218.</w:t>
      </w:r>
      <w:r>
        <w:tab/>
        <w:t>Offence to hinder or obstruct Regulatory Authority</w:t>
      </w:r>
      <w:r>
        <w:tab/>
      </w:r>
      <w:r>
        <w:fldChar w:fldCharType="begin"/>
      </w:r>
      <w:r>
        <w:instrText xml:space="preserve"> PAGEREF _Toc80611993 \h </w:instrText>
      </w:r>
      <w:r>
        <w:fldChar w:fldCharType="separate"/>
      </w:r>
      <w:r>
        <w:t>129</w:t>
      </w:r>
      <w:r>
        <w:fldChar w:fldCharType="end"/>
      </w:r>
    </w:p>
    <w:p>
      <w:pPr>
        <w:pStyle w:val="TOC8"/>
        <w:rPr>
          <w:rFonts w:asciiTheme="minorHAnsi" w:eastAsiaTheme="minorEastAsia" w:hAnsiTheme="minorHAnsi" w:cstheme="minorBidi"/>
          <w:szCs w:val="22"/>
        </w:rPr>
      </w:pPr>
      <w:r>
        <w:t>219.</w:t>
      </w:r>
      <w:r>
        <w:tab/>
        <w:t>Self-incrimination not an excuse</w:t>
      </w:r>
      <w:r>
        <w:tab/>
      </w:r>
      <w:r>
        <w:fldChar w:fldCharType="begin"/>
      </w:r>
      <w:r>
        <w:instrText xml:space="preserve"> PAGEREF _Toc80611994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Part 10 — Ministerial Council</w:t>
      </w:r>
    </w:p>
    <w:p>
      <w:pPr>
        <w:pStyle w:val="TOC8"/>
        <w:rPr>
          <w:rFonts w:asciiTheme="minorHAnsi" w:eastAsiaTheme="minorEastAsia" w:hAnsiTheme="minorHAnsi" w:cstheme="minorBidi"/>
          <w:szCs w:val="22"/>
        </w:rPr>
      </w:pPr>
      <w:r>
        <w:t>220.</w:t>
      </w:r>
      <w:r>
        <w:tab/>
        <w:t>Functions of Ministerial Council</w:t>
      </w:r>
      <w:r>
        <w:tab/>
      </w:r>
      <w:r>
        <w:fldChar w:fldCharType="begin"/>
      </w:r>
      <w:r>
        <w:instrText xml:space="preserve"> PAGEREF _Toc80611996 \h </w:instrText>
      </w:r>
      <w:r>
        <w:fldChar w:fldCharType="separate"/>
      </w:r>
      <w:r>
        <w:t>130</w:t>
      </w:r>
      <w:r>
        <w:fldChar w:fldCharType="end"/>
      </w:r>
    </w:p>
    <w:p>
      <w:pPr>
        <w:pStyle w:val="TOC8"/>
        <w:rPr>
          <w:rFonts w:asciiTheme="minorHAnsi" w:eastAsiaTheme="minorEastAsia" w:hAnsiTheme="minorHAnsi" w:cstheme="minorBidi"/>
          <w:szCs w:val="22"/>
        </w:rPr>
      </w:pPr>
      <w:r>
        <w:t>221.</w:t>
      </w:r>
      <w:r>
        <w:tab/>
        <w:t>Powers of Ministerial Council</w:t>
      </w:r>
      <w:r>
        <w:tab/>
      </w:r>
      <w:r>
        <w:fldChar w:fldCharType="begin"/>
      </w:r>
      <w:r>
        <w:instrText xml:space="preserve"> PAGEREF _Toc80611997 \h </w:instrText>
      </w:r>
      <w:r>
        <w:fldChar w:fldCharType="separate"/>
      </w:r>
      <w:r>
        <w:t>131</w:t>
      </w:r>
      <w:r>
        <w:fldChar w:fldCharType="end"/>
      </w:r>
    </w:p>
    <w:p>
      <w:pPr>
        <w:pStyle w:val="TOC8"/>
        <w:rPr>
          <w:rFonts w:asciiTheme="minorHAnsi" w:eastAsiaTheme="minorEastAsia" w:hAnsiTheme="minorHAnsi" w:cstheme="minorBidi"/>
          <w:szCs w:val="22"/>
        </w:rPr>
      </w:pPr>
      <w:r>
        <w:t>222.</w:t>
      </w:r>
      <w:r>
        <w:tab/>
        <w:t>Directions</w:t>
      </w:r>
      <w:r>
        <w:tab/>
      </w:r>
      <w:r>
        <w:fldChar w:fldCharType="begin"/>
      </w:r>
      <w:r>
        <w:instrText xml:space="preserve"> PAGEREF _Toc80611998 \h </w:instrText>
      </w:r>
      <w:r>
        <w:fldChar w:fldCharType="separate"/>
      </w:r>
      <w:r>
        <w:t>132</w:t>
      </w:r>
      <w:r>
        <w:fldChar w:fldCharType="end"/>
      </w:r>
    </w:p>
    <w:p>
      <w:pPr>
        <w:pStyle w:val="TOC8"/>
        <w:rPr>
          <w:rFonts w:asciiTheme="minorHAnsi" w:eastAsiaTheme="minorEastAsia" w:hAnsiTheme="minorHAnsi" w:cstheme="minorBidi"/>
          <w:szCs w:val="22"/>
        </w:rPr>
      </w:pPr>
      <w:r>
        <w:t>223.</w:t>
      </w:r>
      <w:r>
        <w:tab/>
        <w:t>How Ministerial Council exercises powers</w:t>
      </w:r>
      <w:r>
        <w:tab/>
      </w:r>
      <w:r>
        <w:fldChar w:fldCharType="begin"/>
      </w:r>
      <w:r>
        <w:instrText xml:space="preserve"> PAGEREF _Toc80611999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Part 11 — Australian Children’s Education and Care Quality Authority</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The National Authority</w:t>
      </w:r>
    </w:p>
    <w:p>
      <w:pPr>
        <w:pStyle w:val="TOC8"/>
        <w:rPr>
          <w:rFonts w:asciiTheme="minorHAnsi" w:eastAsiaTheme="minorEastAsia" w:hAnsiTheme="minorHAnsi" w:cstheme="minorBidi"/>
          <w:szCs w:val="22"/>
        </w:rPr>
      </w:pPr>
      <w:r>
        <w:t>224.</w:t>
      </w:r>
      <w:r>
        <w:tab/>
        <w:t>National Authority</w:t>
      </w:r>
      <w:r>
        <w:tab/>
      </w:r>
      <w:r>
        <w:fldChar w:fldCharType="begin"/>
      </w:r>
      <w:r>
        <w:instrText xml:space="preserve"> PAGEREF _Toc80612002 \h </w:instrText>
      </w:r>
      <w:r>
        <w:fldChar w:fldCharType="separate"/>
      </w:r>
      <w:r>
        <w:t>133</w:t>
      </w:r>
      <w:r>
        <w:fldChar w:fldCharType="end"/>
      </w:r>
    </w:p>
    <w:p>
      <w:pPr>
        <w:pStyle w:val="TOC8"/>
        <w:rPr>
          <w:rFonts w:asciiTheme="minorHAnsi" w:eastAsiaTheme="minorEastAsia" w:hAnsiTheme="minorHAnsi" w:cstheme="minorBidi"/>
          <w:szCs w:val="22"/>
        </w:rPr>
      </w:pPr>
      <w:r>
        <w:t>225.</w:t>
      </w:r>
      <w:r>
        <w:tab/>
        <w:t>Functions of National Authority</w:t>
      </w:r>
      <w:r>
        <w:tab/>
      </w:r>
      <w:r>
        <w:fldChar w:fldCharType="begin"/>
      </w:r>
      <w:r>
        <w:instrText xml:space="preserve"> PAGEREF _Toc80612003 \h </w:instrText>
      </w:r>
      <w:r>
        <w:fldChar w:fldCharType="separate"/>
      </w:r>
      <w:r>
        <w:t>133</w:t>
      </w:r>
      <w:r>
        <w:fldChar w:fldCharType="end"/>
      </w:r>
    </w:p>
    <w:p>
      <w:pPr>
        <w:pStyle w:val="TOC8"/>
        <w:rPr>
          <w:rFonts w:asciiTheme="minorHAnsi" w:eastAsiaTheme="minorEastAsia" w:hAnsiTheme="minorHAnsi" w:cstheme="minorBidi"/>
          <w:szCs w:val="22"/>
        </w:rPr>
      </w:pPr>
      <w:r>
        <w:t>226.</w:t>
      </w:r>
      <w:r>
        <w:tab/>
        <w:t>National Authority may advise and seek guidance of Ministerial Council</w:t>
      </w:r>
      <w:r>
        <w:tab/>
      </w:r>
      <w:r>
        <w:fldChar w:fldCharType="begin"/>
      </w:r>
      <w:r>
        <w:instrText xml:space="preserve"> PAGEREF _Toc80612004 \h </w:instrText>
      </w:r>
      <w:r>
        <w:fldChar w:fldCharType="separate"/>
      </w:r>
      <w:r>
        <w:t>135</w:t>
      </w:r>
      <w:r>
        <w:fldChar w:fldCharType="end"/>
      </w:r>
    </w:p>
    <w:p>
      <w:pPr>
        <w:pStyle w:val="TOC8"/>
        <w:rPr>
          <w:rFonts w:asciiTheme="minorHAnsi" w:eastAsiaTheme="minorEastAsia" w:hAnsiTheme="minorHAnsi" w:cstheme="minorBidi"/>
          <w:szCs w:val="22"/>
        </w:rPr>
      </w:pPr>
      <w:r>
        <w:t>227.</w:t>
      </w:r>
      <w:r>
        <w:tab/>
        <w:t>Powers of National Authority</w:t>
      </w:r>
      <w:r>
        <w:tab/>
      </w:r>
      <w:r>
        <w:fldChar w:fldCharType="begin"/>
      </w:r>
      <w:r>
        <w:instrText xml:space="preserve"> PAGEREF _Toc80612005 \h </w:instrText>
      </w:r>
      <w:r>
        <w:fldChar w:fldCharType="separate"/>
      </w:r>
      <w:r>
        <w:t>135</w:t>
      </w:r>
      <w:r>
        <w:fldChar w:fldCharType="end"/>
      </w:r>
    </w:p>
    <w:p>
      <w:pPr>
        <w:pStyle w:val="TOC8"/>
        <w:rPr>
          <w:rFonts w:asciiTheme="minorHAnsi" w:eastAsiaTheme="minorEastAsia" w:hAnsiTheme="minorHAnsi" w:cstheme="minorBidi"/>
          <w:szCs w:val="22"/>
        </w:rPr>
      </w:pPr>
      <w:r>
        <w:t>228.</w:t>
      </w:r>
      <w:r>
        <w:tab/>
        <w:t>Co</w:t>
      </w:r>
      <w:r>
        <w:noBreakHyphen/>
        <w:t>operation with participating jurisdictions and Commonwealth</w:t>
      </w:r>
      <w:r>
        <w:tab/>
      </w:r>
      <w:r>
        <w:fldChar w:fldCharType="begin"/>
      </w:r>
      <w:r>
        <w:instrText xml:space="preserve"> PAGEREF _Toc80612006 \h </w:instrText>
      </w:r>
      <w:r>
        <w:fldChar w:fldCharType="separate"/>
      </w:r>
      <w:r>
        <w:t>136</w:t>
      </w:r>
      <w:r>
        <w:fldChar w:fldCharType="end"/>
      </w:r>
    </w:p>
    <w:p>
      <w:pPr>
        <w:pStyle w:val="TOC8"/>
        <w:rPr>
          <w:rFonts w:asciiTheme="minorHAnsi" w:eastAsiaTheme="minorEastAsia" w:hAnsiTheme="minorHAnsi" w:cstheme="minorBidi"/>
          <w:szCs w:val="22"/>
        </w:rPr>
      </w:pPr>
      <w:r>
        <w:t>229.</w:t>
      </w:r>
      <w:r>
        <w:tab/>
        <w:t>National audit functions</w:t>
      </w:r>
      <w:r>
        <w:tab/>
      </w:r>
      <w:r>
        <w:fldChar w:fldCharType="begin"/>
      </w:r>
      <w:r>
        <w:instrText xml:space="preserve"> PAGEREF _Toc80612007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The Board of the National Authority</w:t>
      </w:r>
    </w:p>
    <w:p>
      <w:pPr>
        <w:pStyle w:val="TOC6"/>
        <w:tabs>
          <w:tab w:val="right" w:leader="dot" w:pos="7077"/>
        </w:tabs>
        <w:rPr>
          <w:rFonts w:asciiTheme="minorHAnsi" w:eastAsiaTheme="minorEastAsia" w:hAnsiTheme="minorHAnsi" w:cstheme="minorBidi"/>
          <w:b w:val="0"/>
          <w:sz w:val="22"/>
          <w:szCs w:val="22"/>
        </w:rPr>
      </w:pPr>
      <w:r>
        <w:t>Subdivision 1 — Establishment and responsibilities</w:t>
      </w:r>
    </w:p>
    <w:p>
      <w:pPr>
        <w:pStyle w:val="TOC8"/>
        <w:rPr>
          <w:rFonts w:asciiTheme="minorHAnsi" w:eastAsiaTheme="minorEastAsia" w:hAnsiTheme="minorHAnsi" w:cstheme="minorBidi"/>
          <w:szCs w:val="22"/>
        </w:rPr>
      </w:pPr>
      <w:r>
        <w:t>230.</w:t>
      </w:r>
      <w:r>
        <w:tab/>
        <w:t>National Authority Board</w:t>
      </w:r>
      <w:r>
        <w:tab/>
      </w:r>
      <w:r>
        <w:fldChar w:fldCharType="begin"/>
      </w:r>
      <w:r>
        <w:instrText xml:space="preserve"> PAGEREF _Toc80612010 \h </w:instrText>
      </w:r>
      <w:r>
        <w:fldChar w:fldCharType="separate"/>
      </w:r>
      <w:r>
        <w:t>137</w:t>
      </w:r>
      <w:r>
        <w:fldChar w:fldCharType="end"/>
      </w:r>
    </w:p>
    <w:p>
      <w:pPr>
        <w:pStyle w:val="TOC8"/>
        <w:rPr>
          <w:rFonts w:asciiTheme="minorHAnsi" w:eastAsiaTheme="minorEastAsia" w:hAnsiTheme="minorHAnsi" w:cstheme="minorBidi"/>
          <w:szCs w:val="22"/>
        </w:rPr>
      </w:pPr>
      <w:r>
        <w:t>231.</w:t>
      </w:r>
      <w:r>
        <w:tab/>
        <w:t>Responsibilities of Board</w:t>
      </w:r>
      <w:r>
        <w:tab/>
      </w:r>
      <w:r>
        <w:fldChar w:fldCharType="begin"/>
      </w:r>
      <w:r>
        <w:instrText xml:space="preserve"> PAGEREF _Toc80612011 \h </w:instrText>
      </w:r>
      <w:r>
        <w:fldChar w:fldCharType="separate"/>
      </w:r>
      <w:r>
        <w:t>137</w:t>
      </w:r>
      <w:r>
        <w:fldChar w:fldCharType="end"/>
      </w:r>
    </w:p>
    <w:p>
      <w:pPr>
        <w:pStyle w:val="TOC8"/>
        <w:rPr>
          <w:rFonts w:asciiTheme="minorHAnsi" w:eastAsiaTheme="minorEastAsia" w:hAnsiTheme="minorHAnsi" w:cstheme="minorBidi"/>
          <w:szCs w:val="22"/>
        </w:rPr>
      </w:pPr>
      <w:r>
        <w:t>232.</w:t>
      </w:r>
      <w:r>
        <w:tab/>
        <w:t>Membership of Board</w:t>
      </w:r>
      <w:r>
        <w:tab/>
      </w:r>
      <w:r>
        <w:fldChar w:fldCharType="begin"/>
      </w:r>
      <w:r>
        <w:instrText xml:space="preserve"> PAGEREF _Toc80612012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Members</w:t>
      </w:r>
    </w:p>
    <w:p>
      <w:pPr>
        <w:pStyle w:val="TOC8"/>
        <w:rPr>
          <w:rFonts w:asciiTheme="minorHAnsi" w:eastAsiaTheme="minorEastAsia" w:hAnsiTheme="minorHAnsi" w:cstheme="minorBidi"/>
          <w:szCs w:val="22"/>
        </w:rPr>
      </w:pPr>
      <w:r>
        <w:t>233.</w:t>
      </w:r>
      <w:r>
        <w:tab/>
        <w:t>Terms of office of members</w:t>
      </w:r>
      <w:r>
        <w:tab/>
      </w:r>
      <w:r>
        <w:fldChar w:fldCharType="begin"/>
      </w:r>
      <w:r>
        <w:instrText xml:space="preserve"> PAGEREF _Toc80612014 \h </w:instrText>
      </w:r>
      <w:r>
        <w:fldChar w:fldCharType="separate"/>
      </w:r>
      <w:r>
        <w:t>139</w:t>
      </w:r>
      <w:r>
        <w:fldChar w:fldCharType="end"/>
      </w:r>
    </w:p>
    <w:p>
      <w:pPr>
        <w:pStyle w:val="TOC8"/>
        <w:rPr>
          <w:rFonts w:asciiTheme="minorHAnsi" w:eastAsiaTheme="minorEastAsia" w:hAnsiTheme="minorHAnsi" w:cstheme="minorBidi"/>
          <w:szCs w:val="22"/>
        </w:rPr>
      </w:pPr>
      <w:r>
        <w:t>234.</w:t>
      </w:r>
      <w:r>
        <w:tab/>
        <w:t>Remuneration</w:t>
      </w:r>
      <w:r>
        <w:tab/>
      </w:r>
      <w:r>
        <w:fldChar w:fldCharType="begin"/>
      </w:r>
      <w:r>
        <w:instrText xml:space="preserve"> PAGEREF _Toc80612015 \h </w:instrText>
      </w:r>
      <w:r>
        <w:fldChar w:fldCharType="separate"/>
      </w:r>
      <w:r>
        <w:t>139</w:t>
      </w:r>
      <w:r>
        <w:fldChar w:fldCharType="end"/>
      </w:r>
    </w:p>
    <w:p>
      <w:pPr>
        <w:pStyle w:val="TOC8"/>
        <w:rPr>
          <w:rFonts w:asciiTheme="minorHAnsi" w:eastAsiaTheme="minorEastAsia" w:hAnsiTheme="minorHAnsi" w:cstheme="minorBidi"/>
          <w:szCs w:val="22"/>
        </w:rPr>
      </w:pPr>
      <w:r>
        <w:t>235.</w:t>
      </w:r>
      <w:r>
        <w:tab/>
        <w:t>Vacancy in the office of member</w:t>
      </w:r>
      <w:r>
        <w:tab/>
      </w:r>
      <w:r>
        <w:fldChar w:fldCharType="begin"/>
      </w:r>
      <w:r>
        <w:instrText xml:space="preserve"> PAGEREF _Toc80612016 \h </w:instrText>
      </w:r>
      <w:r>
        <w:fldChar w:fldCharType="separate"/>
      </w:r>
      <w:r>
        <w:t>139</w:t>
      </w:r>
      <w:r>
        <w:fldChar w:fldCharType="end"/>
      </w:r>
    </w:p>
    <w:p>
      <w:pPr>
        <w:pStyle w:val="TOC8"/>
        <w:rPr>
          <w:rFonts w:asciiTheme="minorHAnsi" w:eastAsiaTheme="minorEastAsia" w:hAnsiTheme="minorHAnsi" w:cstheme="minorBidi"/>
          <w:szCs w:val="22"/>
        </w:rPr>
      </w:pPr>
      <w:r>
        <w:t>236.</w:t>
      </w:r>
      <w:r>
        <w:tab/>
        <w:t>Acting positions</w:t>
      </w:r>
      <w:r>
        <w:tab/>
      </w:r>
      <w:r>
        <w:fldChar w:fldCharType="begin"/>
      </w:r>
      <w:r>
        <w:instrText xml:space="preserve"> PAGEREF _Toc80612017 \h </w:instrText>
      </w:r>
      <w:r>
        <w:fldChar w:fldCharType="separate"/>
      </w:r>
      <w:r>
        <w:t>141</w:t>
      </w:r>
      <w:r>
        <w:fldChar w:fldCharType="end"/>
      </w:r>
    </w:p>
    <w:p>
      <w:pPr>
        <w:pStyle w:val="TOC8"/>
        <w:rPr>
          <w:rFonts w:asciiTheme="minorHAnsi" w:eastAsiaTheme="minorEastAsia" w:hAnsiTheme="minorHAnsi" w:cstheme="minorBidi"/>
          <w:szCs w:val="22"/>
        </w:rPr>
      </w:pPr>
      <w:r>
        <w:t>237.</w:t>
      </w:r>
      <w:r>
        <w:tab/>
        <w:t>Leave of absence</w:t>
      </w:r>
      <w:r>
        <w:tab/>
      </w:r>
      <w:r>
        <w:fldChar w:fldCharType="begin"/>
      </w:r>
      <w:r>
        <w:instrText xml:space="preserve"> PAGEREF _Toc80612018 \h </w:instrText>
      </w:r>
      <w:r>
        <w:fldChar w:fldCharType="separate"/>
      </w:r>
      <w:r>
        <w:t>142</w:t>
      </w:r>
      <w:r>
        <w:fldChar w:fldCharType="end"/>
      </w:r>
    </w:p>
    <w:p>
      <w:pPr>
        <w:pStyle w:val="TOC8"/>
        <w:rPr>
          <w:rFonts w:asciiTheme="minorHAnsi" w:eastAsiaTheme="minorEastAsia" w:hAnsiTheme="minorHAnsi" w:cstheme="minorBidi"/>
          <w:szCs w:val="22"/>
        </w:rPr>
      </w:pPr>
      <w:r>
        <w:t>238.</w:t>
      </w:r>
      <w:r>
        <w:tab/>
        <w:t>Disclosure of conflict of interest</w:t>
      </w:r>
      <w:r>
        <w:tab/>
      </w:r>
      <w:r>
        <w:fldChar w:fldCharType="begin"/>
      </w:r>
      <w:r>
        <w:instrText xml:space="preserve"> PAGEREF _Toc80612019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Procedure of Board</w:t>
      </w:r>
    </w:p>
    <w:p>
      <w:pPr>
        <w:pStyle w:val="TOC8"/>
        <w:rPr>
          <w:rFonts w:asciiTheme="minorHAnsi" w:eastAsiaTheme="minorEastAsia" w:hAnsiTheme="minorHAnsi" w:cstheme="minorBidi"/>
          <w:szCs w:val="22"/>
        </w:rPr>
      </w:pPr>
      <w:r>
        <w:t>239.</w:t>
      </w:r>
      <w:r>
        <w:tab/>
        <w:t>General procedure</w:t>
      </w:r>
      <w:r>
        <w:tab/>
      </w:r>
      <w:r>
        <w:fldChar w:fldCharType="begin"/>
      </w:r>
      <w:r>
        <w:instrText xml:space="preserve"> PAGEREF _Toc80612021 \h </w:instrText>
      </w:r>
      <w:r>
        <w:fldChar w:fldCharType="separate"/>
      </w:r>
      <w:r>
        <w:t>143</w:t>
      </w:r>
      <w:r>
        <w:fldChar w:fldCharType="end"/>
      </w:r>
    </w:p>
    <w:p>
      <w:pPr>
        <w:pStyle w:val="TOC8"/>
        <w:rPr>
          <w:rFonts w:asciiTheme="minorHAnsi" w:eastAsiaTheme="minorEastAsia" w:hAnsiTheme="minorHAnsi" w:cstheme="minorBidi"/>
          <w:szCs w:val="22"/>
        </w:rPr>
      </w:pPr>
      <w:r>
        <w:t>240.</w:t>
      </w:r>
      <w:r>
        <w:tab/>
        <w:t>Quorum</w:t>
      </w:r>
      <w:r>
        <w:tab/>
      </w:r>
      <w:r>
        <w:fldChar w:fldCharType="begin"/>
      </w:r>
      <w:r>
        <w:instrText xml:space="preserve"> PAGEREF _Toc80612022 \h </w:instrText>
      </w:r>
      <w:r>
        <w:fldChar w:fldCharType="separate"/>
      </w:r>
      <w:r>
        <w:t>143</w:t>
      </w:r>
      <w:r>
        <w:fldChar w:fldCharType="end"/>
      </w:r>
    </w:p>
    <w:p>
      <w:pPr>
        <w:pStyle w:val="TOC8"/>
        <w:rPr>
          <w:rFonts w:asciiTheme="minorHAnsi" w:eastAsiaTheme="minorEastAsia" w:hAnsiTheme="minorHAnsi" w:cstheme="minorBidi"/>
          <w:szCs w:val="22"/>
        </w:rPr>
      </w:pPr>
      <w:r>
        <w:t>241.</w:t>
      </w:r>
      <w:r>
        <w:tab/>
        <w:t>Chief executive officer may attend meetings of the Board</w:t>
      </w:r>
      <w:r>
        <w:tab/>
      </w:r>
      <w:r>
        <w:fldChar w:fldCharType="begin"/>
      </w:r>
      <w:r>
        <w:instrText xml:space="preserve"> PAGEREF _Toc80612023 \h </w:instrText>
      </w:r>
      <w:r>
        <w:fldChar w:fldCharType="separate"/>
      </w:r>
      <w:r>
        <w:t>144</w:t>
      </w:r>
      <w:r>
        <w:fldChar w:fldCharType="end"/>
      </w:r>
    </w:p>
    <w:p>
      <w:pPr>
        <w:pStyle w:val="TOC8"/>
        <w:rPr>
          <w:rFonts w:asciiTheme="minorHAnsi" w:eastAsiaTheme="minorEastAsia" w:hAnsiTheme="minorHAnsi" w:cstheme="minorBidi"/>
          <w:szCs w:val="22"/>
        </w:rPr>
      </w:pPr>
      <w:r>
        <w:t>242.</w:t>
      </w:r>
      <w:r>
        <w:tab/>
        <w:t>Presiding member</w:t>
      </w:r>
      <w:r>
        <w:tab/>
      </w:r>
      <w:r>
        <w:fldChar w:fldCharType="begin"/>
      </w:r>
      <w:r>
        <w:instrText xml:space="preserve"> PAGEREF _Toc80612024 \h </w:instrText>
      </w:r>
      <w:r>
        <w:fldChar w:fldCharType="separate"/>
      </w:r>
      <w:r>
        <w:t>144</w:t>
      </w:r>
      <w:r>
        <w:fldChar w:fldCharType="end"/>
      </w:r>
    </w:p>
    <w:p>
      <w:pPr>
        <w:pStyle w:val="TOC8"/>
        <w:rPr>
          <w:rFonts w:asciiTheme="minorHAnsi" w:eastAsiaTheme="minorEastAsia" w:hAnsiTheme="minorHAnsi" w:cstheme="minorBidi"/>
          <w:szCs w:val="22"/>
        </w:rPr>
      </w:pPr>
      <w:r>
        <w:t>243.</w:t>
      </w:r>
      <w:r>
        <w:tab/>
        <w:t>Voting</w:t>
      </w:r>
      <w:r>
        <w:tab/>
      </w:r>
      <w:r>
        <w:fldChar w:fldCharType="begin"/>
      </w:r>
      <w:r>
        <w:instrText xml:space="preserve"> PAGEREF _Toc80612025 \h </w:instrText>
      </w:r>
      <w:r>
        <w:fldChar w:fldCharType="separate"/>
      </w:r>
      <w:r>
        <w:t>144</w:t>
      </w:r>
      <w:r>
        <w:fldChar w:fldCharType="end"/>
      </w:r>
    </w:p>
    <w:p>
      <w:pPr>
        <w:pStyle w:val="TOC8"/>
        <w:rPr>
          <w:rFonts w:asciiTheme="minorHAnsi" w:eastAsiaTheme="minorEastAsia" w:hAnsiTheme="minorHAnsi" w:cstheme="minorBidi"/>
          <w:szCs w:val="22"/>
        </w:rPr>
      </w:pPr>
      <w:r>
        <w:t>244.</w:t>
      </w:r>
      <w:r>
        <w:tab/>
        <w:t>Defects in appointment of members</w:t>
      </w:r>
      <w:r>
        <w:tab/>
      </w:r>
      <w:r>
        <w:fldChar w:fldCharType="begin"/>
      </w:r>
      <w:r>
        <w:instrText xml:space="preserve"> PAGEREF _Toc80612026 \h </w:instrText>
      </w:r>
      <w:r>
        <w:fldChar w:fldCharType="separate"/>
      </w:r>
      <w:r>
        <w:t>144</w:t>
      </w:r>
      <w:r>
        <w:fldChar w:fldCharType="end"/>
      </w:r>
    </w:p>
    <w:p>
      <w:pPr>
        <w:pStyle w:val="TOC8"/>
        <w:rPr>
          <w:rFonts w:asciiTheme="minorHAnsi" w:eastAsiaTheme="minorEastAsia" w:hAnsiTheme="minorHAnsi" w:cstheme="minorBidi"/>
          <w:szCs w:val="22"/>
        </w:rPr>
      </w:pPr>
      <w:r>
        <w:t>245.</w:t>
      </w:r>
      <w:r>
        <w:tab/>
        <w:t>Transaction of business by alternative means</w:t>
      </w:r>
      <w:r>
        <w:tab/>
      </w:r>
      <w:r>
        <w:fldChar w:fldCharType="begin"/>
      </w:r>
      <w:r>
        <w:instrText xml:space="preserve"> PAGEREF _Toc80612027 \h </w:instrText>
      </w:r>
      <w:r>
        <w:fldChar w:fldCharType="separate"/>
      </w:r>
      <w:r>
        <w:t>145</w:t>
      </w:r>
      <w:r>
        <w:fldChar w:fldCharType="end"/>
      </w:r>
    </w:p>
    <w:p>
      <w:pPr>
        <w:pStyle w:val="TOC8"/>
        <w:rPr>
          <w:rFonts w:asciiTheme="minorHAnsi" w:eastAsiaTheme="minorEastAsia" w:hAnsiTheme="minorHAnsi" w:cstheme="minorBidi"/>
          <w:szCs w:val="22"/>
        </w:rPr>
      </w:pPr>
      <w:r>
        <w:t>246.</w:t>
      </w:r>
      <w:r>
        <w:tab/>
        <w:t>Delegation by Board</w:t>
      </w:r>
      <w:r>
        <w:tab/>
      </w:r>
      <w:r>
        <w:fldChar w:fldCharType="begin"/>
      </w:r>
      <w:r>
        <w:instrText xml:space="preserve"> PAGEREF _Toc80612028 \h </w:instrText>
      </w:r>
      <w:r>
        <w:fldChar w:fldCharType="separate"/>
      </w:r>
      <w:r>
        <w:t>145</w:t>
      </w:r>
      <w:r>
        <w:fldChar w:fldCharType="end"/>
      </w:r>
    </w:p>
    <w:p>
      <w:pPr>
        <w:pStyle w:val="TOC8"/>
        <w:rPr>
          <w:rFonts w:asciiTheme="minorHAnsi" w:eastAsiaTheme="minorEastAsia" w:hAnsiTheme="minorHAnsi" w:cstheme="minorBidi"/>
          <w:szCs w:val="22"/>
        </w:rPr>
      </w:pPr>
      <w:r>
        <w:t>247.</w:t>
      </w:r>
      <w:r>
        <w:tab/>
        <w:t>Committees</w:t>
      </w:r>
      <w:r>
        <w:tab/>
      </w:r>
      <w:r>
        <w:fldChar w:fldCharType="begin"/>
      </w:r>
      <w:r>
        <w:instrText xml:space="preserve"> PAGEREF _Toc80612029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Chief executive officer of the National Authority</w:t>
      </w:r>
    </w:p>
    <w:p>
      <w:pPr>
        <w:pStyle w:val="TOC8"/>
        <w:rPr>
          <w:rFonts w:asciiTheme="minorHAnsi" w:eastAsiaTheme="minorEastAsia" w:hAnsiTheme="minorHAnsi" w:cstheme="minorBidi"/>
          <w:szCs w:val="22"/>
        </w:rPr>
      </w:pPr>
      <w:r>
        <w:t>248.</w:t>
      </w:r>
      <w:r>
        <w:tab/>
        <w:t>Chief executive officer</w:t>
      </w:r>
      <w:r>
        <w:tab/>
      </w:r>
      <w:r>
        <w:fldChar w:fldCharType="begin"/>
      </w:r>
      <w:r>
        <w:instrText xml:space="preserve"> PAGEREF _Toc80612031 \h </w:instrText>
      </w:r>
      <w:r>
        <w:fldChar w:fldCharType="separate"/>
      </w:r>
      <w:r>
        <w:t>146</w:t>
      </w:r>
      <w:r>
        <w:fldChar w:fldCharType="end"/>
      </w:r>
    </w:p>
    <w:p>
      <w:pPr>
        <w:pStyle w:val="TOC8"/>
        <w:rPr>
          <w:rFonts w:asciiTheme="minorHAnsi" w:eastAsiaTheme="minorEastAsia" w:hAnsiTheme="minorHAnsi" w:cstheme="minorBidi"/>
          <w:szCs w:val="22"/>
        </w:rPr>
      </w:pPr>
      <w:r>
        <w:t>249.</w:t>
      </w:r>
      <w:r>
        <w:tab/>
        <w:t>Functions of chief executive officer</w:t>
      </w:r>
      <w:r>
        <w:tab/>
      </w:r>
      <w:r>
        <w:fldChar w:fldCharType="begin"/>
      </w:r>
      <w:r>
        <w:instrText xml:space="preserve"> PAGEREF _Toc80612032 \h </w:instrText>
      </w:r>
      <w:r>
        <w:fldChar w:fldCharType="separate"/>
      </w:r>
      <w:r>
        <w:t>147</w:t>
      </w:r>
      <w:r>
        <w:fldChar w:fldCharType="end"/>
      </w:r>
    </w:p>
    <w:p>
      <w:pPr>
        <w:pStyle w:val="TOC8"/>
        <w:rPr>
          <w:rFonts w:asciiTheme="minorHAnsi" w:eastAsiaTheme="minorEastAsia" w:hAnsiTheme="minorHAnsi" w:cstheme="minorBidi"/>
          <w:szCs w:val="22"/>
        </w:rPr>
      </w:pPr>
      <w:r>
        <w:t>250.</w:t>
      </w:r>
      <w:r>
        <w:tab/>
        <w:t>Terms and conditions of appointment</w:t>
      </w:r>
      <w:r>
        <w:tab/>
      </w:r>
      <w:r>
        <w:fldChar w:fldCharType="begin"/>
      </w:r>
      <w:r>
        <w:instrText xml:space="preserve"> PAGEREF _Toc80612033 \h </w:instrText>
      </w:r>
      <w:r>
        <w:fldChar w:fldCharType="separate"/>
      </w:r>
      <w:r>
        <w:t>147</w:t>
      </w:r>
      <w:r>
        <w:fldChar w:fldCharType="end"/>
      </w:r>
    </w:p>
    <w:p>
      <w:pPr>
        <w:pStyle w:val="TOC8"/>
        <w:rPr>
          <w:rFonts w:asciiTheme="minorHAnsi" w:eastAsiaTheme="minorEastAsia" w:hAnsiTheme="minorHAnsi" w:cstheme="minorBidi"/>
          <w:szCs w:val="22"/>
        </w:rPr>
      </w:pPr>
      <w:r>
        <w:t>251.</w:t>
      </w:r>
      <w:r>
        <w:tab/>
        <w:t>Remuneration</w:t>
      </w:r>
      <w:r>
        <w:tab/>
      </w:r>
      <w:r>
        <w:fldChar w:fldCharType="begin"/>
      </w:r>
      <w:r>
        <w:instrText xml:space="preserve"> PAGEREF _Toc80612034 \h </w:instrText>
      </w:r>
      <w:r>
        <w:fldChar w:fldCharType="separate"/>
      </w:r>
      <w:r>
        <w:t>148</w:t>
      </w:r>
      <w:r>
        <w:fldChar w:fldCharType="end"/>
      </w:r>
    </w:p>
    <w:p>
      <w:pPr>
        <w:pStyle w:val="TOC8"/>
        <w:rPr>
          <w:rFonts w:asciiTheme="minorHAnsi" w:eastAsiaTheme="minorEastAsia" w:hAnsiTheme="minorHAnsi" w:cstheme="minorBidi"/>
          <w:szCs w:val="22"/>
        </w:rPr>
      </w:pPr>
      <w:r>
        <w:t>252.</w:t>
      </w:r>
      <w:r>
        <w:tab/>
        <w:t>Vacancy in office</w:t>
      </w:r>
      <w:r>
        <w:tab/>
      </w:r>
      <w:r>
        <w:fldChar w:fldCharType="begin"/>
      </w:r>
      <w:r>
        <w:instrText xml:space="preserve"> PAGEREF _Toc80612035 \h </w:instrText>
      </w:r>
      <w:r>
        <w:fldChar w:fldCharType="separate"/>
      </w:r>
      <w:r>
        <w:t>148</w:t>
      </w:r>
      <w:r>
        <w:fldChar w:fldCharType="end"/>
      </w:r>
    </w:p>
    <w:p>
      <w:pPr>
        <w:pStyle w:val="TOC8"/>
        <w:rPr>
          <w:rFonts w:asciiTheme="minorHAnsi" w:eastAsiaTheme="minorEastAsia" w:hAnsiTheme="minorHAnsi" w:cstheme="minorBidi"/>
          <w:szCs w:val="22"/>
        </w:rPr>
      </w:pPr>
      <w:r>
        <w:t>253.</w:t>
      </w:r>
      <w:r>
        <w:tab/>
        <w:t>Resignation</w:t>
      </w:r>
      <w:r>
        <w:tab/>
      </w:r>
      <w:r>
        <w:fldChar w:fldCharType="begin"/>
      </w:r>
      <w:r>
        <w:instrText xml:space="preserve"> PAGEREF _Toc80612036 \h </w:instrText>
      </w:r>
      <w:r>
        <w:fldChar w:fldCharType="separate"/>
      </w:r>
      <w:r>
        <w:t>148</w:t>
      </w:r>
      <w:r>
        <w:fldChar w:fldCharType="end"/>
      </w:r>
    </w:p>
    <w:p>
      <w:pPr>
        <w:pStyle w:val="TOC8"/>
        <w:rPr>
          <w:rFonts w:asciiTheme="minorHAnsi" w:eastAsiaTheme="minorEastAsia" w:hAnsiTheme="minorHAnsi" w:cstheme="minorBidi"/>
          <w:szCs w:val="22"/>
        </w:rPr>
      </w:pPr>
      <w:r>
        <w:t>254.</w:t>
      </w:r>
      <w:r>
        <w:tab/>
        <w:t>Termination of appointment</w:t>
      </w:r>
      <w:r>
        <w:tab/>
      </w:r>
      <w:r>
        <w:fldChar w:fldCharType="begin"/>
      </w:r>
      <w:r>
        <w:instrText xml:space="preserve"> PAGEREF _Toc80612037 \h </w:instrText>
      </w:r>
      <w:r>
        <w:fldChar w:fldCharType="separate"/>
      </w:r>
      <w:r>
        <w:t>148</w:t>
      </w:r>
      <w:r>
        <w:fldChar w:fldCharType="end"/>
      </w:r>
    </w:p>
    <w:p>
      <w:pPr>
        <w:pStyle w:val="TOC8"/>
        <w:rPr>
          <w:rFonts w:asciiTheme="minorHAnsi" w:eastAsiaTheme="minorEastAsia" w:hAnsiTheme="minorHAnsi" w:cstheme="minorBidi"/>
          <w:szCs w:val="22"/>
        </w:rPr>
      </w:pPr>
      <w:r>
        <w:t>255.</w:t>
      </w:r>
      <w:r>
        <w:tab/>
        <w:t>Acting chief executive officer</w:t>
      </w:r>
      <w:r>
        <w:tab/>
      </w:r>
      <w:r>
        <w:fldChar w:fldCharType="begin"/>
      </w:r>
      <w:r>
        <w:instrText xml:space="preserve"> PAGEREF _Toc80612038 \h </w:instrText>
      </w:r>
      <w:r>
        <w:fldChar w:fldCharType="separate"/>
      </w:r>
      <w:r>
        <w:t>149</w:t>
      </w:r>
      <w:r>
        <w:fldChar w:fldCharType="end"/>
      </w:r>
    </w:p>
    <w:p>
      <w:pPr>
        <w:pStyle w:val="TOC8"/>
        <w:rPr>
          <w:rFonts w:asciiTheme="minorHAnsi" w:eastAsiaTheme="minorEastAsia" w:hAnsiTheme="minorHAnsi" w:cstheme="minorBidi"/>
          <w:szCs w:val="22"/>
        </w:rPr>
      </w:pPr>
      <w:r>
        <w:t>256.</w:t>
      </w:r>
      <w:r>
        <w:tab/>
        <w:t>Disclosure of interests</w:t>
      </w:r>
      <w:r>
        <w:tab/>
      </w:r>
      <w:r>
        <w:fldChar w:fldCharType="begin"/>
      </w:r>
      <w:r>
        <w:instrText xml:space="preserve"> PAGEREF _Toc80612039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consultants and contractors</w:t>
      </w:r>
    </w:p>
    <w:p>
      <w:pPr>
        <w:pStyle w:val="TOC8"/>
        <w:rPr>
          <w:rFonts w:asciiTheme="minorHAnsi" w:eastAsiaTheme="minorEastAsia" w:hAnsiTheme="minorHAnsi" w:cstheme="minorBidi"/>
          <w:szCs w:val="22"/>
        </w:rPr>
      </w:pPr>
      <w:r>
        <w:t>257.</w:t>
      </w:r>
      <w:r>
        <w:tab/>
        <w:t>Staff of National Authority</w:t>
      </w:r>
      <w:r>
        <w:tab/>
      </w:r>
      <w:r>
        <w:fldChar w:fldCharType="begin"/>
      </w:r>
      <w:r>
        <w:instrText xml:space="preserve"> PAGEREF _Toc80612041 \h </w:instrText>
      </w:r>
      <w:r>
        <w:fldChar w:fldCharType="separate"/>
      </w:r>
      <w:r>
        <w:t>150</w:t>
      </w:r>
      <w:r>
        <w:fldChar w:fldCharType="end"/>
      </w:r>
    </w:p>
    <w:p>
      <w:pPr>
        <w:pStyle w:val="TOC8"/>
        <w:rPr>
          <w:rFonts w:asciiTheme="minorHAnsi" w:eastAsiaTheme="minorEastAsia" w:hAnsiTheme="minorHAnsi" w:cstheme="minorBidi"/>
          <w:szCs w:val="22"/>
        </w:rPr>
      </w:pPr>
      <w:r>
        <w:t>258.</w:t>
      </w:r>
      <w:r>
        <w:tab/>
        <w:t>Staff seconded to National Authority</w:t>
      </w:r>
      <w:r>
        <w:tab/>
      </w:r>
      <w:r>
        <w:fldChar w:fldCharType="begin"/>
      </w:r>
      <w:r>
        <w:instrText xml:space="preserve"> PAGEREF _Toc80612042 \h </w:instrText>
      </w:r>
      <w:r>
        <w:fldChar w:fldCharType="separate"/>
      </w:r>
      <w:r>
        <w:t>150</w:t>
      </w:r>
      <w:r>
        <w:fldChar w:fldCharType="end"/>
      </w:r>
    </w:p>
    <w:p>
      <w:pPr>
        <w:pStyle w:val="TOC8"/>
        <w:rPr>
          <w:rFonts w:asciiTheme="minorHAnsi" w:eastAsiaTheme="minorEastAsia" w:hAnsiTheme="minorHAnsi" w:cstheme="minorBidi"/>
          <w:szCs w:val="22"/>
        </w:rPr>
      </w:pPr>
      <w:r>
        <w:t>259.</w:t>
      </w:r>
      <w:r>
        <w:tab/>
        <w:t>Consultants and contractors</w:t>
      </w:r>
      <w:r>
        <w:tab/>
      </w:r>
      <w:r>
        <w:fldChar w:fldCharType="begin"/>
      </w:r>
      <w:r>
        <w:instrText xml:space="preserve"> PAGEREF _Toc80612043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Part 12 — Regulatory Authority</w:t>
      </w:r>
    </w:p>
    <w:p>
      <w:pPr>
        <w:pStyle w:val="TOC8"/>
        <w:rPr>
          <w:rFonts w:asciiTheme="minorHAnsi" w:eastAsiaTheme="minorEastAsia" w:hAnsiTheme="minorHAnsi" w:cstheme="minorBidi"/>
          <w:szCs w:val="22"/>
        </w:rPr>
      </w:pPr>
      <w:r>
        <w:t>260.</w:t>
      </w:r>
      <w:r>
        <w:tab/>
        <w:t>Functions of Regulatory Authority</w:t>
      </w:r>
      <w:r>
        <w:tab/>
      </w:r>
      <w:r>
        <w:fldChar w:fldCharType="begin"/>
      </w:r>
      <w:r>
        <w:instrText xml:space="preserve"> PAGEREF _Toc80612045 \h </w:instrText>
      </w:r>
      <w:r>
        <w:fldChar w:fldCharType="separate"/>
      </w:r>
      <w:r>
        <w:t>150</w:t>
      </w:r>
      <w:r>
        <w:fldChar w:fldCharType="end"/>
      </w:r>
    </w:p>
    <w:p>
      <w:pPr>
        <w:pStyle w:val="TOC8"/>
        <w:rPr>
          <w:rFonts w:asciiTheme="minorHAnsi" w:eastAsiaTheme="minorEastAsia" w:hAnsiTheme="minorHAnsi" w:cstheme="minorBidi"/>
          <w:szCs w:val="22"/>
        </w:rPr>
      </w:pPr>
      <w:r>
        <w:t>261.</w:t>
      </w:r>
      <w:r>
        <w:tab/>
        <w:t>Powers of Regulatory Authority</w:t>
      </w:r>
      <w:r>
        <w:tab/>
      </w:r>
      <w:r>
        <w:fldChar w:fldCharType="begin"/>
      </w:r>
      <w:r>
        <w:instrText xml:space="preserve"> PAGEREF _Toc80612046 \h </w:instrText>
      </w:r>
      <w:r>
        <w:fldChar w:fldCharType="separate"/>
      </w:r>
      <w:r>
        <w:t>151</w:t>
      </w:r>
      <w:r>
        <w:fldChar w:fldCharType="end"/>
      </w:r>
    </w:p>
    <w:p>
      <w:pPr>
        <w:pStyle w:val="TOC8"/>
        <w:rPr>
          <w:rFonts w:asciiTheme="minorHAnsi" w:eastAsiaTheme="minorEastAsia" w:hAnsiTheme="minorHAnsi" w:cstheme="minorBidi"/>
          <w:szCs w:val="22"/>
        </w:rPr>
      </w:pPr>
      <w:r>
        <w:t>262.</w:t>
      </w:r>
      <w:r>
        <w:tab/>
        <w:t>Delegations</w:t>
      </w:r>
      <w:r>
        <w:tab/>
      </w:r>
      <w:r>
        <w:fldChar w:fldCharType="begin"/>
      </w:r>
      <w:r>
        <w:instrText xml:space="preserve"> PAGEREF _Toc80612047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13 — Information, records and privacy</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Privacy</w:t>
      </w:r>
    </w:p>
    <w:p>
      <w:pPr>
        <w:pStyle w:val="TOC8"/>
        <w:rPr>
          <w:rFonts w:asciiTheme="minorHAnsi" w:eastAsiaTheme="minorEastAsia" w:hAnsiTheme="minorHAnsi" w:cstheme="minorBidi"/>
          <w:szCs w:val="22"/>
        </w:rPr>
      </w:pPr>
      <w:r>
        <w:t>263.</w:t>
      </w:r>
      <w:r>
        <w:tab/>
        <w:t>Application of Commonwealth Privacy Act</w:t>
      </w:r>
      <w:r>
        <w:tab/>
      </w:r>
      <w:r>
        <w:fldChar w:fldCharType="begin"/>
      </w:r>
      <w:r>
        <w:instrText xml:space="preserve"> PAGEREF _Toc80612050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Application of Commonwealth FOI Act</w:t>
      </w:r>
    </w:p>
    <w:p>
      <w:pPr>
        <w:pStyle w:val="TOC8"/>
        <w:rPr>
          <w:rFonts w:asciiTheme="minorHAnsi" w:eastAsiaTheme="minorEastAsia" w:hAnsiTheme="minorHAnsi" w:cstheme="minorBidi"/>
          <w:szCs w:val="22"/>
        </w:rPr>
      </w:pPr>
      <w:r>
        <w:t>264.</w:t>
      </w:r>
      <w:r>
        <w:tab/>
        <w:t>Application of Commonwealth FOI Act</w:t>
      </w:r>
      <w:r>
        <w:tab/>
      </w:r>
      <w:r>
        <w:fldChar w:fldCharType="begin"/>
      </w:r>
      <w:r>
        <w:instrText xml:space="preserve"> PAGEREF _Toc80612052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Application of New South Wales State Records Act</w:t>
      </w:r>
    </w:p>
    <w:p>
      <w:pPr>
        <w:pStyle w:val="TOC8"/>
        <w:rPr>
          <w:rFonts w:asciiTheme="minorHAnsi" w:eastAsiaTheme="minorEastAsia" w:hAnsiTheme="minorHAnsi" w:cstheme="minorBidi"/>
          <w:szCs w:val="22"/>
        </w:rPr>
      </w:pPr>
      <w:r>
        <w:t>265.</w:t>
      </w:r>
      <w:r>
        <w:tab/>
        <w:t>Application of State Records Act</w:t>
      </w:r>
      <w:r>
        <w:tab/>
      </w:r>
      <w:r>
        <w:fldChar w:fldCharType="begin"/>
      </w:r>
      <w:r>
        <w:instrText xml:space="preserve"> PAGEREF _Toc80612054 \h </w:instrText>
      </w:r>
      <w:r>
        <w:fldChar w:fldCharType="separate"/>
      </w:r>
      <w:r>
        <w:t>154</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Registers</w:t>
      </w:r>
    </w:p>
    <w:p>
      <w:pPr>
        <w:pStyle w:val="TOC8"/>
        <w:rPr>
          <w:rFonts w:asciiTheme="minorHAnsi" w:eastAsiaTheme="minorEastAsia" w:hAnsiTheme="minorHAnsi" w:cstheme="minorBidi"/>
          <w:szCs w:val="22"/>
        </w:rPr>
      </w:pPr>
      <w:r>
        <w:t>266.</w:t>
      </w:r>
      <w:r>
        <w:tab/>
        <w:t>Register of approved providers</w:t>
      </w:r>
      <w:r>
        <w:tab/>
      </w:r>
      <w:r>
        <w:fldChar w:fldCharType="begin"/>
      </w:r>
      <w:r>
        <w:instrText xml:space="preserve"> PAGEREF _Toc80612056 \h </w:instrText>
      </w:r>
      <w:r>
        <w:fldChar w:fldCharType="separate"/>
      </w:r>
      <w:r>
        <w:t>155</w:t>
      </w:r>
      <w:r>
        <w:fldChar w:fldCharType="end"/>
      </w:r>
    </w:p>
    <w:p>
      <w:pPr>
        <w:pStyle w:val="TOC8"/>
        <w:rPr>
          <w:rFonts w:asciiTheme="minorHAnsi" w:eastAsiaTheme="minorEastAsia" w:hAnsiTheme="minorHAnsi" w:cstheme="minorBidi"/>
          <w:szCs w:val="22"/>
        </w:rPr>
      </w:pPr>
      <w:r>
        <w:t>267.</w:t>
      </w:r>
      <w:r>
        <w:tab/>
        <w:t>Register of education and care services</w:t>
      </w:r>
      <w:r>
        <w:tab/>
      </w:r>
      <w:r>
        <w:fldChar w:fldCharType="begin"/>
      </w:r>
      <w:r>
        <w:instrText xml:space="preserve"> PAGEREF _Toc80612057 \h </w:instrText>
      </w:r>
      <w:r>
        <w:fldChar w:fldCharType="separate"/>
      </w:r>
      <w:r>
        <w:t>155</w:t>
      </w:r>
      <w:r>
        <w:fldChar w:fldCharType="end"/>
      </w:r>
    </w:p>
    <w:p>
      <w:pPr>
        <w:pStyle w:val="TOC8"/>
        <w:rPr>
          <w:rFonts w:asciiTheme="minorHAnsi" w:eastAsiaTheme="minorEastAsia" w:hAnsiTheme="minorHAnsi" w:cstheme="minorBidi"/>
          <w:szCs w:val="22"/>
        </w:rPr>
      </w:pPr>
      <w:r>
        <w:t>269.</w:t>
      </w:r>
      <w:r>
        <w:tab/>
        <w:t>Register of family day care educators, co</w:t>
      </w:r>
      <w:r>
        <w:noBreakHyphen/>
        <w:t>ordinators and assistants</w:t>
      </w:r>
      <w:r>
        <w:tab/>
      </w:r>
      <w:r>
        <w:fldChar w:fldCharType="begin"/>
      </w:r>
      <w:r>
        <w:instrText xml:space="preserve"> PAGEREF _Toc80612058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Publication of information</w:t>
      </w:r>
    </w:p>
    <w:p>
      <w:pPr>
        <w:pStyle w:val="TOC8"/>
        <w:rPr>
          <w:rFonts w:asciiTheme="minorHAnsi" w:eastAsiaTheme="minorEastAsia" w:hAnsiTheme="minorHAnsi" w:cstheme="minorBidi"/>
          <w:szCs w:val="22"/>
        </w:rPr>
      </w:pPr>
      <w:r>
        <w:t>270.</w:t>
      </w:r>
      <w:r>
        <w:tab/>
        <w:t>Publication of information</w:t>
      </w:r>
      <w:r>
        <w:tab/>
      </w:r>
      <w:r>
        <w:fldChar w:fldCharType="begin"/>
      </w:r>
      <w:r>
        <w:instrText xml:space="preserve"> PAGEREF _Toc80612060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Disclosure of information</w:t>
      </w:r>
    </w:p>
    <w:p>
      <w:pPr>
        <w:pStyle w:val="TOC8"/>
        <w:rPr>
          <w:rFonts w:asciiTheme="minorHAnsi" w:eastAsiaTheme="minorEastAsia" w:hAnsiTheme="minorHAnsi" w:cstheme="minorBidi"/>
          <w:szCs w:val="22"/>
        </w:rPr>
      </w:pPr>
      <w:r>
        <w:t>271.</w:t>
      </w:r>
      <w:r>
        <w:tab/>
        <w:t>Disclosure of information to other authorities</w:t>
      </w:r>
      <w:r>
        <w:tab/>
      </w:r>
      <w:r>
        <w:fldChar w:fldCharType="begin"/>
      </w:r>
      <w:r>
        <w:instrText xml:space="preserve"> PAGEREF _Toc80612062 \h </w:instrText>
      </w:r>
      <w:r>
        <w:fldChar w:fldCharType="separate"/>
      </w:r>
      <w:r>
        <w:t>158</w:t>
      </w:r>
      <w:r>
        <w:fldChar w:fldCharType="end"/>
      </w:r>
    </w:p>
    <w:p>
      <w:pPr>
        <w:pStyle w:val="TOC8"/>
        <w:rPr>
          <w:rFonts w:asciiTheme="minorHAnsi" w:eastAsiaTheme="minorEastAsia" w:hAnsiTheme="minorHAnsi" w:cstheme="minorBidi"/>
          <w:szCs w:val="22"/>
        </w:rPr>
      </w:pPr>
      <w:r>
        <w:t>272.</w:t>
      </w:r>
      <w:r>
        <w:tab/>
        <w:t>Disclosure of information to education and care services</w:t>
      </w:r>
      <w:r>
        <w:tab/>
      </w:r>
      <w:r>
        <w:fldChar w:fldCharType="begin"/>
      </w:r>
      <w:r>
        <w:instrText xml:space="preserve"> PAGEREF _Toc80612063 \h </w:instrText>
      </w:r>
      <w:r>
        <w:fldChar w:fldCharType="separate"/>
      </w:r>
      <w:r>
        <w:t>160</w:t>
      </w:r>
      <w:r>
        <w:fldChar w:fldCharType="end"/>
      </w:r>
    </w:p>
    <w:p>
      <w:pPr>
        <w:pStyle w:val="TOC8"/>
        <w:rPr>
          <w:rFonts w:asciiTheme="minorHAnsi" w:eastAsiaTheme="minorEastAsia" w:hAnsiTheme="minorHAnsi" w:cstheme="minorBidi"/>
          <w:szCs w:val="22"/>
        </w:rPr>
      </w:pPr>
      <w:r>
        <w:t>273.</w:t>
      </w:r>
      <w:r>
        <w:tab/>
        <w:t>Duty of confidentiality</w:t>
      </w:r>
      <w:r>
        <w:tab/>
      </w:r>
      <w:r>
        <w:fldChar w:fldCharType="begin"/>
      </w:r>
      <w:r>
        <w:instrText xml:space="preserve"> PAGEREF _Toc80612064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Part 14 — Miscellaneous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Finance</w:t>
      </w:r>
    </w:p>
    <w:p>
      <w:pPr>
        <w:pStyle w:val="TOC8"/>
        <w:rPr>
          <w:rFonts w:asciiTheme="minorHAnsi" w:eastAsiaTheme="minorEastAsia" w:hAnsiTheme="minorHAnsi" w:cstheme="minorBidi"/>
          <w:szCs w:val="22"/>
        </w:rPr>
      </w:pPr>
      <w:r>
        <w:t>274.</w:t>
      </w:r>
      <w:r>
        <w:tab/>
        <w:t>Australian Children’s Education and Care Quality Authority Fund</w:t>
      </w:r>
      <w:r>
        <w:tab/>
      </w:r>
      <w:r>
        <w:fldChar w:fldCharType="begin"/>
      </w:r>
      <w:r>
        <w:instrText xml:space="preserve"> PAGEREF _Toc80612067 \h </w:instrText>
      </w:r>
      <w:r>
        <w:fldChar w:fldCharType="separate"/>
      </w:r>
      <w:r>
        <w:t>162</w:t>
      </w:r>
      <w:r>
        <w:fldChar w:fldCharType="end"/>
      </w:r>
    </w:p>
    <w:p>
      <w:pPr>
        <w:pStyle w:val="TOC8"/>
        <w:rPr>
          <w:rFonts w:asciiTheme="minorHAnsi" w:eastAsiaTheme="minorEastAsia" w:hAnsiTheme="minorHAnsi" w:cstheme="minorBidi"/>
          <w:szCs w:val="22"/>
        </w:rPr>
      </w:pPr>
      <w:r>
        <w:t>275.</w:t>
      </w:r>
      <w:r>
        <w:tab/>
        <w:t>Payments into Authority Fund</w:t>
      </w:r>
      <w:r>
        <w:tab/>
      </w:r>
      <w:r>
        <w:fldChar w:fldCharType="begin"/>
      </w:r>
      <w:r>
        <w:instrText xml:space="preserve"> PAGEREF _Toc80612068 \h </w:instrText>
      </w:r>
      <w:r>
        <w:fldChar w:fldCharType="separate"/>
      </w:r>
      <w:r>
        <w:t>162</w:t>
      </w:r>
      <w:r>
        <w:fldChar w:fldCharType="end"/>
      </w:r>
    </w:p>
    <w:p>
      <w:pPr>
        <w:pStyle w:val="TOC8"/>
        <w:rPr>
          <w:rFonts w:asciiTheme="minorHAnsi" w:eastAsiaTheme="minorEastAsia" w:hAnsiTheme="minorHAnsi" w:cstheme="minorBidi"/>
          <w:szCs w:val="22"/>
        </w:rPr>
      </w:pPr>
      <w:r>
        <w:t>276.</w:t>
      </w:r>
      <w:r>
        <w:tab/>
        <w:t>Payments out of Authority Fund</w:t>
      </w:r>
      <w:r>
        <w:tab/>
      </w:r>
      <w:r>
        <w:fldChar w:fldCharType="begin"/>
      </w:r>
      <w:r>
        <w:instrText xml:space="preserve"> PAGEREF _Toc80612069 \h </w:instrText>
      </w:r>
      <w:r>
        <w:fldChar w:fldCharType="separate"/>
      </w:r>
      <w:r>
        <w:t>163</w:t>
      </w:r>
      <w:r>
        <w:fldChar w:fldCharType="end"/>
      </w:r>
    </w:p>
    <w:p>
      <w:pPr>
        <w:pStyle w:val="TOC8"/>
        <w:rPr>
          <w:rFonts w:asciiTheme="minorHAnsi" w:eastAsiaTheme="minorEastAsia" w:hAnsiTheme="minorHAnsi" w:cstheme="minorBidi"/>
          <w:szCs w:val="22"/>
        </w:rPr>
      </w:pPr>
      <w:r>
        <w:t>277.</w:t>
      </w:r>
      <w:r>
        <w:tab/>
        <w:t>Investment of money in Authority Fund</w:t>
      </w:r>
      <w:r>
        <w:tab/>
      </w:r>
      <w:r>
        <w:fldChar w:fldCharType="begin"/>
      </w:r>
      <w:r>
        <w:instrText xml:space="preserve"> PAGEREF _Toc80612070 \h </w:instrText>
      </w:r>
      <w:r>
        <w:fldChar w:fldCharType="separate"/>
      </w:r>
      <w:r>
        <w:t>163</w:t>
      </w:r>
      <w:r>
        <w:fldChar w:fldCharType="end"/>
      </w:r>
    </w:p>
    <w:p>
      <w:pPr>
        <w:pStyle w:val="TOC8"/>
        <w:rPr>
          <w:rFonts w:asciiTheme="minorHAnsi" w:eastAsiaTheme="minorEastAsia" w:hAnsiTheme="minorHAnsi" w:cstheme="minorBidi"/>
          <w:szCs w:val="22"/>
        </w:rPr>
      </w:pPr>
      <w:r>
        <w:t>278.</w:t>
      </w:r>
      <w:r>
        <w:tab/>
        <w:t>Financial management duties of National Authority</w:t>
      </w:r>
      <w:r>
        <w:tab/>
      </w:r>
      <w:r>
        <w:fldChar w:fldCharType="begin"/>
      </w:r>
      <w:r>
        <w:instrText xml:space="preserve"> PAGEREF _Toc80612071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Reporting</w:t>
      </w:r>
    </w:p>
    <w:p>
      <w:pPr>
        <w:pStyle w:val="TOC8"/>
        <w:rPr>
          <w:rFonts w:asciiTheme="minorHAnsi" w:eastAsiaTheme="minorEastAsia" w:hAnsiTheme="minorHAnsi" w:cstheme="minorBidi"/>
          <w:szCs w:val="22"/>
        </w:rPr>
      </w:pPr>
      <w:r>
        <w:t>279.</w:t>
      </w:r>
      <w:r>
        <w:tab/>
        <w:t>Annual report</w:t>
      </w:r>
      <w:r>
        <w:tab/>
      </w:r>
      <w:r>
        <w:fldChar w:fldCharType="begin"/>
      </w:r>
      <w:r>
        <w:instrText xml:space="preserve"> PAGEREF _Toc80612073 \h </w:instrText>
      </w:r>
      <w:r>
        <w:fldChar w:fldCharType="separate"/>
      </w:r>
      <w:r>
        <w:t>164</w:t>
      </w:r>
      <w:r>
        <w:fldChar w:fldCharType="end"/>
      </w:r>
    </w:p>
    <w:p>
      <w:pPr>
        <w:pStyle w:val="TOC8"/>
        <w:rPr>
          <w:rFonts w:asciiTheme="minorHAnsi" w:eastAsiaTheme="minorEastAsia" w:hAnsiTheme="minorHAnsi" w:cstheme="minorBidi"/>
          <w:szCs w:val="22"/>
        </w:rPr>
      </w:pPr>
      <w:r>
        <w:t>280.</w:t>
      </w:r>
      <w:r>
        <w:tab/>
        <w:t>Tabling and publication of annual report</w:t>
      </w:r>
      <w:r>
        <w:tab/>
      </w:r>
      <w:r>
        <w:fldChar w:fldCharType="begin"/>
      </w:r>
      <w:r>
        <w:instrText xml:space="preserve"> PAGEREF _Toc80612074 \h </w:instrText>
      </w:r>
      <w:r>
        <w:fldChar w:fldCharType="separate"/>
      </w:r>
      <w:r>
        <w:t>165</w:t>
      </w:r>
      <w:r>
        <w:fldChar w:fldCharType="end"/>
      </w:r>
    </w:p>
    <w:p>
      <w:pPr>
        <w:pStyle w:val="TOC8"/>
        <w:rPr>
          <w:rFonts w:asciiTheme="minorHAnsi" w:eastAsiaTheme="minorEastAsia" w:hAnsiTheme="minorHAnsi" w:cstheme="minorBidi"/>
          <w:szCs w:val="22"/>
        </w:rPr>
      </w:pPr>
      <w:r>
        <w:t>281.</w:t>
      </w:r>
      <w:r>
        <w:tab/>
        <w:t>Other reporting</w:t>
      </w:r>
      <w:r>
        <w:tab/>
      </w:r>
      <w:r>
        <w:fldChar w:fldCharType="begin"/>
      </w:r>
      <w:r>
        <w:instrText xml:space="preserve"> PAGEREF _Toc80612075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Application of Commonwealth Ombudsman Act</w:t>
      </w:r>
    </w:p>
    <w:p>
      <w:pPr>
        <w:pStyle w:val="TOC8"/>
        <w:rPr>
          <w:rFonts w:asciiTheme="minorHAnsi" w:eastAsiaTheme="minorEastAsia" w:hAnsiTheme="minorHAnsi" w:cstheme="minorBidi"/>
          <w:szCs w:val="22"/>
        </w:rPr>
      </w:pPr>
      <w:r>
        <w:t>282.</w:t>
      </w:r>
      <w:r>
        <w:tab/>
        <w:t>Application of Commonwealth Ombudsman Act</w:t>
      </w:r>
      <w:r>
        <w:tab/>
      </w:r>
      <w:r>
        <w:fldChar w:fldCharType="begin"/>
      </w:r>
      <w:r>
        <w:instrText xml:space="preserve"> PAGEREF _Toc80612077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Legal proceedings</w:t>
      </w:r>
    </w:p>
    <w:p>
      <w:pPr>
        <w:pStyle w:val="TOC8"/>
        <w:rPr>
          <w:rFonts w:asciiTheme="minorHAnsi" w:eastAsiaTheme="minorEastAsia" w:hAnsiTheme="minorHAnsi" w:cstheme="minorBidi"/>
          <w:szCs w:val="22"/>
        </w:rPr>
      </w:pPr>
      <w:r>
        <w:t>283.</w:t>
      </w:r>
      <w:r>
        <w:tab/>
        <w:t>Who may bring proceedings for an offence?</w:t>
      </w:r>
      <w:r>
        <w:tab/>
      </w:r>
      <w:r>
        <w:fldChar w:fldCharType="begin"/>
      </w:r>
      <w:r>
        <w:instrText xml:space="preserve"> PAGEREF _Toc80612079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284.</w:t>
      </w:r>
      <w:r>
        <w:tab/>
        <w:t>When proceedings may be brought</w:t>
      </w:r>
      <w:r>
        <w:tab/>
      </w:r>
      <w:r>
        <w:fldChar w:fldCharType="begin"/>
      </w:r>
      <w:r>
        <w:instrText xml:space="preserve"> PAGEREF _Toc80612080 \h </w:instrText>
      </w:r>
      <w:r>
        <w:fldChar w:fldCharType="separate"/>
      </w:r>
      <w:r>
        <w:t>167</w:t>
      </w:r>
      <w:r>
        <w:fldChar w:fldCharType="end"/>
      </w:r>
    </w:p>
    <w:p>
      <w:pPr>
        <w:pStyle w:val="TOC8"/>
        <w:rPr>
          <w:rFonts w:asciiTheme="minorHAnsi" w:eastAsiaTheme="minorEastAsia" w:hAnsiTheme="minorHAnsi" w:cstheme="minorBidi"/>
          <w:szCs w:val="22"/>
        </w:rPr>
      </w:pPr>
      <w:r>
        <w:t>285.</w:t>
      </w:r>
      <w:r>
        <w:tab/>
        <w:t>Offences by bodies corporate</w:t>
      </w:r>
      <w:r>
        <w:tab/>
      </w:r>
      <w:r>
        <w:fldChar w:fldCharType="begin"/>
      </w:r>
      <w:r>
        <w:instrText xml:space="preserve"> PAGEREF _Toc80612081 \h </w:instrText>
      </w:r>
      <w:r>
        <w:fldChar w:fldCharType="separate"/>
      </w:r>
      <w:r>
        <w:t>167</w:t>
      </w:r>
      <w:r>
        <w:fldChar w:fldCharType="end"/>
      </w:r>
    </w:p>
    <w:p>
      <w:pPr>
        <w:pStyle w:val="TOC8"/>
        <w:rPr>
          <w:rFonts w:asciiTheme="minorHAnsi" w:eastAsiaTheme="minorEastAsia" w:hAnsiTheme="minorHAnsi" w:cstheme="minorBidi"/>
          <w:szCs w:val="22"/>
        </w:rPr>
      </w:pPr>
      <w:r>
        <w:t>286.</w:t>
      </w:r>
      <w:r>
        <w:tab/>
        <w:t>Application of Law to partnerships and eligible associations and other entities</w:t>
      </w:r>
      <w:r>
        <w:tab/>
      </w:r>
      <w:r>
        <w:fldChar w:fldCharType="begin"/>
      </w:r>
      <w:r>
        <w:instrText xml:space="preserve"> PAGEREF _Toc80612082 \h </w:instrText>
      </w:r>
      <w:r>
        <w:fldChar w:fldCharType="separate"/>
      </w:r>
      <w:r>
        <w:t>167</w:t>
      </w:r>
      <w:r>
        <w:fldChar w:fldCharType="end"/>
      </w:r>
    </w:p>
    <w:p>
      <w:pPr>
        <w:pStyle w:val="TOC8"/>
        <w:rPr>
          <w:rFonts w:asciiTheme="minorHAnsi" w:eastAsiaTheme="minorEastAsia" w:hAnsiTheme="minorHAnsi" w:cstheme="minorBidi"/>
          <w:szCs w:val="22"/>
        </w:rPr>
      </w:pPr>
      <w:r>
        <w:t>287.</w:t>
      </w:r>
      <w:r>
        <w:tab/>
        <w:t>Multiple holders of an approval</w:t>
      </w:r>
      <w:r>
        <w:tab/>
      </w:r>
      <w:r>
        <w:fldChar w:fldCharType="begin"/>
      </w:r>
      <w:r>
        <w:instrText xml:space="preserve"> PAGEREF _Toc80612083 \h </w:instrText>
      </w:r>
      <w:r>
        <w:fldChar w:fldCharType="separate"/>
      </w:r>
      <w:r>
        <w:t>168</w:t>
      </w:r>
      <w:r>
        <w:fldChar w:fldCharType="end"/>
      </w:r>
    </w:p>
    <w:p>
      <w:pPr>
        <w:pStyle w:val="TOC8"/>
        <w:rPr>
          <w:rFonts w:asciiTheme="minorHAnsi" w:eastAsiaTheme="minorEastAsia" w:hAnsiTheme="minorHAnsi" w:cstheme="minorBidi"/>
          <w:szCs w:val="22"/>
        </w:rPr>
      </w:pPr>
      <w:r>
        <w:t>288.</w:t>
      </w:r>
      <w:r>
        <w:tab/>
        <w:t>Double jeopardy</w:t>
      </w:r>
      <w:r>
        <w:tab/>
      </w:r>
      <w:r>
        <w:fldChar w:fldCharType="begin"/>
      </w:r>
      <w:r>
        <w:instrText xml:space="preserve"> PAGEREF _Toc80612084 \h </w:instrText>
      </w:r>
      <w:r>
        <w:fldChar w:fldCharType="separate"/>
      </w:r>
      <w:r>
        <w:t>168</w:t>
      </w:r>
      <w:r>
        <w:fldChar w:fldCharType="end"/>
      </w:r>
    </w:p>
    <w:p>
      <w:pPr>
        <w:pStyle w:val="TOC8"/>
        <w:rPr>
          <w:rFonts w:asciiTheme="minorHAnsi" w:eastAsiaTheme="minorEastAsia" w:hAnsiTheme="minorHAnsi" w:cstheme="minorBidi"/>
          <w:szCs w:val="22"/>
        </w:rPr>
      </w:pPr>
      <w:r>
        <w:t>289.</w:t>
      </w:r>
      <w:r>
        <w:tab/>
        <w:t>Immunity</w:t>
      </w:r>
      <w:r>
        <w:tab/>
      </w:r>
      <w:r>
        <w:fldChar w:fldCharType="begin"/>
      </w:r>
      <w:r>
        <w:instrText xml:space="preserve"> PAGEREF _Toc80612085 \h </w:instrText>
      </w:r>
      <w:r>
        <w:fldChar w:fldCharType="separate"/>
      </w:r>
      <w:r>
        <w:t>168</w:t>
      </w:r>
      <w:r>
        <w:fldChar w:fldCharType="end"/>
      </w:r>
    </w:p>
    <w:p>
      <w:pPr>
        <w:pStyle w:val="TOC8"/>
        <w:rPr>
          <w:rFonts w:asciiTheme="minorHAnsi" w:eastAsiaTheme="minorEastAsia" w:hAnsiTheme="minorHAnsi" w:cstheme="minorBidi"/>
          <w:szCs w:val="22"/>
        </w:rPr>
      </w:pPr>
      <w:r>
        <w:t>290.</w:t>
      </w:r>
      <w:r>
        <w:tab/>
        <w:t>Immunity — education law</w:t>
      </w:r>
      <w:r>
        <w:tab/>
      </w:r>
      <w:r>
        <w:fldChar w:fldCharType="begin"/>
      </w:r>
      <w:r>
        <w:instrText xml:space="preserve"> PAGEREF _Toc80612086 \h </w:instrText>
      </w:r>
      <w:r>
        <w:fldChar w:fldCharType="separate"/>
      </w:r>
      <w:r>
        <w:t>169</w:t>
      </w:r>
      <w:r>
        <w:fldChar w:fldCharType="end"/>
      </w:r>
    </w:p>
    <w:p>
      <w:pPr>
        <w:pStyle w:val="TOC8"/>
        <w:rPr>
          <w:rFonts w:asciiTheme="minorHAnsi" w:eastAsiaTheme="minorEastAsia" w:hAnsiTheme="minorHAnsi" w:cstheme="minorBidi"/>
          <w:szCs w:val="22"/>
        </w:rPr>
      </w:pPr>
      <w:r>
        <w:t>291.</w:t>
      </w:r>
      <w:r>
        <w:tab/>
        <w:t>Infringement offences</w:t>
      </w:r>
      <w:r>
        <w:tab/>
      </w:r>
      <w:r>
        <w:fldChar w:fldCharType="begin"/>
      </w:r>
      <w:r>
        <w:instrText xml:space="preserve"> PAGEREF _Toc80612087 \h </w:instrText>
      </w:r>
      <w:r>
        <w:fldChar w:fldCharType="separate"/>
      </w:r>
      <w:r>
        <w:t>169</w:t>
      </w:r>
      <w:r>
        <w:fldChar w:fldCharType="end"/>
      </w:r>
    </w:p>
    <w:p>
      <w:pPr>
        <w:pStyle w:val="TOC8"/>
        <w:rPr>
          <w:rFonts w:asciiTheme="minorHAnsi" w:eastAsiaTheme="minorEastAsia" w:hAnsiTheme="minorHAnsi" w:cstheme="minorBidi"/>
          <w:szCs w:val="22"/>
        </w:rPr>
      </w:pPr>
      <w:r>
        <w:t>292.</w:t>
      </w:r>
      <w:r>
        <w:tab/>
        <w:t>Evidentiary certificates</w:t>
      </w:r>
      <w:r>
        <w:tab/>
      </w:r>
      <w:r>
        <w:fldChar w:fldCharType="begin"/>
      </w:r>
      <w:r>
        <w:instrText xml:space="preserve"> PAGEREF _Toc80612088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Service of notices</w:t>
      </w:r>
    </w:p>
    <w:p>
      <w:pPr>
        <w:pStyle w:val="TOC8"/>
        <w:rPr>
          <w:rFonts w:asciiTheme="minorHAnsi" w:eastAsiaTheme="minorEastAsia" w:hAnsiTheme="minorHAnsi" w:cstheme="minorBidi"/>
          <w:szCs w:val="22"/>
        </w:rPr>
      </w:pPr>
      <w:r>
        <w:t>293.</w:t>
      </w:r>
      <w:r>
        <w:tab/>
        <w:t>Service of notices</w:t>
      </w:r>
      <w:r>
        <w:tab/>
      </w:r>
      <w:r>
        <w:fldChar w:fldCharType="begin"/>
      </w:r>
      <w:r>
        <w:instrText xml:space="preserve"> PAGEREF _Toc80612090 \h </w:instrText>
      </w:r>
      <w:r>
        <w:fldChar w:fldCharType="separate"/>
      </w:r>
      <w:r>
        <w:t>171</w:t>
      </w:r>
      <w:r>
        <w:fldChar w:fldCharType="end"/>
      </w:r>
    </w:p>
    <w:p>
      <w:pPr>
        <w:pStyle w:val="TOC8"/>
        <w:rPr>
          <w:rFonts w:asciiTheme="minorHAnsi" w:eastAsiaTheme="minorEastAsia" w:hAnsiTheme="minorHAnsi" w:cstheme="minorBidi"/>
          <w:szCs w:val="22"/>
        </w:rPr>
      </w:pPr>
      <w:r>
        <w:t>294.</w:t>
      </w:r>
      <w:r>
        <w:tab/>
        <w:t>Service by post</w:t>
      </w:r>
      <w:r>
        <w:tab/>
      </w:r>
      <w:r>
        <w:fldChar w:fldCharType="begin"/>
      </w:r>
      <w:r>
        <w:instrText xml:space="preserve"> PAGEREF _Toc80612091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False or misleading information</w:t>
      </w:r>
    </w:p>
    <w:p>
      <w:pPr>
        <w:pStyle w:val="TOC8"/>
        <w:rPr>
          <w:rFonts w:asciiTheme="minorHAnsi" w:eastAsiaTheme="minorEastAsia" w:hAnsiTheme="minorHAnsi" w:cstheme="minorBidi"/>
          <w:szCs w:val="22"/>
        </w:rPr>
      </w:pPr>
      <w:r>
        <w:t>295.</w:t>
      </w:r>
      <w:r>
        <w:tab/>
        <w:t>False or misleading information or documents</w:t>
      </w:r>
      <w:r>
        <w:tab/>
      </w:r>
      <w:r>
        <w:fldChar w:fldCharType="begin"/>
      </w:r>
      <w:r>
        <w:instrText xml:space="preserve"> PAGEREF _Toc80612093 \h </w:instrText>
      </w:r>
      <w:r>
        <w:fldChar w:fldCharType="separate"/>
      </w:r>
      <w:r>
        <w:t>173</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xml:space="preserve"> — </w:t>
      </w:r>
      <w:r>
        <w:t>Protection from reprisal</w:t>
      </w:r>
    </w:p>
    <w:p>
      <w:pPr>
        <w:pStyle w:val="TOC8"/>
        <w:rPr>
          <w:rFonts w:asciiTheme="minorHAnsi" w:eastAsiaTheme="minorEastAsia" w:hAnsiTheme="minorHAnsi" w:cstheme="minorBidi"/>
          <w:szCs w:val="22"/>
        </w:rPr>
      </w:pPr>
      <w:r>
        <w:t>296.</w:t>
      </w:r>
      <w:r>
        <w:tab/>
        <w:t>Definitions</w:t>
      </w:r>
      <w:r>
        <w:tab/>
      </w:r>
      <w:r>
        <w:fldChar w:fldCharType="begin"/>
      </w:r>
      <w:r>
        <w:instrText xml:space="preserve"> PAGEREF _Toc80612095 \h </w:instrText>
      </w:r>
      <w:r>
        <w:fldChar w:fldCharType="separate"/>
      </w:r>
      <w:r>
        <w:t>173</w:t>
      </w:r>
      <w:r>
        <w:fldChar w:fldCharType="end"/>
      </w:r>
    </w:p>
    <w:p>
      <w:pPr>
        <w:pStyle w:val="TOC8"/>
        <w:rPr>
          <w:rFonts w:asciiTheme="minorHAnsi" w:eastAsiaTheme="minorEastAsia" w:hAnsiTheme="minorHAnsi" w:cstheme="minorBidi"/>
          <w:szCs w:val="22"/>
        </w:rPr>
      </w:pPr>
      <w:r>
        <w:t>297.</w:t>
      </w:r>
      <w:r>
        <w:tab/>
        <w:t>Protection from reprisal</w:t>
      </w:r>
      <w:r>
        <w:tab/>
      </w:r>
      <w:r>
        <w:fldChar w:fldCharType="begin"/>
      </w:r>
      <w:r>
        <w:instrText xml:space="preserve"> PAGEREF _Toc80612096 \h </w:instrText>
      </w:r>
      <w:r>
        <w:fldChar w:fldCharType="separate"/>
      </w:r>
      <w:r>
        <w:t>174</w:t>
      </w:r>
      <w:r>
        <w:fldChar w:fldCharType="end"/>
      </w:r>
    </w:p>
    <w:p>
      <w:pPr>
        <w:pStyle w:val="TOC8"/>
        <w:rPr>
          <w:rFonts w:asciiTheme="minorHAnsi" w:eastAsiaTheme="minorEastAsia" w:hAnsiTheme="minorHAnsi" w:cstheme="minorBidi"/>
          <w:szCs w:val="22"/>
        </w:rPr>
      </w:pPr>
      <w:r>
        <w:t>298.</w:t>
      </w:r>
      <w:r>
        <w:tab/>
        <w:t>Proceedings for damages for reprisal</w:t>
      </w:r>
      <w:r>
        <w:tab/>
      </w:r>
      <w:r>
        <w:fldChar w:fldCharType="begin"/>
      </w:r>
      <w:r>
        <w:instrText xml:space="preserve"> PAGEREF _Toc80612097 \h </w:instrText>
      </w:r>
      <w:r>
        <w:fldChar w:fldCharType="separate"/>
      </w:r>
      <w:r>
        <w:t>174</w:t>
      </w:r>
      <w:r>
        <w:fldChar w:fldCharType="end"/>
      </w:r>
    </w:p>
    <w:p>
      <w:pPr>
        <w:pStyle w:val="TOC8"/>
        <w:rPr>
          <w:rFonts w:asciiTheme="minorHAnsi" w:eastAsiaTheme="minorEastAsia" w:hAnsiTheme="minorHAnsi" w:cstheme="minorBidi"/>
          <w:szCs w:val="22"/>
        </w:rPr>
      </w:pPr>
      <w:r>
        <w:t>299.</w:t>
      </w:r>
      <w:r>
        <w:tab/>
        <w:t>Application for injunction or order</w:t>
      </w:r>
      <w:r>
        <w:tab/>
      </w:r>
      <w:r>
        <w:fldChar w:fldCharType="begin"/>
      </w:r>
      <w:r>
        <w:instrText xml:space="preserve"> PAGEREF _Toc80612098 \h </w:instrText>
      </w:r>
      <w:r>
        <w:fldChar w:fldCharType="separate"/>
      </w:r>
      <w:r>
        <w:t>175</w:t>
      </w:r>
      <w:r>
        <w:fldChar w:fldCharType="end"/>
      </w:r>
    </w:p>
    <w:p>
      <w:pPr>
        <w:pStyle w:val="TOC8"/>
        <w:rPr>
          <w:rFonts w:asciiTheme="minorHAnsi" w:eastAsiaTheme="minorEastAsia" w:hAnsiTheme="minorHAnsi" w:cstheme="minorBidi"/>
          <w:szCs w:val="22"/>
        </w:rPr>
      </w:pPr>
      <w:r>
        <w:t>300.</w:t>
      </w:r>
      <w:r>
        <w:tab/>
        <w:t>Injunction or order</w:t>
      </w:r>
      <w:r>
        <w:tab/>
      </w:r>
      <w:r>
        <w:fldChar w:fldCharType="begin"/>
      </w:r>
      <w:r>
        <w:instrText xml:space="preserve"> PAGEREF _Toc80612099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xml:space="preserve"> — </w:t>
      </w:r>
      <w:r>
        <w:t>National regulations</w:t>
      </w:r>
    </w:p>
    <w:p>
      <w:pPr>
        <w:pStyle w:val="TOC8"/>
        <w:rPr>
          <w:rFonts w:asciiTheme="minorHAnsi" w:eastAsiaTheme="minorEastAsia" w:hAnsiTheme="minorHAnsi" w:cstheme="minorBidi"/>
          <w:szCs w:val="22"/>
        </w:rPr>
      </w:pPr>
      <w:r>
        <w:t>301.</w:t>
      </w:r>
      <w:r>
        <w:tab/>
        <w:t>National regulations</w:t>
      </w:r>
      <w:r>
        <w:tab/>
      </w:r>
      <w:r>
        <w:fldChar w:fldCharType="begin"/>
      </w:r>
      <w:r>
        <w:instrText xml:space="preserve"> PAGEREF _Toc80612101 \h </w:instrText>
      </w:r>
      <w:r>
        <w:fldChar w:fldCharType="separate"/>
      </w:r>
      <w:r>
        <w:t>175</w:t>
      </w:r>
      <w:r>
        <w:fldChar w:fldCharType="end"/>
      </w:r>
    </w:p>
    <w:p>
      <w:pPr>
        <w:pStyle w:val="TOC8"/>
        <w:rPr>
          <w:rFonts w:asciiTheme="minorHAnsi" w:eastAsiaTheme="minorEastAsia" w:hAnsiTheme="minorHAnsi" w:cstheme="minorBidi"/>
          <w:szCs w:val="22"/>
        </w:rPr>
      </w:pPr>
      <w:r>
        <w:t>302.</w:t>
      </w:r>
      <w:r>
        <w:tab/>
        <w:t>Publication of national regulations</w:t>
      </w:r>
      <w:r>
        <w:tab/>
      </w:r>
      <w:r>
        <w:fldChar w:fldCharType="begin"/>
      </w:r>
      <w:r>
        <w:instrText xml:space="preserve"> PAGEREF _Toc80612102 \h </w:instrText>
      </w:r>
      <w:r>
        <w:fldChar w:fldCharType="separate"/>
      </w:r>
      <w:r>
        <w:t>178</w:t>
      </w:r>
      <w:r>
        <w:fldChar w:fldCharType="end"/>
      </w:r>
    </w:p>
    <w:p>
      <w:pPr>
        <w:pStyle w:val="TOC8"/>
        <w:rPr>
          <w:rFonts w:asciiTheme="minorHAnsi" w:eastAsiaTheme="minorEastAsia" w:hAnsiTheme="minorHAnsi" w:cstheme="minorBidi"/>
          <w:szCs w:val="22"/>
        </w:rPr>
      </w:pPr>
      <w:r>
        <w:t>303.</w:t>
      </w:r>
      <w:r>
        <w:tab/>
        <w:t>Parliamentary scrutiny of national regulations</w:t>
      </w:r>
      <w:r>
        <w:tab/>
      </w:r>
      <w:r>
        <w:fldChar w:fldCharType="begin"/>
      </w:r>
      <w:r>
        <w:instrText xml:space="preserve"> PAGEREF _Toc80612103 \h </w:instrText>
      </w:r>
      <w:r>
        <w:fldChar w:fldCharType="separate"/>
      </w:r>
      <w:r>
        <w:t>178</w:t>
      </w:r>
      <w:r>
        <w:fldChar w:fldCharType="end"/>
      </w:r>
    </w:p>
    <w:p>
      <w:pPr>
        <w:pStyle w:val="TOC8"/>
        <w:rPr>
          <w:rFonts w:asciiTheme="minorHAnsi" w:eastAsiaTheme="minorEastAsia" w:hAnsiTheme="minorHAnsi" w:cstheme="minorBidi"/>
          <w:szCs w:val="22"/>
        </w:rPr>
      </w:pPr>
      <w:r>
        <w:t>304.</w:t>
      </w:r>
      <w:r>
        <w:tab/>
        <w:t>Effect of disallowance of national regulation</w:t>
      </w:r>
      <w:r>
        <w:tab/>
      </w:r>
      <w:r>
        <w:fldChar w:fldCharType="begin"/>
      </w:r>
      <w:r>
        <w:instrText xml:space="preserve"> PAGEREF _Toc80612104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Part 15 — Transitional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Introductory</w:t>
      </w:r>
    </w:p>
    <w:p>
      <w:pPr>
        <w:pStyle w:val="TOC8"/>
        <w:rPr>
          <w:rFonts w:asciiTheme="minorHAnsi" w:eastAsiaTheme="minorEastAsia" w:hAnsiTheme="minorHAnsi" w:cstheme="minorBidi"/>
          <w:szCs w:val="22"/>
        </w:rPr>
      </w:pPr>
      <w:r>
        <w:t>305.</w:t>
      </w:r>
      <w:r>
        <w:tab/>
        <w:t>Definitions</w:t>
      </w:r>
      <w:r>
        <w:tab/>
      </w:r>
      <w:r>
        <w:fldChar w:fldCharType="begin"/>
      </w:r>
      <w:r>
        <w:instrText xml:space="preserve"> PAGEREF _Toc80612107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Education and care services</w:t>
      </w:r>
    </w:p>
    <w:p>
      <w:pPr>
        <w:pStyle w:val="TOC8"/>
        <w:rPr>
          <w:rFonts w:asciiTheme="minorHAnsi" w:eastAsiaTheme="minorEastAsia" w:hAnsiTheme="minorHAnsi" w:cstheme="minorBidi"/>
          <w:szCs w:val="22"/>
        </w:rPr>
      </w:pPr>
      <w:r>
        <w:t>306.</w:t>
      </w:r>
      <w:r>
        <w:tab/>
        <w:t>Approved provider</w:t>
      </w:r>
      <w:r>
        <w:tab/>
      </w:r>
      <w:r>
        <w:fldChar w:fldCharType="begin"/>
      </w:r>
      <w:r>
        <w:instrText xml:space="preserve"> PAGEREF _Toc80612109 \h </w:instrText>
      </w:r>
      <w:r>
        <w:fldChar w:fldCharType="separate"/>
      </w:r>
      <w:r>
        <w:t>180</w:t>
      </w:r>
      <w:r>
        <w:fldChar w:fldCharType="end"/>
      </w:r>
    </w:p>
    <w:p>
      <w:pPr>
        <w:pStyle w:val="TOC8"/>
        <w:rPr>
          <w:rFonts w:asciiTheme="minorHAnsi" w:eastAsiaTheme="minorEastAsia" w:hAnsiTheme="minorHAnsi" w:cstheme="minorBidi"/>
          <w:szCs w:val="22"/>
        </w:rPr>
      </w:pPr>
      <w:r>
        <w:t>307.</w:t>
      </w:r>
      <w:r>
        <w:tab/>
        <w:t>Service approvals</w:t>
      </w:r>
      <w:r>
        <w:tab/>
      </w:r>
      <w:r>
        <w:fldChar w:fldCharType="begin"/>
      </w:r>
      <w:r>
        <w:instrText xml:space="preserve"> PAGEREF _Toc80612110 \h </w:instrText>
      </w:r>
      <w:r>
        <w:fldChar w:fldCharType="separate"/>
      </w:r>
      <w:r>
        <w:t>181</w:t>
      </w:r>
      <w:r>
        <w:fldChar w:fldCharType="end"/>
      </w:r>
    </w:p>
    <w:p>
      <w:pPr>
        <w:pStyle w:val="TOC8"/>
        <w:rPr>
          <w:rFonts w:asciiTheme="minorHAnsi" w:eastAsiaTheme="minorEastAsia" w:hAnsiTheme="minorHAnsi" w:cstheme="minorBidi"/>
          <w:szCs w:val="22"/>
        </w:rPr>
      </w:pPr>
      <w:r>
        <w:t>308.</w:t>
      </w:r>
      <w:r>
        <w:tab/>
        <w:t>Approved family day care venues</w:t>
      </w:r>
      <w:r>
        <w:tab/>
      </w:r>
      <w:r>
        <w:fldChar w:fldCharType="begin"/>
      </w:r>
      <w:r>
        <w:instrText xml:space="preserve"> PAGEREF _Toc80612111 \h </w:instrText>
      </w:r>
      <w:r>
        <w:fldChar w:fldCharType="separate"/>
      </w:r>
      <w:r>
        <w:t>182</w:t>
      </w:r>
      <w:r>
        <w:fldChar w:fldCharType="end"/>
      </w:r>
    </w:p>
    <w:p>
      <w:pPr>
        <w:pStyle w:val="TOC8"/>
        <w:rPr>
          <w:rFonts w:asciiTheme="minorHAnsi" w:eastAsiaTheme="minorEastAsia" w:hAnsiTheme="minorHAnsi" w:cstheme="minorBidi"/>
          <w:szCs w:val="22"/>
        </w:rPr>
      </w:pPr>
      <w:r>
        <w:t>309.</w:t>
      </w:r>
      <w:r>
        <w:tab/>
        <w:t>Approval of declared out of scope services</w:t>
      </w:r>
      <w:r>
        <w:tab/>
      </w:r>
      <w:r>
        <w:fldChar w:fldCharType="begin"/>
      </w:r>
      <w:r>
        <w:instrText xml:space="preserve"> PAGEREF _Toc80612112 \h </w:instrText>
      </w:r>
      <w:r>
        <w:fldChar w:fldCharType="separate"/>
      </w:r>
      <w:r>
        <w:t>182</w:t>
      </w:r>
      <w:r>
        <w:fldChar w:fldCharType="end"/>
      </w:r>
    </w:p>
    <w:p>
      <w:pPr>
        <w:pStyle w:val="TOC8"/>
        <w:rPr>
          <w:rFonts w:asciiTheme="minorHAnsi" w:eastAsiaTheme="minorEastAsia" w:hAnsiTheme="minorHAnsi" w:cstheme="minorBidi"/>
          <w:szCs w:val="22"/>
        </w:rPr>
      </w:pPr>
      <w:r>
        <w:t>310.</w:t>
      </w:r>
      <w:r>
        <w:tab/>
        <w:t>Application for service waiver or temporary waiver</w:t>
      </w:r>
      <w:r>
        <w:tab/>
      </w:r>
      <w:r>
        <w:fldChar w:fldCharType="begin"/>
      </w:r>
      <w:r>
        <w:instrText xml:space="preserve"> PAGEREF _Toc80612113 \h </w:instrText>
      </w:r>
      <w:r>
        <w:fldChar w:fldCharType="separate"/>
      </w:r>
      <w:r>
        <w:t>183</w:t>
      </w:r>
      <w:r>
        <w:fldChar w:fldCharType="end"/>
      </w:r>
    </w:p>
    <w:p>
      <w:pPr>
        <w:pStyle w:val="TOC8"/>
        <w:rPr>
          <w:rFonts w:asciiTheme="minorHAnsi" w:eastAsiaTheme="minorEastAsia" w:hAnsiTheme="minorHAnsi" w:cstheme="minorBidi"/>
          <w:szCs w:val="22"/>
        </w:rPr>
      </w:pPr>
      <w:r>
        <w:t>311.</w:t>
      </w:r>
      <w:r>
        <w:tab/>
        <w:t>Existing applicants</w:t>
      </w:r>
      <w:r>
        <w:tab/>
      </w:r>
      <w:r>
        <w:fldChar w:fldCharType="begin"/>
      </w:r>
      <w:r>
        <w:instrText xml:space="preserve"> PAGEREF _Toc80612114 \h </w:instrText>
      </w:r>
      <w:r>
        <w:fldChar w:fldCharType="separate"/>
      </w:r>
      <w:r>
        <w:t>183</w:t>
      </w:r>
      <w:r>
        <w:fldChar w:fldCharType="end"/>
      </w:r>
    </w:p>
    <w:p>
      <w:pPr>
        <w:pStyle w:val="TOC8"/>
        <w:rPr>
          <w:rFonts w:asciiTheme="minorHAnsi" w:eastAsiaTheme="minorEastAsia" w:hAnsiTheme="minorHAnsi" w:cstheme="minorBidi"/>
          <w:szCs w:val="22"/>
        </w:rPr>
      </w:pPr>
      <w:r>
        <w:t>312.</w:t>
      </w:r>
      <w:r>
        <w:tab/>
        <w:t>Existing multiple approvals to merge</w:t>
      </w:r>
      <w:r>
        <w:tab/>
      </w:r>
      <w:r>
        <w:fldChar w:fldCharType="begin"/>
      </w:r>
      <w:r>
        <w:instrText xml:space="preserve"> PAGEREF _Toc80612115 \h </w:instrText>
      </w:r>
      <w:r>
        <w:fldChar w:fldCharType="separate"/>
      </w:r>
      <w:r>
        <w:t>184</w:t>
      </w:r>
      <w:r>
        <w:fldChar w:fldCharType="end"/>
      </w:r>
    </w:p>
    <w:p>
      <w:pPr>
        <w:pStyle w:val="TOC8"/>
        <w:rPr>
          <w:rFonts w:asciiTheme="minorHAnsi" w:eastAsiaTheme="minorEastAsia" w:hAnsiTheme="minorHAnsi" w:cstheme="minorBidi"/>
          <w:szCs w:val="22"/>
        </w:rPr>
      </w:pPr>
      <w:r>
        <w:t>313.</w:t>
      </w:r>
      <w:r>
        <w:tab/>
        <w:t>Display of accreditation and rating</w:t>
      </w:r>
      <w:r>
        <w:tab/>
      </w:r>
      <w:r>
        <w:fldChar w:fldCharType="begin"/>
      </w:r>
      <w:r>
        <w:instrText xml:space="preserve"> PAGEREF _Toc80612116 \h </w:instrText>
      </w:r>
      <w:r>
        <w:fldChar w:fldCharType="separate"/>
      </w:r>
      <w:r>
        <w:t>184</w:t>
      </w:r>
      <w:r>
        <w:fldChar w:fldCharType="end"/>
      </w:r>
    </w:p>
    <w:p>
      <w:pPr>
        <w:pStyle w:val="TOC8"/>
        <w:rPr>
          <w:rFonts w:asciiTheme="minorHAnsi" w:eastAsiaTheme="minorEastAsia" w:hAnsiTheme="minorHAnsi" w:cstheme="minorBidi"/>
          <w:szCs w:val="22"/>
        </w:rPr>
      </w:pPr>
      <w:r>
        <w:lastRenderedPageBreak/>
        <w:t>314.</w:t>
      </w:r>
      <w:r>
        <w:tab/>
        <w:t>Effect of non</w:t>
      </w:r>
      <w:r>
        <w:noBreakHyphen/>
        <w:t>compliance in 3 years before scheme commencement day</w:t>
      </w:r>
      <w:r>
        <w:tab/>
      </w:r>
      <w:r>
        <w:fldChar w:fldCharType="begin"/>
      </w:r>
      <w:r>
        <w:instrText xml:space="preserve"> PAGEREF _Toc80612117 \h </w:instrText>
      </w:r>
      <w:r>
        <w:fldChar w:fldCharType="separate"/>
      </w:r>
      <w:r>
        <w:t>184</w:t>
      </w:r>
      <w:r>
        <w:fldChar w:fldCharType="end"/>
      </w:r>
    </w:p>
    <w:p>
      <w:pPr>
        <w:pStyle w:val="TOC8"/>
        <w:rPr>
          <w:rFonts w:asciiTheme="minorHAnsi" w:eastAsiaTheme="minorEastAsia" w:hAnsiTheme="minorHAnsi" w:cstheme="minorBidi"/>
          <w:szCs w:val="22"/>
        </w:rPr>
      </w:pPr>
      <w:r>
        <w:t>315.</w:t>
      </w:r>
      <w:r>
        <w:tab/>
        <w:t>Certified supervisors</w:t>
      </w:r>
      <w:r>
        <w:tab/>
      </w:r>
      <w:r>
        <w:fldChar w:fldCharType="begin"/>
      </w:r>
      <w:r>
        <w:instrText xml:space="preserve"> PAGEREF _Toc80612118 \h </w:instrText>
      </w:r>
      <w:r>
        <w:fldChar w:fldCharType="separate"/>
      </w:r>
      <w:r>
        <w:t>185</w:t>
      </w:r>
      <w:r>
        <w:fldChar w:fldCharType="end"/>
      </w:r>
    </w:p>
    <w:p>
      <w:pPr>
        <w:pStyle w:val="TOC8"/>
        <w:rPr>
          <w:rFonts w:asciiTheme="minorHAnsi" w:eastAsiaTheme="minorEastAsia" w:hAnsiTheme="minorHAnsi" w:cstheme="minorBidi"/>
          <w:szCs w:val="22"/>
        </w:rPr>
      </w:pPr>
      <w:r>
        <w:t>316.</w:t>
      </w:r>
      <w:r>
        <w:tab/>
        <w:t>Nominated supervisors</w:t>
      </w:r>
      <w:r>
        <w:tab/>
      </w:r>
      <w:r>
        <w:fldChar w:fldCharType="begin"/>
      </w:r>
      <w:r>
        <w:instrText xml:space="preserve"> PAGEREF _Toc80612119 \h </w:instrText>
      </w:r>
      <w:r>
        <w:fldChar w:fldCharType="separate"/>
      </w:r>
      <w:r>
        <w:t>185</w:t>
      </w:r>
      <w:r>
        <w:fldChar w:fldCharType="end"/>
      </w:r>
    </w:p>
    <w:p>
      <w:pPr>
        <w:pStyle w:val="TOC8"/>
        <w:rPr>
          <w:rFonts w:asciiTheme="minorHAnsi" w:eastAsiaTheme="minorEastAsia" w:hAnsiTheme="minorHAnsi" w:cstheme="minorBidi"/>
          <w:szCs w:val="22"/>
        </w:rPr>
      </w:pPr>
      <w:r>
        <w:t>317.</w:t>
      </w:r>
      <w:r>
        <w:tab/>
        <w:t>Notices and undertakings</w:t>
      </w:r>
      <w:r>
        <w:tab/>
      </w:r>
      <w:r>
        <w:fldChar w:fldCharType="begin"/>
      </w:r>
      <w:r>
        <w:instrText xml:space="preserve"> PAGEREF _Toc80612120 \h </w:instrText>
      </w:r>
      <w:r>
        <w:fldChar w:fldCharType="separate"/>
      </w:r>
      <w:r>
        <w:t>186</w:t>
      </w:r>
      <w:r>
        <w:fldChar w:fldCharType="end"/>
      </w:r>
    </w:p>
    <w:p>
      <w:pPr>
        <w:pStyle w:val="TOC8"/>
        <w:rPr>
          <w:rFonts w:asciiTheme="minorHAnsi" w:eastAsiaTheme="minorEastAsia" w:hAnsiTheme="minorHAnsi" w:cstheme="minorBidi"/>
          <w:szCs w:val="22"/>
        </w:rPr>
      </w:pPr>
      <w:r>
        <w:t>318.</w:t>
      </w:r>
      <w:r>
        <w:tab/>
        <w:t>Offences</w:t>
      </w:r>
      <w:r>
        <w:tab/>
      </w:r>
      <w:r>
        <w:fldChar w:fldCharType="begin"/>
      </w:r>
      <w:r>
        <w:instrText xml:space="preserve"> PAGEREF _Toc80612121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National Authority</w:t>
      </w:r>
    </w:p>
    <w:p>
      <w:pPr>
        <w:pStyle w:val="TOC8"/>
        <w:rPr>
          <w:rFonts w:asciiTheme="minorHAnsi" w:eastAsiaTheme="minorEastAsia" w:hAnsiTheme="minorHAnsi" w:cstheme="minorBidi"/>
          <w:szCs w:val="22"/>
        </w:rPr>
      </w:pPr>
      <w:r>
        <w:t>319.</w:t>
      </w:r>
      <w:r>
        <w:tab/>
        <w:t>First meeting of National Authority</w:t>
      </w:r>
      <w:r>
        <w:tab/>
      </w:r>
      <w:r>
        <w:fldChar w:fldCharType="begin"/>
      </w:r>
      <w:r>
        <w:instrText xml:space="preserve"> PAGEREF _Toc80612123 \h </w:instrText>
      </w:r>
      <w:r>
        <w:fldChar w:fldCharType="separate"/>
      </w:r>
      <w:r>
        <w:t>186</w:t>
      </w:r>
      <w:r>
        <w:fldChar w:fldCharType="end"/>
      </w:r>
    </w:p>
    <w:p>
      <w:pPr>
        <w:pStyle w:val="TOC8"/>
        <w:rPr>
          <w:rFonts w:asciiTheme="minorHAnsi" w:eastAsiaTheme="minorEastAsia" w:hAnsiTheme="minorHAnsi" w:cstheme="minorBidi"/>
          <w:szCs w:val="22"/>
        </w:rPr>
      </w:pPr>
      <w:r>
        <w:t>320.</w:t>
      </w:r>
      <w:r>
        <w:tab/>
        <w:t>First chief executive officer of National Authority</w:t>
      </w:r>
      <w:r>
        <w:tab/>
      </w:r>
      <w:r>
        <w:fldChar w:fldCharType="begin"/>
      </w:r>
      <w:r>
        <w:instrText xml:space="preserve"> PAGEREF _Toc80612124 \h </w:instrText>
      </w:r>
      <w:r>
        <w:fldChar w:fldCharType="separate"/>
      </w:r>
      <w:r>
        <w:t>186</w:t>
      </w:r>
      <w:r>
        <w:fldChar w:fldCharType="end"/>
      </w:r>
    </w:p>
    <w:p>
      <w:pPr>
        <w:pStyle w:val="TOC8"/>
        <w:rPr>
          <w:rFonts w:asciiTheme="minorHAnsi" w:eastAsiaTheme="minorEastAsia" w:hAnsiTheme="minorHAnsi" w:cstheme="minorBidi"/>
          <w:szCs w:val="22"/>
        </w:rPr>
      </w:pPr>
      <w:r>
        <w:t>321.</w:t>
      </w:r>
      <w:r>
        <w:tab/>
        <w:t>First annual report of National Authority</w:t>
      </w:r>
      <w:r>
        <w:tab/>
      </w:r>
      <w:r>
        <w:fldChar w:fldCharType="begin"/>
      </w:r>
      <w:r>
        <w:instrText xml:space="preserve"> PAGEREF _Toc80612125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General</w:t>
      </w:r>
    </w:p>
    <w:p>
      <w:pPr>
        <w:pStyle w:val="TOC8"/>
        <w:rPr>
          <w:rFonts w:asciiTheme="minorHAnsi" w:eastAsiaTheme="minorEastAsia" w:hAnsiTheme="minorHAnsi" w:cstheme="minorBidi"/>
          <w:szCs w:val="22"/>
        </w:rPr>
      </w:pPr>
      <w:r>
        <w:t>322.</w:t>
      </w:r>
      <w:r>
        <w:tab/>
        <w:t>Information retention and sharing</w:t>
      </w:r>
      <w:r>
        <w:tab/>
      </w:r>
      <w:r>
        <w:fldChar w:fldCharType="begin"/>
      </w:r>
      <w:r>
        <w:instrText xml:space="preserve"> PAGEREF _Toc80612127 \h </w:instrText>
      </w:r>
      <w:r>
        <w:fldChar w:fldCharType="separate"/>
      </w:r>
      <w:r>
        <w:t>187</w:t>
      </w:r>
      <w:r>
        <w:fldChar w:fldCharType="end"/>
      </w:r>
    </w:p>
    <w:p>
      <w:pPr>
        <w:pStyle w:val="TOC8"/>
        <w:rPr>
          <w:rFonts w:asciiTheme="minorHAnsi" w:eastAsiaTheme="minorEastAsia" w:hAnsiTheme="minorHAnsi" w:cstheme="minorBidi"/>
          <w:szCs w:val="22"/>
        </w:rPr>
      </w:pPr>
      <w:r>
        <w:t>323.</w:t>
      </w:r>
      <w:r>
        <w:tab/>
        <w:t>Approved learning framework</w:t>
      </w:r>
      <w:r>
        <w:tab/>
      </w:r>
      <w:r>
        <w:fldChar w:fldCharType="begin"/>
      </w:r>
      <w:r>
        <w:instrText xml:space="preserve"> PAGEREF _Toc80612128 \h </w:instrText>
      </w:r>
      <w:r>
        <w:fldChar w:fldCharType="separate"/>
      </w:r>
      <w:r>
        <w:t>188</w:t>
      </w:r>
      <w:r>
        <w:fldChar w:fldCharType="end"/>
      </w:r>
    </w:p>
    <w:p>
      <w:pPr>
        <w:pStyle w:val="TOC8"/>
        <w:rPr>
          <w:rFonts w:asciiTheme="minorHAnsi" w:eastAsiaTheme="minorEastAsia" w:hAnsiTheme="minorHAnsi" w:cstheme="minorBidi"/>
          <w:szCs w:val="22"/>
        </w:rPr>
      </w:pPr>
      <w:r>
        <w:t>324.</w:t>
      </w:r>
      <w:r>
        <w:tab/>
        <w:t>Savings and transitional regulations</w:t>
      </w:r>
      <w:r>
        <w:tab/>
      </w:r>
      <w:r>
        <w:fldChar w:fldCharType="begin"/>
      </w:r>
      <w:r>
        <w:instrText xml:space="preserve"> PAGEREF _Toc80612129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5 — Transitional provisions — </w:t>
      </w:r>
      <w:r>
        <w:rPr>
          <w:i/>
        </w:rPr>
        <w:t>Education and Care Services National Law (WA) Amendment Act 2018</w:t>
      </w:r>
    </w:p>
    <w:p>
      <w:pPr>
        <w:pStyle w:val="TOC8"/>
        <w:rPr>
          <w:rFonts w:asciiTheme="minorHAnsi" w:eastAsiaTheme="minorEastAsia" w:hAnsiTheme="minorHAnsi" w:cstheme="minorBidi"/>
          <w:szCs w:val="22"/>
        </w:rPr>
      </w:pPr>
      <w:r>
        <w:t>325.</w:t>
      </w:r>
      <w:r>
        <w:tab/>
        <w:t>Definitions</w:t>
      </w:r>
      <w:r>
        <w:tab/>
      </w:r>
      <w:r>
        <w:fldChar w:fldCharType="begin"/>
      </w:r>
      <w:r>
        <w:instrText xml:space="preserve"> PAGEREF _Toc80612131 \h </w:instrText>
      </w:r>
      <w:r>
        <w:fldChar w:fldCharType="separate"/>
      </w:r>
      <w:r>
        <w:t>188</w:t>
      </w:r>
      <w:r>
        <w:fldChar w:fldCharType="end"/>
      </w:r>
    </w:p>
    <w:p>
      <w:pPr>
        <w:pStyle w:val="TOC8"/>
        <w:rPr>
          <w:rFonts w:asciiTheme="minorHAnsi" w:eastAsiaTheme="minorEastAsia" w:hAnsiTheme="minorHAnsi" w:cstheme="minorBidi"/>
          <w:szCs w:val="22"/>
        </w:rPr>
      </w:pPr>
      <w:r>
        <w:t>326.</w:t>
      </w:r>
      <w:r>
        <w:tab/>
        <w:t>Approved family day care venues</w:t>
      </w:r>
      <w:r>
        <w:tab/>
      </w:r>
      <w:r>
        <w:fldChar w:fldCharType="begin"/>
      </w:r>
      <w:r>
        <w:instrText xml:space="preserve"> PAGEREF _Toc80612132 \h </w:instrText>
      </w:r>
      <w:r>
        <w:fldChar w:fldCharType="separate"/>
      </w:r>
      <w:r>
        <w:t>189</w:t>
      </w:r>
      <w:r>
        <w:fldChar w:fldCharType="end"/>
      </w:r>
    </w:p>
    <w:p>
      <w:pPr>
        <w:pStyle w:val="TOC8"/>
        <w:rPr>
          <w:rFonts w:asciiTheme="minorHAnsi" w:eastAsiaTheme="minorEastAsia" w:hAnsiTheme="minorHAnsi" w:cstheme="minorBidi"/>
          <w:szCs w:val="22"/>
        </w:rPr>
      </w:pPr>
      <w:r>
        <w:t>327.</w:t>
      </w:r>
      <w:r>
        <w:tab/>
        <w:t>Declared approved family day care venues continue to be approved</w:t>
      </w:r>
      <w:r>
        <w:tab/>
      </w:r>
      <w:r>
        <w:fldChar w:fldCharType="begin"/>
      </w:r>
      <w:r>
        <w:instrText xml:space="preserve"> PAGEREF _Toc80612133 \h </w:instrText>
      </w:r>
      <w:r>
        <w:fldChar w:fldCharType="separate"/>
      </w:r>
      <w:r>
        <w:t>189</w:t>
      </w:r>
      <w:r>
        <w:fldChar w:fldCharType="end"/>
      </w:r>
    </w:p>
    <w:p>
      <w:pPr>
        <w:pStyle w:val="TOC8"/>
        <w:rPr>
          <w:rFonts w:asciiTheme="minorHAnsi" w:eastAsiaTheme="minorEastAsia" w:hAnsiTheme="minorHAnsi" w:cstheme="minorBidi"/>
          <w:szCs w:val="22"/>
        </w:rPr>
      </w:pPr>
      <w:r>
        <w:t>328.</w:t>
      </w:r>
      <w:r>
        <w:tab/>
        <w:t>Service approval condition requiring sufficient family day care co</w:t>
      </w:r>
      <w:r>
        <w:noBreakHyphen/>
        <w:t>ordinators</w:t>
      </w:r>
      <w:r>
        <w:tab/>
      </w:r>
      <w:r>
        <w:fldChar w:fldCharType="begin"/>
      </w:r>
      <w:r>
        <w:instrText xml:space="preserve"> PAGEREF _Toc80612134 \h </w:instrText>
      </w:r>
      <w:r>
        <w:fldChar w:fldCharType="separate"/>
      </w:r>
      <w:r>
        <w:t>189</w:t>
      </w:r>
      <w:r>
        <w:fldChar w:fldCharType="end"/>
      </w:r>
    </w:p>
    <w:p>
      <w:pPr>
        <w:pStyle w:val="TOC8"/>
        <w:rPr>
          <w:rFonts w:asciiTheme="minorHAnsi" w:eastAsiaTheme="minorEastAsia" w:hAnsiTheme="minorHAnsi" w:cstheme="minorBidi"/>
          <w:szCs w:val="22"/>
        </w:rPr>
      </w:pPr>
      <w:r>
        <w:t>329.</w:t>
      </w:r>
      <w:r>
        <w:tab/>
        <w:t>Service approval condition requiring minimum number of family day care co</w:t>
      </w:r>
      <w:r>
        <w:noBreakHyphen/>
        <w:t>ordinators</w:t>
      </w:r>
      <w:r>
        <w:tab/>
      </w:r>
      <w:r>
        <w:fldChar w:fldCharType="begin"/>
      </w:r>
      <w:r>
        <w:instrText xml:space="preserve"> PAGEREF _Toc80612135 \h </w:instrText>
      </w:r>
      <w:r>
        <w:fldChar w:fldCharType="separate"/>
      </w:r>
      <w:r>
        <w:t>190</w:t>
      </w:r>
      <w:r>
        <w:fldChar w:fldCharType="end"/>
      </w:r>
    </w:p>
    <w:p>
      <w:pPr>
        <w:pStyle w:val="TOC8"/>
        <w:rPr>
          <w:rFonts w:asciiTheme="minorHAnsi" w:eastAsiaTheme="minorEastAsia" w:hAnsiTheme="minorHAnsi" w:cstheme="minorBidi"/>
          <w:szCs w:val="22"/>
        </w:rPr>
      </w:pPr>
      <w:r>
        <w:t>330.</w:t>
      </w:r>
      <w:r>
        <w:tab/>
        <w:t>Publication of information about certified supervisors</w:t>
      </w:r>
      <w:r>
        <w:tab/>
      </w:r>
      <w:r>
        <w:fldChar w:fldCharType="begin"/>
      </w:r>
      <w:r>
        <w:instrText xml:space="preserve"> PAGEREF _Toc80612136 \h </w:instrText>
      </w:r>
      <w:r>
        <w:fldChar w:fldCharType="separate"/>
      </w:r>
      <w:r>
        <w:t>190</w:t>
      </w:r>
      <w:r>
        <w:fldChar w:fldCharType="end"/>
      </w:r>
    </w:p>
    <w:p>
      <w:pPr>
        <w:pStyle w:val="TOC8"/>
        <w:rPr>
          <w:rFonts w:asciiTheme="minorHAnsi" w:eastAsiaTheme="minorEastAsia" w:hAnsiTheme="minorHAnsi" w:cstheme="minorBidi"/>
          <w:szCs w:val="22"/>
        </w:rPr>
      </w:pPr>
      <w:r>
        <w:t>330A.</w:t>
      </w:r>
      <w:r>
        <w:tab/>
        <w:t>Repeal of show cause notice if written notice not given before commencement day</w:t>
      </w:r>
      <w:r>
        <w:tab/>
      </w:r>
      <w:r>
        <w:fldChar w:fldCharType="begin"/>
      </w:r>
      <w:r>
        <w:instrText xml:space="preserve"> PAGEREF _Toc80612137 \h </w:instrText>
      </w:r>
      <w:r>
        <w:fldChar w:fldCharType="separate"/>
      </w:r>
      <w:r>
        <w:t>191</w:t>
      </w:r>
      <w:r>
        <w:fldChar w:fldCharType="end"/>
      </w:r>
    </w:p>
    <w:p>
      <w:pPr>
        <w:pStyle w:val="TOC8"/>
        <w:rPr>
          <w:rFonts w:asciiTheme="minorHAnsi" w:eastAsiaTheme="minorEastAsia" w:hAnsiTheme="minorHAnsi" w:cstheme="minorBidi"/>
          <w:szCs w:val="22"/>
        </w:rPr>
      </w:pPr>
      <w:r>
        <w:t>330B.</w:t>
      </w:r>
      <w:r>
        <w:tab/>
        <w:t>Effect of decisions made before commencement day under repealed section 125</w:t>
      </w:r>
      <w:r>
        <w:tab/>
      </w:r>
      <w:r>
        <w:fldChar w:fldCharType="begin"/>
      </w:r>
      <w:r>
        <w:instrText xml:space="preserve"> PAGEREF _Toc80612138 \h </w:instrText>
      </w:r>
      <w:r>
        <w:fldChar w:fldCharType="separate"/>
      </w:r>
      <w:r>
        <w:t>191</w:t>
      </w:r>
      <w:r>
        <w:fldChar w:fldCharType="end"/>
      </w:r>
    </w:p>
    <w:p>
      <w:pPr>
        <w:pStyle w:val="TOC8"/>
        <w:rPr>
          <w:rFonts w:asciiTheme="minorHAnsi" w:eastAsiaTheme="minorEastAsia" w:hAnsiTheme="minorHAnsi" w:cstheme="minorBidi"/>
          <w:szCs w:val="22"/>
        </w:rPr>
      </w:pPr>
      <w:r>
        <w:t>330C.</w:t>
      </w:r>
      <w:r>
        <w:tab/>
        <w:t>Continuation of reviews of decisions relating to supervisor certificates in particular circumstances</w:t>
      </w:r>
      <w:r>
        <w:tab/>
      </w:r>
      <w:r>
        <w:fldChar w:fldCharType="begin"/>
      </w:r>
      <w:r>
        <w:instrText xml:space="preserve"> PAGEREF _Toc80612139 \h </w:instrText>
      </w:r>
      <w:r>
        <w:fldChar w:fldCharType="separate"/>
      </w:r>
      <w:r>
        <w:t>193</w:t>
      </w:r>
      <w:r>
        <w:fldChar w:fldCharType="end"/>
      </w:r>
    </w:p>
    <w:p>
      <w:pPr>
        <w:pStyle w:val="TOC8"/>
        <w:rPr>
          <w:rFonts w:asciiTheme="minorHAnsi" w:eastAsiaTheme="minorEastAsia" w:hAnsiTheme="minorHAnsi" w:cstheme="minorBidi"/>
          <w:szCs w:val="22"/>
        </w:rPr>
      </w:pPr>
      <w:r>
        <w:t>331.</w:t>
      </w:r>
      <w:r>
        <w:tab/>
        <w:t>Evidentiary certificates</w:t>
      </w:r>
      <w:r>
        <w:tab/>
      </w:r>
      <w:r>
        <w:fldChar w:fldCharType="begin"/>
      </w:r>
      <w:r>
        <w:instrText xml:space="preserve"> PAGEREF _Toc80612140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 xml:space="preserve">Further transitional provisions — </w:t>
      </w:r>
      <w:r>
        <w:rPr>
          <w:i/>
        </w:rPr>
        <w:t>Education and Care Services National Law (WA) Amendment Act 2018</w:t>
      </w:r>
    </w:p>
    <w:p>
      <w:pPr>
        <w:pStyle w:val="TOC8"/>
        <w:rPr>
          <w:rFonts w:asciiTheme="minorHAnsi" w:eastAsiaTheme="minorEastAsia" w:hAnsiTheme="minorHAnsi" w:cstheme="minorBidi"/>
          <w:szCs w:val="22"/>
        </w:rPr>
      </w:pPr>
      <w:r>
        <w:t>332.</w:t>
      </w:r>
      <w:r>
        <w:tab/>
        <w:t>Definitions</w:t>
      </w:r>
      <w:r>
        <w:tab/>
      </w:r>
      <w:r>
        <w:fldChar w:fldCharType="begin"/>
      </w:r>
      <w:r>
        <w:instrText xml:space="preserve"> PAGEREF _Toc80612142 \h </w:instrText>
      </w:r>
      <w:r>
        <w:fldChar w:fldCharType="separate"/>
      </w:r>
      <w:r>
        <w:t>194</w:t>
      </w:r>
      <w:r>
        <w:fldChar w:fldCharType="end"/>
      </w:r>
    </w:p>
    <w:p>
      <w:pPr>
        <w:pStyle w:val="TOC8"/>
        <w:rPr>
          <w:rFonts w:asciiTheme="minorHAnsi" w:eastAsiaTheme="minorEastAsia" w:hAnsiTheme="minorHAnsi" w:cstheme="minorBidi"/>
          <w:szCs w:val="22"/>
        </w:rPr>
      </w:pPr>
      <w:r>
        <w:t>333.</w:t>
      </w:r>
      <w:r>
        <w:tab/>
        <w:t>Partial assessment and re</w:t>
      </w:r>
      <w:r>
        <w:noBreakHyphen/>
        <w:t>rating</w:t>
      </w:r>
      <w:r>
        <w:tab/>
      </w:r>
      <w:r>
        <w:fldChar w:fldCharType="begin"/>
      </w:r>
      <w:r>
        <w:instrText xml:space="preserve"> PAGEREF _Toc80612143 \h </w:instrText>
      </w:r>
      <w:r>
        <w:fldChar w:fldCharType="separate"/>
      </w:r>
      <w:r>
        <w:t>194</w:t>
      </w:r>
      <w:r>
        <w:fldChar w:fldCharType="end"/>
      </w:r>
    </w:p>
    <w:p>
      <w:pPr>
        <w:pStyle w:val="TOC8"/>
        <w:rPr>
          <w:rFonts w:asciiTheme="minorHAnsi" w:eastAsiaTheme="minorEastAsia" w:hAnsiTheme="minorHAnsi" w:cstheme="minorBidi"/>
          <w:szCs w:val="22"/>
        </w:rPr>
      </w:pPr>
      <w:r>
        <w:lastRenderedPageBreak/>
        <w:t>334.</w:t>
      </w:r>
      <w:r>
        <w:tab/>
        <w:t>Application for highest rating level made before commencement day</w:t>
      </w:r>
      <w:r>
        <w:tab/>
      </w:r>
      <w:r>
        <w:fldChar w:fldCharType="begin"/>
      </w:r>
      <w:r>
        <w:instrText xml:space="preserve"> PAGEREF _Toc80612144 \h </w:instrText>
      </w:r>
      <w:r>
        <w:fldChar w:fldCharType="separate"/>
      </w:r>
      <w:r>
        <w:t>195</w:t>
      </w:r>
      <w:r>
        <w:fldChar w:fldCharType="end"/>
      </w:r>
    </w:p>
    <w:p>
      <w:pPr>
        <w:pStyle w:val="TOC8"/>
        <w:rPr>
          <w:rFonts w:asciiTheme="minorHAnsi" w:eastAsiaTheme="minorEastAsia" w:hAnsiTheme="minorHAnsi" w:cstheme="minorBidi"/>
          <w:szCs w:val="22"/>
        </w:rPr>
      </w:pPr>
      <w:r>
        <w:t>335.</w:t>
      </w:r>
      <w:r>
        <w:tab/>
        <w:t>Highest rating level awarded before, or on application made before, commencement day</w:t>
      </w:r>
      <w:r>
        <w:tab/>
      </w:r>
      <w:r>
        <w:fldChar w:fldCharType="begin"/>
      </w:r>
      <w:r>
        <w:instrText xml:space="preserve"> PAGEREF _Toc80612145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Schedule 1 — Miscellaneous provision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xml:space="preserve">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_Toc80612148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xml:space="preserve"> — </w:t>
      </w:r>
      <w:r>
        <w:t>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_Toc80612150 \h </w:instrText>
      </w:r>
      <w:r>
        <w:fldChar w:fldCharType="separate"/>
      </w:r>
      <w:r>
        <w:t>197</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_Toc80612151 \h </w:instrText>
      </w:r>
      <w:r>
        <w:fldChar w:fldCharType="separate"/>
      </w:r>
      <w:r>
        <w:t>197</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_Toc80612152 \h </w:instrText>
      </w:r>
      <w:r>
        <w:fldChar w:fldCharType="separate"/>
      </w:r>
      <w:r>
        <w:t>197</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_Toc80612153 \h </w:instrText>
      </w:r>
      <w:r>
        <w:fldChar w:fldCharType="separate"/>
      </w:r>
      <w:r>
        <w:t>198</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_Toc80612154 \h </w:instrText>
      </w:r>
      <w:r>
        <w:fldChar w:fldCharType="separate"/>
      </w:r>
      <w:r>
        <w:t>198</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_Toc80612155 \h </w:instrText>
      </w:r>
      <w:r>
        <w:fldChar w:fldCharType="separate"/>
      </w:r>
      <w:r>
        <w:t>199</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_Toc80612156 \h </w:instrText>
      </w:r>
      <w:r>
        <w:fldChar w:fldCharType="separate"/>
      </w:r>
      <w:r>
        <w:t>199</w:t>
      </w:r>
      <w:r>
        <w:fldChar w:fldCharType="end"/>
      </w:r>
    </w:p>
    <w:p>
      <w:pPr>
        <w:pStyle w:val="TOC8"/>
        <w:rPr>
          <w:rFonts w:asciiTheme="minorHAnsi" w:eastAsiaTheme="minorEastAsia" w:hAnsiTheme="minorHAnsi" w:cstheme="minorBidi"/>
          <w:szCs w:val="22"/>
        </w:rPr>
      </w:pPr>
      <w:r>
        <w:t>9.</w:t>
      </w:r>
      <w:r>
        <w:tab/>
        <w:t>Effect of change of drafting practice and use of examples</w:t>
      </w:r>
      <w:r>
        <w:tab/>
      </w:r>
      <w:r>
        <w:fldChar w:fldCharType="begin"/>
      </w:r>
      <w:r>
        <w:instrText xml:space="preserve"> PAGEREF _Toc80612157 \h </w:instrText>
      </w:r>
      <w:r>
        <w:fldChar w:fldCharType="separate"/>
      </w:r>
      <w:r>
        <w:t>201</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_Toc80612158 \h </w:instrText>
      </w:r>
      <w:r>
        <w:fldChar w:fldCharType="separate"/>
      </w:r>
      <w:r>
        <w:t>201</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_Toc80612159 \h </w:instrText>
      </w:r>
      <w:r>
        <w:fldChar w:fldCharType="separate"/>
      </w:r>
      <w:r>
        <w:t>201</w:t>
      </w:r>
      <w:r>
        <w:fldChar w:fldCharType="end"/>
      </w:r>
    </w:p>
    <w:p>
      <w:pPr>
        <w:pStyle w:val="TOC8"/>
        <w:rPr>
          <w:rFonts w:asciiTheme="minorHAnsi" w:eastAsiaTheme="minorEastAsia" w:hAnsiTheme="minorHAnsi" w:cstheme="minorBidi"/>
          <w:szCs w:val="22"/>
        </w:rPr>
      </w:pPr>
      <w:r>
        <w:t>11A.</w:t>
      </w:r>
      <w:r>
        <w:tab/>
        <w:t>Penalty at end of provision</w:t>
      </w:r>
      <w:r>
        <w:tab/>
      </w:r>
      <w:r>
        <w:fldChar w:fldCharType="begin"/>
      </w:r>
      <w:r>
        <w:instrText xml:space="preserve"> PAGEREF _Toc80612160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xml:space="preserve"> — </w:t>
      </w:r>
      <w:r>
        <w:t>Terms and references</w:t>
      </w:r>
    </w:p>
    <w:p>
      <w:pPr>
        <w:pStyle w:val="TOC8"/>
        <w:rPr>
          <w:rFonts w:asciiTheme="minorHAnsi" w:eastAsiaTheme="minorEastAsia" w:hAnsiTheme="minorHAnsi" w:cstheme="minorBidi"/>
          <w:szCs w:val="22"/>
        </w:rPr>
      </w:pPr>
      <w:r>
        <w:t>12.</w:t>
      </w:r>
      <w:r>
        <w:tab/>
        <w:t>Definitions</w:t>
      </w:r>
      <w:r>
        <w:tab/>
      </w:r>
      <w:r>
        <w:fldChar w:fldCharType="begin"/>
      </w:r>
      <w:r>
        <w:instrText xml:space="preserve"> PAGEREF _Toc80612162 \h </w:instrText>
      </w:r>
      <w:r>
        <w:fldChar w:fldCharType="separate"/>
      </w:r>
      <w:r>
        <w:t>202</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_Toc80612163 \h </w:instrText>
      </w:r>
      <w:r>
        <w:fldChar w:fldCharType="separate"/>
      </w:r>
      <w:r>
        <w:t>206</w:t>
      </w:r>
      <w:r>
        <w:fldChar w:fldCharType="end"/>
      </w:r>
    </w:p>
    <w:p>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_Toc80612164 \h </w:instrText>
      </w:r>
      <w:r>
        <w:fldChar w:fldCharType="separate"/>
      </w:r>
      <w:r>
        <w:t>207</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_Toc80612165 \h </w:instrText>
      </w:r>
      <w:r>
        <w:fldChar w:fldCharType="separate"/>
      </w:r>
      <w:r>
        <w:t>207</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_Toc80612166 \h </w:instrText>
      </w:r>
      <w:r>
        <w:fldChar w:fldCharType="separate"/>
      </w:r>
      <w:r>
        <w:t>207</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_Toc80612167 \h </w:instrText>
      </w:r>
      <w:r>
        <w:fldChar w:fldCharType="separate"/>
      </w:r>
      <w:r>
        <w:t>207</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_Toc80612168 \h </w:instrText>
      </w:r>
      <w:r>
        <w:fldChar w:fldCharType="separate"/>
      </w:r>
      <w:r>
        <w:t>208</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_Toc80612169 \h </w:instrText>
      </w:r>
      <w:r>
        <w:fldChar w:fldCharType="separate"/>
      </w:r>
      <w:r>
        <w:t>208</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_Toc80612170 \h </w:instrText>
      </w:r>
      <w:r>
        <w:fldChar w:fldCharType="separate"/>
      </w:r>
      <w:r>
        <w:t>208</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_Toc80612171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Part 4</w:t>
      </w:r>
      <w:r>
        <w:rPr>
          <w:b w:val="0"/>
        </w:rPr>
        <w:t xml:space="preserve"> — </w:t>
      </w:r>
      <w:r>
        <w:t>Functions and powers</w:t>
      </w:r>
    </w:p>
    <w:p>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_Toc80612173 \h </w:instrText>
      </w:r>
      <w:r>
        <w:fldChar w:fldCharType="separate"/>
      </w:r>
      <w:r>
        <w:t>210</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_Toc80612174 \h </w:instrText>
      </w:r>
      <w:r>
        <w:fldChar w:fldCharType="separate"/>
      </w:r>
      <w:r>
        <w:t>210</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_Toc80612175 \h </w:instrText>
      </w:r>
      <w:r>
        <w:fldChar w:fldCharType="separate"/>
      </w:r>
      <w:r>
        <w:t>210</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_Toc80612176 \h </w:instrText>
      </w:r>
      <w:r>
        <w:fldChar w:fldCharType="separate"/>
      </w:r>
      <w:r>
        <w:t>212</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_Toc80612177 \h </w:instrText>
      </w:r>
      <w:r>
        <w:fldChar w:fldCharType="separate"/>
      </w:r>
      <w:r>
        <w:t>212</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_Toc80612178 \h </w:instrText>
      </w:r>
      <w:r>
        <w:fldChar w:fldCharType="separate"/>
      </w:r>
      <w:r>
        <w:t>212</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_Toc80612179 \h </w:instrText>
      </w:r>
      <w:r>
        <w:fldChar w:fldCharType="separate"/>
      </w:r>
      <w:r>
        <w:t>214</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_Toc80612180 \h </w:instrText>
      </w:r>
      <w:r>
        <w:fldChar w:fldCharType="separate"/>
      </w:r>
      <w:r>
        <w:t>214</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_Toc80612181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xml:space="preserve">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_Toc80612183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xml:space="preserve">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_Toc80612185 \h </w:instrText>
      </w:r>
      <w:r>
        <w:fldChar w:fldCharType="separate"/>
      </w:r>
      <w:r>
        <w:t>220</w:t>
      </w:r>
      <w:r>
        <w:fldChar w:fldCharType="end"/>
      </w:r>
    </w:p>
    <w:p>
      <w:pPr>
        <w:pStyle w:val="TOC8"/>
        <w:rPr>
          <w:rFonts w:asciiTheme="minorHAnsi" w:eastAsiaTheme="minorEastAsia" w:hAnsiTheme="minorHAnsi" w:cstheme="minorBidi"/>
          <w:szCs w:val="22"/>
        </w:rPr>
      </w:pPr>
      <w:r>
        <w:t>33.</w:t>
      </w:r>
      <w:r>
        <w:tab/>
        <w:t>Repealed Law provisions not revived</w:t>
      </w:r>
      <w:r>
        <w:tab/>
      </w:r>
      <w:r>
        <w:fldChar w:fldCharType="begin"/>
      </w:r>
      <w:r>
        <w:instrText xml:space="preserve"> PAGEREF _Toc80612186 \h </w:instrText>
      </w:r>
      <w:r>
        <w:fldChar w:fldCharType="separate"/>
      </w:r>
      <w:r>
        <w:t>220</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_Toc80612187 \h </w:instrText>
      </w:r>
      <w:r>
        <w:fldChar w:fldCharType="separate"/>
      </w:r>
      <w:r>
        <w:t>220</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_Toc80612188 \h </w:instrText>
      </w:r>
      <w:r>
        <w:fldChar w:fldCharType="separate"/>
      </w:r>
      <w:r>
        <w:t>221</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_Toc80612189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xml:space="preserve">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_Toc80612191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Part 8</w:t>
      </w:r>
      <w:r>
        <w:rPr>
          <w:b w:val="0"/>
        </w:rPr>
        <w:t xml:space="preserve"> — </w:t>
      </w:r>
      <w:r>
        <w:t>Application to coastal sea</w:t>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_Toc80612193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Schedule 2 — Powers of entry by search warrant</w:t>
      </w:r>
    </w:p>
    <w:p>
      <w:pPr>
        <w:pStyle w:val="TOC8"/>
        <w:rPr>
          <w:rFonts w:asciiTheme="minorHAnsi" w:eastAsiaTheme="minorEastAsia" w:hAnsiTheme="minorHAnsi" w:cstheme="minorBidi"/>
          <w:szCs w:val="22"/>
        </w:rPr>
      </w:pPr>
      <w:r>
        <w:t>1.</w:t>
      </w:r>
      <w:r>
        <w:tab/>
        <w:t>Application for warrant</w:t>
      </w:r>
      <w:r>
        <w:tab/>
      </w:r>
      <w:r>
        <w:fldChar w:fldCharType="begin"/>
      </w:r>
      <w:r>
        <w:instrText xml:space="preserve"> PAGEREF _Toc80612195 \h </w:instrText>
      </w:r>
      <w:r>
        <w:fldChar w:fldCharType="separate"/>
      </w:r>
      <w:r>
        <w:t>222</w:t>
      </w:r>
      <w:r>
        <w:fldChar w:fldCharType="end"/>
      </w:r>
    </w:p>
    <w:p>
      <w:pPr>
        <w:pStyle w:val="TOC8"/>
        <w:rPr>
          <w:rFonts w:asciiTheme="minorHAnsi" w:eastAsiaTheme="minorEastAsia" w:hAnsiTheme="minorHAnsi" w:cstheme="minorBidi"/>
          <w:szCs w:val="22"/>
        </w:rPr>
      </w:pPr>
      <w:r>
        <w:t>2.</w:t>
      </w:r>
      <w:r>
        <w:tab/>
        <w:t>Issue of warrant</w:t>
      </w:r>
      <w:r>
        <w:tab/>
      </w:r>
      <w:r>
        <w:fldChar w:fldCharType="begin"/>
      </w:r>
      <w:r>
        <w:instrText xml:space="preserve"> PAGEREF _Toc80612196 \h </w:instrText>
      </w:r>
      <w:r>
        <w:fldChar w:fldCharType="separate"/>
      </w:r>
      <w:r>
        <w:t>222</w:t>
      </w:r>
      <w:r>
        <w:fldChar w:fldCharType="end"/>
      </w:r>
    </w:p>
    <w:p>
      <w:pPr>
        <w:pStyle w:val="TOC8"/>
        <w:rPr>
          <w:rFonts w:asciiTheme="minorHAnsi" w:eastAsiaTheme="minorEastAsia" w:hAnsiTheme="minorHAnsi" w:cstheme="minorBidi"/>
          <w:szCs w:val="22"/>
        </w:rPr>
      </w:pPr>
      <w:r>
        <w:t>3.</w:t>
      </w:r>
      <w:r>
        <w:tab/>
        <w:t>Application by electronic communication</w:t>
      </w:r>
      <w:r>
        <w:tab/>
      </w:r>
      <w:r>
        <w:fldChar w:fldCharType="begin"/>
      </w:r>
      <w:r>
        <w:instrText xml:space="preserve"> PAGEREF _Toc80612197 \h </w:instrText>
      </w:r>
      <w:r>
        <w:fldChar w:fldCharType="separate"/>
      </w:r>
      <w:r>
        <w:t>223</w:t>
      </w:r>
      <w:r>
        <w:fldChar w:fldCharType="end"/>
      </w:r>
    </w:p>
    <w:p>
      <w:pPr>
        <w:pStyle w:val="TOC8"/>
        <w:rPr>
          <w:rFonts w:asciiTheme="minorHAnsi" w:eastAsiaTheme="minorEastAsia" w:hAnsiTheme="minorHAnsi" w:cstheme="minorBidi"/>
          <w:szCs w:val="22"/>
        </w:rPr>
      </w:pPr>
      <w:r>
        <w:t>4.</w:t>
      </w:r>
      <w:r>
        <w:tab/>
        <w:t>Procedure before entry under warrant</w:t>
      </w:r>
      <w:r>
        <w:tab/>
      </w:r>
      <w:r>
        <w:fldChar w:fldCharType="begin"/>
      </w:r>
      <w:r>
        <w:instrText xml:space="preserve"> PAGEREF _Toc80612198 \h </w:instrText>
      </w:r>
      <w:r>
        <w:fldChar w:fldCharType="separate"/>
      </w:r>
      <w:r>
        <w:t>224</w:t>
      </w:r>
      <w:r>
        <w:fldChar w:fldCharType="end"/>
      </w:r>
    </w:p>
    <w:p>
      <w:pPr>
        <w:pStyle w:val="TOC8"/>
        <w:rPr>
          <w:rFonts w:asciiTheme="minorHAnsi" w:eastAsiaTheme="minorEastAsia" w:hAnsiTheme="minorHAnsi" w:cstheme="minorBidi"/>
          <w:szCs w:val="22"/>
        </w:rPr>
      </w:pPr>
      <w:r>
        <w:t>5.</w:t>
      </w:r>
      <w:r>
        <w:tab/>
        <w:t>Powers after entering premises</w:t>
      </w:r>
      <w:r>
        <w:tab/>
      </w:r>
      <w:r>
        <w:fldChar w:fldCharType="begin"/>
      </w:r>
      <w:r>
        <w:instrText xml:space="preserve"> PAGEREF _Toc80612199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_Toc80612201 \h </w:instrText>
      </w:r>
      <w:r>
        <w:fldChar w:fldCharType="separate"/>
      </w:r>
      <w:r>
        <w:t>226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_Toc80612202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Education and Care Services National Law (WA) Act 2012</w:t>
      </w:r>
    </w:p>
    <w:p>
      <w:pPr>
        <w:pStyle w:val="LongTitle"/>
        <w:suppressLineNumbers/>
        <w:rPr>
          <w:snapToGrid w:val="0"/>
        </w:rPr>
      </w:pPr>
      <w:bookmarkStart w:id="3" w:name="BillCited"/>
      <w:bookmarkEnd w:id="3"/>
      <w:r>
        <w:rPr>
          <w:snapToGrid w:val="0"/>
        </w:rPr>
        <w:t xml:space="preserve">An Act to — </w:t>
      </w:r>
    </w:p>
    <w:p>
      <w:pPr>
        <w:pStyle w:val="LongTitle"/>
        <w:numPr>
          <w:ilvl w:val="0"/>
          <w:numId w:val="21"/>
        </w:numPr>
        <w:suppressLineNumbers/>
        <w:ind w:left="426"/>
        <w:rPr>
          <w:snapToGrid w:val="0"/>
        </w:rPr>
      </w:pPr>
      <w:r>
        <w:rPr>
          <w:snapToGrid w:val="0"/>
        </w:rPr>
        <w:t>provide for a national scheme regarding the regulation of education and care services for children; and</w:t>
      </w:r>
    </w:p>
    <w:p>
      <w:pPr>
        <w:pStyle w:val="LongTitle"/>
        <w:numPr>
          <w:ilvl w:val="0"/>
          <w:numId w:val="21"/>
        </w:numPr>
        <w:suppressLineNumbers/>
        <w:ind w:left="426"/>
        <w:rPr>
          <w:snapToGrid w:val="0"/>
        </w:rPr>
      </w:pPr>
      <w:r>
        <w:rPr>
          <w:snapToGrid w:val="0"/>
        </w:rPr>
        <w:t>make consequential and other amendments to various other Acts,</w:t>
      </w:r>
    </w:p>
    <w:p>
      <w:pPr>
        <w:pStyle w:val="LongTitle"/>
        <w:suppressLineNumbers/>
        <w:rPr>
          <w:snapToGrid w:val="0"/>
        </w:rPr>
      </w:pPr>
      <w:r>
        <w:rPr>
          <w:snapToGrid w:val="0"/>
        </w:rPr>
        <w:t>and for related purposes.</w:t>
      </w:r>
    </w:p>
    <w:p>
      <w:pPr>
        <w:pStyle w:val="Heading2"/>
      </w:pPr>
      <w:bookmarkStart w:id="4" w:name="_Toc80608906"/>
      <w:bookmarkStart w:id="5" w:name="_Toc80611721"/>
      <w:r>
        <w:rPr>
          <w:rStyle w:val="CharPartNo"/>
        </w:rPr>
        <w:lastRenderedPageBreak/>
        <w:t>Part 1</w:t>
      </w:r>
      <w:r>
        <w:rPr>
          <w:rStyle w:val="CharDivNo"/>
        </w:rPr>
        <w:t> </w:t>
      </w:r>
      <w:r>
        <w:t>—</w:t>
      </w:r>
      <w:r>
        <w:rPr>
          <w:rStyle w:val="CharDivNo"/>
        </w:rPr>
        <w:t xml:space="preserve"> </w:t>
      </w:r>
      <w:r>
        <w:rPr>
          <w:rStyle w:val="CharPartText"/>
        </w:rPr>
        <w:t>Preliminary</w:t>
      </w:r>
      <w:bookmarkEnd w:id="4"/>
      <w:bookmarkEnd w:id="5"/>
    </w:p>
    <w:p>
      <w:pPr>
        <w:pStyle w:val="Heading5"/>
        <w:rPr>
          <w:snapToGrid w:val="0"/>
        </w:rPr>
      </w:pPr>
      <w:bookmarkStart w:id="6" w:name="_Toc80611722"/>
      <w:r>
        <w:rPr>
          <w:rStyle w:val="CharSectno"/>
        </w:rPr>
        <w:t>1</w:t>
      </w:r>
      <w:r>
        <w:t>.</w:t>
      </w:r>
      <w:r>
        <w:tab/>
      </w:r>
      <w:r>
        <w:rPr>
          <w:snapToGrid w:val="0"/>
        </w:rPr>
        <w:t>Short title</w:t>
      </w:r>
      <w:bookmarkEnd w:id="6"/>
    </w:p>
    <w:p>
      <w:pPr>
        <w:pStyle w:val="Subsection"/>
        <w:rPr>
          <w:snapToGrid w:val="0"/>
        </w:rPr>
      </w:pPr>
      <w:r>
        <w:tab/>
      </w:r>
      <w:r>
        <w:tab/>
        <w:t xml:space="preserve">This is the </w:t>
      </w:r>
      <w:r>
        <w:rPr>
          <w:i/>
        </w:rPr>
        <w:t>Education and Care Services National Law (WA) Act 2012</w:t>
      </w:r>
      <w:r>
        <w:t>.</w:t>
      </w:r>
    </w:p>
    <w:p>
      <w:pPr>
        <w:pStyle w:val="Heading5"/>
        <w:rPr>
          <w:snapToGrid w:val="0"/>
        </w:rPr>
      </w:pPr>
      <w:bookmarkStart w:id="7" w:name="_Toc80611723"/>
      <w:r>
        <w:rPr>
          <w:rStyle w:val="CharSectno"/>
        </w:rPr>
        <w:t>2</w:t>
      </w:r>
      <w:r>
        <w:rPr>
          <w:snapToGrid w:val="0"/>
        </w:rPr>
        <w:t>.</w:t>
      </w:r>
      <w:r>
        <w:rPr>
          <w:snapToGrid w:val="0"/>
        </w:rPr>
        <w:tab/>
      </w:r>
      <w:r>
        <w:t>Commencement</w:t>
      </w:r>
      <w:bookmarkEnd w:id="7"/>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Heading5"/>
        <w:rPr>
          <w:snapToGrid w:val="0"/>
        </w:rPr>
      </w:pPr>
      <w:bookmarkStart w:id="8" w:name="_Toc80611724"/>
      <w:r>
        <w:rPr>
          <w:rStyle w:val="CharSectno"/>
        </w:rPr>
        <w:t>3</w:t>
      </w:r>
      <w:r>
        <w:rPr>
          <w:snapToGrid w:val="0"/>
        </w:rPr>
        <w:t>.</w:t>
      </w:r>
      <w:r>
        <w:rPr>
          <w:snapToGrid w:val="0"/>
        </w:rPr>
        <w:tab/>
        <w:t>Terms used</w:t>
      </w:r>
      <w:bookmarkEnd w:id="8"/>
    </w:p>
    <w:p>
      <w:pPr>
        <w:pStyle w:val="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Subsection"/>
      </w:pPr>
      <w:r>
        <w:tab/>
        <w:t>(2)</w:t>
      </w:r>
      <w:r>
        <w:tab/>
        <w:t xml:space="preserve">In the local application provisions of this Act — </w:t>
      </w:r>
    </w:p>
    <w:p>
      <w:pPr>
        <w:pStyle w:val="Defstart"/>
      </w:pPr>
      <w:r>
        <w:tab/>
      </w:r>
      <w:r>
        <w:rPr>
          <w:rStyle w:val="CharDefText"/>
        </w:rPr>
        <w:t>Education and Care Services National Law (Western Australia)</w:t>
      </w:r>
      <w:r>
        <w:t xml:space="preserve"> means the provisions applying in this jurisdiction because of section 4.</w:t>
      </w:r>
    </w:p>
    <w:p>
      <w:pPr>
        <w:pStyle w:val="Subsection"/>
      </w:pPr>
      <w:r>
        <w:tab/>
        <w:t>(3)</w:t>
      </w:r>
      <w:r>
        <w:tab/>
        <w:t>If a term is given a meaning in the Education and Care Services National Law set out in the Schedule, it has the same meaning in the local application provisions of this Act.</w:t>
      </w:r>
    </w:p>
    <w:p>
      <w:pPr>
        <w:pStyle w:val="Heading2"/>
      </w:pPr>
      <w:bookmarkStart w:id="9" w:name="_Toc80608910"/>
      <w:bookmarkStart w:id="10" w:name="_Toc80611725"/>
      <w:r>
        <w:rPr>
          <w:rStyle w:val="CharPartNo"/>
        </w:rPr>
        <w:lastRenderedPageBreak/>
        <w:t>Part 2</w:t>
      </w:r>
      <w:r>
        <w:rPr>
          <w:rStyle w:val="CharDivNo"/>
        </w:rPr>
        <w:t> </w:t>
      </w:r>
      <w:r>
        <w:t>—</w:t>
      </w:r>
      <w:r>
        <w:rPr>
          <w:rStyle w:val="CharDivText"/>
        </w:rPr>
        <w:t> </w:t>
      </w:r>
      <w:r>
        <w:rPr>
          <w:rStyle w:val="CharPartText"/>
        </w:rPr>
        <w:t>Application of Education and Care Services National Law</w:t>
      </w:r>
      <w:bookmarkEnd w:id="9"/>
      <w:bookmarkEnd w:id="10"/>
    </w:p>
    <w:p>
      <w:pPr>
        <w:pStyle w:val="Heading5"/>
      </w:pPr>
      <w:bookmarkStart w:id="11" w:name="_Toc80611726"/>
      <w:r>
        <w:rPr>
          <w:rStyle w:val="CharSectno"/>
        </w:rPr>
        <w:t>4</w:t>
      </w:r>
      <w:r>
        <w:t>.</w:t>
      </w:r>
      <w:r>
        <w:tab/>
        <w:t>Application of the Education and Care Services National Law</w:t>
      </w:r>
      <w:bookmarkEnd w:id="11"/>
    </w:p>
    <w:p>
      <w:pPr>
        <w:pStyle w:val="Defstart"/>
      </w:pPr>
      <w:r>
        <w:tab/>
        <w:t xml:space="preserve">The Education and Care Services National Law set out in the Schedule — </w:t>
      </w:r>
    </w:p>
    <w:p>
      <w:pPr>
        <w:pStyle w:val="Indenta"/>
      </w:pPr>
      <w:r>
        <w:tab/>
        <w:t>(a)</w:t>
      </w:r>
      <w:r>
        <w:tab/>
        <w:t>applies as a law of this jurisdiction; and</w:t>
      </w:r>
    </w:p>
    <w:p>
      <w:pPr>
        <w:pStyle w:val="Indenta"/>
      </w:pPr>
      <w:r>
        <w:tab/>
        <w:t>(b)</w:t>
      </w:r>
      <w:r>
        <w:tab/>
        <w:t xml:space="preserve">as so applying, may be referred to as the </w:t>
      </w:r>
      <w:r>
        <w:rPr>
          <w:i/>
        </w:rPr>
        <w:t>Education and Care Services National Law (Western Australia)</w:t>
      </w:r>
      <w:r>
        <w:t>; and</w:t>
      </w:r>
    </w:p>
    <w:p>
      <w:pPr>
        <w:pStyle w:val="Indenta"/>
      </w:pPr>
      <w:r>
        <w:tab/>
        <w:t>(c)</w:t>
      </w:r>
      <w:r>
        <w:tab/>
        <w:t>as so applying, is part of this Act.</w:t>
      </w:r>
    </w:p>
    <w:p>
      <w:pPr>
        <w:pStyle w:val="Heading5"/>
      </w:pPr>
      <w:bookmarkStart w:id="12" w:name="_Toc80611727"/>
      <w:r>
        <w:rPr>
          <w:rStyle w:val="CharSectno"/>
        </w:rPr>
        <w:t>5</w:t>
      </w:r>
      <w:r>
        <w:t>.</w:t>
      </w:r>
      <w:r>
        <w:tab/>
        <w:t>Exclusion of legislation of this jurisdiction</w:t>
      </w:r>
      <w:bookmarkEnd w:id="12"/>
    </w:p>
    <w:p>
      <w:pPr>
        <w:pStyle w:val="Subsection"/>
      </w:pPr>
      <w:r>
        <w:tab/>
        <w:t>(1)</w:t>
      </w:r>
      <w:r>
        <w:tab/>
        <w:t xml:space="preserve">Except as provided in section 17, the following Acts of this jurisdiction do not apply to the </w:t>
      </w:r>
      <w:r>
        <w:rPr>
          <w:i/>
        </w:rPr>
        <w:t>Education and Care Services National Law (Western Australia)</w:t>
      </w:r>
      <w:r>
        <w:t xml:space="preserve"> or to the instruments made under that Law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w:t>
      </w:r>
    </w:p>
    <w:p>
      <w:pPr>
        <w:pStyle w:val="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Parliamentary Commissioner Act 1971</w:t>
      </w:r>
      <w:r>
        <w:t>;</w:t>
      </w:r>
    </w:p>
    <w:p>
      <w:pPr>
        <w:pStyle w:val="Indenta"/>
      </w:pPr>
      <w:r>
        <w:tab/>
        <w:t>(d)</w:t>
      </w:r>
      <w:r>
        <w:tab/>
        <w:t xml:space="preserve">the </w:t>
      </w:r>
      <w:r>
        <w:rPr>
          <w:i/>
        </w:rPr>
        <w:t>Public Sector Management Act 1994</w:t>
      </w:r>
      <w:r>
        <w:t>;</w:t>
      </w:r>
    </w:p>
    <w:p>
      <w:pPr>
        <w:pStyle w:val="Indenta"/>
      </w:pPr>
      <w:r>
        <w:tab/>
        <w:t>(e)</w:t>
      </w:r>
      <w:r>
        <w:tab/>
        <w:t xml:space="preserve">the </w:t>
      </w:r>
      <w:r>
        <w:rPr>
          <w:i/>
        </w:rPr>
        <w:t>State Records Act 2000</w:t>
      </w:r>
      <w:r>
        <w:t>.</w:t>
      </w:r>
    </w:p>
    <w:p>
      <w:pPr>
        <w:pStyle w:val="Heading5"/>
      </w:pPr>
      <w:bookmarkStart w:id="13" w:name="_Toc80611728"/>
      <w:r>
        <w:rPr>
          <w:rStyle w:val="CharSectno"/>
        </w:rPr>
        <w:lastRenderedPageBreak/>
        <w:t>6</w:t>
      </w:r>
      <w:r>
        <w:t>.</w:t>
      </w:r>
      <w:r>
        <w:tab/>
        <w:t>Meaning of generic terms in Education and Care Services National Law for the purposes of this jurisdiction</w:t>
      </w:r>
      <w:bookmarkEnd w:id="13"/>
    </w:p>
    <w:p>
      <w:pPr>
        <w:pStyle w:val="Subsection"/>
      </w:pPr>
      <w:r>
        <w:tab/>
      </w:r>
      <w:r>
        <w:tab/>
        <w:t xml:space="preserve">In the </w:t>
      </w:r>
      <w:r>
        <w:rPr>
          <w:i/>
        </w:rPr>
        <w:t>Education and Care Services National Law (Western Australia)</w:t>
      </w:r>
      <w:r>
        <w:t xml:space="preserve"> — </w:t>
      </w:r>
    </w:p>
    <w:p>
      <w:pPr>
        <w:pStyle w:val="Defstart"/>
      </w:pPr>
      <w:r>
        <w:tab/>
      </w:r>
      <w:r>
        <w:rPr>
          <w:rStyle w:val="CharDefText"/>
        </w:rPr>
        <w:t>child protection law</w:t>
      </w:r>
      <w:r>
        <w:t xml:space="preserve"> means the </w:t>
      </w:r>
      <w:r>
        <w:rPr>
          <w:i/>
        </w:rPr>
        <w:t>Children and Community Services Act 2004</w:t>
      </w:r>
      <w:r>
        <w:t>;</w:t>
      </w:r>
    </w:p>
    <w:p>
      <w:pPr>
        <w:pStyle w:val="Defstart"/>
      </w:pPr>
      <w:r>
        <w:tab/>
      </w:r>
      <w:r>
        <w:rPr>
          <w:rStyle w:val="CharDefText"/>
        </w:rPr>
        <w:t>court</w:t>
      </w:r>
      <w:r>
        <w:t xml:space="preserve"> means the Magistrates Court of Western Australia established under the </w:t>
      </w:r>
      <w:r>
        <w:rPr>
          <w:i/>
        </w:rPr>
        <w:t>Magistrates Court Act 2004</w:t>
      </w:r>
      <w:r>
        <w:t>;</w:t>
      </w:r>
    </w:p>
    <w:p>
      <w:pPr>
        <w:pStyle w:val="Defstart"/>
      </w:pPr>
      <w:r>
        <w:tab/>
      </w:r>
      <w:r>
        <w:rPr>
          <w:rStyle w:val="CharDefText"/>
        </w:rPr>
        <w:t>de facto relationship</w:t>
      </w:r>
      <w:r>
        <w:t xml:space="preserve"> has the meaning given in the </w:t>
      </w:r>
      <w:r>
        <w:rPr>
          <w:i/>
        </w:rPr>
        <w:t>Interpretation Act 1984</w:t>
      </w:r>
      <w:r>
        <w:t xml:space="preserve"> section 13A;</w:t>
      </w:r>
    </w:p>
    <w:p>
      <w:pPr>
        <w:pStyle w:val="Defstart"/>
      </w:pPr>
      <w:r>
        <w:tab/>
      </w:r>
      <w:r>
        <w:rPr>
          <w:rStyle w:val="CharDefText"/>
        </w:rPr>
        <w:t>local authority</w:t>
      </w:r>
      <w:r>
        <w:t xml:space="preserve"> means a local government established under the </w:t>
      </w:r>
      <w:r>
        <w:rPr>
          <w:i/>
        </w:rPr>
        <w:t>Local Government Act 1995</w:t>
      </w:r>
      <w:r>
        <w:t>;</w:t>
      </w:r>
    </w:p>
    <w:p>
      <w:pPr>
        <w:pStyle w:val="Defstart"/>
      </w:pPr>
      <w:r>
        <w:tab/>
      </w:r>
      <w:r>
        <w:rPr>
          <w:rStyle w:val="CharDefText"/>
        </w:rPr>
        <w:t>magistrate</w:t>
      </w:r>
      <w:r>
        <w:t xml:space="preserve"> means — </w:t>
      </w:r>
    </w:p>
    <w:p>
      <w:pPr>
        <w:pStyle w:val="Defpara"/>
      </w:pPr>
      <w:r>
        <w:tab/>
        <w:t>(a)</w:t>
      </w:r>
      <w:r>
        <w:tab/>
        <w:t xml:space="preserve">a magistrate within the meaning of the </w:t>
      </w:r>
      <w:r>
        <w:rPr>
          <w:i/>
        </w:rPr>
        <w:t>Magistrates Court Act 2004</w:t>
      </w:r>
      <w:r>
        <w:t>; or</w:t>
      </w:r>
    </w:p>
    <w:p>
      <w:pPr>
        <w:pStyle w:val="Defpara"/>
      </w:pPr>
      <w:r>
        <w:tab/>
        <w:t>(b)</w:t>
      </w:r>
      <w:r>
        <w:tab/>
        <w:t>a justice of the peace;</w:t>
      </w:r>
    </w:p>
    <w:p>
      <w:pPr>
        <w:pStyle w:val="Defstart"/>
      </w:pPr>
      <w:r>
        <w:tab/>
      </w:r>
      <w:r>
        <w:rPr>
          <w:rStyle w:val="CharDefText"/>
        </w:rPr>
        <w:t>public authority</w:t>
      </w:r>
      <w:r>
        <w:t xml:space="preserve"> has the meaning given in the </w:t>
      </w:r>
      <w:r>
        <w:rPr>
          <w:i/>
        </w:rPr>
        <w:t xml:space="preserve">Child Care Services Act 2007 </w:t>
      </w:r>
      <w:r>
        <w:t>section 3;</w:t>
      </w:r>
    </w:p>
    <w:p>
      <w:pPr>
        <w:pStyle w:val="Defstart"/>
      </w:pPr>
      <w:r>
        <w:tab/>
      </w:r>
      <w:r>
        <w:rPr>
          <w:rStyle w:val="CharDefText"/>
        </w:rPr>
        <w:t>registered teacher</w:t>
      </w:r>
      <w:r>
        <w:t xml:space="preserve"> has the meaning given in the </w:t>
      </w:r>
      <w:r>
        <w:rPr>
          <w:i/>
        </w:rPr>
        <w:t>Teacher Registration Act 2012</w:t>
      </w:r>
      <w:r>
        <w:t xml:space="preserve"> section 3;</w:t>
      </w:r>
    </w:p>
    <w:p>
      <w:pPr>
        <w:pStyle w:val="Defstart"/>
      </w:pPr>
      <w:r>
        <w:tab/>
      </w:r>
      <w:r>
        <w:rPr>
          <w:rStyle w:val="CharDefText"/>
        </w:rPr>
        <w:t>superior court</w:t>
      </w:r>
      <w:r>
        <w:t xml:space="preserve"> means the Supreme Court of Western Australia;</w:t>
      </w:r>
    </w:p>
    <w:p>
      <w:pPr>
        <w:pStyle w:val="Defstart"/>
      </w:pPr>
      <w:r>
        <w:tab/>
      </w:r>
      <w:r>
        <w:rPr>
          <w:rStyle w:val="CharDefText"/>
        </w:rPr>
        <w:t>this jurisdiction</w:t>
      </w:r>
      <w:r>
        <w:t xml:space="preserve"> means Western Australia.</w:t>
      </w:r>
    </w:p>
    <w:p>
      <w:pPr>
        <w:pStyle w:val="Footnotesection"/>
      </w:pPr>
      <w:r>
        <w:tab/>
        <w:t>[Section 6 amended: No. 18 of 2018 s. 4.]</w:t>
      </w:r>
    </w:p>
    <w:p>
      <w:pPr>
        <w:pStyle w:val="Heading5"/>
      </w:pPr>
      <w:bookmarkStart w:id="14" w:name="_Toc80611729"/>
      <w:r>
        <w:rPr>
          <w:rStyle w:val="CharSectno"/>
        </w:rPr>
        <w:t>7</w:t>
      </w:r>
      <w:r>
        <w:t>.</w:t>
      </w:r>
      <w:r>
        <w:tab/>
        <w:t>Relevant tribunal or court</w:t>
      </w:r>
      <w:bookmarkEnd w:id="14"/>
    </w:p>
    <w:p>
      <w:pPr>
        <w:pStyle w:val="Subsection"/>
      </w:pPr>
      <w:r>
        <w:tab/>
      </w:r>
      <w:r>
        <w:tab/>
        <w:t xml:space="preserve">For the purposes of the definition of </w:t>
      </w:r>
      <w:r>
        <w:rPr>
          <w:b/>
          <w:i/>
        </w:rPr>
        <w:t>relevant tribunal or court</w:t>
      </w:r>
      <w:r>
        <w:t xml:space="preserve"> in the </w:t>
      </w:r>
      <w:r>
        <w:rPr>
          <w:i/>
        </w:rPr>
        <w:t>Education and Care Services National Law (Western Australia)</w:t>
      </w:r>
      <w:r>
        <w:t xml:space="preserve"> section 5, the State Administrative Tribunal is declared to be the relevant tribunal or court for this jurisdiction for the purposes of that Law.</w:t>
      </w:r>
    </w:p>
    <w:p>
      <w:pPr>
        <w:pStyle w:val="Heading5"/>
      </w:pPr>
      <w:bookmarkStart w:id="15" w:name="_Toc80611730"/>
      <w:r>
        <w:rPr>
          <w:rStyle w:val="CharSectno"/>
        </w:rPr>
        <w:lastRenderedPageBreak/>
        <w:t>8</w:t>
      </w:r>
      <w:r>
        <w:t>.</w:t>
      </w:r>
      <w:r>
        <w:tab/>
        <w:t>Regulatory Authority</w:t>
      </w:r>
      <w:bookmarkEnd w:id="15"/>
    </w:p>
    <w:p>
      <w:pPr>
        <w:pStyle w:val="Subsection"/>
      </w:pPr>
      <w:r>
        <w:tab/>
      </w:r>
      <w:r>
        <w:tab/>
        <w:t xml:space="preserve">For the purposes of the definition of </w:t>
      </w:r>
      <w:r>
        <w:rPr>
          <w:b/>
          <w:i/>
        </w:rPr>
        <w:t>Regulatory Authority</w:t>
      </w:r>
      <w:r>
        <w:t xml:space="preserve"> in the</w:t>
      </w:r>
      <w:r>
        <w:rPr>
          <w:i/>
        </w:rPr>
        <w:t xml:space="preserve"> Education and Care Services National Law (Western Australia)</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Heading5"/>
      </w:pPr>
      <w:bookmarkStart w:id="16" w:name="_Toc80611731"/>
      <w:r>
        <w:rPr>
          <w:rStyle w:val="CharSectno"/>
        </w:rPr>
        <w:t>9</w:t>
      </w:r>
      <w:r>
        <w:t>.</w:t>
      </w:r>
      <w:r>
        <w:tab/>
        <w:t>Children’s services law</w:t>
      </w:r>
      <w:bookmarkEnd w:id="16"/>
    </w:p>
    <w:p>
      <w:pPr>
        <w:pStyle w:val="Subsection"/>
      </w:pPr>
      <w:r>
        <w:tab/>
        <w:t>(1)</w:t>
      </w:r>
      <w:r>
        <w:tab/>
        <w:t xml:space="preserve">For the purposes of the definition of </w:t>
      </w:r>
      <w:r>
        <w:rPr>
          <w:b/>
          <w:i/>
        </w:rPr>
        <w:t>children’s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Subsection"/>
      </w:pPr>
      <w:r>
        <w:tab/>
        <w:t>(2)</w:t>
      </w:r>
      <w:r>
        <w:tab/>
        <w:t xml:space="preserve">For the purposes of the definition of </w:t>
      </w:r>
      <w:r>
        <w:rPr>
          <w:b/>
          <w:i/>
        </w:rPr>
        <w:t>children’s services regulator</w:t>
      </w:r>
      <w:r>
        <w:t xml:space="preserve"> in the</w:t>
      </w:r>
      <w:r>
        <w:rPr>
          <w:i/>
        </w:rPr>
        <w:t xml:space="preserve"> Education and Care Services National Law (Western Australia)</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Heading5"/>
      </w:pPr>
      <w:bookmarkStart w:id="17" w:name="_Toc80611732"/>
      <w:r>
        <w:rPr>
          <w:rStyle w:val="CharSectno"/>
        </w:rPr>
        <w:t>10</w:t>
      </w:r>
      <w:r>
        <w:t>.</w:t>
      </w:r>
      <w:r>
        <w:tab/>
        <w:t>Education law</w:t>
      </w:r>
      <w:bookmarkEnd w:id="17"/>
    </w:p>
    <w:p>
      <w:pPr>
        <w:pStyle w:val="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r>
        <w:rPr>
          <w:i/>
        </w:rPr>
        <w:t>Teacher Registration Act 2012</w:t>
      </w:r>
      <w:r>
        <w:t xml:space="preserve"> and the regulations made under that Act are declared to be an education law for this jurisdiction for the purposes of that Law.</w:t>
      </w:r>
    </w:p>
    <w:p>
      <w:pPr>
        <w:pStyle w:val="Footnotesection"/>
      </w:pPr>
      <w:r>
        <w:tab/>
        <w:t>[Section 10 amended: No. 18 of 2018 s. 5.]</w:t>
      </w:r>
    </w:p>
    <w:p>
      <w:pPr>
        <w:pStyle w:val="Heading5"/>
      </w:pPr>
      <w:bookmarkStart w:id="18" w:name="_Toc80611733"/>
      <w:r>
        <w:rPr>
          <w:rStyle w:val="CharSectno"/>
        </w:rPr>
        <w:t>11</w:t>
      </w:r>
      <w:r>
        <w:t>.</w:t>
      </w:r>
      <w:r>
        <w:tab/>
        <w:t>Former education and care services law</w:t>
      </w:r>
      <w:bookmarkEnd w:id="18"/>
    </w:p>
    <w:p>
      <w:pPr>
        <w:pStyle w:val="Subsection"/>
      </w:pPr>
      <w:r>
        <w:tab/>
      </w:r>
      <w:r>
        <w:tab/>
        <w:t xml:space="preserve">For the purposes of the definition of </w:t>
      </w:r>
      <w:r>
        <w:rPr>
          <w:b/>
          <w:i/>
        </w:rPr>
        <w:t>former education and care services law</w:t>
      </w:r>
      <w:r>
        <w:t xml:space="preserve"> in the</w:t>
      </w:r>
      <w:r>
        <w:rPr>
          <w:i/>
        </w:rPr>
        <w:t xml:space="preserve"> Education and Care Services National Law </w:t>
      </w:r>
      <w:r>
        <w:rPr>
          <w:i/>
        </w:rPr>
        <w:lastRenderedPageBreak/>
        <w:t>(Western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Heading5"/>
      </w:pPr>
      <w:bookmarkStart w:id="19" w:name="_Toc80611734"/>
      <w:r>
        <w:rPr>
          <w:rStyle w:val="CharSectno"/>
        </w:rPr>
        <w:t>12</w:t>
      </w:r>
      <w:r>
        <w:t>.</w:t>
      </w:r>
      <w:r>
        <w:tab/>
        <w:t>Infringements law</w:t>
      </w:r>
      <w:bookmarkEnd w:id="19"/>
    </w:p>
    <w:p>
      <w:pPr>
        <w:pStyle w:val="Subsection"/>
      </w:pPr>
      <w:r>
        <w:tab/>
      </w:r>
      <w:r>
        <w:tab/>
        <w:t xml:space="preserve">For the purposes of the definition of </w:t>
      </w:r>
      <w:r>
        <w:rPr>
          <w:b/>
          <w:i/>
        </w:rPr>
        <w:t>infringements law</w:t>
      </w:r>
      <w:r>
        <w:t xml:space="preserve"> in the</w:t>
      </w:r>
      <w:r>
        <w:rPr>
          <w:i/>
        </w:rPr>
        <w:t xml:space="preserve"> Education and Care Services National Law (Western Australia)</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Heading5"/>
      </w:pPr>
      <w:bookmarkStart w:id="20" w:name="_Toc80611735"/>
      <w:r>
        <w:rPr>
          <w:rStyle w:val="CharSectno"/>
        </w:rPr>
        <w:t>13</w:t>
      </w:r>
      <w:r>
        <w:t>.</w:t>
      </w:r>
      <w:r>
        <w:tab/>
        <w:t>Public sector law</w:t>
      </w:r>
      <w:bookmarkEnd w:id="20"/>
    </w:p>
    <w:p>
      <w:pPr>
        <w:pStyle w:val="Subsection"/>
        <w:rPr>
          <w:i/>
        </w:rPr>
      </w:pPr>
      <w:r>
        <w:tab/>
      </w:r>
      <w:r>
        <w:tab/>
        <w:t xml:space="preserve">For the purposes of the definition of </w:t>
      </w:r>
      <w:r>
        <w:rPr>
          <w:b/>
          <w:i/>
        </w:rPr>
        <w:t>public sector law</w:t>
      </w:r>
      <w:r>
        <w:t xml:space="preserve"> in the</w:t>
      </w:r>
      <w:r>
        <w:rPr>
          <w:i/>
        </w:rPr>
        <w:t xml:space="preserve"> Education and Care Services National Law (Western Australia)</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Heading5"/>
      </w:pPr>
      <w:bookmarkStart w:id="21" w:name="_Toc80611736"/>
      <w:r>
        <w:rPr>
          <w:rStyle w:val="CharSectno"/>
        </w:rPr>
        <w:t>14</w:t>
      </w:r>
      <w:r>
        <w:t>.</w:t>
      </w:r>
      <w:r>
        <w:tab/>
        <w:t>Working with children law</w:t>
      </w:r>
      <w:bookmarkEnd w:id="21"/>
    </w:p>
    <w:p>
      <w:pPr>
        <w:pStyle w:val="Subsection"/>
        <w:rPr>
          <w:i/>
        </w:rPr>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(Criminal Record Checking) Act 2004</w:t>
      </w:r>
      <w:r>
        <w:t xml:space="preserve"> and the regulations made under that Act are declared to be a working with children law for this jurisdiction for the purposes of that Law</w:t>
      </w:r>
      <w:r>
        <w:rPr>
          <w:i/>
        </w:rPr>
        <w:t>.</w:t>
      </w:r>
    </w:p>
    <w:p>
      <w:pPr>
        <w:pStyle w:val="Heading5"/>
      </w:pPr>
      <w:bookmarkStart w:id="22" w:name="_Toc80611737"/>
      <w:r>
        <w:rPr>
          <w:rStyle w:val="CharSectno"/>
        </w:rPr>
        <w:t>15</w:t>
      </w:r>
      <w:r>
        <w:t>.</w:t>
      </w:r>
      <w:r>
        <w:tab/>
        <w:t>Transitional</w:t>
      </w:r>
      <w:bookmarkEnd w:id="22"/>
    </w:p>
    <w:p>
      <w:pPr>
        <w:pStyle w:val="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other than a licence to provide a family day care service, under the </w:t>
      </w:r>
      <w:r>
        <w:rPr>
          <w:i/>
        </w:rPr>
        <w:t xml:space="preserve">Child Care Services Act 2007 </w:t>
      </w:r>
      <w:r>
        <w:t xml:space="preserve">is declared to be a declared </w:t>
      </w:r>
      <w:r>
        <w:lastRenderedPageBreak/>
        <w:t>approved provider for this jurisdiction for the purposes of that Law.</w:t>
      </w:r>
    </w:p>
    <w:p>
      <w:pPr>
        <w:pStyle w:val="Subsection"/>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Ednotesubsection"/>
      </w:pPr>
      <w:r>
        <w:tab/>
        <w:t>[(3)</w:t>
      </w:r>
      <w:r>
        <w:tab/>
        <w:t>deleted]</w:t>
      </w:r>
    </w:p>
    <w:p>
      <w:pPr>
        <w:pStyle w:val="Subsection"/>
      </w:pPr>
      <w:r>
        <w:tab/>
        <w:t>(4)</w:t>
      </w:r>
      <w:r>
        <w:tab/>
        <w:t xml:space="preserve">For the purposes of the definition of </w:t>
      </w:r>
      <w:r>
        <w:rPr>
          <w:b/>
          <w:i/>
        </w:rPr>
        <w:t>declared nominated supervisor</w:t>
      </w:r>
      <w:r>
        <w:t xml:space="preserve"> in the </w:t>
      </w:r>
      <w:r>
        <w:rPr>
          <w:i/>
        </w:rPr>
        <w:t>Education and Care Services National Law (Western Australia)</w:t>
      </w:r>
      <w:r>
        <w:t xml:space="preserve"> section 305, the following persons are declared to be declared nominated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(5)</w:t>
      </w:r>
      <w:r>
        <w:tab/>
        <w:t xml:space="preserve">For the purposes of the definition of </w:t>
      </w:r>
      <w:r>
        <w:rPr>
          <w:b/>
          <w:i/>
        </w:rPr>
        <w:t>declared out of scope service</w:t>
      </w:r>
      <w:r>
        <w:t xml:space="preserve"> in the </w:t>
      </w:r>
      <w:r>
        <w:rPr>
          <w:i/>
        </w:rPr>
        <w:t>Education and Care Services National Law (Western Australia)</w:t>
      </w:r>
      <w:r>
        <w:t xml:space="preserve"> section 305, a service that — </w:t>
      </w:r>
    </w:p>
    <w:p>
      <w:pPr>
        <w:pStyle w:val="Indenta"/>
      </w:pPr>
      <w:r>
        <w:tab/>
        <w:t>(a)</w:t>
      </w:r>
      <w:r>
        <w:tab/>
        <w:t xml:space="preserve">was delivered through the use of 2 or more individuals who each held a licence to provide a family day care service under the </w:t>
      </w:r>
      <w:r>
        <w:rPr>
          <w:i/>
        </w:rPr>
        <w:t>Child Care Services Act 2007</w:t>
      </w:r>
      <w:r>
        <w:t>; and</w:t>
      </w:r>
    </w:p>
    <w:p>
      <w:pPr>
        <w:pStyle w:val="Indenta"/>
        <w:keepNext/>
      </w:pPr>
      <w:r>
        <w:tab/>
        <w:t>(b)</w:t>
      </w:r>
      <w:r>
        <w:tab/>
        <w:t>provided education and care for children in residences whether or not the service also provided education and care to children at a place other than a residence,</w:t>
      </w:r>
    </w:p>
    <w:p>
      <w:pPr>
        <w:pStyle w:val="Subsection"/>
      </w:pPr>
      <w:r>
        <w:tab/>
      </w:r>
      <w:r>
        <w:tab/>
        <w:t>is declared to be a declared out of scope service for this jurisdiction for the purposes of that Law.</w:t>
      </w:r>
    </w:p>
    <w:p>
      <w:pPr>
        <w:pStyle w:val="Subsection"/>
        <w:rPr>
          <w:i/>
        </w:rPr>
      </w:pPr>
      <w:r>
        <w:lastRenderedPageBreak/>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Footnotesection"/>
      </w:pPr>
      <w:r>
        <w:tab/>
        <w:t>[Section 15 amended: No. 18 of 2018 s. 6.]</w:t>
      </w:r>
    </w:p>
    <w:p>
      <w:pPr>
        <w:pStyle w:val="Heading2"/>
      </w:pPr>
      <w:bookmarkStart w:id="23" w:name="_Toc80608923"/>
      <w:bookmarkStart w:id="24" w:name="_Toc80611738"/>
      <w:r>
        <w:rPr>
          <w:rStyle w:val="CharPartNo"/>
        </w:rPr>
        <w:lastRenderedPageBreak/>
        <w:t>Part 3</w:t>
      </w:r>
      <w:r>
        <w:rPr>
          <w:rStyle w:val="CharDivNo"/>
        </w:rPr>
        <w:t> </w:t>
      </w:r>
      <w:r>
        <w:t>—</w:t>
      </w:r>
      <w:r>
        <w:rPr>
          <w:rStyle w:val="CharDivText"/>
        </w:rPr>
        <w:t> </w:t>
      </w:r>
      <w:r>
        <w:rPr>
          <w:rStyle w:val="CharPartText"/>
        </w:rPr>
        <w:t>Other local provisions</w:t>
      </w:r>
      <w:bookmarkEnd w:id="23"/>
      <w:bookmarkEnd w:id="24"/>
    </w:p>
    <w:p>
      <w:pPr>
        <w:pStyle w:val="Heading5"/>
      </w:pPr>
      <w:bookmarkStart w:id="25" w:name="_Toc80611739"/>
      <w:r>
        <w:rPr>
          <w:rStyle w:val="CharSectno"/>
        </w:rPr>
        <w:t>16</w:t>
      </w:r>
      <w:r>
        <w:t>.</w:t>
      </w:r>
      <w:r>
        <w:tab/>
        <w:t>Tabling of annual report</w:t>
      </w:r>
      <w:bookmarkEnd w:id="25"/>
    </w:p>
    <w:p>
      <w:pPr>
        <w:pStyle w:val="Subsection"/>
        <w:spacing w:before="120"/>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Heading5"/>
      </w:pPr>
      <w:bookmarkStart w:id="26" w:name="_Toc80611740"/>
      <w:r>
        <w:rPr>
          <w:rStyle w:val="CharSectno"/>
        </w:rPr>
        <w:t>17</w:t>
      </w:r>
      <w:r>
        <w:t>.</w:t>
      </w:r>
      <w:r>
        <w:tab/>
        <w:t>National regulations under the WA national law</w:t>
      </w:r>
      <w:bookmarkEnd w:id="26"/>
    </w:p>
    <w:p>
      <w:pPr>
        <w:pStyle w:val="Subsection"/>
        <w:spacing w:before="120"/>
      </w:pPr>
      <w:r>
        <w:tab/>
      </w:r>
      <w:r>
        <w:tab/>
        <w:t xml:space="preserve">Where regulations may be made under the </w:t>
      </w:r>
      <w:r>
        <w:rPr>
          <w:i/>
        </w:rPr>
        <w:t>Education and Care Services National Law (Western Australia)</w:t>
      </w:r>
      <w:r>
        <w:t xml:space="preserve"> section 301 by the Governor — </w:t>
      </w:r>
    </w:p>
    <w:p>
      <w:pPr>
        <w:pStyle w:val="Indenta"/>
      </w:pPr>
      <w:r>
        <w:tab/>
        <w:t>(a)</w:t>
      </w:r>
      <w:r>
        <w:tab/>
        <w:t>the Governor means the Governor of Western Australia and includes the officer for the time being administering the Government of Western Australia; and</w:t>
      </w:r>
    </w:p>
    <w:p>
      <w:pPr>
        <w:pStyle w:val="Indenta"/>
      </w:pPr>
      <w:r>
        <w:tab/>
        <w:t>(b)</w:t>
      </w:r>
      <w:r>
        <w:tab/>
        <w:t xml:space="preserve">the </w:t>
      </w:r>
      <w:r>
        <w:rPr>
          <w:i/>
        </w:rPr>
        <w:t>Interpretation Act 1984</w:t>
      </w:r>
      <w:r>
        <w:t xml:space="preserve"> sections 41, 42 and 60 apply to, and in respect of the making of, regulations by the Governor under that section.</w:t>
      </w:r>
    </w:p>
    <w:p>
      <w:pPr>
        <w:pStyle w:val="Heading5"/>
      </w:pPr>
      <w:bookmarkStart w:id="27" w:name="_Toc80611741"/>
      <w:r>
        <w:rPr>
          <w:rStyle w:val="CharSectno"/>
        </w:rPr>
        <w:t>18</w:t>
      </w:r>
      <w:r>
        <w:t>.</w:t>
      </w:r>
      <w:r>
        <w:tab/>
        <w:t>Review of Act</w:t>
      </w:r>
      <w:bookmarkEnd w:id="27"/>
    </w:p>
    <w:p>
      <w:pPr>
        <w:pStyle w:val="Subsection"/>
        <w:spacing w:before="120"/>
      </w:pPr>
      <w:r>
        <w:tab/>
        <w:t>(1)</w:t>
      </w:r>
      <w:r>
        <w:tab/>
        <w:t>The Minister is to carry out a review of the operation and effectiveness of this Act as soon as is practicable after the expiration of 5 years from the commencement of this section.</w:t>
      </w:r>
    </w:p>
    <w:p>
      <w:pPr>
        <w:pStyle w:val="Subsection"/>
        <w:spacing w:before="120"/>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Ednotesection"/>
      </w:pPr>
      <w:r>
        <w:t>[</w:t>
      </w:r>
      <w:r>
        <w:rPr>
          <w:b/>
        </w:rPr>
        <w:t>19.</w:t>
      </w:r>
      <w:r>
        <w:tab/>
        <w:t>Deleted: No. 18 of 2018 s. 7(1).]</w:t>
      </w:r>
    </w:p>
    <w:p>
      <w:pPr>
        <w:pStyle w:val="Ednotepart"/>
      </w:pPr>
      <w:r>
        <w:t>[Part 4 (s. 20</w:t>
      </w:r>
      <w:r>
        <w:noBreakHyphen/>
        <w:t>54) deleted: No. 18 of 2018 s. 8.]</w:t>
      </w:r>
    </w:p>
    <w:p>
      <w:pPr>
        <w:pStyle w:val="Subsection"/>
        <w:ind w:left="0" w:firstLine="0"/>
        <w:outlineLvl w:val="0"/>
        <w:sectPr>
          <w:headerReference w:type="even" r:id="rId21"/>
          <w:headerReference w:type="default" r:id="rId22"/>
          <w:headerReference w:type="first" r:id="rId23"/>
          <w:pgSz w:w="11907" w:h="16840" w:code="9"/>
          <w:pgMar w:top="2381" w:right="2410" w:bottom="3544" w:left="2410" w:header="720" w:footer="3380" w:gutter="0"/>
          <w:pgNumType w:start="1"/>
          <w:cols w:space="720"/>
          <w:titlePg/>
          <w:docGrid w:linePitch="326"/>
        </w:sectPr>
      </w:pPr>
    </w:p>
    <w:p>
      <w:pPr>
        <w:pStyle w:val="yScheduleHeading"/>
      </w:pPr>
      <w:bookmarkStart w:id="28" w:name="_Toc80608927"/>
      <w:bookmarkStart w:id="29" w:name="_Toc80611742"/>
      <w:r>
        <w:rPr>
          <w:rStyle w:val="CharSchNo"/>
        </w:rPr>
        <w:lastRenderedPageBreak/>
        <w:t>Schedule</w:t>
      </w:r>
      <w:r>
        <w:t> — </w:t>
      </w:r>
      <w:r>
        <w:rPr>
          <w:rStyle w:val="CharSchText"/>
        </w:rPr>
        <w:t>Education and Care Services National Law</w:t>
      </w:r>
      <w:bookmarkEnd w:id="28"/>
      <w:bookmarkEnd w:id="29"/>
    </w:p>
    <w:p>
      <w:pPr>
        <w:pStyle w:val="yShoulderClause"/>
      </w:pPr>
      <w:r>
        <w:t>[s. 4]</w:t>
      </w:r>
    </w:p>
    <w:p>
      <w:pPr>
        <w:pStyle w:val="yHeading3"/>
      </w:pPr>
      <w:bookmarkStart w:id="30" w:name="_Toc80608928"/>
      <w:bookmarkStart w:id="31" w:name="_Toc80611743"/>
      <w:r>
        <w:rPr>
          <w:rStyle w:val="CharSDivNo"/>
        </w:rPr>
        <w:t>Part 1</w:t>
      </w:r>
      <w:r>
        <w:t xml:space="preserve"> — </w:t>
      </w:r>
      <w:r>
        <w:rPr>
          <w:rStyle w:val="CharSDivText"/>
        </w:rPr>
        <w:t>Preliminary</w:t>
      </w:r>
      <w:bookmarkEnd w:id="30"/>
      <w:bookmarkEnd w:id="31"/>
    </w:p>
    <w:p>
      <w:pPr>
        <w:pStyle w:val="yHeading5"/>
      </w:pPr>
      <w:bookmarkStart w:id="32" w:name="_Toc80611744"/>
      <w:r>
        <w:rPr>
          <w:rStyle w:val="CharSClsNo"/>
        </w:rPr>
        <w:t>1</w:t>
      </w:r>
      <w:r>
        <w:t>.</w:t>
      </w:r>
      <w:r>
        <w:tab/>
        <w:t>Short title</w:t>
      </w:r>
      <w:bookmarkEnd w:id="32"/>
    </w:p>
    <w:p>
      <w:pPr>
        <w:pStyle w:val="ySubsection"/>
      </w:pPr>
      <w:r>
        <w:tab/>
      </w:r>
      <w:r>
        <w:tab/>
        <w:t>This Law may be cited as the Education and Care Services National Law.</w:t>
      </w:r>
    </w:p>
    <w:p>
      <w:pPr>
        <w:pStyle w:val="yHeading5"/>
      </w:pPr>
      <w:bookmarkStart w:id="33" w:name="_Toc80611745"/>
      <w:r>
        <w:rPr>
          <w:rStyle w:val="CharSClsNo"/>
        </w:rPr>
        <w:t>2</w:t>
      </w:r>
      <w:r>
        <w:t>.</w:t>
      </w:r>
      <w:r>
        <w:tab/>
        <w:t>Commencement</w:t>
      </w:r>
      <w:bookmarkEnd w:id="33"/>
    </w:p>
    <w:p>
      <w:pPr>
        <w:pStyle w:val="ySubsection"/>
      </w:pPr>
      <w:r>
        <w:tab/>
      </w:r>
      <w:r>
        <w:tab/>
        <w:t>This Law commences in a participating jurisdiction as provided under the Act of that jurisdiction that applies this Law as a law of that jurisdiction.</w:t>
      </w:r>
    </w:p>
    <w:p>
      <w:pPr>
        <w:pStyle w:val="yHeading5"/>
      </w:pPr>
      <w:bookmarkStart w:id="34" w:name="_Toc80611746"/>
      <w:r>
        <w:rPr>
          <w:rStyle w:val="CharSClsNo"/>
        </w:rPr>
        <w:t>3</w:t>
      </w:r>
      <w:r>
        <w:t>.</w:t>
      </w:r>
      <w:r>
        <w:tab/>
        <w:t>Objectives and guiding principles</w:t>
      </w:r>
      <w:bookmarkEnd w:id="34"/>
    </w:p>
    <w:p>
      <w:pPr>
        <w:pStyle w:val="ySubsection"/>
      </w:pPr>
      <w:r>
        <w:tab/>
        <w:t>(1)</w:t>
      </w:r>
      <w:r>
        <w:tab/>
        <w:t>The objective of this Law is to establish a national education and care services quality framework for the delivery of education and care services to children.</w:t>
      </w:r>
    </w:p>
    <w:p>
      <w:pPr>
        <w:pStyle w:val="ySubsection"/>
      </w:pPr>
      <w:r>
        <w:tab/>
        <w:t>(2)</w:t>
      </w:r>
      <w:r>
        <w:tab/>
        <w:t xml:space="preserve">The objectives of the national education and care services quality framework are — </w:t>
      </w:r>
    </w:p>
    <w:p>
      <w:pPr>
        <w:pStyle w:val="yIndenta"/>
      </w:pPr>
      <w:r>
        <w:tab/>
        <w:t>(a)</w:t>
      </w:r>
      <w:r>
        <w:tab/>
        <w:t>to ensure the safety, health and wellbeing of children attending education and care services;</w:t>
      </w:r>
    </w:p>
    <w:p>
      <w:pPr>
        <w:pStyle w:val="yIndenta"/>
      </w:pPr>
      <w:r>
        <w:tab/>
        <w:t>(b)</w:t>
      </w:r>
      <w:r>
        <w:tab/>
        <w:t>to improve the educational and developmental outcomes for children attending education and care services;</w:t>
      </w:r>
    </w:p>
    <w:p>
      <w:pPr>
        <w:pStyle w:val="yIndenta"/>
      </w:pPr>
      <w:r>
        <w:tab/>
        <w:t>(c)</w:t>
      </w:r>
      <w:r>
        <w:tab/>
        <w:t>to promote continuous improvement in the provision of quality education and care services;</w:t>
      </w:r>
    </w:p>
    <w:p>
      <w:pPr>
        <w:pStyle w:val="y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yIndenta"/>
      </w:pPr>
      <w:r>
        <w:tab/>
        <w:t>(e)</w:t>
      </w:r>
      <w:r>
        <w:tab/>
        <w:t>to improve public knowledge, and access to information, about the quality of education and care services;</w:t>
      </w:r>
    </w:p>
    <w:p>
      <w:pPr>
        <w:pStyle w:val="yIndenta"/>
      </w:pPr>
      <w:r>
        <w:tab/>
        <w:t>(f)</w:t>
      </w:r>
      <w:r>
        <w:tab/>
        <w:t>to reduce the regulatory and administrative burden for education and care services by enabling information to be shared between participating jurisdictions and the Commonwealth.</w:t>
      </w:r>
    </w:p>
    <w:p>
      <w:pPr>
        <w:pStyle w:val="ySubsection"/>
      </w:pPr>
      <w:r>
        <w:lastRenderedPageBreak/>
        <w:tab/>
        <w:t>(3)</w:t>
      </w:r>
      <w:r>
        <w:tab/>
        <w:t xml:space="preserve">The guiding principles of the national education and care services quality framework are as follows — </w:t>
      </w:r>
    </w:p>
    <w:p>
      <w:pPr>
        <w:pStyle w:val="yIndenta"/>
      </w:pPr>
      <w:r>
        <w:tab/>
        <w:t>(a)</w:t>
      </w:r>
      <w:r>
        <w:tab/>
        <w:t>that the best interests of the child are paramount;</w:t>
      </w:r>
    </w:p>
    <w:p>
      <w:pPr>
        <w:pStyle w:val="yIndenta"/>
      </w:pPr>
      <w:r>
        <w:tab/>
        <w:t>(b)</w:t>
      </w:r>
      <w:r>
        <w:tab/>
        <w:t>that children are successful, competent and capable learners;</w:t>
      </w:r>
    </w:p>
    <w:p>
      <w:pPr>
        <w:pStyle w:val="yIndenta"/>
      </w:pPr>
      <w:r>
        <w:tab/>
        <w:t>(c)</w:t>
      </w:r>
      <w:r>
        <w:tab/>
        <w:t>that the principles of equity, inclusion and diversity underlie this Law;</w:t>
      </w:r>
    </w:p>
    <w:p>
      <w:pPr>
        <w:pStyle w:val="yIndenta"/>
      </w:pPr>
      <w:r>
        <w:tab/>
        <w:t>(d)</w:t>
      </w:r>
      <w:r>
        <w:tab/>
        <w:t>that Australia’s Aboriginal and Torres Strait Islander cultures are valued;</w:t>
      </w:r>
    </w:p>
    <w:p>
      <w:pPr>
        <w:pStyle w:val="yIndenta"/>
      </w:pPr>
      <w:r>
        <w:tab/>
        <w:t>(e)</w:t>
      </w:r>
      <w:r>
        <w:tab/>
        <w:t>that the role of parents and families is respected and supported;</w:t>
      </w:r>
    </w:p>
    <w:p>
      <w:pPr>
        <w:pStyle w:val="yIndenta"/>
      </w:pPr>
      <w:r>
        <w:tab/>
        <w:t>(f)</w:t>
      </w:r>
      <w:r>
        <w:tab/>
        <w:t>that best practice is expected in the provision of education and care services.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5" w:name="_Toc80611747"/>
      <w:r>
        <w:rPr>
          <w:rStyle w:val="CharSClsNo"/>
        </w:rPr>
        <w:t>4</w:t>
      </w:r>
      <w:r>
        <w:t>.</w:t>
      </w:r>
      <w:r>
        <w:tab/>
        <w:t>How functions to be exercised</w:t>
      </w:r>
      <w:bookmarkEnd w:id="35"/>
    </w:p>
    <w:p>
      <w:pPr>
        <w:pStyle w:val="ySubsection"/>
      </w:pPr>
      <w:r>
        <w:tab/>
      </w:r>
      <w:r>
        <w:tab/>
        <w:t>An entity that has functions under this Law is to exercise its functions having regard to the objectives and guiding principles of the national education and care services quality framework set out in section 3.</w:t>
      </w:r>
    </w:p>
    <w:p>
      <w:pPr>
        <w:pStyle w:val="yHeading5"/>
      </w:pPr>
      <w:bookmarkStart w:id="36" w:name="_Toc80611748"/>
      <w:r>
        <w:rPr>
          <w:rStyle w:val="CharSClsNo"/>
        </w:rPr>
        <w:t>5</w:t>
      </w:r>
      <w:r>
        <w:t>.</w:t>
      </w:r>
      <w:r>
        <w:tab/>
        <w:t>Definitions</w:t>
      </w:r>
      <w:bookmarkEnd w:id="36"/>
    </w:p>
    <w:p>
      <w:pPr>
        <w:pStyle w:val="ySubsection"/>
      </w:pPr>
      <w:r>
        <w:tab/>
        <w:t>(1)</w:t>
      </w:r>
      <w:r>
        <w:tab/>
        <w:t xml:space="preserve">In this Law — </w:t>
      </w:r>
    </w:p>
    <w:p>
      <w:pPr>
        <w:pStyle w:val="yDefstart"/>
      </w:pPr>
      <w:r>
        <w:tab/>
      </w:r>
      <w:r>
        <w:rPr>
          <w:rStyle w:val="CharDefText"/>
        </w:rPr>
        <w:t>approved education and care service</w:t>
      </w:r>
      <w:r>
        <w:t xml:space="preserve"> means an education and care service for which a service approval exists;</w:t>
      </w:r>
    </w:p>
    <w:p>
      <w:pPr>
        <w:pStyle w:val="yDefstart"/>
      </w:pPr>
      <w:r>
        <w:tab/>
      </w:r>
      <w:r>
        <w:rPr>
          <w:rStyle w:val="CharDefText"/>
        </w:rPr>
        <w:t>approved family day care service</w:t>
      </w:r>
      <w:r>
        <w:t xml:space="preserve"> means an approved education and care service that is a family day care service;</w:t>
      </w:r>
    </w:p>
    <w:p>
      <w:pPr>
        <w:pStyle w:val="yDefstart"/>
      </w:pPr>
      <w:r>
        <w:tab/>
      </w:r>
      <w:r>
        <w:rPr>
          <w:rStyle w:val="CharDefText"/>
        </w:rPr>
        <w:t>approved family day care venue</w:t>
      </w:r>
      <w:r>
        <w:t xml:space="preserve"> means a place (other than a residence) approved under section 50A or 54(8A) as a family day care venue for an approved family day care service;</w:t>
      </w:r>
    </w:p>
    <w:p>
      <w:pPr>
        <w:pStyle w:val="yDefstart"/>
      </w:pPr>
      <w:r>
        <w:tab/>
      </w:r>
      <w:r>
        <w:rPr>
          <w:rStyle w:val="CharDefText"/>
        </w:rPr>
        <w:t>approved learning framework</w:t>
      </w:r>
      <w:r>
        <w:t xml:space="preserve"> means a learning framework approved by the Ministerial Council;</w:t>
      </w:r>
    </w:p>
    <w:p>
      <w:pPr>
        <w:pStyle w:val="yDefstart"/>
      </w:pPr>
      <w:r>
        <w:tab/>
      </w:r>
      <w:r>
        <w:rPr>
          <w:rStyle w:val="CharDefText"/>
        </w:rPr>
        <w:t>approved provider</w:t>
      </w:r>
      <w:r>
        <w:t xml:space="preserve"> means a person who holds a provider approval;</w:t>
      </w:r>
    </w:p>
    <w:p>
      <w:pPr>
        <w:pStyle w:val="yDefstart"/>
      </w:pPr>
      <w:r>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yDefstart"/>
      </w:pPr>
      <w:r>
        <w:lastRenderedPageBreak/>
        <w:tab/>
      </w:r>
      <w:r>
        <w:rPr>
          <w:rStyle w:val="CharDefText"/>
        </w:rPr>
        <w:t>Australian Accounting Standards</w:t>
      </w:r>
      <w:r>
        <w:t xml:space="preserve"> means the standards issued or pronounced by the Australian Accounting Standards Board;</w:t>
      </w:r>
    </w:p>
    <w:p>
      <w:pPr>
        <w:pStyle w:val="yDefstart"/>
      </w:pPr>
      <w:r>
        <w:tab/>
      </w:r>
      <w:r>
        <w:rPr>
          <w:rStyle w:val="CharDefText"/>
        </w:rPr>
        <w:t>authorised officer</w:t>
      </w:r>
      <w:r>
        <w:t xml:space="preserve"> means a person authorised to be an authorised officer under Part 9;</w:t>
      </w:r>
    </w:p>
    <w:p>
      <w:pPr>
        <w:pStyle w:val="yDefstart"/>
      </w:pPr>
      <w:r>
        <w:tab/>
      </w:r>
      <w:r>
        <w:rPr>
          <w:rStyle w:val="CharDefText"/>
        </w:rPr>
        <w:t>Authority Fund</w:t>
      </w:r>
      <w:r>
        <w:t xml:space="preserve"> means the Australian Children’s Education and Care Quality Authority Fund established under section 274;</w:t>
      </w:r>
    </w:p>
    <w:p>
      <w:pPr>
        <w:pStyle w:val="yDefstart"/>
      </w:pPr>
      <w:r>
        <w:tab/>
      </w:r>
      <w:r>
        <w:rPr>
          <w:rStyle w:val="CharDefText"/>
        </w:rPr>
        <w:t>Board</w:t>
      </w:r>
      <w:r>
        <w:t xml:space="preserve"> means the Australian Children’s Education and Care Quality Authority Board established under this Law;</w:t>
      </w:r>
    </w:p>
    <w:p>
      <w:pPr>
        <w:pStyle w:val="yDefstart"/>
      </w:pPr>
      <w:r>
        <w:tab/>
      </w:r>
      <w:r>
        <w:rPr>
          <w:rStyle w:val="CharDefText"/>
        </w:rPr>
        <w:t>chief executive officer</w:t>
      </w:r>
      <w:r>
        <w:t xml:space="preserve"> means the chief executive officer of the National Authority appointed under this Law;</w:t>
      </w:r>
    </w:p>
    <w:p>
      <w:pPr>
        <w:pStyle w:val="y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y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y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yDefstart"/>
      </w:pPr>
      <w:r>
        <w:tab/>
      </w:r>
      <w:r>
        <w:rPr>
          <w:rStyle w:val="CharDefText"/>
        </w:rPr>
        <w:t>Commonwealth Minister</w:t>
      </w:r>
      <w:r>
        <w:t xml:space="preserve"> means the Minister of the Commonwealth who is responsible for policies and programs relating to education and care services;</w:t>
      </w:r>
    </w:p>
    <w:p>
      <w:pPr>
        <w:pStyle w:val="y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yDefstart"/>
      </w:pPr>
      <w:r>
        <w:tab/>
      </w:r>
      <w:r>
        <w:rPr>
          <w:rStyle w:val="CharDefText"/>
        </w:rPr>
        <w:t>compliance direction</w:t>
      </w:r>
      <w:r>
        <w:t xml:space="preserve"> means a compliance direction under section 176;</w:t>
      </w:r>
    </w:p>
    <w:p>
      <w:pPr>
        <w:pStyle w:val="yDefstart"/>
      </w:pPr>
      <w:r>
        <w:tab/>
      </w:r>
      <w:r>
        <w:rPr>
          <w:rStyle w:val="CharDefText"/>
        </w:rPr>
        <w:t>compliance notice</w:t>
      </w:r>
      <w:r>
        <w:t xml:space="preserve"> means a compliance notice under section 177;</w:t>
      </w:r>
    </w:p>
    <w:p>
      <w:pPr>
        <w:pStyle w:val="yDefstart"/>
      </w:pPr>
      <w:r>
        <w:rPr>
          <w:i/>
        </w:rPr>
        <w:tab/>
      </w:r>
      <w:r>
        <w:rPr>
          <w:rStyle w:val="CharDefText"/>
        </w:rPr>
        <w:t>disciplinary action</w:t>
      </w:r>
      <w:r>
        <w:t xml:space="preserve"> means disciplinary action under Part 7 Division 3A;</w:t>
      </w:r>
    </w:p>
    <w:p>
      <w:pPr>
        <w:pStyle w:val="yDefstart"/>
        <w:keepNext/>
      </w:pPr>
      <w:r>
        <w:tab/>
      </w:r>
      <w:r>
        <w:rPr>
          <w:rStyle w:val="CharDefText"/>
        </w:rPr>
        <w:t>education and care service</w:t>
      </w:r>
      <w:r>
        <w:t xml:space="preserve"> means any service providing or intended to provide education and care on a regular basis to children under 13 years of age other than — </w:t>
      </w:r>
    </w:p>
    <w:p>
      <w:pPr>
        <w:pStyle w:val="yDefpara"/>
      </w:pPr>
      <w:r>
        <w:tab/>
        <w:t>(a)</w:t>
      </w:r>
      <w:r>
        <w:tab/>
        <w:t xml:space="preserve">a school providing an educational program to school children in accordance with the </w:t>
      </w:r>
      <w:r>
        <w:rPr>
          <w:i/>
        </w:rPr>
        <w:t>School Education Act 1999</w:t>
      </w:r>
      <w:r>
        <w:t>; or</w:t>
      </w:r>
    </w:p>
    <w:p>
      <w:pPr>
        <w:pStyle w:val="yDefpara"/>
      </w:pPr>
      <w:r>
        <w:lastRenderedPageBreak/>
        <w:tab/>
        <w:t>(b)</w:t>
      </w:r>
      <w:r>
        <w:tab/>
        <w:t xml:space="preserve">a community kindergarten providing an educational program to children in accordance with the </w:t>
      </w:r>
      <w:r>
        <w:rPr>
          <w:i/>
        </w:rPr>
        <w:t>School Education Act 1999</w:t>
      </w:r>
      <w:r>
        <w:t>; or</w:t>
      </w:r>
    </w:p>
    <w:p>
      <w:pPr>
        <w:pStyle w:val="yDefpara"/>
      </w:pPr>
      <w:r>
        <w:tab/>
        <w:t>(c)</w:t>
      </w:r>
      <w:r>
        <w:tab/>
        <w:t>a personal arrangement; or</w:t>
      </w:r>
    </w:p>
    <w:p>
      <w:pPr>
        <w:pStyle w:val="yDefpara"/>
      </w:pPr>
      <w:r>
        <w:tab/>
        <w:t>(d)</w:t>
      </w:r>
      <w:r>
        <w:tab/>
        <w:t>a service principally conducted to provide instruction in a particular activity; or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Instruction in a particular activity could be instruction in sport, dance, music, culture or language or religious instruction.</w:t>
      </w:r>
    </w:p>
    <w:p>
      <w:pPr>
        <w:pStyle w:val="yDefpara"/>
      </w:pPr>
      <w:r>
        <w:tab/>
        <w:t>(e)</w:t>
      </w:r>
      <w:r>
        <w:tab/>
        <w:t>a service providing education and care to patients in a hospital or patients of a medical or therapeutic care service; or</w:t>
      </w:r>
    </w:p>
    <w:p>
      <w:pPr>
        <w:pStyle w:val="yDefpara"/>
      </w:pPr>
      <w:r>
        <w:tab/>
        <w:t>(f)</w:t>
      </w:r>
      <w:r>
        <w:tab/>
        <w:t>care provided under a child protection law of a participating jurisdiction; or</w:t>
      </w:r>
    </w:p>
    <w:p>
      <w:pPr>
        <w:pStyle w:val="yDefpara"/>
      </w:pPr>
      <w:r>
        <w:tab/>
        <w:t>(g)</w:t>
      </w:r>
      <w:r>
        <w:tab/>
        <w:t>a prescribed class of disability service; or</w:t>
      </w:r>
    </w:p>
    <w:p>
      <w:pPr>
        <w:pStyle w:val="yDefpara"/>
      </w:pPr>
      <w:r>
        <w:tab/>
        <w:t>(h)</w:t>
      </w:r>
      <w:r>
        <w:tab/>
        <w:t>a service of a prescribed class;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Education and care services to which this Law applies include long day care services, family day care services and outside school hours services, unless expressly excluded.</w:t>
      </w:r>
    </w:p>
    <w:p>
      <w:pPr>
        <w:pStyle w:val="yDefstart"/>
      </w:pPr>
      <w:r>
        <w:tab/>
      </w:r>
      <w:r>
        <w:rPr>
          <w:rStyle w:val="CharDefText"/>
        </w:rPr>
        <w:t>education and care service premises</w:t>
      </w:r>
      <w:r>
        <w:t xml:space="preserve"> means — </w:t>
      </w:r>
    </w:p>
    <w:p>
      <w:pPr>
        <w:pStyle w:val="yDefpara"/>
      </w:pPr>
      <w:r>
        <w:tab/>
        <w:t>(a)</w:t>
      </w:r>
      <w:r>
        <w:tab/>
        <w:t>in relation to an education and care service other than a family day care service, each place at which an education and care service operates or is to operate; or</w:t>
      </w:r>
    </w:p>
    <w:p>
      <w:pPr>
        <w:pStyle w:val="yDefpara"/>
      </w:pPr>
      <w:r>
        <w:tab/>
        <w:t>(b)</w:t>
      </w:r>
      <w:r>
        <w:tab/>
        <w:t xml:space="preserve">in relation to a family day care service — </w:t>
      </w:r>
    </w:p>
    <w:p>
      <w:pPr>
        <w:pStyle w:val="yDefsubpara"/>
      </w:pPr>
      <w:r>
        <w:tab/>
        <w:t>(i)</w:t>
      </w:r>
      <w:r>
        <w:tab/>
        <w:t>an office of the family day care service; or</w:t>
      </w:r>
    </w:p>
    <w:p>
      <w:pPr>
        <w:pStyle w:val="yDefsubpara"/>
      </w:pPr>
      <w:r>
        <w:tab/>
        <w:t>(ii)</w:t>
      </w:r>
      <w:r>
        <w:tab/>
        <w:t>an approved family day care venue; or</w:t>
      </w:r>
    </w:p>
    <w:p>
      <w:pPr>
        <w:pStyle w:val="yDefsubpara"/>
      </w:pPr>
      <w:r>
        <w:tab/>
        <w:t>(iii)</w:t>
      </w:r>
      <w:r>
        <w:tab/>
        <w:t>each part of a residence used to provide education and care to children as part of a family day care service or used to provide access to the part of the residence used to provide that education and care;</w:t>
      </w:r>
    </w:p>
    <w:p>
      <w:pPr>
        <w:pStyle w:val="yDefstart"/>
      </w:pPr>
      <w:r>
        <w:tab/>
      </w:r>
      <w:r>
        <w:rPr>
          <w:rStyle w:val="CharDefText"/>
        </w:rPr>
        <w:t>education law</w:t>
      </w:r>
      <w:r>
        <w:t>, in relation to a participating jurisdiction, means a law declared by a law of that jurisdiction to be an education law for the purposes of this Law;</w:t>
      </w:r>
    </w:p>
    <w:p>
      <w:pPr>
        <w:pStyle w:val="yDefstart"/>
      </w:pPr>
      <w:r>
        <w:tab/>
      </w:r>
      <w:r>
        <w:rPr>
          <w:rStyle w:val="CharDefText"/>
        </w:rPr>
        <w:t>educational program</w:t>
      </w:r>
      <w:r>
        <w:t xml:space="preserve"> means an educational programme as defined in the </w:t>
      </w:r>
      <w:r>
        <w:rPr>
          <w:i/>
        </w:rPr>
        <w:t>School Education Act 1999</w:t>
      </w:r>
      <w:r>
        <w:t>;</w:t>
      </w:r>
    </w:p>
    <w:p>
      <w:pPr>
        <w:pStyle w:val="yDefstart"/>
      </w:pPr>
      <w:r>
        <w:tab/>
      </w:r>
      <w:r>
        <w:rPr>
          <w:rStyle w:val="CharDefText"/>
        </w:rPr>
        <w:t>educator</w:t>
      </w:r>
      <w:r>
        <w:t xml:space="preserve"> means an individual who provides education and care for children as part of an education and care service;</w:t>
      </w:r>
    </w:p>
    <w:p>
      <w:pPr>
        <w:pStyle w:val="yDefstart"/>
      </w:pPr>
      <w:r>
        <w:lastRenderedPageBreak/>
        <w:tab/>
      </w:r>
      <w:r>
        <w:rPr>
          <w:rStyle w:val="CharDefText"/>
        </w:rPr>
        <w:t>eligible association</w:t>
      </w:r>
      <w:r>
        <w:t xml:space="preserve"> means an association of a prescribed class;</w:t>
      </w:r>
    </w:p>
    <w:p>
      <w:pPr>
        <w:pStyle w:val="yDefstart"/>
      </w:pPr>
      <w:r>
        <w:tab/>
      </w:r>
      <w:r>
        <w:rPr>
          <w:rStyle w:val="CharDefText"/>
        </w:rPr>
        <w:t>executor</w:t>
      </w:r>
      <w:r>
        <w:t xml:space="preserve">, in relation to an approved provider, includes a person — </w:t>
      </w:r>
    </w:p>
    <w:p>
      <w:pPr>
        <w:pStyle w:val="yDefpara"/>
      </w:pPr>
      <w:r>
        <w:tab/>
        <w:t>(a)</w:t>
      </w:r>
      <w:r>
        <w:tab/>
        <w:t>entitled to a grant of letters of administration in relation to the estate of the approved provider, including with the will annexed; or</w:t>
      </w:r>
    </w:p>
    <w:p>
      <w:pPr>
        <w:pStyle w:val="yDefpara"/>
      </w:pPr>
      <w:r>
        <w:tab/>
        <w:t>(b)</w:t>
      </w:r>
      <w:r>
        <w:tab/>
        <w:t>granted letters of administration in relation to the estate of the approved provider, including with the will annexed; or</w:t>
      </w:r>
    </w:p>
    <w:p>
      <w:pPr>
        <w:pStyle w:val="yDefpara"/>
      </w:pPr>
      <w:r>
        <w:tab/>
        <w:t>(c)</w:t>
      </w:r>
      <w:r>
        <w:tab/>
        <w:t>granted probate of the will of the approved provider; or</w:t>
      </w:r>
    </w:p>
    <w:p>
      <w:pPr>
        <w:pStyle w:val="yDefpara"/>
      </w:pPr>
      <w:r>
        <w:tab/>
        <w:t>(d)</w:t>
      </w:r>
      <w:r>
        <w:tab/>
        <w:t>named as executor in a valid will of the approved provider;</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 xml:space="preserve">This definition is not included in section 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y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yDefstart"/>
      </w:pPr>
      <w:r>
        <w:tab/>
      </w:r>
      <w:r>
        <w:rPr>
          <w:rStyle w:val="CharDefText"/>
        </w:rPr>
        <w:t>family day care educator assistant</w:t>
      </w:r>
      <w:r>
        <w:t xml:space="preserve"> means a person engaged by or registered with a family day care service to assist family day care educators;</w:t>
      </w:r>
    </w:p>
    <w:p>
      <w:pPr>
        <w:pStyle w:val="yDefstart"/>
      </w:pPr>
      <w:r>
        <w:tab/>
      </w:r>
      <w:r>
        <w:rPr>
          <w:rStyle w:val="CharDefText"/>
        </w:rPr>
        <w:t>family day care residence</w:t>
      </w:r>
      <w:r>
        <w:t xml:space="preserve"> means a residence at which a family day care educator educates and cares for children as part of a family day care service;</w:t>
      </w:r>
    </w:p>
    <w:p>
      <w:pPr>
        <w:pStyle w:val="yDefstart"/>
      </w:pPr>
      <w:r>
        <w:tab/>
      </w:r>
      <w:r>
        <w:rPr>
          <w:rStyle w:val="CharDefText"/>
        </w:rPr>
        <w:t>family day care service</w:t>
      </w:r>
      <w:r>
        <w:t xml:space="preserve"> means an education and care service that — </w:t>
      </w:r>
    </w:p>
    <w:p>
      <w:pPr>
        <w:pStyle w:val="yDefpara"/>
      </w:pPr>
      <w:r>
        <w:tab/>
        <w:t>(a)</w:t>
      </w:r>
      <w:r>
        <w:tab/>
        <w:t>is delivered through the use of 2 or more educators to provide education and care to children; and</w:t>
      </w:r>
    </w:p>
    <w:p>
      <w:pPr>
        <w:pStyle w:val="yDefpara"/>
      </w:pPr>
      <w:r>
        <w:tab/>
        <w:t>(b)</w:t>
      </w:r>
      <w:r>
        <w:tab/>
        <w:t>operates from 2 or more residences;</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A family day care service that is an approved family day care service may provide education and care to children from a family day care residence or an approved family day care venue.</w:t>
      </w:r>
    </w:p>
    <w:p>
      <w:pPr>
        <w:pStyle w:val="yDefstart"/>
      </w:pPr>
      <w:r>
        <w:tab/>
      </w:r>
      <w:r>
        <w:rPr>
          <w:rStyle w:val="CharDefText"/>
        </w:rPr>
        <w:t>family member</w:t>
      </w:r>
      <w:r>
        <w:t xml:space="preserve">, in relation to a child, means — </w:t>
      </w:r>
    </w:p>
    <w:p>
      <w:pPr>
        <w:pStyle w:val="y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yDefpara"/>
      </w:pPr>
      <w:r>
        <w:lastRenderedPageBreak/>
        <w:tab/>
        <w:t>(b)</w:t>
      </w:r>
      <w:r>
        <w:tab/>
        <w:t>a relative of the child according to Aboriginal or Torres Strait Islander tradition; or</w:t>
      </w:r>
    </w:p>
    <w:p>
      <w:pPr>
        <w:pStyle w:val="yDefpara"/>
      </w:pPr>
      <w:r>
        <w:tab/>
        <w:t>(c)</w:t>
      </w:r>
      <w:r>
        <w:tab/>
        <w:t>a person with whom the child resides in a family</w:t>
      </w:r>
      <w:r>
        <w:noBreakHyphen/>
        <w:t>like relationship; or</w:t>
      </w:r>
    </w:p>
    <w:p>
      <w:pPr>
        <w:pStyle w:val="yDefpara"/>
      </w:pPr>
      <w:r>
        <w:tab/>
        <w:t>(d)</w:t>
      </w:r>
      <w:r>
        <w:tab/>
        <w:t>a person who is recognised in the child’s community as having a familial role in respect of the child;</w:t>
      </w:r>
    </w:p>
    <w:p>
      <w:pPr>
        <w:pStyle w:val="y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yDefstart"/>
      </w:pPr>
      <w:r>
        <w:tab/>
      </w:r>
      <w:r>
        <w:rPr>
          <w:rStyle w:val="CharDefText"/>
        </w:rPr>
        <w:t>grade 1</w:t>
      </w:r>
      <w:r>
        <w:t>, in relation to a school, means the first year of compulsory full</w:t>
      </w:r>
      <w:r>
        <w:noBreakHyphen/>
        <w:t>time schooling;</w:t>
      </w:r>
    </w:p>
    <w:p>
      <w:pPr>
        <w:pStyle w:val="yDefstart"/>
      </w:pPr>
      <w:r>
        <w:tab/>
      </w:r>
      <w:r>
        <w:rPr>
          <w:rStyle w:val="CharDefText"/>
        </w:rPr>
        <w:t>guardian</w:t>
      </w:r>
      <w:r>
        <w:t>, in relation to a child, means the legal guardian of the child;</w:t>
      </w:r>
    </w:p>
    <w:p>
      <w:pPr>
        <w:pStyle w:val="yDefstart"/>
      </w:pPr>
      <w:r>
        <w:tab/>
      </w:r>
      <w:r>
        <w:rPr>
          <w:rStyle w:val="CharDefText"/>
        </w:rPr>
        <w:t>infringements law</w:t>
      </w:r>
      <w:r>
        <w:t>, in relation to a participating jurisdiction, means a law declared by a law of that jurisdiction to be an infringements law for the purposes of this Law;</w:t>
      </w:r>
    </w:p>
    <w:p>
      <w:pPr>
        <w:pStyle w:val="yDefstart"/>
      </w:pPr>
      <w:r>
        <w:tab/>
      </w:r>
      <w:r>
        <w:rPr>
          <w:rStyle w:val="CharDefText"/>
        </w:rPr>
        <w:t>Ministerial Council</w:t>
      </w:r>
      <w:r>
        <w:t xml:space="preserve"> means the Ministerial Council which — </w:t>
      </w:r>
    </w:p>
    <w:p>
      <w:pPr>
        <w:pStyle w:val="yDefpara"/>
      </w:pPr>
      <w:r>
        <w:tab/>
        <w:t>(a)</w:t>
      </w:r>
      <w:r>
        <w:tab/>
        <w:t>is constituted from time to time by Ministers of the Crown of the Commonwealth, State and Territory Governments; and</w:t>
      </w:r>
    </w:p>
    <w:p>
      <w:pPr>
        <w:pStyle w:val="yDefpara"/>
      </w:pPr>
      <w:r>
        <w:tab/>
        <w:t>(b)</w:t>
      </w:r>
      <w:r>
        <w:tab/>
        <w:t>is responsible for early childhood education and care matters;</w:t>
      </w:r>
    </w:p>
    <w:p>
      <w:pPr>
        <w:pStyle w:val="yDefstart"/>
      </w:pPr>
      <w:r>
        <w:tab/>
      </w:r>
      <w:r>
        <w:rPr>
          <w:rStyle w:val="CharDefText"/>
        </w:rPr>
        <w:t>National Authority</w:t>
      </w:r>
      <w:r>
        <w:t xml:space="preserve"> means the Australian Children’s Education and Care Quality Authority established under this Law;</w:t>
      </w:r>
    </w:p>
    <w:p>
      <w:pPr>
        <w:pStyle w:val="yDefstart"/>
      </w:pPr>
      <w:r>
        <w:tab/>
      </w:r>
      <w:r>
        <w:rPr>
          <w:rStyle w:val="CharDefText"/>
        </w:rPr>
        <w:t>national education and care services quality framework</w:t>
      </w:r>
      <w:r>
        <w:t xml:space="preserve"> means — </w:t>
      </w:r>
    </w:p>
    <w:p>
      <w:pPr>
        <w:pStyle w:val="yDefpara"/>
      </w:pPr>
      <w:r>
        <w:tab/>
        <w:t>(a)</w:t>
      </w:r>
      <w:r>
        <w:tab/>
        <w:t>this Law; and</w:t>
      </w:r>
    </w:p>
    <w:p>
      <w:pPr>
        <w:pStyle w:val="yDefpara"/>
      </w:pPr>
      <w:r>
        <w:tab/>
        <w:t>(b)</w:t>
      </w:r>
      <w:r>
        <w:tab/>
        <w:t>the national regulations; and</w:t>
      </w:r>
    </w:p>
    <w:p>
      <w:pPr>
        <w:pStyle w:val="yDefpara"/>
      </w:pPr>
      <w:r>
        <w:tab/>
        <w:t>(c)</w:t>
      </w:r>
      <w:r>
        <w:tab/>
        <w:t>the National Quality Standard; and</w:t>
      </w:r>
    </w:p>
    <w:p>
      <w:pPr>
        <w:pStyle w:val="yDefpara"/>
      </w:pPr>
      <w:r>
        <w:tab/>
        <w:t>(d)</w:t>
      </w:r>
      <w:r>
        <w:tab/>
        <w:t>the prescribed rating system;</w:t>
      </w:r>
    </w:p>
    <w:p>
      <w:pPr>
        <w:pStyle w:val="yDefstart"/>
      </w:pPr>
      <w:r>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yDefstart"/>
      </w:pPr>
      <w:r>
        <w:tab/>
      </w:r>
      <w:r>
        <w:rPr>
          <w:rStyle w:val="CharDefText"/>
        </w:rPr>
        <w:t>National Quality Framework</w:t>
      </w:r>
      <w:r>
        <w:t xml:space="preserve"> means the national education and care services quality framework;</w:t>
      </w:r>
    </w:p>
    <w:p>
      <w:pPr>
        <w:pStyle w:val="yDefstart"/>
      </w:pPr>
      <w:r>
        <w:tab/>
      </w:r>
      <w:r>
        <w:rPr>
          <w:rStyle w:val="CharDefText"/>
        </w:rPr>
        <w:t>National Quality Standard</w:t>
      </w:r>
      <w:r>
        <w:t xml:space="preserve"> means the National Quality Standard prescribed by the national regulations;</w:t>
      </w:r>
    </w:p>
    <w:p>
      <w:pPr>
        <w:pStyle w:val="yDefstart"/>
      </w:pPr>
      <w:r>
        <w:tab/>
      </w:r>
      <w:r>
        <w:rPr>
          <w:rStyle w:val="CharDefText"/>
        </w:rPr>
        <w:t>national regulations</w:t>
      </w:r>
      <w:r>
        <w:t xml:space="preserve"> means the regulations made under this Law;</w:t>
      </w:r>
    </w:p>
    <w:p>
      <w:pPr>
        <w:pStyle w:val="yDefstart"/>
      </w:pPr>
      <w:r>
        <w:lastRenderedPageBreak/>
        <w:tab/>
      </w:r>
      <w:r>
        <w:rPr>
          <w:rStyle w:val="CharDefText"/>
        </w:rPr>
        <w:t>nominated supervisor</w:t>
      </w:r>
      <w:r>
        <w:t xml:space="preserve">, in relation to an education and care service, means an individual who — </w:t>
      </w:r>
    </w:p>
    <w:p>
      <w:pPr>
        <w:pStyle w:val="yDefpara"/>
      </w:pPr>
      <w:r>
        <w:tab/>
        <w:t>(a)</w:t>
      </w:r>
      <w:r>
        <w:tab/>
        <w:t>is nominated by the approved provider of the service under Part 3 to be a nominated supervisor of that service; and</w:t>
      </w:r>
    </w:p>
    <w:p>
      <w:pPr>
        <w:pStyle w:val="yDefpara"/>
      </w:pPr>
      <w:r>
        <w:tab/>
        <w:t>(b)</w:t>
      </w:r>
      <w:r>
        <w:tab/>
        <w:t>unless the individual is the approved provider, has provided written consent to that nomination;</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An individual may be both a nominated supervisor of a family day care service and a family day care co</w:t>
      </w:r>
      <w:r>
        <w:rPr>
          <w:rFonts w:ascii="Arial" w:hAnsi="Arial" w:cs="Arial"/>
          <w:sz w:val="18"/>
          <w:szCs w:val="18"/>
        </w:rPr>
        <w:noBreakHyphen/>
        <w:t>ordinator for that service if the individual meets the criteria for each role.</w:t>
      </w:r>
    </w:p>
    <w:p>
      <w:pPr>
        <w:pStyle w:val="yDefstart"/>
      </w:pPr>
      <w:r>
        <w:tab/>
      </w:r>
      <w:r>
        <w:rPr>
          <w:rStyle w:val="CharDefText"/>
        </w:rPr>
        <w:t>office</w:t>
      </w:r>
      <w:r>
        <w:t xml:space="preserve">, in relation to a family day care service, means — </w:t>
      </w:r>
    </w:p>
    <w:p>
      <w:pPr>
        <w:pStyle w:val="yDefpara"/>
      </w:pPr>
      <w:r>
        <w:tab/>
        <w:t>(a)</w:t>
      </w:r>
      <w:r>
        <w:tab/>
        <w:t>the principal office of the service; or</w:t>
      </w:r>
    </w:p>
    <w:p>
      <w:pPr>
        <w:pStyle w:val="yDefpara"/>
      </w:pPr>
      <w:r>
        <w:tab/>
        <w:t>(b)</w:t>
      </w:r>
      <w:r>
        <w:tab/>
        <w:t>the principal office of the approved provider of the service; or</w:t>
      </w:r>
    </w:p>
    <w:p>
      <w:pPr>
        <w:pStyle w:val="yDefpara"/>
      </w:pPr>
      <w:r>
        <w:tab/>
        <w:t>(c)</w:t>
      </w:r>
      <w:r>
        <w:tab/>
        <w:t>any other business office of the approved provider of the service; or</w:t>
      </w:r>
    </w:p>
    <w:p>
      <w:pPr>
        <w:pStyle w:val="yDefpara"/>
      </w:pPr>
      <w:r>
        <w:tab/>
        <w:t>(d)</w:t>
      </w:r>
      <w:r>
        <w:tab/>
        <w:t>any premises of the service from which the service’s family day care educators are co</w:t>
      </w:r>
      <w:r>
        <w:noBreakHyphen/>
        <w:t>ordinated;</w:t>
      </w:r>
    </w:p>
    <w:p>
      <w:pPr>
        <w:pStyle w:val="yDefstart"/>
      </w:pPr>
      <w:r>
        <w:tab/>
      </w:r>
      <w:r>
        <w:rPr>
          <w:rStyle w:val="CharDefText"/>
        </w:rPr>
        <w:t>parent</w:t>
      </w:r>
      <w:r>
        <w:t xml:space="preserve">, in relation to a child, means a person who at law has responsibility for — </w:t>
      </w:r>
    </w:p>
    <w:p>
      <w:pPr>
        <w:pStyle w:val="yDefpara"/>
      </w:pPr>
      <w:r>
        <w:tab/>
        <w:t>(a)</w:t>
      </w:r>
      <w:r>
        <w:tab/>
        <w:t>the long term care, welfare and development of the child; or</w:t>
      </w:r>
    </w:p>
    <w:p>
      <w:pPr>
        <w:pStyle w:val="yDefpara"/>
      </w:pPr>
      <w:r>
        <w:tab/>
        <w:t>(b)</w:t>
      </w:r>
      <w:r>
        <w:tab/>
        <w:t>the day</w:t>
      </w:r>
      <w:r>
        <w:noBreakHyphen/>
        <w:t>to</w:t>
      </w:r>
      <w:r>
        <w:noBreakHyphen/>
        <w:t>day care, welfare and development of the child;</w:t>
      </w:r>
    </w:p>
    <w:p>
      <w:pPr>
        <w:pStyle w:val="yDefstart"/>
      </w:pPr>
      <w:r>
        <w:tab/>
      </w:r>
      <w:r>
        <w:rPr>
          <w:rStyle w:val="CharDefText"/>
        </w:rPr>
        <w:t>participating jurisdiction</w:t>
      </w:r>
      <w:r>
        <w:t xml:space="preserve"> means a State or Territory in which — </w:t>
      </w:r>
    </w:p>
    <w:p>
      <w:pPr>
        <w:pStyle w:val="yDefpara"/>
      </w:pPr>
      <w:r>
        <w:tab/>
        <w:t>(a)</w:t>
      </w:r>
      <w:r>
        <w:tab/>
        <w:t>this Law applies as a Law of the State or Territory; or</w:t>
      </w:r>
    </w:p>
    <w:p>
      <w:pPr>
        <w:pStyle w:val="yDefpara"/>
      </w:pPr>
      <w:r>
        <w:tab/>
        <w:t>(b)</w:t>
      </w:r>
      <w:r>
        <w:tab/>
        <w:t>a law that substantially corresponds to the provisions of this Law has been enacted;</w:t>
      </w:r>
    </w:p>
    <w:p>
      <w:pPr>
        <w:pStyle w:val="yDefstart"/>
      </w:pPr>
      <w:r>
        <w:tab/>
      </w:r>
      <w:r>
        <w:rPr>
          <w:rStyle w:val="CharDefText"/>
        </w:rPr>
        <w:t>payment</w:t>
      </w:r>
      <w:r>
        <w:t>, in relation to a prescribed fee, includes payment by electronic or other means;</w:t>
      </w:r>
    </w:p>
    <w:p>
      <w:pPr>
        <w:pStyle w:val="yDefstart"/>
      </w:pPr>
      <w:r>
        <w:tab/>
      </w:r>
      <w:r>
        <w:rPr>
          <w:rStyle w:val="CharDefText"/>
        </w:rPr>
        <w:t>person</w:t>
      </w:r>
      <w:r>
        <w:t xml:space="preserve"> means — </w:t>
      </w:r>
    </w:p>
    <w:p>
      <w:pPr>
        <w:pStyle w:val="yDefpara"/>
      </w:pPr>
      <w:r>
        <w:tab/>
        <w:t>(a)</w:t>
      </w:r>
      <w:r>
        <w:tab/>
        <w:t>an individual; or</w:t>
      </w:r>
    </w:p>
    <w:p>
      <w:pPr>
        <w:pStyle w:val="yDefpara"/>
      </w:pPr>
      <w:r>
        <w:tab/>
        <w:t>(b)</w:t>
      </w:r>
      <w:r>
        <w:tab/>
        <w:t>a body corporate; or</w:t>
      </w:r>
    </w:p>
    <w:p>
      <w:pPr>
        <w:pStyle w:val="yDefpara"/>
      </w:pPr>
      <w:r>
        <w:tab/>
        <w:t>(c)</w:t>
      </w:r>
      <w:r>
        <w:tab/>
        <w:t>an eligible association; or</w:t>
      </w:r>
    </w:p>
    <w:p>
      <w:pPr>
        <w:pStyle w:val="yDefpara"/>
      </w:pPr>
      <w:r>
        <w:tab/>
        <w:t>(d)</w:t>
      </w:r>
      <w:r>
        <w:tab/>
        <w:t>a partnership; or</w:t>
      </w:r>
    </w:p>
    <w:p>
      <w:pPr>
        <w:pStyle w:val="yDefpara"/>
      </w:pPr>
      <w:r>
        <w:tab/>
        <w:t>(e)</w:t>
      </w:r>
      <w:r>
        <w:tab/>
        <w:t>a prescribed entity;</w:t>
      </w:r>
    </w:p>
    <w:p>
      <w:pPr>
        <w:pStyle w:val="yDefstart"/>
      </w:pPr>
      <w:r>
        <w:lastRenderedPageBreak/>
        <w:tab/>
      </w:r>
      <w:r>
        <w:rPr>
          <w:rStyle w:val="CharDefText"/>
        </w:rPr>
        <w:t>person in day</w:t>
      </w:r>
      <w:r>
        <w:rPr>
          <w:rStyle w:val="CharDefText"/>
        </w:rPr>
        <w:noBreakHyphen/>
        <w:t>to</w:t>
      </w:r>
      <w:r>
        <w:rPr>
          <w:rStyle w:val="CharDefText"/>
        </w:rPr>
        <w:noBreakHyphen/>
        <w:t>day charge</w:t>
      </w:r>
      <w:r>
        <w:t>, in relation to an education and care service, means a person who is placed in day</w:t>
      </w:r>
      <w:r>
        <w:noBreakHyphen/>
        <w:t>to</w:t>
      </w:r>
      <w:r>
        <w:noBreakHyphen/>
        <w:t>day charge of the service in accordance with the national regulations;</w:t>
      </w:r>
    </w:p>
    <w:p>
      <w:pPr>
        <w:pStyle w:val="yDefstart"/>
      </w:pPr>
      <w:r>
        <w:tab/>
      </w:r>
      <w:r>
        <w:rPr>
          <w:rStyle w:val="CharDefText"/>
        </w:rPr>
        <w:t>person with management or control</w:t>
      </w:r>
      <w:r>
        <w:t>, in relation to an education and care service, means —</w:t>
      </w:r>
    </w:p>
    <w:p>
      <w:pPr>
        <w:pStyle w:val="y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y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yDefpara"/>
      </w:pPr>
      <w:r>
        <w:tab/>
        <w:t>(c)</w:t>
      </w:r>
      <w:r>
        <w:tab/>
        <w:t>if the provider of the service is a partnership, each partner who has the responsibility, alone or with others, for managing the delivery of the education and care service; or</w:t>
      </w:r>
    </w:p>
    <w:p>
      <w:pPr>
        <w:pStyle w:val="yDefpara"/>
      </w:pPr>
      <w:r>
        <w:tab/>
        <w:t>(d)</w:t>
      </w:r>
      <w:r>
        <w:tab/>
        <w:t>in any other case, a person who has the responsibility, alone or with others, for managing the delivery of the education and care service;</w:t>
      </w:r>
    </w:p>
    <w:p>
      <w:pPr>
        <w:pStyle w:val="yDefstart"/>
      </w:pPr>
      <w:r>
        <w:tab/>
      </w:r>
      <w:r>
        <w:rPr>
          <w:rStyle w:val="CharDefText"/>
        </w:rPr>
        <w:t>personal arrangement</w:t>
      </w:r>
      <w:r>
        <w:t xml:space="preserve"> means education and care provided to a child —</w:t>
      </w:r>
    </w:p>
    <w:p>
      <w:pPr>
        <w:pStyle w:val="y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yDefpara"/>
      </w:pPr>
      <w:r>
        <w:tab/>
        <w:t>(b)</w:t>
      </w:r>
      <w:r>
        <w:tab/>
        <w:t>by a friend of the family of the child personally under an informal arrangement where no offer to provide that education and care was advertised;</w:t>
      </w:r>
    </w:p>
    <w:p>
      <w:pPr>
        <w:pStyle w:val="yDefstart"/>
      </w:pPr>
      <w:r>
        <w:tab/>
      </w:r>
      <w:r>
        <w:rPr>
          <w:rStyle w:val="CharDefText"/>
        </w:rPr>
        <w:t>prescribed ineligible person</w:t>
      </w:r>
      <w:r>
        <w:t xml:space="preserve"> means a person in a class of persons prescribed by the national regulations to be prescribed ineligible persons;</w:t>
      </w:r>
    </w:p>
    <w:p>
      <w:pPr>
        <w:pStyle w:val="yDefstart"/>
      </w:pPr>
      <w:r>
        <w:tab/>
      </w:r>
      <w:r>
        <w:rPr>
          <w:rStyle w:val="CharDefText"/>
        </w:rPr>
        <w:t>prohibition notice</w:t>
      </w:r>
      <w:r>
        <w:t xml:space="preserve"> means a prohibition notice given under section 182(1) or 182(3);</w:t>
      </w:r>
    </w:p>
    <w:p>
      <w:pPr>
        <w:pStyle w:val="yDefstart"/>
      </w:pPr>
      <w:r>
        <w:tab/>
      </w:r>
      <w:r>
        <w:rPr>
          <w:rStyle w:val="CharDefText"/>
        </w:rPr>
        <w:t>protected disclosure</w:t>
      </w:r>
      <w:r>
        <w:t> — see section 296;</w:t>
      </w:r>
    </w:p>
    <w:p>
      <w:pPr>
        <w:pStyle w:val="yDefstart"/>
        <w:keepNext/>
      </w:pPr>
      <w:r>
        <w:lastRenderedPageBreak/>
        <w:tab/>
      </w:r>
      <w:r>
        <w:rPr>
          <w:rStyle w:val="CharDefText"/>
        </w:rPr>
        <w:t>provider approval</w:t>
      </w:r>
      <w:r>
        <w:t xml:space="preserve"> means a provider approval —</w:t>
      </w:r>
    </w:p>
    <w:p>
      <w:pPr>
        <w:pStyle w:val="yDefpara"/>
      </w:pPr>
      <w:r>
        <w:tab/>
        <w:t>(a)</w:t>
      </w:r>
      <w:r>
        <w:tab/>
        <w:t>granted under Part 2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provider approval that has been cancelled;</w:t>
      </w:r>
    </w:p>
    <w:p>
      <w:pPr>
        <w:pStyle w:val="yDefstart"/>
      </w:pPr>
      <w:r>
        <w:tab/>
      </w:r>
      <w:r>
        <w:rPr>
          <w:rStyle w:val="CharDefText"/>
        </w:rPr>
        <w:t>public sector law</w:t>
      </w:r>
      <w:r>
        <w:t>, in relation to a participating jurisdiction, means a law declared by a law of that jurisdiction to be a public sector law for the purposes of this Law;</w:t>
      </w:r>
    </w:p>
    <w:p>
      <w:pPr>
        <w:pStyle w:val="yDefstart"/>
      </w:pPr>
      <w:r>
        <w:tab/>
      </w:r>
      <w:r>
        <w:rPr>
          <w:rStyle w:val="CharDefText"/>
        </w:rPr>
        <w:t>rating assessment</w:t>
      </w:r>
      <w:r>
        <w:t xml:space="preserve"> means an assessment or reassessment of an approved education and care service under Part 5;</w:t>
      </w:r>
    </w:p>
    <w:p>
      <w:pPr>
        <w:pStyle w:val="yDefstart"/>
      </w:pPr>
      <w:r>
        <w:tab/>
      </w:r>
      <w:r>
        <w:rPr>
          <w:rStyle w:val="CharDefText"/>
        </w:rPr>
        <w:t>Ratings Review Panel</w:t>
      </w:r>
      <w:r>
        <w:t xml:space="preserve"> means a Ratings Review Panel established under section 146;</w:t>
      </w:r>
    </w:p>
    <w:p>
      <w:pPr>
        <w:pStyle w:val="yDefstart"/>
      </w:pPr>
      <w:r>
        <w:tab/>
      </w:r>
      <w:r>
        <w:rPr>
          <w:rStyle w:val="CharDefText"/>
        </w:rPr>
        <w:t>receiving approved provider</w:t>
      </w:r>
      <w:r>
        <w:t xml:space="preserve"> has the meaning set out in section 58;</w:t>
      </w:r>
    </w:p>
    <w:p>
      <w:pPr>
        <w:pStyle w:val="y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yDefstart"/>
      </w:pPr>
      <w:r>
        <w:tab/>
      </w:r>
      <w:r>
        <w:rPr>
          <w:rStyle w:val="CharDefText"/>
        </w:rPr>
        <w:t>relevant Commonwealth Department</w:t>
      </w:r>
      <w:r>
        <w:t xml:space="preserve"> means the government department administered by the Commonwealth Minister;</w:t>
      </w:r>
    </w:p>
    <w:p>
      <w:pPr>
        <w:pStyle w:val="y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yDefstart"/>
      </w:pPr>
      <w:r>
        <w:tab/>
      </w:r>
      <w:r>
        <w:rPr>
          <w:rStyle w:val="CharDefText"/>
        </w:rPr>
        <w:t>residence</w:t>
      </w:r>
      <w:r>
        <w:t xml:space="preserve"> means the habitable areas of a dwelling;</w:t>
      </w:r>
    </w:p>
    <w:p>
      <w:pPr>
        <w:pStyle w:val="yDefstart"/>
      </w:pPr>
      <w:r>
        <w:tab/>
      </w:r>
      <w:r>
        <w:rPr>
          <w:rStyle w:val="CharDefText"/>
        </w:rPr>
        <w:t>school children</w:t>
      </w:r>
      <w:r>
        <w:t xml:space="preserve">, includes students, as defined in the </w:t>
      </w:r>
      <w:r>
        <w:rPr>
          <w:i/>
        </w:rPr>
        <w:t>School Education Act 1999</w:t>
      </w:r>
      <w:r>
        <w:t>, attending school before grade 1;</w:t>
      </w:r>
    </w:p>
    <w:p>
      <w:pPr>
        <w:pStyle w:val="yDefstart"/>
      </w:pPr>
      <w:r>
        <w:tab/>
      </w:r>
      <w:r>
        <w:rPr>
          <w:rStyle w:val="CharDefText"/>
        </w:rPr>
        <w:t>school</w:t>
      </w:r>
      <w:r>
        <w:t xml:space="preserve"> means —</w:t>
      </w:r>
    </w:p>
    <w:p>
      <w:pPr>
        <w:pStyle w:val="yDefpara"/>
      </w:pPr>
      <w:r>
        <w:tab/>
        <w:t>(a)</w:t>
      </w:r>
      <w:r>
        <w:tab/>
        <w:t>a government school; or</w:t>
      </w:r>
    </w:p>
    <w:p>
      <w:pPr>
        <w:pStyle w:val="yDefpara"/>
      </w:pPr>
      <w:r>
        <w:tab/>
        <w:t>(b)</w:t>
      </w:r>
      <w:r>
        <w:tab/>
        <w:t>a non</w:t>
      </w:r>
      <w:r>
        <w:noBreakHyphen/>
        <w:t>government school that is registered or accredited under an education law of a participating jurisdiction;</w:t>
      </w:r>
    </w:p>
    <w:p>
      <w:pPr>
        <w:pStyle w:val="yDefstart"/>
      </w:pPr>
      <w:r>
        <w:tab/>
      </w:r>
      <w:r>
        <w:rPr>
          <w:rStyle w:val="CharDefText"/>
        </w:rPr>
        <w:t>serious detrimental action</w:t>
      </w:r>
      <w:r>
        <w:t> — see section 296;</w:t>
      </w:r>
    </w:p>
    <w:p>
      <w:pPr>
        <w:pStyle w:val="yDefstart"/>
      </w:pPr>
      <w:r>
        <w:tab/>
      </w:r>
      <w:r>
        <w:rPr>
          <w:rStyle w:val="CharDefText"/>
        </w:rPr>
        <w:t>serious incident</w:t>
      </w:r>
      <w:r>
        <w:t xml:space="preserve"> means an incident or class of incidents prescribed by the national regulations as a serious incident;</w:t>
      </w:r>
    </w:p>
    <w:p>
      <w:pPr>
        <w:pStyle w:val="yDefstart"/>
        <w:keepNext/>
      </w:pPr>
      <w:r>
        <w:lastRenderedPageBreak/>
        <w:tab/>
      </w:r>
      <w:r>
        <w:rPr>
          <w:rStyle w:val="CharDefText"/>
        </w:rPr>
        <w:t>service approval</w:t>
      </w:r>
      <w:r>
        <w:t xml:space="preserve"> means a service approval —</w:t>
      </w:r>
    </w:p>
    <w:p>
      <w:pPr>
        <w:pStyle w:val="yDefpara"/>
      </w:pPr>
      <w:r>
        <w:tab/>
        <w:t>(a)</w:t>
      </w:r>
      <w:r>
        <w:tab/>
        <w:t>granted under Part 3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service approval that has been cancelled;</w:t>
      </w:r>
    </w:p>
    <w:p>
      <w:pPr>
        <w:pStyle w:val="yDefstart"/>
      </w:pPr>
      <w:r>
        <w:tab/>
      </w:r>
      <w:r>
        <w:rPr>
          <w:rStyle w:val="CharDefText"/>
        </w:rPr>
        <w:t>staff member</w:t>
      </w:r>
      <w:r>
        <w:t>, in relation to an education and care service, means any individual (other than a nominated supervisor or a volunteer) employed, appointed or engaged to work in or as part of an education and care service, whether as family day care co</w:t>
      </w:r>
      <w:r>
        <w:noBreakHyphen/>
        <w:t>ordinator, educator or otherwise;</w:t>
      </w:r>
    </w:p>
    <w:p>
      <w:pPr>
        <w:pStyle w:val="yDefstart"/>
      </w:pPr>
      <w:r>
        <w:tab/>
      </w:r>
      <w:r>
        <w:rPr>
          <w:rStyle w:val="CharDefText"/>
        </w:rPr>
        <w:t>transferring approved provider</w:t>
      </w:r>
      <w:r>
        <w:t xml:space="preserve"> has the meaning set out in section 58;</w:t>
      </w:r>
    </w:p>
    <w:p>
      <w:pPr>
        <w:pStyle w:val="y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y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yDefpara"/>
      </w:pPr>
      <w:r>
        <w:tab/>
        <w:t>(a)</w:t>
      </w:r>
      <w:r>
        <w:tab/>
        <w:t>the person has been assessed as suitable to work with children; or</w:t>
      </w:r>
    </w:p>
    <w:p>
      <w:pPr>
        <w:pStyle w:val="yDefpara"/>
      </w:pPr>
      <w:r>
        <w:tab/>
        <w:t>(b)</w:t>
      </w:r>
      <w:r>
        <w:tab/>
        <w:t>there has been no information that if the person worked with children the person would pose a risk to the children; or</w:t>
      </w:r>
    </w:p>
    <w:p>
      <w:pPr>
        <w:pStyle w:val="yDefpara"/>
      </w:pPr>
      <w:r>
        <w:tab/>
        <w:t>(c)</w:t>
      </w:r>
      <w:r>
        <w:tab/>
        <w:t>the person is not prohibited from attempting to obtain, undertake or remain in child</w:t>
      </w:r>
      <w:r>
        <w:noBreakHyphen/>
        <w:t>related employment;</w:t>
      </w:r>
    </w:p>
    <w:p>
      <w:pPr>
        <w:pStyle w:val="yDefstart"/>
      </w:pPr>
      <w:r>
        <w:tab/>
      </w:r>
      <w:r>
        <w:rPr>
          <w:rStyle w:val="CharDefText"/>
        </w:rPr>
        <w:t>working with children law</w:t>
      </w:r>
      <w:r>
        <w:t>, in relation to a participating jurisdiction, means a law declared by a law of that jurisdiction to be a working with children law for the purposes of this Law;</w:t>
      </w:r>
    </w:p>
    <w:p>
      <w:pPr>
        <w:pStyle w:val="y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ySubsection"/>
      </w:pPr>
      <w:r>
        <w:tab/>
        <w:t>(2)</w:t>
      </w:r>
      <w:r>
        <w:tab/>
        <w:t>In this Law, a reference (either generally or specifically) to a law or a provision of a law (including this Law) includes a reference to the statutory instruments made or in force under the law or provision.</w:t>
      </w:r>
    </w:p>
    <w:p>
      <w:pPr>
        <w:pStyle w:val="ySubsection"/>
      </w:pPr>
      <w:r>
        <w:tab/>
        <w:t>(3)</w:t>
      </w:r>
      <w:r>
        <w:tab/>
        <w:t>In this Law a reference to education and care includes a reference to education or care.</w:t>
      </w:r>
    </w:p>
    <w:p>
      <w:pPr>
        <w:pStyle w:val="ySubsection"/>
      </w:pPr>
      <w:r>
        <w:lastRenderedPageBreak/>
        <w:tab/>
        <w:t>(4)</w:t>
      </w:r>
      <w:r>
        <w:tab/>
        <w:t>In this Law, an education and care service as defined in subsection (1) is an education and care service even if the service also provides education and care to children of or over the age of 13 years.</w:t>
      </w:r>
    </w:p>
    <w:p>
      <w:pPr>
        <w:pStyle w:val="ySubsection"/>
      </w:pPr>
      <w:r>
        <w:tab/>
        <w:t>(5)</w:t>
      </w:r>
      <w:r>
        <w:tab/>
        <w:t>In this Law, a children’s service as defined in subsection (1) is a children’s service even if the service also provides education and care to children of or over the age of 13 years.</w:t>
      </w:r>
    </w:p>
    <w:p>
      <w:pPr>
        <w:pStyle w:val="ySubsection"/>
      </w:pPr>
      <w:r>
        <w:tab/>
        <w:t>(6)</w:t>
      </w:r>
      <w:r>
        <w:tab/>
        <w:t>In this Law, a reference to this Law as applying in a jurisdiction, includes a reference to a law that substantially corresponds to this Law enacted, or applying, in a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5 amended: No. 18 of 2018 s. 10.]</w:t>
      </w:r>
    </w:p>
    <w:p>
      <w:pPr>
        <w:pStyle w:val="yHeading5"/>
      </w:pPr>
      <w:bookmarkStart w:id="37" w:name="_Toc80611749"/>
      <w:r>
        <w:rPr>
          <w:rStyle w:val="CharSClsNo"/>
        </w:rPr>
        <w:t>6</w:t>
      </w:r>
      <w:r>
        <w:t>.</w:t>
      </w:r>
      <w:r>
        <w:tab/>
        <w:t>Interpretation generally</w:t>
      </w:r>
      <w:bookmarkEnd w:id="37"/>
    </w:p>
    <w:p>
      <w:pPr>
        <w:pStyle w:val="ySubsection"/>
      </w:pPr>
      <w:r>
        <w:tab/>
        <w:t>(1)</w:t>
      </w:r>
      <w:r>
        <w:tab/>
        <w:t>Schedule 1 applies in relation to this Law.</w:t>
      </w:r>
    </w:p>
    <w:p>
      <w:pPr>
        <w:pStyle w:val="ySubsection"/>
      </w:pPr>
      <w:r>
        <w:tab/>
        <w:t>(2)</w:t>
      </w:r>
      <w:r>
        <w:tab/>
        <w:t>The National Partnership Agreement is declared to be a relevant document for the purposes of paragraph (h) of the definition of extrinsic material in clause 8(1) of Schedule 1.</w:t>
      </w:r>
    </w:p>
    <w:p>
      <w:pPr>
        <w:pStyle w:val="yHeading5"/>
      </w:pPr>
      <w:bookmarkStart w:id="38" w:name="_Toc80611750"/>
      <w:r>
        <w:rPr>
          <w:rStyle w:val="CharSClsNo"/>
        </w:rPr>
        <w:t>7</w:t>
      </w:r>
      <w:r>
        <w:t>.</w:t>
      </w:r>
      <w:r>
        <w:tab/>
        <w:t>Single national entity</w:t>
      </w:r>
      <w:bookmarkEnd w:id="38"/>
    </w:p>
    <w:p>
      <w:pPr>
        <w:pStyle w:val="ySubsection"/>
      </w:pPr>
      <w:r>
        <w:tab/>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one participating jurisdiction; or</w:t>
      </w:r>
    </w:p>
    <w:p>
      <w:pPr>
        <w:pStyle w:val="yIndenta"/>
      </w:pPr>
      <w:r>
        <w:tab/>
        <w:t>(b)</w:t>
      </w:r>
      <w:r>
        <w:tab/>
        <w:t>2 or more or all participating jurisdictions collectively.</w:t>
      </w:r>
    </w:p>
    <w:p>
      <w:pPr>
        <w:pStyle w:val="yHeading5"/>
      </w:pPr>
      <w:bookmarkStart w:id="39" w:name="_Toc80611751"/>
      <w:r>
        <w:rPr>
          <w:rStyle w:val="CharSClsNo"/>
        </w:rPr>
        <w:lastRenderedPageBreak/>
        <w:t>8</w:t>
      </w:r>
      <w:r>
        <w:t>.</w:t>
      </w:r>
      <w:r>
        <w:tab/>
        <w:t>Extraterritorial operation of Law</w:t>
      </w:r>
      <w:bookmarkEnd w:id="39"/>
    </w:p>
    <w:p>
      <w:pPr>
        <w:pStyle w:val="ySubsection"/>
      </w:pPr>
      <w:r>
        <w:tab/>
      </w:r>
      <w:r>
        <w:tab/>
        <w:t>It is the intention of the Parliament of this jurisdiction that the operation of this Law is to, as far as possible, include operation in relation to the following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40" w:name="_Toc80611752"/>
      <w:r>
        <w:rPr>
          <w:rStyle w:val="CharSClsNo"/>
        </w:rPr>
        <w:t>9</w:t>
      </w:r>
      <w:r>
        <w:t>.</w:t>
      </w:r>
      <w:r>
        <w:tab/>
        <w:t>Law binds the State</w:t>
      </w:r>
      <w:bookmarkEnd w:id="40"/>
    </w:p>
    <w:p>
      <w:pPr>
        <w:pStyle w:val="ySubsection"/>
      </w:pPr>
      <w:r>
        <w:tab/>
        <w:t>(1)</w:t>
      </w:r>
      <w:r>
        <w:tab/>
        <w:t>This Law binds the State.</w:t>
      </w:r>
    </w:p>
    <w:p>
      <w:pPr>
        <w:pStyle w:val="ySubsection"/>
      </w:pPr>
      <w:r>
        <w:tab/>
        <w:t>(2)</w:t>
      </w:r>
      <w:r>
        <w:tab/>
        <w:t>In this section —</w:t>
      </w:r>
    </w:p>
    <w:p>
      <w:pPr>
        <w:pStyle w:val="yDefstart"/>
      </w:pPr>
      <w:r>
        <w:tab/>
      </w:r>
      <w:r>
        <w:rPr>
          <w:rStyle w:val="CharDefText"/>
        </w:rPr>
        <w:t>State</w:t>
      </w:r>
      <w:r>
        <w:t xml:space="preserve"> means the Crown in right of this jurisdiction, and includes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Pr>
      <w:bookmarkStart w:id="41" w:name="_Toc80608938"/>
      <w:bookmarkStart w:id="42" w:name="_Toc80611753"/>
      <w:r>
        <w:rPr>
          <w:rStyle w:val="CharSDivNo"/>
        </w:rPr>
        <w:t>Part 2</w:t>
      </w:r>
      <w:r>
        <w:t xml:space="preserve"> — </w:t>
      </w:r>
      <w:r>
        <w:rPr>
          <w:rStyle w:val="CharSDivText"/>
        </w:rPr>
        <w:t>Provider approval</w:t>
      </w:r>
      <w:bookmarkEnd w:id="41"/>
      <w:bookmarkEnd w:id="42"/>
    </w:p>
    <w:p>
      <w:pPr>
        <w:pStyle w:val="yHeading4"/>
      </w:pPr>
      <w:bookmarkStart w:id="43" w:name="_Toc80608939"/>
      <w:bookmarkStart w:id="44" w:name="_Toc80611754"/>
      <w:r>
        <w:t>Division 1</w:t>
      </w:r>
      <w:r>
        <w:rPr>
          <w:b w:val="0"/>
        </w:rPr>
        <w:t xml:space="preserve"> — </w:t>
      </w:r>
      <w:r>
        <w:t>Application for provider approval</w:t>
      </w:r>
      <w:bookmarkEnd w:id="43"/>
      <w:bookmarkEnd w:id="44"/>
    </w:p>
    <w:p>
      <w:pPr>
        <w:pStyle w:val="yHeading5"/>
      </w:pPr>
      <w:bookmarkStart w:id="45" w:name="_Toc80611755"/>
      <w:r>
        <w:rPr>
          <w:rStyle w:val="CharSClsNo"/>
        </w:rPr>
        <w:t>10</w:t>
      </w:r>
      <w:r>
        <w:t>.</w:t>
      </w:r>
      <w:r>
        <w:tab/>
        <w:t>Application for provider approval</w:t>
      </w:r>
      <w:bookmarkEnd w:id="45"/>
    </w:p>
    <w:p>
      <w:pPr>
        <w:pStyle w:val="ySubsection"/>
      </w:pPr>
      <w:r>
        <w:tab/>
        <w:t>(1)</w:t>
      </w:r>
      <w:r>
        <w:tab/>
        <w:t>A person, other than a prescribed ineligible person, may apply to the Regulatory Authority for a provider approval.</w:t>
      </w:r>
    </w:p>
    <w:p>
      <w:pPr>
        <w:pStyle w:val="ySubsection"/>
      </w:pPr>
      <w:r>
        <w:tab/>
        <w:t>(2)</w:t>
      </w:r>
      <w:r>
        <w:tab/>
        <w:t>An application may be made by more than one person.</w:t>
      </w:r>
    </w:p>
    <w:p>
      <w:pPr>
        <w:pStyle w:val="ySubsection"/>
      </w:pPr>
      <w:r>
        <w:tab/>
        <w:t>(3)</w:t>
      </w:r>
      <w:r>
        <w:tab/>
        <w:t>If an application is made by more than one person —</w:t>
      </w:r>
    </w:p>
    <w:p>
      <w:pPr>
        <w:pStyle w:val="yIndenta"/>
      </w:pPr>
      <w:r>
        <w:tab/>
        <w:t>(a)</w:t>
      </w:r>
      <w:r>
        <w:tab/>
        <w:t>the prescribed information requested under section 11(c) must be provided in respect of each person; and</w:t>
      </w:r>
    </w:p>
    <w:p>
      <w:pPr>
        <w:pStyle w:val="yIndenta"/>
      </w:pPr>
      <w:r>
        <w:lastRenderedPageBreak/>
        <w:tab/>
        <w:t>(b)</w:t>
      </w:r>
      <w:r>
        <w:tab/>
        <w:t>the requirements of this Division must be complied with by and in respect of each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6" w:name="_Toc80611756"/>
      <w:r>
        <w:rPr>
          <w:rStyle w:val="CharSClsNo"/>
        </w:rPr>
        <w:t>11</w:t>
      </w:r>
      <w:r>
        <w:t>.</w:t>
      </w:r>
      <w:r>
        <w:tab/>
        <w:t>Form of application</w:t>
      </w:r>
      <w:bookmarkEnd w:id="46"/>
    </w:p>
    <w:p>
      <w:pPr>
        <w:pStyle w:val="ySubsection"/>
        <w:keepNext/>
      </w:pPr>
      <w:r>
        <w:tab/>
      </w:r>
      <w:r>
        <w:tab/>
        <w:t>An application under section 10 must —</w:t>
      </w:r>
    </w:p>
    <w:p>
      <w:pPr>
        <w:pStyle w:val="yIndenta"/>
        <w:keepNext/>
      </w:pPr>
      <w:r>
        <w:tab/>
        <w:t>(a)</w:t>
      </w:r>
      <w:r>
        <w:tab/>
        <w:t>be made to the Regulatory Authority of the participating jurisdiction —</w:t>
      </w:r>
    </w:p>
    <w:p>
      <w:pPr>
        <w:pStyle w:val="yIndenti0"/>
      </w:pPr>
      <w:r>
        <w:tab/>
        <w:t>(i)</w:t>
      </w:r>
      <w:r>
        <w:tab/>
        <w:t>in which the applicant, or any of the applicants, is ordinarily resident; or</w:t>
      </w:r>
    </w:p>
    <w:p>
      <w:pPr>
        <w:pStyle w:val="yIndenti0"/>
      </w:pPr>
      <w:r>
        <w:tab/>
        <w:t>(ii)</w:t>
      </w:r>
      <w:r>
        <w:tab/>
        <w:t>if the applicant or applicants are not individuals, in which the principal office of the applicant or any of the applicants is located; and</w:t>
      </w:r>
    </w:p>
    <w:p>
      <w:pPr>
        <w:pStyle w:val="yIndenta"/>
      </w:pPr>
      <w:r>
        <w:tab/>
        <w:t>(b)</w:t>
      </w:r>
      <w:r>
        <w:tab/>
        <w:t>be in writing; and</w:t>
      </w:r>
    </w:p>
    <w:p>
      <w:pPr>
        <w:pStyle w:val="yIndenta"/>
      </w:pPr>
      <w:r>
        <w:tab/>
        <w:t>(c)</w:t>
      </w:r>
      <w:r>
        <w:tab/>
        <w:t xml:space="preserve">include </w:t>
      </w:r>
      <w:r>
        <w:rPr>
          <w:szCs w:val="22"/>
        </w:rPr>
        <w:t>the prescribed</w:t>
      </w:r>
      <w:r>
        <w:t xml:space="preserve">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11 amended: No. 18 of 2018 s. 90.]</w:t>
      </w:r>
    </w:p>
    <w:p>
      <w:pPr>
        <w:pStyle w:val="yHeading5"/>
      </w:pPr>
      <w:bookmarkStart w:id="47" w:name="_Toc80611757"/>
      <w:r>
        <w:rPr>
          <w:rStyle w:val="CharSClsNo"/>
        </w:rPr>
        <w:t>12</w:t>
      </w:r>
      <w:r>
        <w:t>.</w:t>
      </w:r>
      <w:r>
        <w:tab/>
        <w:t>Applicant must be fit and proper person</w:t>
      </w:r>
      <w:bookmarkEnd w:id="47"/>
    </w:p>
    <w:p>
      <w:pPr>
        <w:pStyle w:val="ySubsection"/>
      </w:pPr>
      <w:r>
        <w:tab/>
        <w:t>(1)</w:t>
      </w:r>
      <w:r>
        <w:tab/>
        <w:t>An applicant who is an individual must satisfy the Regulatory Authority that the applicant is a fit and proper person to be involved in the provision of an education and care service.</w:t>
      </w:r>
    </w:p>
    <w:p>
      <w:pPr>
        <w:pStyle w:val="ySubsection"/>
      </w:pPr>
      <w:r>
        <w:tab/>
        <w:t>(2)</w:t>
      </w:r>
      <w:r>
        <w:tab/>
        <w:t>If the applicant is not an individual, the applicant must satisfy the Regulatory Authority that —</w:t>
      </w:r>
    </w:p>
    <w:p>
      <w:pPr>
        <w:pStyle w:val="y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yIndenta"/>
      </w:pPr>
      <w:r>
        <w:tab/>
        <w:t>(b)</w:t>
      </w:r>
      <w:r>
        <w:tab/>
        <w:t>the applicant is a fit and proper person to be involved in the provision of an education and care service.</w:t>
      </w:r>
    </w:p>
    <w:p>
      <w:pPr>
        <w:pStyle w:val="ySubsection"/>
      </w:pPr>
      <w:r>
        <w:lastRenderedPageBreak/>
        <w:tab/>
        <w:t>(3)</w:t>
      </w:r>
      <w:r>
        <w:tab/>
        <w:t>The head of a government department administering an education law of a participating jurisdiction is taken to be a fit and proper person for the purposes of this Part.</w:t>
      </w:r>
    </w:p>
    <w:p>
      <w:pPr>
        <w:pStyle w:val="yHeading5"/>
      </w:pPr>
      <w:bookmarkStart w:id="48" w:name="_Toc80611758"/>
      <w:r>
        <w:rPr>
          <w:rStyle w:val="CharSClsNo"/>
        </w:rPr>
        <w:t>13</w:t>
      </w:r>
      <w:r>
        <w:t>.</w:t>
      </w:r>
      <w:r>
        <w:tab/>
        <w:t>Matters to be taken into account in assessing whether fit and proper person</w:t>
      </w:r>
      <w:bookmarkEnd w:id="48"/>
    </w:p>
    <w:p>
      <w:pPr>
        <w:pStyle w:val="ySubsection"/>
      </w:pPr>
      <w:r>
        <w:tab/>
        <w:t>(1)</w:t>
      </w:r>
      <w:r>
        <w:tab/>
        <w:t>In determining whether a person is a fit and proper person under this Division, the Regulatory Authority must have regard to —</w:t>
      </w:r>
    </w:p>
    <w:p>
      <w:pPr>
        <w:pStyle w:val="yIndenta"/>
      </w:pPr>
      <w:r>
        <w:tab/>
        <w:t>(a)</w:t>
      </w:r>
      <w:r>
        <w:tab/>
        <w:t>the person’s history of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either —</w:t>
      </w:r>
    </w:p>
    <w:p>
      <w:pPr>
        <w:pStyle w:val="yIndenti0"/>
      </w:pPr>
      <w:r>
        <w:tab/>
        <w:t>(i)</w:t>
      </w:r>
      <w:r>
        <w:tab/>
        <w:t>any prescribed matters relating to the criminal history of the person to the extent that history may affect the person’s suitability for the role of provider of an education and care service; or</w:t>
      </w:r>
    </w:p>
    <w:p>
      <w:pPr>
        <w:pStyle w:val="yIndenti0"/>
      </w:pPr>
      <w:r>
        <w:tab/>
        <w:t>(ii)</w:t>
      </w:r>
      <w:r>
        <w:tab/>
        <w:t>any check of the person under a working with vulnerable people law of a participating jurisdiction; and</w:t>
      </w:r>
    </w:p>
    <w:p>
      <w:pPr>
        <w:pStyle w:val="y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ySubsection"/>
        <w:keepNext/>
      </w:pPr>
      <w:r>
        <w:lastRenderedPageBreak/>
        <w:tab/>
        <w:t>(2)</w:t>
      </w:r>
      <w:r>
        <w:tab/>
        <w:t>Without limiting subsection (1), the Regulatory Authority may have regard to —</w:t>
      </w:r>
    </w:p>
    <w:p>
      <w:pPr>
        <w:pStyle w:val="yIndenta"/>
      </w:pPr>
      <w:r>
        <w:tab/>
        <w:t>(a)</w:t>
      </w:r>
      <w:r>
        <w:tab/>
        <w:t>whether the person has a medical condition that may cause the person to be incapable of being responsible for providing an education and care service in accordance with this Law; and</w:t>
      </w:r>
    </w:p>
    <w:p>
      <w:pPr>
        <w:pStyle w:val="yIndenta"/>
      </w:pPr>
      <w:r>
        <w:tab/>
        <w:t>(b)</w:t>
      </w:r>
      <w:r>
        <w:tab/>
        <w:t>whether the financial circumstances of the person may significantly limit the person’s capacity to meet the person’s obligations in providing an education and care service in accordance with this Law; and</w:t>
      </w:r>
    </w:p>
    <w:p>
      <w:pPr>
        <w:pStyle w:val="yIndenta"/>
      </w:pPr>
      <w:r>
        <w:tab/>
        <w:t>(c)</w:t>
      </w:r>
      <w:r>
        <w:tab/>
        <w:t>whether the person has the management capability to operate an education and care service in accordance with this Law; and</w:t>
      </w:r>
    </w:p>
    <w:p>
      <w:pPr>
        <w:pStyle w:val="yIndenta"/>
      </w:pPr>
      <w:r>
        <w:tab/>
        <w:t>(d)</w:t>
      </w:r>
      <w:r>
        <w:tab/>
        <w:t xml:space="preserve">any of the following actions taken under the </w:t>
      </w:r>
      <w:r>
        <w:rPr>
          <w:i/>
        </w:rPr>
        <w:t>A New Tax System (Family Assistance) (Administration) Act 1999</w:t>
      </w:r>
      <w:r>
        <w:t xml:space="preserve"> of the Commonwealth in relation to a child care service approved under that Act, operated by the person or in relation to which the person was a person with management or control — </w:t>
      </w:r>
    </w:p>
    <w:p>
      <w:pPr>
        <w:pStyle w:val="yIndenti0"/>
      </w:pPr>
      <w:r>
        <w:tab/>
        <w:t>(i)</w:t>
      </w:r>
      <w:r>
        <w:tab/>
        <w:t>any sanction imposed under section 200 of that Act;</w:t>
      </w:r>
    </w:p>
    <w:p>
      <w:pPr>
        <w:pStyle w:val="yIndenti0"/>
      </w:pPr>
      <w:r>
        <w:tab/>
        <w:t>(ii)</w:t>
      </w:r>
      <w:r>
        <w:tab/>
        <w:t>any suspension imposed under section 201A of that Act;</w:t>
      </w:r>
    </w:p>
    <w:p>
      <w:pPr>
        <w:pStyle w:val="yIndenti0"/>
      </w:pPr>
      <w:r>
        <w:tab/>
        <w:t>(iii)</w:t>
      </w:r>
      <w:r>
        <w:tab/>
        <w:t>any infringement notice given under section 219TSI of that Act.</w:t>
      </w:r>
    </w:p>
    <w:p>
      <w:pPr>
        <w:pStyle w:val="ySubsection"/>
      </w:pPr>
      <w:r>
        <w:tab/>
        <w:t>(3)</w:t>
      </w:r>
      <w:r>
        <w:tab/>
        <w:t>Nothing in subsection (1) or (2) limits the circumstances in which a person may be considered not to be a fit and proper person to be involved in the provision of an education and care service.</w:t>
      </w:r>
    </w:p>
    <w:p>
      <w:pPr>
        <w:pStyle w:val="yFootnotesection"/>
      </w:pPr>
      <w:r>
        <w:tab/>
        <w:t>[Section 13 amended: No. 18 of 2018 s. 11.]</w:t>
      </w:r>
    </w:p>
    <w:p>
      <w:pPr>
        <w:pStyle w:val="yHeading5"/>
      </w:pPr>
      <w:bookmarkStart w:id="49" w:name="_Toc80611759"/>
      <w:r>
        <w:rPr>
          <w:rStyle w:val="CharSClsNo"/>
        </w:rPr>
        <w:t>14</w:t>
      </w:r>
      <w:r>
        <w:t>.</w:t>
      </w:r>
      <w:r>
        <w:tab/>
        <w:t>Regulatory Authority may seek further information</w:t>
      </w:r>
      <w:bookmarkEnd w:id="49"/>
    </w:p>
    <w:p>
      <w:pPr>
        <w:pStyle w:val="ySubsection"/>
      </w:pPr>
      <w:r>
        <w:tab/>
        <w:t>(1)</w:t>
      </w:r>
      <w:r>
        <w:tab/>
        <w:t>For the purpose of carrying out an assessment as to whether a person is a fit and proper person, the Regulatory Authority may —</w:t>
      </w:r>
    </w:p>
    <w:p>
      <w:pPr>
        <w:pStyle w:val="yIndenta"/>
      </w:pPr>
      <w:r>
        <w:tab/>
        <w:t>(a)</w:t>
      </w:r>
      <w:r>
        <w:tab/>
        <w:t>ask the person to provide further information; and</w:t>
      </w:r>
    </w:p>
    <w:p>
      <w:pPr>
        <w:pStyle w:val="yIndenta"/>
      </w:pPr>
      <w:r>
        <w:tab/>
        <w:t>(b)</w:t>
      </w:r>
      <w:r>
        <w:tab/>
        <w:t>undertake inquiries in relation to the person.</w:t>
      </w:r>
    </w:p>
    <w:p>
      <w:pPr>
        <w:pStyle w:val="ySubsection"/>
      </w:pPr>
      <w:r>
        <w:tab/>
        <w:t>(2)</w:t>
      </w:r>
      <w:r>
        <w:tab/>
        <w:t xml:space="preserve">If the Regulatory Authority asks the applicant for further information under this section, the period from the making of the request until the provision of the further information is not included in the period </w:t>
      </w:r>
      <w:r>
        <w:lastRenderedPageBreak/>
        <w:t>referred to in section 15 for the Regulatory Authority to make a decision on the application.</w:t>
      </w:r>
    </w:p>
    <w:p>
      <w:pPr>
        <w:pStyle w:val="yFootnotesection"/>
      </w:pPr>
      <w:r>
        <w:tab/>
        <w:t>[Section 14 amended: No. 18 of 2018 s. 12.]</w:t>
      </w:r>
    </w:p>
    <w:p>
      <w:pPr>
        <w:pStyle w:val="yHeading5"/>
      </w:pPr>
      <w:bookmarkStart w:id="50" w:name="_Toc80611760"/>
      <w:r>
        <w:rPr>
          <w:rStyle w:val="CharSClsNo"/>
        </w:rPr>
        <w:t>15</w:t>
      </w:r>
      <w:r>
        <w:t>.</w:t>
      </w:r>
      <w:r>
        <w:tab/>
        <w:t>Grant or refusal of provider approval</w:t>
      </w:r>
      <w:bookmarkEnd w:id="50"/>
    </w:p>
    <w:p>
      <w:pPr>
        <w:pStyle w:val="ySubsection"/>
      </w:pPr>
      <w:r>
        <w:tab/>
        <w:t>(1)</w:t>
      </w:r>
      <w:r>
        <w:tab/>
        <w:t>On an application under section 10, the Regulatory Authority may —</w:t>
      </w:r>
    </w:p>
    <w:p>
      <w:pPr>
        <w:pStyle w:val="yIndenta"/>
      </w:pPr>
      <w:r>
        <w:tab/>
        <w:t>(a)</w:t>
      </w:r>
      <w:r>
        <w:tab/>
        <w:t>grant the provider approval; or</w:t>
      </w:r>
    </w:p>
    <w:p>
      <w:pPr>
        <w:pStyle w:val="yIndenta"/>
      </w:pPr>
      <w:r>
        <w:tab/>
        <w:t>(b)</w:t>
      </w:r>
      <w:r>
        <w:tab/>
        <w:t>refuse to grant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provider approval is granted subject to conditions in accordance with section 19.</w:t>
      </w:r>
    </w:p>
    <w:p>
      <w:pPr>
        <w:pStyle w:val="ySubsection"/>
      </w:pPr>
      <w:r>
        <w:tab/>
        <w:t>(2)</w:t>
      </w:r>
      <w:r>
        <w:tab/>
        <w:t>The Regulatory Authority must not grant a provider approval unless the Authority is satisfied as to the matters in section 12.</w:t>
      </w:r>
    </w:p>
    <w:p>
      <w:pPr>
        <w:pStyle w:val="ySubsection"/>
      </w:pPr>
      <w:r>
        <w:tab/>
        <w:t>(3)</w:t>
      </w:r>
      <w:r>
        <w:tab/>
        <w:t>Subject to subsection (4), the Regulatory Authority must make a decision on the application within 60 days after the Regulatory Authority receives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14(2), the period between the making of the request and the provision of the information is not included in the 60 day period.</w:t>
      </w:r>
    </w:p>
    <w:p>
      <w:pPr>
        <w:pStyle w:val="ySubsection"/>
      </w:pPr>
      <w:r>
        <w:tab/>
        <w:t>(4)</w:t>
      </w:r>
      <w:r>
        <w:tab/>
        <w:t>The period referred to in subsection (3) may be extended by up to 30 days with the agreement of the applicant.</w:t>
      </w:r>
    </w:p>
    <w:p>
      <w:pPr>
        <w:pStyle w:val="ySubsection"/>
      </w:pPr>
      <w:r>
        <w:tab/>
        <w:t>(5)</w:t>
      </w:r>
      <w:r>
        <w:tab/>
        <w:t>The Regulatory Authority is taken to have refused to grant a provider approval if the Regulatory Authority has not made a decision under subsection (1) —</w:t>
      </w:r>
    </w:p>
    <w:p>
      <w:pPr>
        <w:pStyle w:val="yIndenta"/>
      </w:pPr>
      <w:r>
        <w:tab/>
        <w:t>(a)</w:t>
      </w:r>
      <w:r>
        <w:tab/>
        <w:t>within the relevant period required under subsection (3); or</w:t>
      </w:r>
    </w:p>
    <w:p>
      <w:pPr>
        <w:pStyle w:val="yIndenta"/>
      </w:pPr>
      <w:r>
        <w:tab/>
        <w:t>(b)</w:t>
      </w:r>
      <w:r>
        <w:tab/>
        <w:t>within the period extended under subsection (4),</w:t>
      </w:r>
    </w:p>
    <w:p>
      <w:pPr>
        <w:pStyle w:val="ySubsection"/>
      </w:pPr>
      <w:r>
        <w:tab/>
      </w:r>
      <w:r>
        <w:tab/>
        <w:t>as the case requires.</w:t>
      </w:r>
    </w:p>
    <w:p>
      <w:pPr>
        <w:pStyle w:val="yHeading5"/>
      </w:pPr>
      <w:bookmarkStart w:id="51" w:name="_Toc80611761"/>
      <w:r>
        <w:rPr>
          <w:rStyle w:val="CharSClsNo"/>
        </w:rPr>
        <w:t>16</w:t>
      </w:r>
      <w:r>
        <w:t>.</w:t>
      </w:r>
      <w:r>
        <w:tab/>
        <w:t>Notice of decision on application</w:t>
      </w:r>
      <w:bookmarkEnd w:id="51"/>
    </w:p>
    <w:p>
      <w:pPr>
        <w:pStyle w:val="ySubsection"/>
      </w:pPr>
      <w:r>
        <w:tab/>
      </w:r>
      <w:r>
        <w:tab/>
        <w:t>The Regulatory Authority must give written notice to the applicant of a decision under section 15 and the reasons for that decision within 7 days after the decision is made.</w:t>
      </w:r>
    </w:p>
    <w:p>
      <w:pPr>
        <w:pStyle w:val="yHeading5"/>
      </w:pPr>
      <w:bookmarkStart w:id="52" w:name="_Toc80611762"/>
      <w:r>
        <w:rPr>
          <w:rStyle w:val="CharSClsNo"/>
        </w:rPr>
        <w:lastRenderedPageBreak/>
        <w:t>17</w:t>
      </w:r>
      <w:r>
        <w:t>.</w:t>
      </w:r>
      <w:r>
        <w:tab/>
        <w:t>Duration of provider approval</w:t>
      </w:r>
      <w:bookmarkEnd w:id="52"/>
    </w:p>
    <w:p>
      <w:pPr>
        <w:pStyle w:val="ySubsection"/>
      </w:pPr>
      <w:r>
        <w:tab/>
      </w:r>
      <w:r>
        <w:tab/>
        <w:t>A provider approval granted under section 15 continues in force until —</w:t>
      </w:r>
    </w:p>
    <w:p>
      <w:pPr>
        <w:pStyle w:val="yIndenta"/>
      </w:pPr>
      <w:r>
        <w:tab/>
        <w:t>(a)</w:t>
      </w:r>
      <w:r>
        <w:tab/>
        <w:t>it is cancelled or surrendered under this Law, or this Law as applying in a participating jurisdiction; or</w:t>
      </w:r>
    </w:p>
    <w:p>
      <w:pPr>
        <w:pStyle w:val="yIndenta"/>
      </w:pPr>
      <w:r>
        <w:tab/>
        <w:t>(b)</w:t>
      </w:r>
      <w:r>
        <w:tab/>
        <w:t>if the provider approval is granted to an individual — the individual dies.</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17 of the national law as set out in the Schedule to </w:t>
      </w:r>
      <w:r>
        <w:rPr>
          <w:rFonts w:ascii="Arial" w:hAnsi="Arial"/>
          <w:i/>
          <w:sz w:val="18"/>
        </w:rPr>
        <w:t>the Education and Care Services National Law Act 2010</w:t>
      </w:r>
      <w:r>
        <w:rPr>
          <w:rFonts w:ascii="Arial" w:hAnsi="Arial"/>
          <w:sz w:val="18"/>
        </w:rPr>
        <w:t xml:space="preserve"> (Victoria).</w:t>
      </w:r>
    </w:p>
    <w:p>
      <w:pPr>
        <w:pStyle w:val="yFootnotesection"/>
      </w:pPr>
      <w:r>
        <w:tab/>
        <w:t>[Section 17 amended: No. 18 of 2018 s. 13.]</w:t>
      </w:r>
    </w:p>
    <w:p>
      <w:pPr>
        <w:pStyle w:val="yHeading5"/>
      </w:pPr>
      <w:bookmarkStart w:id="53" w:name="_Toc80611763"/>
      <w:r>
        <w:rPr>
          <w:rStyle w:val="CharSClsNo"/>
        </w:rPr>
        <w:t>18</w:t>
      </w:r>
      <w:r>
        <w:t>.</w:t>
      </w:r>
      <w:r>
        <w:tab/>
        <w:t>Effect of provider approval</w:t>
      </w:r>
      <w:bookmarkEnd w:id="53"/>
    </w:p>
    <w:p>
      <w:pPr>
        <w:pStyle w:val="y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yHeading5"/>
      </w:pPr>
      <w:bookmarkStart w:id="54" w:name="_Toc80611764"/>
      <w:r>
        <w:rPr>
          <w:rStyle w:val="CharSClsNo"/>
        </w:rPr>
        <w:t>19</w:t>
      </w:r>
      <w:r>
        <w:t>.</w:t>
      </w:r>
      <w:r>
        <w:tab/>
        <w:t>Conditions on provider approval</w:t>
      </w:r>
      <w:bookmarkEnd w:id="54"/>
    </w:p>
    <w:p>
      <w:pPr>
        <w:pStyle w:val="ySubsection"/>
      </w:pPr>
      <w:r>
        <w:tab/>
        <w:t>(1)</w:t>
      </w:r>
      <w:r>
        <w:tab/>
        <w:t>A provider approval may be granted subject to any conditions that are prescribed in the national regulations or that are determined by the Regulatory Authority.</w:t>
      </w:r>
    </w:p>
    <w:p>
      <w:pPr>
        <w:pStyle w:val="ySubsection"/>
      </w:pPr>
      <w:r>
        <w:tab/>
        <w:t>(2)</w:t>
      </w:r>
      <w:r>
        <w:tab/>
        <w:t>Without limiting subsection (1), a provider approval is subject to the condition that the approved provider must comply with this Law.</w:t>
      </w:r>
    </w:p>
    <w:p>
      <w:pPr>
        <w:pStyle w:val="ySubsection"/>
      </w:pPr>
      <w:r>
        <w:tab/>
        <w:t>(3)</w:t>
      </w:r>
      <w:r>
        <w:tab/>
        <w:t>A condition of a provider approval applies to the provider as the operator of any education and care service or associated children’s service, unless the condition expressly provides otherwise.</w:t>
      </w:r>
    </w:p>
    <w:p>
      <w:pPr>
        <w:pStyle w:val="ySubsection"/>
      </w:pPr>
      <w:r>
        <w:tab/>
        <w:t>(4)</w:t>
      </w:r>
      <w:r>
        <w:tab/>
        <w:t>An approved provider must comply with the conditions of the provider approval.</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55" w:name="_Toc80611765"/>
      <w:r>
        <w:rPr>
          <w:rStyle w:val="CharSClsNo"/>
        </w:rPr>
        <w:lastRenderedPageBreak/>
        <w:t>20</w:t>
      </w:r>
      <w:r>
        <w:t>.</w:t>
      </w:r>
      <w:r>
        <w:tab/>
        <w:t>Copy of provider approval</w:t>
      </w:r>
      <w:bookmarkEnd w:id="55"/>
    </w:p>
    <w:p>
      <w:pPr>
        <w:pStyle w:val="ySubsection"/>
      </w:pPr>
      <w:r>
        <w:tab/>
      </w:r>
      <w:r>
        <w:tab/>
        <w:t>If the Regulatory Authority grants a provider approval under this Part, the Regulatory Authority must provide a copy of the provider approval to the approved provider stating —</w:t>
      </w:r>
    </w:p>
    <w:p>
      <w:pPr>
        <w:pStyle w:val="yIndenta"/>
      </w:pPr>
      <w:r>
        <w:tab/>
        <w:t>(a)</w:t>
      </w:r>
      <w:r>
        <w:tab/>
        <w:t>the name of the approved provider; and</w:t>
      </w:r>
    </w:p>
    <w:p>
      <w:pPr>
        <w:pStyle w:val="yIndenta"/>
        <w:spacing w:before="0"/>
      </w:pPr>
      <w:r>
        <w:tab/>
        <w:t>(b)</w:t>
      </w:r>
      <w:r>
        <w:tab/>
        <w:t>if the approved provider is not an individual, the address of the principal office of the provider; and</w:t>
      </w:r>
    </w:p>
    <w:p>
      <w:pPr>
        <w:pStyle w:val="yIndenta"/>
      </w:pPr>
      <w:r>
        <w:tab/>
        <w:t>(c)</w:t>
      </w:r>
      <w:r>
        <w:tab/>
        <w:t>any conditions to which the approval is subject; and</w:t>
      </w:r>
    </w:p>
    <w:p>
      <w:pPr>
        <w:pStyle w:val="yIndenta"/>
      </w:pPr>
      <w:r>
        <w:tab/>
        <w:t>(d)</w:t>
      </w:r>
      <w:r>
        <w:tab/>
        <w:t>the date that the provider approval was granted; and</w:t>
      </w:r>
    </w:p>
    <w:p>
      <w:pPr>
        <w:pStyle w:val="yIndenta"/>
      </w:pPr>
      <w:r>
        <w:tab/>
        <w:t>(e)</w:t>
      </w:r>
      <w:r>
        <w:tab/>
        <w:t>the provider approval number; and</w:t>
      </w:r>
    </w:p>
    <w:p>
      <w:pPr>
        <w:pStyle w:val="yIndenta"/>
      </w:pPr>
      <w:r>
        <w:tab/>
        <w:t>(f)</w:t>
      </w:r>
      <w:r>
        <w:tab/>
        <w:t>any other prescribed matters.</w:t>
      </w:r>
    </w:p>
    <w:p>
      <w:pPr>
        <w:pStyle w:val="yHeading4"/>
      </w:pPr>
      <w:bookmarkStart w:id="56" w:name="_Toc80608951"/>
      <w:bookmarkStart w:id="57" w:name="_Toc80611766"/>
      <w:r>
        <w:t>Division 2</w:t>
      </w:r>
      <w:r>
        <w:rPr>
          <w:b w:val="0"/>
        </w:rPr>
        <w:t xml:space="preserve"> — </w:t>
      </w:r>
      <w:r>
        <w:t>Reassessment</w:t>
      </w:r>
      <w:bookmarkEnd w:id="56"/>
      <w:bookmarkEnd w:id="57"/>
    </w:p>
    <w:p>
      <w:pPr>
        <w:pStyle w:val="yHeading5"/>
      </w:pPr>
      <w:bookmarkStart w:id="58" w:name="_Toc80611767"/>
      <w:r>
        <w:rPr>
          <w:rStyle w:val="CharSClsNo"/>
        </w:rPr>
        <w:t>21</w:t>
      </w:r>
      <w:r>
        <w:t>.</w:t>
      </w:r>
      <w:r>
        <w:tab/>
        <w:t>Reassessment of fitness and propriety</w:t>
      </w:r>
      <w:bookmarkEnd w:id="58"/>
    </w:p>
    <w:p>
      <w:pPr>
        <w:pStyle w:val="ySubsection"/>
      </w:pPr>
      <w:r>
        <w:tab/>
        <w:t>(1)</w:t>
      </w:r>
      <w:r>
        <w:tab/>
        <w:t>The Regulatory Authority may at any time assess —</w:t>
      </w:r>
    </w:p>
    <w:p>
      <w:pPr>
        <w:pStyle w:val="yIndenta"/>
      </w:pPr>
      <w:r>
        <w:tab/>
        <w:t>(a)</w:t>
      </w:r>
      <w:r>
        <w:tab/>
        <w:t>whether an approved provider continues to be a fit and proper person to be involved in the provision of an education and care service; or</w:t>
      </w:r>
    </w:p>
    <w:p>
      <w:pPr>
        <w:pStyle w:val="yIndenta"/>
      </w:pPr>
      <w:r>
        <w:tab/>
        <w:t>(b)</w:t>
      </w:r>
      <w:r>
        <w:tab/>
        <w:t>whether a person with management or control of an education and care service operated by an approved provider continues to be a fit and proper person to be involved in the provision of an education and care service; or</w:t>
      </w:r>
    </w:p>
    <w:p>
      <w:pPr>
        <w:pStyle w:val="y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ySubsection"/>
      </w:pPr>
      <w:r>
        <w:tab/>
        <w:t>(2)</w:t>
      </w:r>
      <w:r>
        <w:tab/>
        <w:t>Sections 13 and 14 apply to the reassessment.</w:t>
      </w:r>
    </w:p>
    <w:p>
      <w:pPr>
        <w:pStyle w:val="yHeading4"/>
      </w:pPr>
      <w:bookmarkStart w:id="59" w:name="_Toc80608953"/>
      <w:bookmarkStart w:id="60" w:name="_Toc80611768"/>
      <w:r>
        <w:t>Division 3</w:t>
      </w:r>
      <w:r>
        <w:rPr>
          <w:b w:val="0"/>
        </w:rPr>
        <w:t xml:space="preserve"> — </w:t>
      </w:r>
      <w:r>
        <w:t>Amendment of provider approvals</w:t>
      </w:r>
      <w:bookmarkEnd w:id="59"/>
      <w:bookmarkEnd w:id="60"/>
    </w:p>
    <w:p>
      <w:pPr>
        <w:pStyle w:val="yHeading5"/>
      </w:pPr>
      <w:bookmarkStart w:id="61" w:name="_Toc80611769"/>
      <w:r>
        <w:rPr>
          <w:rStyle w:val="CharSClsNo"/>
        </w:rPr>
        <w:t>22</w:t>
      </w:r>
      <w:r>
        <w:t>.</w:t>
      </w:r>
      <w:r>
        <w:tab/>
        <w:t>Amendment of provider approval on application</w:t>
      </w:r>
      <w:bookmarkEnd w:id="61"/>
    </w:p>
    <w:p>
      <w:pPr>
        <w:pStyle w:val="ySubsection"/>
      </w:pPr>
      <w:r>
        <w:tab/>
        <w:t>(1)</w:t>
      </w:r>
      <w:r>
        <w:tab/>
        <w:t>An approved provider may apply to the Regulatory Authority for an amendment of the provider approval.</w:t>
      </w:r>
    </w:p>
    <w:p>
      <w:pPr>
        <w:pStyle w:val="ySubsection"/>
      </w:pPr>
      <w:r>
        <w:lastRenderedPageBreak/>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provider approval in the way applied for; or</w:t>
      </w:r>
    </w:p>
    <w:p>
      <w:pPr>
        <w:pStyle w:val="yIndenta"/>
      </w:pPr>
      <w:r>
        <w:tab/>
        <w:t>(b)</w:t>
      </w:r>
      <w:r>
        <w:tab/>
        <w:t>with the applicant’s written agreement, amending the provider approval in another way; or</w:t>
      </w:r>
    </w:p>
    <w:p>
      <w:pPr>
        <w:pStyle w:val="yIndenta"/>
      </w:pPr>
      <w:r>
        <w:tab/>
        <w:t>(c)</w:t>
      </w:r>
      <w:r>
        <w:tab/>
        <w:t>refusing to amend the provider approval.</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provider approval or impose a new condition on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22 amended: No. 18 of 2018 s. 90.]</w:t>
      </w:r>
    </w:p>
    <w:p>
      <w:pPr>
        <w:pStyle w:val="yHeading5"/>
      </w:pPr>
      <w:bookmarkStart w:id="62" w:name="_Toc80611770"/>
      <w:r>
        <w:rPr>
          <w:rStyle w:val="CharSClsNo"/>
        </w:rPr>
        <w:t>23</w:t>
      </w:r>
      <w:r>
        <w:t>.</w:t>
      </w:r>
      <w:r>
        <w:tab/>
        <w:t>Amendment of provider approval by Regulatory Authority</w:t>
      </w:r>
      <w:bookmarkEnd w:id="62"/>
    </w:p>
    <w:p>
      <w:pPr>
        <w:pStyle w:val="ySubsection"/>
      </w:pPr>
      <w:r>
        <w:tab/>
        <w:t>(1)</w:t>
      </w:r>
      <w:r>
        <w:tab/>
        <w:t>The Regulatory Authority may amend a provider approval at any time without an application from the approved provider.</w:t>
      </w:r>
    </w:p>
    <w:p>
      <w:pPr>
        <w:pStyle w:val="ySubsection"/>
      </w:pPr>
      <w:r>
        <w:tab/>
        <w:t>(2)</w:t>
      </w:r>
      <w:r>
        <w:tab/>
        <w:t>Without limiting subsection (1), an amendment may vary a condition of the provider approval or impose a new condition on the provider approval.</w:t>
      </w:r>
    </w:p>
    <w:p>
      <w:pPr>
        <w:pStyle w:val="ySubsection"/>
      </w:pPr>
      <w:r>
        <w:tab/>
        <w:t>(3)</w:t>
      </w:r>
      <w:r>
        <w:tab/>
        <w:t>The Regulatory Authority must give written notice to the approved provider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63" w:name="_Toc80611771"/>
      <w:r>
        <w:rPr>
          <w:rStyle w:val="CharSClsNo"/>
        </w:rPr>
        <w:lastRenderedPageBreak/>
        <w:t>24</w:t>
      </w:r>
      <w:r>
        <w:t>.</w:t>
      </w:r>
      <w:r>
        <w:tab/>
        <w:t>Copy of amended provider approval to be provided</w:t>
      </w:r>
      <w:bookmarkEnd w:id="63"/>
    </w:p>
    <w:p>
      <w:pPr>
        <w:pStyle w:val="ySubsection"/>
      </w:pPr>
      <w:r>
        <w:tab/>
      </w:r>
      <w:r>
        <w:tab/>
        <w:t>If the Regulatory Authority amends a provider approval under this Division, the Regulatory Authority must —</w:t>
      </w:r>
    </w:p>
    <w:p>
      <w:pPr>
        <w:pStyle w:val="yIndenta"/>
      </w:pPr>
      <w:r>
        <w:tab/>
        <w:t>(a)</w:t>
      </w:r>
      <w:r>
        <w:tab/>
        <w:t xml:space="preserve">provide an amended copy of the provider approval to the approved provider; and </w:t>
      </w:r>
    </w:p>
    <w:p>
      <w:pPr>
        <w:pStyle w:val="yIndenta"/>
      </w:pPr>
      <w:r>
        <w:tab/>
        <w:t>(b)</w:t>
      </w:r>
      <w:r>
        <w:tab/>
        <w:t>make any necessary amendments to any service approval held by the provider and provide an amended copy of the service approval to the approved provider.</w:t>
      </w:r>
    </w:p>
    <w:p>
      <w:pPr>
        <w:pStyle w:val="yHeading4"/>
      </w:pPr>
      <w:bookmarkStart w:id="64" w:name="_Toc80608957"/>
      <w:bookmarkStart w:id="65" w:name="_Toc80611772"/>
      <w:r>
        <w:t>Division 4</w:t>
      </w:r>
      <w:r>
        <w:rPr>
          <w:b w:val="0"/>
        </w:rPr>
        <w:t xml:space="preserve"> — </w:t>
      </w:r>
      <w:r>
        <w:t>Suspension or cancellation of provider approval</w:t>
      </w:r>
      <w:bookmarkEnd w:id="64"/>
      <w:bookmarkEnd w:id="65"/>
    </w:p>
    <w:p>
      <w:pPr>
        <w:pStyle w:val="yHeading5"/>
      </w:pPr>
      <w:bookmarkStart w:id="66" w:name="_Toc80611773"/>
      <w:r>
        <w:rPr>
          <w:rStyle w:val="CharSClsNo"/>
        </w:rPr>
        <w:t>25</w:t>
      </w:r>
      <w:r>
        <w:t>.</w:t>
      </w:r>
      <w:r>
        <w:tab/>
        <w:t>Grounds for suspension of provider approval</w:t>
      </w:r>
      <w:bookmarkEnd w:id="66"/>
    </w:p>
    <w:p>
      <w:pPr>
        <w:pStyle w:val="ySubsection"/>
      </w:pPr>
      <w:r>
        <w:tab/>
        <w:t>(1)</w:t>
      </w:r>
      <w:r>
        <w:tab/>
        <w:t>The Regulatory Authority may suspend a provider approval if —</w:t>
      </w:r>
    </w:p>
    <w:p>
      <w:pPr>
        <w:pStyle w:val="yIndenta"/>
      </w:pPr>
      <w:r>
        <w:tab/>
        <w:t>(a)</w:t>
      </w:r>
      <w:r>
        <w:tab/>
        <w:t>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with management or control of an education and care service operated by the approved provider, may not be a fit and proper person to be involved in the provision of an education and care service; or</w:t>
      </w:r>
    </w:p>
    <w:p>
      <w:pPr>
        <w:pStyle w:val="yIndenta"/>
      </w:pPr>
      <w:r>
        <w:tab/>
        <w:t>(b)</w:t>
      </w:r>
      <w:r>
        <w:tab/>
        <w:t>the approved provider has failed to comply with a condition of the provider approval; or</w:t>
      </w:r>
    </w:p>
    <w:p>
      <w:pPr>
        <w:pStyle w:val="yIndenta"/>
      </w:pPr>
      <w:r>
        <w:tab/>
        <w:t>(c)</w:t>
      </w:r>
      <w:r>
        <w:tab/>
        <w:t>the approved provider has failed to comply with this Law as applying in any participating jurisdiction; or</w:t>
      </w:r>
    </w:p>
    <w:p>
      <w:pPr>
        <w:pStyle w:val="yIndenta"/>
      </w:pPr>
      <w:r>
        <w:tab/>
        <w:t>(d)</w:t>
      </w:r>
      <w:r>
        <w:tab/>
        <w:t>action is being taken under Part 7 (other than a compliance direction) in respect of more than one education and care service operated by the approved provider; or</w:t>
      </w:r>
    </w:p>
    <w:p>
      <w:pPr>
        <w:pStyle w:val="yIndenta"/>
      </w:pPr>
      <w:r>
        <w:tab/>
        <w:t>(e)</w:t>
      </w:r>
      <w:r>
        <w:tab/>
        <w:t>the approved provider has not operated any education and care service for a period of more than 12 months (including any period of suspension); or</w:t>
      </w:r>
    </w:p>
    <w:p>
      <w:pPr>
        <w:pStyle w:val="yIndenta"/>
      </w:pPr>
      <w:r>
        <w:tab/>
        <w:t>(f)</w:t>
      </w:r>
      <w:r>
        <w:tab/>
        <w:t>the approved provider purported to transfer or receive a transfer of an approved education and care service without the consent of the Regulatory Authority; or</w:t>
      </w:r>
    </w:p>
    <w:p>
      <w:pPr>
        <w:pStyle w:val="yIndenta"/>
        <w:keepNext/>
      </w:pPr>
      <w:r>
        <w:lastRenderedPageBreak/>
        <w:tab/>
        <w:t>(g)</w:t>
      </w:r>
      <w:r>
        <w:tab/>
        <w:t xml:space="preserve">the approved provider has not paid — </w:t>
      </w:r>
    </w:p>
    <w:p>
      <w:pPr>
        <w:pStyle w:val="yIndenti0"/>
      </w:pPr>
      <w:r>
        <w:tab/>
        <w:t>(i)</w:t>
      </w:r>
      <w:r>
        <w:tab/>
        <w:t xml:space="preserve">an amount due under a monetary order made under, or in relation to proceedings commenced by an allegation made under, </w:t>
      </w:r>
      <w:r>
        <w:rPr>
          <w:szCs w:val="22"/>
        </w:rPr>
        <w:t>section 188AB; or</w:t>
      </w:r>
    </w:p>
    <w:p>
      <w:pPr>
        <w:pStyle w:val="yIndenti0"/>
      </w:pPr>
      <w:r>
        <w:tab/>
        <w:t>(ii)</w:t>
      </w:r>
      <w:r>
        <w:tab/>
        <w:t>any outstanding prescribed fees.</w:t>
      </w:r>
    </w:p>
    <w:p>
      <w:pPr>
        <w:pStyle w:val="ySubsection"/>
      </w:pPr>
      <w:r>
        <w:tab/>
        <w:t>(2)</w:t>
      </w:r>
      <w:r>
        <w:tab/>
        <w:t xml:space="preserve">In subsection (1) — </w:t>
      </w:r>
    </w:p>
    <w:p>
      <w:pPr>
        <w:pStyle w:val="yDefstart"/>
        <w:rPr>
          <w:bCs/>
        </w:rPr>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25 amended: No. 18 of 2018 s. 14.]</w:t>
      </w:r>
    </w:p>
    <w:p>
      <w:pPr>
        <w:pStyle w:val="yHeading5"/>
      </w:pPr>
      <w:bookmarkStart w:id="67" w:name="_Toc80611774"/>
      <w:r>
        <w:rPr>
          <w:rStyle w:val="CharSClsNo"/>
        </w:rPr>
        <w:t>26</w:t>
      </w:r>
      <w:r>
        <w:t>.</w:t>
      </w:r>
      <w:r>
        <w:tab/>
        <w:t>Show cause notice before suspension</w:t>
      </w:r>
      <w:bookmarkEnd w:id="67"/>
    </w:p>
    <w:p>
      <w:pPr>
        <w:pStyle w:val="ySubsection"/>
      </w:pPr>
      <w:r>
        <w:tab/>
        <w:t>(1)</w:t>
      </w:r>
      <w:r>
        <w:tab/>
        <w:t>This section applies if the Regulatory Authority is considering the suspension of a provider approval under section 25.</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provider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68" w:name="_Toc80611775"/>
      <w:r>
        <w:rPr>
          <w:rStyle w:val="CharSClsNo"/>
        </w:rPr>
        <w:t>27</w:t>
      </w:r>
      <w:r>
        <w:t>.</w:t>
      </w:r>
      <w:r>
        <w:tab/>
        <w:t>Decision to suspend after show cause process</w:t>
      </w:r>
      <w:bookmarkEnd w:id="68"/>
    </w:p>
    <w:p>
      <w:pPr>
        <w:pStyle w:val="ySubsection"/>
      </w:pPr>
      <w:r>
        <w:tab/>
      </w:r>
      <w:r>
        <w:tab/>
        <w:t>After considering any written response from the approved provider received within the time allowed by section 26(2)(d), the Regulatory Authority may —</w:t>
      </w:r>
    </w:p>
    <w:p>
      <w:pPr>
        <w:pStyle w:val="yIndenta"/>
      </w:pPr>
      <w:r>
        <w:tab/>
        <w:t>(a)</w:t>
      </w:r>
      <w:r>
        <w:tab/>
        <w:t>if the suspension was proposed on a ground referred to in section 25(1)(a), accept an undertaking from the approved provider under section 179A; or</w:t>
      </w:r>
    </w:p>
    <w:p>
      <w:pPr>
        <w:pStyle w:val="yIndenta"/>
        <w:keepNext/>
      </w:pPr>
      <w:r>
        <w:lastRenderedPageBreak/>
        <w:tab/>
        <w:t>(b)</w:t>
      </w:r>
      <w:r>
        <w:tab/>
        <w:t xml:space="preserve">in any case — </w:t>
      </w:r>
    </w:p>
    <w:p>
      <w:pPr>
        <w:pStyle w:val="yIndenti0"/>
      </w:pPr>
      <w:r>
        <w:tab/>
        <w:t>(i)</w:t>
      </w:r>
      <w:r>
        <w:tab/>
        <w:t>suspend the provider approval for a period not more than the prescribed period; or</w:t>
      </w:r>
    </w:p>
    <w:p>
      <w:pPr>
        <w:pStyle w:val="yIndenti0"/>
      </w:pPr>
      <w:r>
        <w:tab/>
        <w:t>(ii)</w:t>
      </w:r>
      <w:r>
        <w:tab/>
        <w:t>decide not to suspend the provider approval.</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27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27 amended: No. 18 of 2018 s. 15.]</w:t>
      </w:r>
    </w:p>
    <w:p>
      <w:pPr>
        <w:pStyle w:val="yHeading5"/>
      </w:pPr>
      <w:bookmarkStart w:id="69" w:name="_Toc80611776"/>
      <w:r>
        <w:rPr>
          <w:rStyle w:val="CharSClsNo"/>
        </w:rPr>
        <w:t>28</w:t>
      </w:r>
      <w:r>
        <w:t>.</w:t>
      </w:r>
      <w:r>
        <w:tab/>
        <w:t>Suspension without show cause notice</w:t>
      </w:r>
      <w:bookmarkEnd w:id="69"/>
    </w:p>
    <w:p>
      <w:pPr>
        <w:pStyle w:val="y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ySubsection"/>
      </w:pPr>
      <w:r>
        <w:tab/>
        <w:t>(2)</w:t>
      </w:r>
      <w:r>
        <w:tab/>
        <w:t>The suspension may not be for a period of more than 6 months.</w:t>
      </w:r>
    </w:p>
    <w:p>
      <w:pPr>
        <w:pStyle w:val="yHeading5"/>
      </w:pPr>
      <w:bookmarkStart w:id="70" w:name="_Toc80611777"/>
      <w:r>
        <w:rPr>
          <w:rStyle w:val="CharSClsNo"/>
        </w:rPr>
        <w:t>29</w:t>
      </w:r>
      <w:r>
        <w:t>.</w:t>
      </w:r>
      <w:r>
        <w:tab/>
        <w:t>Notice and taking effect of suspension</w:t>
      </w:r>
      <w:bookmarkEnd w:id="70"/>
    </w:p>
    <w:p>
      <w:pPr>
        <w:pStyle w:val="ySubsection"/>
      </w:pPr>
      <w:r>
        <w:tab/>
        <w:t>(1)</w:t>
      </w:r>
      <w:r>
        <w:tab/>
        <w:t>The Regulatory Authority must give the approved provider written notice of the decision to suspend the provider approval.</w:t>
      </w:r>
    </w:p>
    <w:p>
      <w:pPr>
        <w:pStyle w:val="ySubsection"/>
      </w:pPr>
      <w:r>
        <w:tab/>
        <w:t>(2)</w:t>
      </w:r>
      <w:r>
        <w:tab/>
        <w:t>The notice of a decision to suspend must set out the period of suspension and the date on which it takes effect.</w:t>
      </w:r>
    </w:p>
    <w:p>
      <w:pPr>
        <w:pStyle w:val="ySubsection"/>
      </w:pPr>
      <w:r>
        <w:tab/>
        <w:t>(3)</w:t>
      </w:r>
      <w:r>
        <w:tab/>
        <w:t>The decision under section 27 to suspend takes effect at the end of 14 days after the date of the decision, or, if another period is specified by the Regulatory Authority, at the end of that period.</w:t>
      </w:r>
    </w:p>
    <w:p>
      <w:pPr>
        <w:pStyle w:val="ySubsection"/>
      </w:pPr>
      <w:r>
        <w:tab/>
        <w:t>(4)</w:t>
      </w:r>
      <w:r>
        <w:tab/>
        <w:t>The decision under section 28 to suspend takes effect on the giving of the notice.</w:t>
      </w:r>
    </w:p>
    <w:p>
      <w:pPr>
        <w:pStyle w:val="yHeading5"/>
      </w:pPr>
      <w:bookmarkStart w:id="71" w:name="_Toc80611778"/>
      <w:r>
        <w:rPr>
          <w:rStyle w:val="CharSClsNo"/>
        </w:rPr>
        <w:t>30</w:t>
      </w:r>
      <w:r>
        <w:t>.</w:t>
      </w:r>
      <w:r>
        <w:tab/>
        <w:t>Effect of suspension</w:t>
      </w:r>
      <w:bookmarkEnd w:id="71"/>
    </w:p>
    <w:p>
      <w:pPr>
        <w:pStyle w:val="y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ySubsection"/>
      </w:pPr>
      <w:r>
        <w:lastRenderedPageBreak/>
        <w:tab/>
        <w:t>(2)</w:t>
      </w:r>
      <w:r>
        <w:tab/>
        <w:t>A suspension under subsection (1) applies to both education and care services and any associated children’s services.</w:t>
      </w:r>
    </w:p>
    <w:p>
      <w:pPr>
        <w:pStyle w:val="ySubsection"/>
      </w:pPr>
      <w:r>
        <w:tab/>
        <w:t>(3)</w:t>
      </w:r>
      <w:r>
        <w:tab/>
        <w:t>A person whose provider approval is suspended is taken not to be an approved provider for the period of the suspension.</w:t>
      </w:r>
    </w:p>
    <w:p>
      <w:pPr>
        <w:pStyle w:val="ySubsection"/>
      </w:pPr>
      <w:r>
        <w:tab/>
        <w:t>(4)</w:t>
      </w:r>
      <w:r>
        <w:tab/>
        <w:t>A service approval is not suspended under subsection (1) during any period that a person is approved under section 41 to manage or control the education and care service.</w:t>
      </w:r>
    </w:p>
    <w:p>
      <w:pPr>
        <w:pStyle w:val="ySubsection"/>
      </w:pPr>
      <w:r>
        <w:tab/>
        <w:t>(5)</w:t>
      </w:r>
      <w:r>
        <w:tab/>
        <w:t>The Regulatory Authority may consent under Part 3 to the transfer of a service approval that is suspended under section 27 or 28.</w:t>
      </w:r>
    </w:p>
    <w:p>
      <w:pPr>
        <w:pStyle w:val="ySubsection"/>
      </w:pPr>
      <w:r>
        <w:tab/>
        <w:t>(6)</w:t>
      </w:r>
      <w:r>
        <w:tab/>
        <w:t>The suspension of the service approval ceases on the transfer taking effect, unless the conditions imposed by the Regulatory Authority on the consent to the transfer specify a later date.</w:t>
      </w:r>
    </w:p>
    <w:p>
      <w:pPr>
        <w:pStyle w:val="yHeading5"/>
      </w:pPr>
      <w:bookmarkStart w:id="72" w:name="_Toc80611779"/>
      <w:r>
        <w:rPr>
          <w:rStyle w:val="CharSClsNo"/>
        </w:rPr>
        <w:t>31</w:t>
      </w:r>
      <w:r>
        <w:t>.</w:t>
      </w:r>
      <w:r>
        <w:tab/>
        <w:t>Grounds for cancellation of provider approval</w:t>
      </w:r>
      <w:bookmarkEnd w:id="72"/>
    </w:p>
    <w:p>
      <w:pPr>
        <w:pStyle w:val="ySubsection"/>
      </w:pPr>
      <w:r>
        <w:tab/>
      </w:r>
      <w:r>
        <w:tab/>
        <w:t>The Regulatory Authority may cancel a provider approval if —</w:t>
      </w:r>
    </w:p>
    <w:p>
      <w:pPr>
        <w:pStyle w:val="yIndenta"/>
      </w:pPr>
      <w:r>
        <w:tab/>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pPr>
        <w:pStyle w:val="y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yIndenta"/>
      </w:pPr>
      <w:r>
        <w:tab/>
        <w:t>(c)</w:t>
      </w:r>
      <w:r>
        <w:tab/>
        <w:t>the approved provider has been found guilty of an indictable offence or an offence that if committed in this jurisdiction would be an indictable offence; or</w:t>
      </w:r>
    </w:p>
    <w:p>
      <w:pPr>
        <w:pStyle w:val="yIndenta"/>
      </w:pPr>
      <w:r>
        <w:tab/>
        <w:t>(d)</w:t>
      </w:r>
      <w:r>
        <w:tab/>
        <w:t>the approved provider has been found guilty of an offence under this Law as applying in any participating jurisdiction; or</w:t>
      </w:r>
    </w:p>
    <w:p>
      <w:pPr>
        <w:pStyle w:val="yIndenta"/>
      </w:pPr>
      <w:r>
        <w:tab/>
        <w:t>(e)</w:t>
      </w:r>
      <w:r>
        <w:tab/>
        <w:t>the approved provider has breached a condition of the provider approval; or</w:t>
      </w:r>
    </w:p>
    <w:p>
      <w:pPr>
        <w:pStyle w:val="yIndenta"/>
      </w:pPr>
      <w:r>
        <w:lastRenderedPageBreak/>
        <w:tab/>
        <w:t>(f)</w:t>
      </w:r>
      <w:r>
        <w:tab/>
        <w:t>the approved provider has not operated any education and care service for a period of more than 12 months (including any period of suspension).</w:t>
      </w:r>
    </w:p>
    <w:p>
      <w:pPr>
        <w:pStyle w:val="yHeading5"/>
      </w:pPr>
      <w:bookmarkStart w:id="73" w:name="_Toc80611780"/>
      <w:r>
        <w:rPr>
          <w:rStyle w:val="CharSClsNo"/>
        </w:rPr>
        <w:t>32</w:t>
      </w:r>
      <w:r>
        <w:t>.</w:t>
      </w:r>
      <w:r>
        <w:tab/>
        <w:t>Show cause notice before cancellation</w:t>
      </w:r>
      <w:bookmarkEnd w:id="73"/>
    </w:p>
    <w:p>
      <w:pPr>
        <w:pStyle w:val="ySubsection"/>
      </w:pPr>
      <w:r>
        <w:tab/>
        <w:t>(1)</w:t>
      </w:r>
      <w:r>
        <w:tab/>
        <w:t>This section applies if the Regulatory Authority is considering the cancellation of a provider approval under section 31.</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provider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74" w:name="_Toc80611781"/>
      <w:r>
        <w:rPr>
          <w:rStyle w:val="CharSClsNo"/>
        </w:rPr>
        <w:t>33</w:t>
      </w:r>
      <w:r>
        <w:t>.</w:t>
      </w:r>
      <w:r>
        <w:tab/>
        <w:t>Decision in relation to cancellation</w:t>
      </w:r>
      <w:bookmarkEnd w:id="74"/>
    </w:p>
    <w:p>
      <w:pPr>
        <w:pStyle w:val="ySubsection"/>
      </w:pPr>
      <w:r>
        <w:tab/>
        <w:t>(1)</w:t>
      </w:r>
      <w:r>
        <w:tab/>
        <w:t>After considering any written response from the approved provider received within the time allowed under section 32(2)(c), the Regulatory Authority —</w:t>
      </w:r>
    </w:p>
    <w:p>
      <w:pPr>
        <w:pStyle w:val="yIndenta"/>
      </w:pPr>
      <w:r>
        <w:tab/>
        <w:t>(a)</w:t>
      </w:r>
      <w:r>
        <w:tab/>
        <w:t>may —</w:t>
      </w:r>
    </w:p>
    <w:p>
      <w:pPr>
        <w:pStyle w:val="yIndenti0"/>
      </w:pPr>
      <w:r>
        <w:tab/>
        <w:t>(i)</w:t>
      </w:r>
      <w:r>
        <w:tab/>
        <w:t xml:space="preserve">cancel the provider approval; or </w:t>
      </w:r>
    </w:p>
    <w:p>
      <w:pPr>
        <w:pStyle w:val="yIndenti0"/>
      </w:pPr>
      <w:r>
        <w:tab/>
        <w:t>(ii)</w:t>
      </w:r>
      <w:r>
        <w:tab/>
        <w:t>suspend the provider approval for a period not more than the prescribed period; or</w:t>
      </w:r>
    </w:p>
    <w:p>
      <w:pPr>
        <w:pStyle w:val="yIndenti0"/>
      </w:pPr>
      <w:r>
        <w:tab/>
        <w:t>(iii)</w:t>
      </w:r>
      <w:r>
        <w:tab/>
        <w:t>decide not to cancel the provider approval; and</w:t>
      </w:r>
    </w:p>
    <w:p>
      <w:pPr>
        <w:pStyle w:val="yIndenta"/>
      </w:pPr>
      <w:r>
        <w:tab/>
        <w:t>(b)</w:t>
      </w:r>
      <w:r>
        <w:tab/>
        <w:t>must give the approved provider written notice of the decision.</w:t>
      </w:r>
    </w:p>
    <w:p>
      <w:pPr>
        <w:pStyle w:val="ySubsection"/>
      </w:pPr>
      <w:r>
        <w:tab/>
        <w:t>(2)</w:t>
      </w:r>
      <w:r>
        <w:tab/>
        <w:t>The decision to cancel the provider approval takes effect at the end of 14 days after the date of the decision or, if another period is specified by the Regulatory Authority, at the end of that period.</w:t>
      </w:r>
    </w:p>
    <w:p>
      <w:pPr>
        <w:pStyle w:val="ySubsection"/>
      </w:pPr>
      <w:r>
        <w:tab/>
        <w:t>(3)</w:t>
      </w:r>
      <w:r>
        <w:tab/>
        <w:t>The notice of a decision to cancel the provider approval must set out the date on which it takes effect.</w:t>
      </w:r>
    </w:p>
    <w:p>
      <w:pPr>
        <w:pStyle w:val="ySubsection"/>
      </w:pPr>
      <w:r>
        <w:tab/>
        <w:t>(4)</w:t>
      </w:r>
      <w:r>
        <w:tab/>
        <w:t>This Law applies to a suspension of a provider approval under this section as if it were a suspension under section 27.</w:t>
      </w:r>
    </w:p>
    <w:p>
      <w:pPr>
        <w:pStyle w:val="yHeading5"/>
      </w:pPr>
      <w:bookmarkStart w:id="75" w:name="_Toc80611782"/>
      <w:r>
        <w:rPr>
          <w:rStyle w:val="CharSClsNo"/>
        </w:rPr>
        <w:lastRenderedPageBreak/>
        <w:t>34</w:t>
      </w:r>
      <w:r>
        <w:t>.</w:t>
      </w:r>
      <w:r>
        <w:tab/>
        <w:t>Effect of cancellation</w:t>
      </w:r>
      <w:bookmarkEnd w:id="75"/>
    </w:p>
    <w:p>
      <w:pPr>
        <w:pStyle w:val="y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ySubsection"/>
      </w:pPr>
      <w:r>
        <w:tab/>
        <w:t>(2)</w:t>
      </w:r>
      <w:r>
        <w:tab/>
        <w:t>A cancellation under subsection (1) applies to both education and care services and any associated children’s services.</w:t>
      </w:r>
    </w:p>
    <w:p>
      <w:pPr>
        <w:pStyle w:val="ySubsection"/>
      </w:pPr>
      <w:r>
        <w:tab/>
        <w:t>(3)</w:t>
      </w:r>
      <w:r>
        <w:tab/>
        <w:t>A service approval is not cancelled under subsection (1) if before that cancellation a person is approved under section 41 to manage or control the education and care service.</w:t>
      </w:r>
    </w:p>
    <w:p>
      <w:pPr>
        <w:pStyle w:val="ySubsection"/>
      </w:pPr>
      <w:r>
        <w:tab/>
        <w:t>(4)</w:t>
      </w:r>
      <w:r>
        <w:tab/>
        <w:t>A service approval is cancelled if a person referred to in subsection (3) ceases to manage or control the service.</w:t>
      </w:r>
    </w:p>
    <w:p>
      <w:pPr>
        <w:pStyle w:val="ySubsection"/>
      </w:pPr>
      <w:r>
        <w:tab/>
        <w:t>(5)</w:t>
      </w:r>
      <w:r>
        <w:tab/>
        <w:t>A provider whose provider approval is to be cancelled under section 33 may apply to the Regulatory Authority under Part 3 for consent to transfer a service approval held by the provider.</w:t>
      </w:r>
    </w:p>
    <w:p>
      <w:pPr>
        <w:pStyle w:val="ySubsection"/>
      </w:pPr>
      <w:r>
        <w:tab/>
        <w:t>(6)</w:t>
      </w:r>
      <w:r>
        <w:tab/>
        <w:t>The application for consent to transfer must be made within 14 days after the date of the decision to cancel the provider approval is made.</w:t>
      </w:r>
    </w:p>
    <w:p>
      <w:pPr>
        <w:pStyle w:val="ySubsection"/>
      </w:pPr>
      <w:r>
        <w:tab/>
        <w:t>(7)</w:t>
      </w:r>
      <w:r>
        <w:tab/>
        <w:t>If an application for consent to transfer is made, the service approval is suspended until the Regulatory Authority determines the application.</w:t>
      </w:r>
    </w:p>
    <w:p>
      <w:pPr>
        <w:pStyle w:val="ySubsection"/>
      </w:pPr>
      <w:r>
        <w:tab/>
        <w:t>(8)</w:t>
      </w:r>
      <w:r>
        <w:tab/>
        <w:t>The suspension of the service approval ceases on the transfer taking effect, unless the conditions of the transfer specify a later date.</w:t>
      </w:r>
    </w:p>
    <w:p>
      <w:pPr>
        <w:pStyle w:val="ySubsection"/>
      </w:pPr>
      <w:r>
        <w:tab/>
        <w:t>(9)</w:t>
      </w:r>
      <w:r>
        <w:tab/>
        <w:t>If the Regulatory Authority refuses to consent to the transfer, the service approval is cancelled on the making of the decision to refuse consent.</w:t>
      </w:r>
    </w:p>
    <w:p>
      <w:pPr>
        <w:pStyle w:val="yHeading5"/>
      </w:pPr>
      <w:bookmarkStart w:id="76" w:name="_Toc80611783"/>
      <w:r>
        <w:rPr>
          <w:rStyle w:val="CharSClsNo"/>
        </w:rPr>
        <w:t>35</w:t>
      </w:r>
      <w:r>
        <w:t>.</w:t>
      </w:r>
      <w:r>
        <w:tab/>
        <w:t>Approved provider to provide information to Regulatory Authority</w:t>
      </w:r>
      <w:bookmarkEnd w:id="76"/>
    </w:p>
    <w:p>
      <w:pPr>
        <w:pStyle w:val="ySubsection"/>
      </w:pPr>
      <w:r>
        <w:tab/>
        <w:t>(1)</w:t>
      </w:r>
      <w:r>
        <w:tab/>
        <w:t>This section applies if a show cause notice has been given to an approved provider under section 26 or 32.</w:t>
      </w:r>
    </w:p>
    <w:p>
      <w:pPr>
        <w:pStyle w:val="y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ySubsection"/>
      </w:pPr>
      <w:r>
        <w:lastRenderedPageBreak/>
        <w:tab/>
        <w:t>(3)</w:t>
      </w:r>
      <w:r>
        <w:tab/>
        <w:t>The Regulatory Authority may use the information provided under subsection (2) solely to notify the parents of children enrolled at an education and care service about the suspension or cancellation.</w:t>
      </w:r>
    </w:p>
    <w:p>
      <w:pPr>
        <w:pStyle w:val="yHeading5"/>
      </w:pPr>
      <w:bookmarkStart w:id="77" w:name="_Toc80611784"/>
      <w:r>
        <w:rPr>
          <w:rStyle w:val="CharSClsNo"/>
        </w:rPr>
        <w:t>36</w:t>
      </w:r>
      <w:r>
        <w:t>.</w:t>
      </w:r>
      <w:r>
        <w:tab/>
        <w:t>Notice to parents of suspension or cancellation</w:t>
      </w:r>
      <w:bookmarkEnd w:id="77"/>
    </w:p>
    <w:p>
      <w:pPr>
        <w:pStyle w:val="ySubsection"/>
      </w:pPr>
      <w:r>
        <w:tab/>
        <w:t>(1)</w:t>
      </w:r>
      <w:r>
        <w:tab/>
        <w:t>This section applies if a provider approval has been suspended or cancelled under section 27, 28, 33 or 34.</w:t>
      </w:r>
    </w:p>
    <w:p>
      <w:pPr>
        <w:pStyle w:val="y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ySubsection"/>
      </w:pPr>
      <w:r>
        <w:tab/>
        <w:t>(3)</w:t>
      </w:r>
      <w:r>
        <w:tab/>
        <w:t>A person must comply with a requirement made of that person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78" w:name="_Toc80611785"/>
      <w:r>
        <w:rPr>
          <w:rStyle w:val="CharSClsNo"/>
        </w:rPr>
        <w:t>37</w:t>
      </w:r>
      <w:r>
        <w:t>.</w:t>
      </w:r>
      <w:r>
        <w:tab/>
        <w:t>Voluntary suspension of provider approval</w:t>
      </w:r>
      <w:bookmarkEnd w:id="78"/>
    </w:p>
    <w:p>
      <w:pPr>
        <w:pStyle w:val="ySubsection"/>
      </w:pPr>
      <w:r>
        <w:tab/>
        <w:t>(1)</w:t>
      </w:r>
      <w:r>
        <w:tab/>
        <w:t>An approved provider may apply to the Regulatory Authority for a suspension of the provider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ySubsection"/>
      </w:pPr>
      <w:r>
        <w:tab/>
        <w:t>(4)</w:t>
      </w:r>
      <w:r>
        <w:tab/>
        <w:t>The Regulatory Authority must within 30 days after the application is made decide whether or not to grant the application.</w:t>
      </w:r>
    </w:p>
    <w:p>
      <w:pPr>
        <w:pStyle w:val="ySubsection"/>
      </w:pPr>
      <w:r>
        <w:tab/>
        <w:t>(5)</w:t>
      </w:r>
      <w:r>
        <w:tab/>
        <w:t>The Regulatory Authority must give written notice of its decision (including the period of suspension) to the approved provider.</w:t>
      </w:r>
    </w:p>
    <w:p>
      <w:pPr>
        <w:pStyle w:val="ySubsection"/>
      </w:pPr>
      <w:r>
        <w:lastRenderedPageBreak/>
        <w:tab/>
        <w:t>(6)</w:t>
      </w:r>
      <w:r>
        <w:tab/>
        <w:t>If the Regulatory Authority decides to grant the application, the suspension takes effect on a date agreed between the Regulatory Authority and the approved provider.</w:t>
      </w:r>
    </w:p>
    <w:p>
      <w:pPr>
        <w:pStyle w:val="ySubsection"/>
      </w:pPr>
      <w:r>
        <w:tab/>
        <w:t>(7)</w:t>
      </w:r>
      <w:r>
        <w:tab/>
        <w:t>A suspension under this section remains in force for the period of time specified in the notice.</w:t>
      </w:r>
    </w:p>
    <w:p>
      <w:pPr>
        <w:pStyle w:val="ySubsection"/>
      </w:pPr>
      <w:r>
        <w:tab/>
        <w:t>(8)</w:t>
      </w:r>
      <w:r>
        <w:tab/>
        <w:t>The approved provider may apply to the Regulatory Authority to revoke the suspension before the end of the suspension period.</w:t>
      </w:r>
    </w:p>
    <w:p>
      <w:pPr>
        <w:pStyle w:val="ySubsection"/>
      </w:pPr>
      <w:r>
        <w:tab/>
        <w:t>(9)</w:t>
      </w:r>
      <w:r>
        <w:tab/>
        <w:t>If the Regulatory Authority grants the application to revoke the suspension, the suspension ceases on the date determined by agreement with the approved provider.</w:t>
      </w:r>
    </w:p>
    <w:p>
      <w:pPr>
        <w:pStyle w:val="ySubsection"/>
      </w:pPr>
      <w:r>
        <w:tab/>
        <w:t>(10)</w:t>
      </w:r>
      <w:r>
        <w:tab/>
        <w:t>If a provider approval is suspended under this section, each service approval held by the provider is also suspended for the same period unless —</w:t>
      </w:r>
    </w:p>
    <w:p>
      <w:pPr>
        <w:pStyle w:val="yIndenta"/>
      </w:pPr>
      <w:r>
        <w:tab/>
        <w:t>(a)</w:t>
      </w:r>
      <w:r>
        <w:tab/>
        <w:t xml:space="preserve">a person is approved under section 41 to manage or control the education and care service to which the approval relates; or </w:t>
      </w:r>
    </w:p>
    <w:p>
      <w:pPr>
        <w:pStyle w:val="yIndenta"/>
      </w:pPr>
      <w:r>
        <w:tab/>
        <w:t>(b)</w:t>
      </w:r>
      <w:r>
        <w:tab/>
        <w:t>the service approval is transferred under Division 3 of Part 3.</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37 amended: No. 18 of 2018 s. 90.]</w:t>
      </w:r>
    </w:p>
    <w:p>
      <w:pPr>
        <w:pStyle w:val="yHeading5"/>
      </w:pPr>
      <w:bookmarkStart w:id="79" w:name="_Toc80611786"/>
      <w:r>
        <w:rPr>
          <w:rStyle w:val="CharSClsNo"/>
        </w:rPr>
        <w:t>38</w:t>
      </w:r>
      <w:r>
        <w:t>.</w:t>
      </w:r>
      <w:r>
        <w:tab/>
        <w:t>Surrender of provider approval by approved provider</w:t>
      </w:r>
      <w:bookmarkEnd w:id="79"/>
    </w:p>
    <w:p>
      <w:pPr>
        <w:pStyle w:val="ySubsection"/>
      </w:pPr>
      <w:r>
        <w:tab/>
        <w:t>(1)</w:t>
      </w:r>
      <w:r>
        <w:tab/>
        <w:t>An approved provider may surrender the provider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ySubsection"/>
      </w:pPr>
      <w:r>
        <w:lastRenderedPageBreak/>
        <w:tab/>
        <w:t>(4)</w:t>
      </w:r>
      <w:r>
        <w:tab/>
        <w:t>If a provider approval is surrendered, the approval is cancelled on the date specified in the notice.</w:t>
      </w:r>
    </w:p>
    <w:p>
      <w:pPr>
        <w:pStyle w:val="ySubsection"/>
      </w:pPr>
      <w:r>
        <w:tab/>
        <w:t>(5)</w:t>
      </w:r>
      <w:r>
        <w:tab/>
        <w:t>If a provider approval is surrendered, any service approval held by the provider is also taken to be surrendered.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service approval is surrendered, it is cancelled — see section 86.  A cancelled service approval cannot be transferred — see definition of service approval and also Division 3 of Part 3.</w:t>
      </w:r>
    </w:p>
    <w:p>
      <w:pPr>
        <w:pStyle w:val="yHeading4"/>
      </w:pPr>
      <w:bookmarkStart w:id="80" w:name="_Toc80608972"/>
      <w:bookmarkStart w:id="81" w:name="_Toc80611787"/>
      <w:r>
        <w:t>Division 5</w:t>
      </w:r>
      <w:r>
        <w:rPr>
          <w:b w:val="0"/>
        </w:rPr>
        <w:t xml:space="preserve"> — </w:t>
      </w:r>
      <w:r>
        <w:t>Approval of executor, representative or guardian as approved provider</w:t>
      </w:r>
      <w:bookmarkEnd w:id="80"/>
      <w:bookmarkEnd w:id="81"/>
    </w:p>
    <w:p>
      <w:pPr>
        <w:pStyle w:val="yHeading5"/>
      </w:pPr>
      <w:bookmarkStart w:id="82" w:name="_Toc80611788"/>
      <w:r>
        <w:rPr>
          <w:rStyle w:val="CharSClsNo"/>
        </w:rPr>
        <w:t>39</w:t>
      </w:r>
      <w:r>
        <w:t>.</w:t>
      </w:r>
      <w:r>
        <w:tab/>
        <w:t>Death of approved provider</w:t>
      </w:r>
      <w:bookmarkEnd w:id="82"/>
    </w:p>
    <w:p>
      <w:pPr>
        <w:pStyle w:val="ySubsection"/>
      </w:pPr>
      <w:r>
        <w:tab/>
        <w:t>(1)</w:t>
      </w:r>
      <w:r>
        <w:tab/>
        <w:t>This section applies if an approved provider dies.</w:t>
      </w:r>
    </w:p>
    <w:p>
      <w:pPr>
        <w:pStyle w:val="ySubsection"/>
      </w:pPr>
      <w:r>
        <w:tab/>
        <w:t>(2)</w:t>
      </w:r>
      <w:r>
        <w:tab/>
        <w:t>A nominated supervisor or a person in day</w:t>
      </w:r>
      <w:r>
        <w:noBreakHyphen/>
        <w:t>to</w:t>
      </w:r>
      <w:r>
        <w:noBreakHyphen/>
        <w:t>day charge of an education and care service of the approved provider must notify the Regulatory Authority of the approved provider’s death within 7 days after that death.</w:t>
      </w:r>
    </w:p>
    <w:p>
      <w:pPr>
        <w:pStyle w:val="ySubsection"/>
      </w:pPr>
      <w:r>
        <w:tab/>
        <w:t>(3)</w:t>
      </w:r>
      <w:r>
        <w:tab/>
        <w:t xml:space="preserve">The executor of the estate of the approved provider may continue to operate any approved education and care service of the approved provider for the relevant period provided </w:t>
      </w:r>
      <w:r>
        <w:rPr>
          <w:szCs w:val="22"/>
        </w:rPr>
        <w:t>that at least 1 nominated supervisor continues to manage the day</w:t>
      </w:r>
      <w:r>
        <w:rPr>
          <w:szCs w:val="22"/>
        </w:rPr>
        <w:noBreakHyphen/>
        <w:t>to</w:t>
      </w:r>
      <w:r>
        <w:rPr>
          <w:szCs w:val="22"/>
        </w:rPr>
        <w:noBreakHyphen/>
        <w:t>day</w:t>
      </w:r>
      <w:r>
        <w:t xml:space="preserve"> operation of the service.</w:t>
      </w:r>
    </w:p>
    <w:p>
      <w:pPr>
        <w:pStyle w:val="y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ySubsection"/>
      </w:pPr>
      <w:r>
        <w:tab/>
        <w:t>(5)</w:t>
      </w:r>
      <w:r>
        <w:tab/>
        <w:t>The executor of the estate of the approved provider may apply to the Regulatory Authority for a provider approval.</w:t>
      </w:r>
    </w:p>
    <w:p>
      <w:pPr>
        <w:pStyle w:val="ySubsection"/>
      </w:pPr>
      <w:r>
        <w:tab/>
        <w:t>(6)</w:t>
      </w:r>
      <w:r>
        <w:tab/>
        <w:t>The application must be made within 30 days of the death of the approved provider and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keepNext/>
      </w:pPr>
      <w:r>
        <w:lastRenderedPageBreak/>
        <w:tab/>
        <w:t>(7)</w:t>
      </w:r>
      <w:r>
        <w:tab/>
        <w:t xml:space="preserve">In this section — </w:t>
      </w:r>
    </w:p>
    <w:p>
      <w:pPr>
        <w:pStyle w:val="yDefstart"/>
        <w:keepNext/>
      </w:pPr>
      <w:r>
        <w:tab/>
      </w:r>
      <w:r>
        <w:rPr>
          <w:rStyle w:val="CharDefText"/>
        </w:rPr>
        <w:t>relevant period</w:t>
      </w:r>
      <w:r>
        <w:t xml:space="preserve"> means —</w:t>
      </w:r>
    </w:p>
    <w:p>
      <w:pPr>
        <w:pStyle w:val="yDefpara"/>
      </w:pPr>
      <w:r>
        <w:tab/>
        <w:t>(a)</w:t>
      </w:r>
      <w:r>
        <w:tab/>
        <w:t>the period of 30 days after the death of the approved provider; or</w:t>
      </w:r>
    </w:p>
    <w:p>
      <w:pPr>
        <w:pStyle w:val="yDefpara"/>
      </w:pPr>
      <w:r>
        <w:tab/>
        <w:t>(b)</w:t>
      </w:r>
      <w:r>
        <w:tab/>
        <w:t>if the executor of the estate of the approved provider makes an application under subsection (5) within that period, until the application is finally determined under this Law.</w:t>
      </w:r>
    </w:p>
    <w:p>
      <w:pPr>
        <w:pStyle w:val="yMiscellaneousBody"/>
        <w:tabs>
          <w:tab w:val="left" w:pos="851"/>
          <w:tab w:val="left" w:pos="1418"/>
        </w:tabs>
        <w:ind w:left="1418" w:hanging="1418"/>
      </w:pPr>
      <w:r>
        <w:rPr>
          <w:rFonts w:ascii="Arial" w:hAnsi="Arial"/>
          <w:sz w:val="18"/>
        </w:rPr>
        <w:tab/>
        <w:t>Note</w:t>
      </w:r>
      <w:r>
        <w:rPr>
          <w:rFonts w:ascii="Arial" w:hAnsi="Arial" w:cs="Arial"/>
          <w:sz w:val="18"/>
          <w:szCs w:val="18"/>
        </w:rPr>
        <w:t>:</w:t>
      </w:r>
      <w:r>
        <w:rPr>
          <w:rFonts w:ascii="Arial" w:hAnsi="Arial" w:cs="Arial"/>
          <w:sz w:val="18"/>
          <w:szCs w:val="18"/>
        </w:rPr>
        <w:tab/>
        <w:t xml:space="preserve">This section differs from section 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 including that the term executor is defined in section 5 of this Law.</w:t>
      </w:r>
    </w:p>
    <w:p>
      <w:pPr>
        <w:pStyle w:val="yFootnotesection"/>
        <w:rPr>
          <w:rFonts w:ascii="Arial" w:hAnsi="Arial" w:cs="Arial"/>
          <w:sz w:val="18"/>
          <w:szCs w:val="18"/>
        </w:rPr>
      </w:pPr>
      <w:r>
        <w:tab/>
        <w:t>[Section 39 amended: No. 18 of 2018 s. 16.]</w:t>
      </w:r>
    </w:p>
    <w:p>
      <w:pPr>
        <w:pStyle w:val="yHeading5"/>
      </w:pPr>
      <w:bookmarkStart w:id="83" w:name="_Toc80611789"/>
      <w:r>
        <w:rPr>
          <w:rStyle w:val="CharSClsNo"/>
        </w:rPr>
        <w:t>40</w:t>
      </w:r>
      <w:r>
        <w:t>.</w:t>
      </w:r>
      <w:r>
        <w:tab/>
        <w:t>Incapacity of approved provider</w:t>
      </w:r>
      <w:bookmarkEnd w:id="83"/>
    </w:p>
    <w:p>
      <w:pPr>
        <w:pStyle w:val="ySubsection"/>
      </w:pPr>
      <w:r>
        <w:tab/>
        <w:t>(1)</w:t>
      </w:r>
      <w:r>
        <w:tab/>
        <w:t>This section applies if an approved provider has become incapacitated.</w:t>
      </w:r>
    </w:p>
    <w:p>
      <w:pPr>
        <w:pStyle w:val="ySubsection"/>
      </w:pPr>
      <w:r>
        <w:tab/>
        <w:t>(2)</w:t>
      </w:r>
      <w:r>
        <w:tab/>
        <w:t>The legal personal representative or guardian of an approved provider may apply to the Regulatory Authority for a provider approval.</w:t>
      </w:r>
    </w:p>
    <w:p>
      <w:pPr>
        <w:pStyle w:val="ySubsection"/>
      </w:pPr>
      <w:r>
        <w:tab/>
        <w:t>(3)</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40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40 amended: No. 18 of 2018 s. 90.]</w:t>
      </w:r>
    </w:p>
    <w:p>
      <w:pPr>
        <w:pStyle w:val="yHeading5"/>
      </w:pPr>
      <w:bookmarkStart w:id="84" w:name="_Toc80611790"/>
      <w:r>
        <w:rPr>
          <w:rStyle w:val="CharSClsNo"/>
        </w:rPr>
        <w:t>41</w:t>
      </w:r>
      <w:r>
        <w:t>.</w:t>
      </w:r>
      <w:r>
        <w:tab/>
        <w:t>Decision on application</w:t>
      </w:r>
      <w:bookmarkEnd w:id="84"/>
    </w:p>
    <w:p>
      <w:pPr>
        <w:pStyle w:val="y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ySubsection"/>
      </w:pPr>
      <w:r>
        <w:lastRenderedPageBreak/>
        <w:tab/>
        <w:t>(2)</w:t>
      </w:r>
      <w:r>
        <w:tab/>
        <w:t>Sections 12, 13 and 14 apply to the assessment of a person under subsection (1).</w:t>
      </w:r>
    </w:p>
    <w:p>
      <w:pPr>
        <w:pStyle w:val="ySubsection"/>
      </w:pPr>
      <w:r>
        <w:tab/>
        <w:t>(3)</w:t>
      </w:r>
      <w:r>
        <w:tab/>
        <w:t>Subject to this section, the Regulatory Authority may —</w:t>
      </w:r>
    </w:p>
    <w:p>
      <w:pPr>
        <w:pStyle w:val="yIndenta"/>
      </w:pPr>
      <w:r>
        <w:tab/>
        <w:t>(a)</w:t>
      </w:r>
      <w:r>
        <w:tab/>
        <w:t>grant the provider approval; or</w:t>
      </w:r>
    </w:p>
    <w:p>
      <w:pPr>
        <w:pStyle w:val="yIndenta"/>
      </w:pPr>
      <w:r>
        <w:tab/>
        <w:t>(b)</w:t>
      </w:r>
      <w:r>
        <w:tab/>
        <w:t>grant the provider approval subject to conditions; or</w:t>
      </w:r>
    </w:p>
    <w:p>
      <w:pPr>
        <w:pStyle w:val="yIndenta"/>
      </w:pPr>
      <w:r>
        <w:tab/>
        <w:t>(c)</w:t>
      </w:r>
      <w:r>
        <w:tab/>
        <w:t>refuse to grant the provider approval.</w:t>
      </w:r>
    </w:p>
    <w:p>
      <w:pPr>
        <w:pStyle w:val="ySubsection"/>
      </w:pPr>
      <w:r>
        <w:tab/>
        <w:t>(4)</w:t>
      </w:r>
      <w:r>
        <w:tab/>
        <w:t>An approval under this section —</w:t>
      </w:r>
    </w:p>
    <w:p>
      <w:pPr>
        <w:pStyle w:val="yIndenta"/>
      </w:pPr>
      <w:r>
        <w:tab/>
        <w:t>(a)</w:t>
      </w:r>
      <w:r>
        <w:tab/>
        <w:t>may be granted for a period of not more than 6 months; and</w:t>
      </w:r>
    </w:p>
    <w:p>
      <w:pPr>
        <w:pStyle w:val="yIndenta"/>
      </w:pPr>
      <w:r>
        <w:tab/>
        <w:t>(b)</w:t>
      </w:r>
      <w:r>
        <w:tab/>
        <w:t xml:space="preserve">may be extended or further extended for periods of not more than 6 months, </w:t>
      </w:r>
    </w:p>
    <w:p>
      <w:pPr>
        <w:pStyle w:val="ySubsection"/>
      </w:pPr>
      <w:r>
        <w:tab/>
      </w:r>
      <w:r>
        <w:tab/>
        <w:t>at the discretion of the Regulatory Authority.</w:t>
      </w:r>
    </w:p>
    <w:p>
      <w:pPr>
        <w:pStyle w:val="y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Executor is defined in section 5 of this Law but is not defined in section 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41 amended: No. 18 of 2018 s. 17.]</w:t>
      </w:r>
    </w:p>
    <w:p>
      <w:pPr>
        <w:pStyle w:val="yHeading4"/>
      </w:pPr>
      <w:bookmarkStart w:id="85" w:name="_Toc80608976"/>
      <w:bookmarkStart w:id="86" w:name="_Toc80611791"/>
      <w:r>
        <w:t>Division 6</w:t>
      </w:r>
      <w:r>
        <w:rPr>
          <w:b w:val="0"/>
        </w:rPr>
        <w:t xml:space="preserve"> — </w:t>
      </w:r>
      <w:r>
        <w:t>Exercise of powers by another Regulatory Authority</w:t>
      </w:r>
      <w:bookmarkEnd w:id="85"/>
      <w:bookmarkEnd w:id="86"/>
    </w:p>
    <w:p>
      <w:pPr>
        <w:pStyle w:val="yHeading5"/>
      </w:pPr>
      <w:bookmarkStart w:id="87" w:name="_Toc80611792"/>
      <w:r>
        <w:rPr>
          <w:rStyle w:val="CharSClsNo"/>
        </w:rPr>
        <w:t>42</w:t>
      </w:r>
      <w:r>
        <w:t>.</w:t>
      </w:r>
      <w:r>
        <w:tab/>
        <w:t>Exercise of powers by another Regulatory Authority</w:t>
      </w:r>
      <w:bookmarkEnd w:id="87"/>
    </w:p>
    <w:p>
      <w:pPr>
        <w:pStyle w:val="ySubsection"/>
      </w:pPr>
      <w:r>
        <w:tab/>
        <w:t>(1)</w:t>
      </w:r>
      <w:r>
        <w:tab/>
        <w:t>This section applies if the Regulatory Authority has granted a provider approval under this Part.</w:t>
      </w:r>
    </w:p>
    <w:p>
      <w:pPr>
        <w:pStyle w:val="y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ySubsection"/>
      </w:pPr>
      <w:r>
        <w:tab/>
        <w:t>(3)</w:t>
      </w:r>
      <w:r>
        <w:tab/>
        <w:t xml:space="preserve">A Regulatory Authority (including the Regulatory Authority of this jurisdiction) may only exercise a power to amend, suspend or cancel a provider approval after consulting with the Regulatory Authority of </w:t>
      </w:r>
      <w:r>
        <w:lastRenderedPageBreak/>
        <w:t>each participating jurisdiction in which the approved provider operates an approved education and care service.</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provider approval in another participating jurisdiction has effect in this jurisdiction.</w:t>
      </w:r>
    </w:p>
    <w:p>
      <w:pPr>
        <w:pStyle w:val="yHeading3"/>
      </w:pPr>
      <w:bookmarkStart w:id="88" w:name="_Toc80608978"/>
      <w:bookmarkStart w:id="89" w:name="_Toc80611793"/>
      <w:r>
        <w:rPr>
          <w:rStyle w:val="CharSDivNo"/>
        </w:rPr>
        <w:t>Part 3</w:t>
      </w:r>
      <w:r>
        <w:t xml:space="preserve"> — </w:t>
      </w:r>
      <w:r>
        <w:rPr>
          <w:rStyle w:val="CharSDivText"/>
        </w:rPr>
        <w:t>Service approval</w:t>
      </w:r>
      <w:bookmarkEnd w:id="88"/>
      <w:bookmarkEnd w:id="89"/>
    </w:p>
    <w:p>
      <w:pPr>
        <w:pStyle w:val="yHeading4"/>
      </w:pPr>
      <w:bookmarkStart w:id="90" w:name="_Toc80608979"/>
      <w:bookmarkStart w:id="91" w:name="_Toc80611794"/>
      <w:r>
        <w:t>Division 1</w:t>
      </w:r>
      <w:r>
        <w:rPr>
          <w:b w:val="0"/>
        </w:rPr>
        <w:t xml:space="preserve"> — </w:t>
      </w:r>
      <w:r>
        <w:t>Application for service approval</w:t>
      </w:r>
      <w:bookmarkEnd w:id="90"/>
      <w:bookmarkEnd w:id="91"/>
    </w:p>
    <w:p>
      <w:pPr>
        <w:pStyle w:val="yHeading5"/>
      </w:pPr>
      <w:bookmarkStart w:id="92" w:name="_Toc80611795"/>
      <w:r>
        <w:rPr>
          <w:rStyle w:val="CharSClsNo"/>
        </w:rPr>
        <w:t>43</w:t>
      </w:r>
      <w:r>
        <w:t>.</w:t>
      </w:r>
      <w:r>
        <w:tab/>
        <w:t>Application for service approval</w:t>
      </w:r>
      <w:bookmarkEnd w:id="92"/>
    </w:p>
    <w:p>
      <w:pPr>
        <w:pStyle w:val="ySubsection"/>
      </w:pPr>
      <w:r>
        <w:tab/>
        <w:t>(1)</w:t>
      </w:r>
      <w:r>
        <w:tab/>
        <w:t>An approved provider may apply to the Regulatory Authority for a service approval for an education and care service.</w:t>
      </w:r>
    </w:p>
    <w:p>
      <w:pPr>
        <w:pStyle w:val="ySubsection"/>
      </w:pPr>
      <w:r>
        <w:tab/>
        <w:t>(2)</w:t>
      </w:r>
      <w:r>
        <w:tab/>
        <w:t>An approved provider may only apply for a service approval for an education and care service if the approved provider is or will be the operator of the education and care service and is or will be responsible for the management of the staff members and nominated supervisors of that service.</w:t>
      </w:r>
    </w:p>
    <w:p>
      <w:pPr>
        <w:pStyle w:val="ySubsection"/>
        <w:keepNext/>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yFootnotesection"/>
      </w:pPr>
      <w:r>
        <w:tab/>
        <w:t>[Section 43 amended: No. 18 of 2018 s. 18.]</w:t>
      </w:r>
    </w:p>
    <w:p>
      <w:pPr>
        <w:pStyle w:val="yHeading5"/>
      </w:pPr>
      <w:bookmarkStart w:id="93" w:name="_Toc80611796"/>
      <w:r>
        <w:rPr>
          <w:rStyle w:val="CharSClsNo"/>
        </w:rPr>
        <w:t>44</w:t>
      </w:r>
      <w:r>
        <w:t>.</w:t>
      </w:r>
      <w:r>
        <w:tab/>
        <w:t>Form of application</w:t>
      </w:r>
      <w:bookmarkEnd w:id="93"/>
    </w:p>
    <w:p>
      <w:pPr>
        <w:pStyle w:val="ySubsection"/>
      </w:pPr>
      <w:r>
        <w:tab/>
        <w:t>(1)</w:t>
      </w:r>
      <w:r>
        <w:tab/>
        <w:t>An application for a service approval must —</w:t>
      </w:r>
    </w:p>
    <w:p>
      <w:pPr>
        <w:pStyle w:val="yIndenta"/>
      </w:pPr>
      <w:r>
        <w:tab/>
        <w:t>(a)</w:t>
      </w:r>
      <w:r>
        <w:tab/>
        <w:t>be made to the Regulatory Authority of the participating jurisdiction in which the service is to be located; and</w:t>
      </w:r>
    </w:p>
    <w:p>
      <w:pPr>
        <w:pStyle w:val="yIndenta"/>
      </w:pPr>
      <w:r>
        <w:tab/>
        <w:t>(b)</w:t>
      </w:r>
      <w:r>
        <w:tab/>
        <w:t>be in writing; and</w:t>
      </w:r>
    </w:p>
    <w:p>
      <w:pPr>
        <w:pStyle w:val="yIndenta"/>
      </w:pPr>
      <w:r>
        <w:tab/>
        <w:t>(c)</w:t>
      </w:r>
      <w:r>
        <w:tab/>
        <w:t>include the prescribed information that is requested by the Regulatory Authority; and</w:t>
      </w:r>
    </w:p>
    <w:p>
      <w:pPr>
        <w:pStyle w:val="yIndenta"/>
      </w:pPr>
      <w:r>
        <w:tab/>
        <w:t>(d)</w:t>
      </w:r>
      <w:r>
        <w:tab/>
        <w:t>nominate one or more individuals to be nominated supervisors of the service; and</w:t>
      </w:r>
    </w:p>
    <w:p>
      <w:pPr>
        <w:pStyle w:val="yIndenta"/>
      </w:pPr>
      <w:r>
        <w:lastRenderedPageBreak/>
        <w:tab/>
        <w:t>(da)</w:t>
      </w:r>
      <w:r>
        <w:tab/>
        <w:t>include from each nominated individual (other than the approved provider) the written consent to the nomination; and</w:t>
      </w:r>
    </w:p>
    <w:p>
      <w:pPr>
        <w:pStyle w:val="yIndenta"/>
      </w:pPr>
      <w:r>
        <w:tab/>
        <w:t>(e)</w:t>
      </w:r>
      <w:r>
        <w:tab/>
        <w:t>include payment of the prescribed fee.</w:t>
      </w:r>
    </w:p>
    <w:p>
      <w:pPr>
        <w:pStyle w:val="ySubsection"/>
      </w:pPr>
      <w:r>
        <w:tab/>
        <w:t>(2)</w:t>
      </w:r>
      <w:r>
        <w:tab/>
        <w:t>An application for service approval may include an associated children’s service.</w:t>
      </w:r>
    </w:p>
    <w:p>
      <w:pPr>
        <w:pStyle w:val="ySubsection"/>
      </w:pPr>
      <w:r>
        <w:tab/>
        <w:t>(3)</w:t>
      </w:r>
      <w:r>
        <w:tab/>
        <w:t>An application for a service approval for a family day care service may include a request for approval of a place (other than a residence) as a family day care venue for that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This approval is granted under section 50A only if exceptional circumstances exist.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This section differs from section 44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44 amended: No. 18 of 2018 s. 19.]</w:t>
      </w:r>
    </w:p>
    <w:p>
      <w:pPr>
        <w:pStyle w:val="yHeading5"/>
      </w:pPr>
      <w:bookmarkStart w:id="94" w:name="_Toc80611797"/>
      <w:r>
        <w:rPr>
          <w:rStyle w:val="CharSClsNo"/>
        </w:rPr>
        <w:t>45</w:t>
      </w:r>
      <w:r>
        <w:t>.</w:t>
      </w:r>
      <w:r>
        <w:tab/>
        <w:t>Regulatory Authority may seek further information</w:t>
      </w:r>
      <w:bookmarkEnd w:id="94"/>
    </w:p>
    <w:p>
      <w:pPr>
        <w:pStyle w:val="ySubsection"/>
      </w:pPr>
      <w:r>
        <w:tab/>
        <w:t>(1)</w:t>
      </w:r>
      <w:r>
        <w:tab/>
        <w:t>The Regulatory Authority may ask an applicant for a service approval to provide any further information that is reasonably required for the purpose of assessing the application.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yHeading5"/>
      </w:pPr>
      <w:bookmarkStart w:id="95" w:name="_Toc80611798"/>
      <w:r>
        <w:rPr>
          <w:rStyle w:val="CharSClsNo"/>
        </w:rPr>
        <w:t>46</w:t>
      </w:r>
      <w:r>
        <w:t>.</w:t>
      </w:r>
      <w:r>
        <w:tab/>
        <w:t>Investigation of application for service approval</w:t>
      </w:r>
      <w:bookmarkEnd w:id="95"/>
    </w:p>
    <w:p>
      <w:pPr>
        <w:pStyle w:val="ySubsection"/>
      </w:pPr>
      <w:r>
        <w:tab/>
        <w:t>(1)</w:t>
      </w:r>
      <w:r>
        <w:tab/>
        <w:t>For the purposes of determining an application for a service approval, the Regulatory Authority may —</w:t>
      </w:r>
    </w:p>
    <w:p>
      <w:pPr>
        <w:pStyle w:val="y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yIndenta"/>
      </w:pPr>
      <w:r>
        <w:tab/>
        <w:t>(b)</w:t>
      </w:r>
      <w:r>
        <w:tab/>
        <w:t>inspect the education and care service premises; and</w:t>
      </w:r>
    </w:p>
    <w:p>
      <w:pPr>
        <w:pStyle w:val="yIndenta"/>
      </w:pPr>
      <w:r>
        <w:lastRenderedPageBreak/>
        <w:tab/>
        <w:t>(c)</w:t>
      </w:r>
      <w:r>
        <w:tab/>
        <w:t>inspect the policies and procedures of the service.</w:t>
      </w:r>
    </w:p>
    <w:p>
      <w:pPr>
        <w:pStyle w:val="ySubsection"/>
      </w:pPr>
      <w:r>
        <w:tab/>
        <w:t>(2)</w:t>
      </w:r>
      <w:r>
        <w:tab/>
        <w:t>For the purposes of an inspection under subsection (1)(b) or (c), the Regulatory Authority may enter the education and care service premises at any reasonable time.</w:t>
      </w:r>
    </w:p>
    <w:p>
      <w:pPr>
        <w:pStyle w:val="yHeading5"/>
      </w:pPr>
      <w:bookmarkStart w:id="96" w:name="_Toc80611799"/>
      <w:r>
        <w:rPr>
          <w:rStyle w:val="CharSClsNo"/>
        </w:rPr>
        <w:t>47</w:t>
      </w:r>
      <w:r>
        <w:t>.</w:t>
      </w:r>
      <w:r>
        <w:tab/>
        <w:t>Determination of application</w:t>
      </w:r>
      <w:bookmarkEnd w:id="96"/>
    </w:p>
    <w:p>
      <w:pPr>
        <w:pStyle w:val="ySubsection"/>
      </w:pPr>
      <w:r>
        <w:tab/>
        <w:t>(1)</w:t>
      </w:r>
      <w:r>
        <w:tab/>
        <w:t>Subject to subsection (3), in determining an application under section 43, the Regulatory Authority must have regard to —</w:t>
      </w:r>
    </w:p>
    <w:p>
      <w:pPr>
        <w:pStyle w:val="yIndenta"/>
      </w:pPr>
      <w:r>
        <w:tab/>
        <w:t>(a)</w:t>
      </w:r>
      <w:r>
        <w:tab/>
        <w:t>the National Quality Framework; and</w:t>
      </w:r>
    </w:p>
    <w:p>
      <w:pPr>
        <w:pStyle w:val="yIndenta"/>
      </w:pPr>
      <w:r>
        <w:tab/>
        <w:t>(b)</w:t>
      </w:r>
      <w:r>
        <w:tab/>
        <w:t>except in the case of a family day care residence, the suitability of the education and care service premises and the site and location of those premises for the operation of an education and care service; and</w:t>
      </w:r>
    </w:p>
    <w:p>
      <w:pPr>
        <w:pStyle w:val="yIndenta"/>
      </w:pPr>
      <w:r>
        <w:tab/>
        <w:t>(c)</w:t>
      </w:r>
      <w:r>
        <w:tab/>
        <w:t>the adequacy of the policies and procedures of the service; and</w:t>
      </w:r>
    </w:p>
    <w:p>
      <w:pPr>
        <w:pStyle w:val="yIndenta"/>
      </w:pPr>
      <w:r>
        <w:tab/>
        <w:t>(d)</w:t>
      </w:r>
      <w:r>
        <w:tab/>
        <w:t>whether the applicant has a provider approval; and</w:t>
      </w:r>
    </w:p>
    <w:p>
      <w:pPr>
        <w:pStyle w:val="yIndenta"/>
      </w:pPr>
      <w:r>
        <w:tab/>
        <w:t>(e)</w:t>
      </w:r>
      <w:r>
        <w:tab/>
        <w:t>except in the case of a nominated supervisor who is the approved provider, whether each nominated supervisor has consented in writing to the nomination; and</w:t>
      </w:r>
    </w:p>
    <w:p>
      <w:pPr>
        <w:pStyle w:val="yIndenta"/>
      </w:pPr>
      <w:r>
        <w:tab/>
        <w:t>(f)</w:t>
      </w:r>
      <w:r>
        <w:tab/>
        <w:t>any other matter the Regulatory Authority thinks fit; and</w:t>
      </w:r>
    </w:p>
    <w:p>
      <w:pPr>
        <w:pStyle w:val="yIndenta"/>
      </w:pPr>
      <w:r>
        <w:tab/>
        <w:t>(g)</w:t>
      </w:r>
      <w:r>
        <w:tab/>
        <w:t>any other prescribed matter.</w:t>
      </w:r>
    </w:p>
    <w:p>
      <w:pPr>
        <w:pStyle w:val="ySubsection"/>
      </w:pPr>
      <w:r>
        <w:tab/>
        <w:t>(2)</w:t>
      </w:r>
      <w:r>
        <w:tab/>
        <w:t>In addition, the Regulatory Authority may have regard to either of the following —</w:t>
      </w:r>
    </w:p>
    <w:p>
      <w:pPr>
        <w:pStyle w:val="yIndenta"/>
      </w:pPr>
      <w:r>
        <w:tab/>
        <w:t>(a)</w:t>
      </w:r>
      <w:r>
        <w:tab/>
        <w:t>whether the applicant is capable of operating the education and care service having regard to its financial capacity and management capability and any other matter the Regulatory Authority considers relevant;</w:t>
      </w:r>
    </w:p>
    <w:p>
      <w:pPr>
        <w:pStyle w:val="yIndenta"/>
      </w:pPr>
      <w:r>
        <w:tab/>
        <w:t>(b)</w:t>
      </w:r>
      <w:r>
        <w:tab/>
        <w:t>the applicant’s history of compliance with this Law or this Law as applying in any participating jurisdiction, including in relation to any other education and care service it operates.</w:t>
      </w:r>
    </w:p>
    <w:p>
      <w:pPr>
        <w:pStyle w:val="y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ySubsection"/>
        <w:keepNext/>
      </w:pPr>
      <w:r>
        <w:lastRenderedPageBreak/>
        <w:tab/>
        <w:t>(4)</w:t>
      </w:r>
      <w:r>
        <w:tab/>
        <w:t>The criteria referred to in subsection (3) do not include criteria relating to whether the applicant is a fit and proper person.</w:t>
      </w:r>
    </w:p>
    <w:p>
      <w:pPr>
        <w:pStyle w:val="yFootnotesection"/>
      </w:pPr>
      <w:r>
        <w:tab/>
        <w:t>[Section 47 amended: No. 18 of 2018 s. 20.]</w:t>
      </w:r>
    </w:p>
    <w:p>
      <w:pPr>
        <w:pStyle w:val="yHeading5"/>
      </w:pPr>
      <w:bookmarkStart w:id="97" w:name="_Toc80611800"/>
      <w:r>
        <w:rPr>
          <w:rStyle w:val="CharSClsNo"/>
        </w:rPr>
        <w:t>48</w:t>
      </w:r>
      <w:r>
        <w:t>.</w:t>
      </w:r>
      <w:r>
        <w:tab/>
        <w:t>Grant or refusal of service approval</w:t>
      </w:r>
      <w:bookmarkEnd w:id="97"/>
    </w:p>
    <w:p>
      <w:pPr>
        <w:pStyle w:val="ySubsection"/>
      </w:pPr>
      <w:r>
        <w:tab/>
        <w:t>(1)</w:t>
      </w:r>
      <w:r>
        <w:tab/>
        <w:t>On an application under section 43, the Regulatory Authority may —</w:t>
      </w:r>
    </w:p>
    <w:p>
      <w:pPr>
        <w:pStyle w:val="yIndenta"/>
      </w:pPr>
      <w:r>
        <w:tab/>
        <w:t>(a)</w:t>
      </w:r>
      <w:r>
        <w:tab/>
        <w:t>grant the service approval; or</w:t>
      </w:r>
    </w:p>
    <w:p>
      <w:pPr>
        <w:pStyle w:val="yIndenta"/>
      </w:pPr>
      <w:r>
        <w:tab/>
        <w:t>(b)</w:t>
      </w:r>
      <w:r>
        <w:tab/>
        <w:t>refuse to grant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service approval is granted subject to conditions in accordance with section 51.</w:t>
      </w:r>
    </w:p>
    <w:p>
      <w:pPr>
        <w:pStyle w:val="ySubsection"/>
      </w:pPr>
      <w:r>
        <w:tab/>
        <w:t>(2)</w:t>
      </w:r>
      <w:r>
        <w:tab/>
        <w:t>Subject to subsection (3), the Regulatory Authority must make a decision on the application within 90 days after the Regulatory Authority received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45(2), the period between the making of the request and the provision of the information is not included in the 90 day period.</w:t>
      </w:r>
    </w:p>
    <w:p>
      <w:pPr>
        <w:pStyle w:val="ySubsection"/>
      </w:pPr>
      <w:r>
        <w:tab/>
        <w:t>(3)</w:t>
      </w:r>
      <w:r>
        <w:tab/>
        <w:t>The period referred to in subsection (2) may be extended with the agreement of the applicant.</w:t>
      </w:r>
    </w:p>
    <w:p>
      <w:pPr>
        <w:pStyle w:val="ySubsection"/>
      </w:pPr>
      <w:r>
        <w:tab/>
        <w:t>(4)</w:t>
      </w:r>
      <w:r>
        <w:tab/>
        <w:t>The Regulatory Authority may grant a service approval solely for an education and care service if —</w:t>
      </w:r>
    </w:p>
    <w:p>
      <w:pPr>
        <w:pStyle w:val="yIndenta"/>
      </w:pPr>
      <w:r>
        <w:tab/>
        <w:t>(a)</w:t>
      </w:r>
      <w:r>
        <w:tab/>
        <w:t>the application includes an application for an associated children’s service; and</w:t>
      </w:r>
    </w:p>
    <w:p>
      <w:pPr>
        <w:pStyle w:val="yIndenta"/>
      </w:pPr>
      <w:r>
        <w:tab/>
        <w:t>(b)</w:t>
      </w:r>
      <w:r>
        <w:tab/>
        <w:t>that associated children’s service does not comply with the criteria referred to in section 47(3).</w:t>
      </w:r>
    </w:p>
    <w:p>
      <w:pPr>
        <w:pStyle w:val="ySubsection"/>
      </w:pPr>
      <w:r>
        <w:tab/>
        <w:t>(5)</w:t>
      </w:r>
      <w:r>
        <w:tab/>
        <w:t>The Regulatory Authority is taken to have refused to grant a service approval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 —</w:t>
      </w:r>
    </w:p>
    <w:p>
      <w:pPr>
        <w:pStyle w:val="ySubsection"/>
      </w:pPr>
      <w:r>
        <w:tab/>
      </w:r>
      <w:r>
        <w:tab/>
        <w:t>as the case requires.</w:t>
      </w:r>
    </w:p>
    <w:p>
      <w:pPr>
        <w:pStyle w:val="ySubsection"/>
      </w:pPr>
      <w:r>
        <w:tab/>
        <w:t>(6)</w:t>
      </w:r>
      <w:r>
        <w:tab/>
        <w:t>A service approval cannot be granted solely for an associated children’s service.</w:t>
      </w:r>
    </w:p>
    <w:p>
      <w:pPr>
        <w:pStyle w:val="yHeading5"/>
      </w:pPr>
      <w:bookmarkStart w:id="98" w:name="_Toc80611801"/>
      <w:r>
        <w:rPr>
          <w:rStyle w:val="CharSClsNo"/>
        </w:rPr>
        <w:lastRenderedPageBreak/>
        <w:t>49</w:t>
      </w:r>
      <w:r>
        <w:t>.</w:t>
      </w:r>
      <w:r>
        <w:tab/>
        <w:t>Grounds for refusal</w:t>
      </w:r>
      <w:bookmarkEnd w:id="98"/>
    </w:p>
    <w:p>
      <w:pPr>
        <w:pStyle w:val="ySubsection"/>
      </w:pPr>
      <w:r>
        <w:tab/>
        <w:t>(1)</w:t>
      </w:r>
      <w:r>
        <w:tab/>
        <w:t>The Regulatory Authority must refuse to grant a service approval if —</w:t>
      </w:r>
    </w:p>
    <w:p>
      <w:pPr>
        <w:pStyle w:val="y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yIndenta"/>
      </w:pPr>
      <w:r>
        <w:tab/>
        <w:t>(b)</w:t>
      </w:r>
      <w:r>
        <w:tab/>
        <w:t>the applicant does not have a provider approval.</w:t>
      </w:r>
    </w:p>
    <w:p>
      <w:pPr>
        <w:pStyle w:val="ySubsection"/>
      </w:pPr>
      <w:r>
        <w:tab/>
        <w:t>(2)</w:t>
      </w:r>
      <w:r>
        <w:tab/>
        <w:t>The Regulatory Authority may refuse to grant a service approval on any other grounds prescribed in the national regulations.</w:t>
      </w:r>
    </w:p>
    <w:p>
      <w:pPr>
        <w:pStyle w:val="yHeading5"/>
      </w:pPr>
      <w:bookmarkStart w:id="99" w:name="_Toc80611802"/>
      <w:r>
        <w:rPr>
          <w:rStyle w:val="CharSClsNo"/>
        </w:rPr>
        <w:t>50</w:t>
      </w:r>
      <w:r>
        <w:t>.</w:t>
      </w:r>
      <w:r>
        <w:tab/>
        <w:t>Notice of decision on application</w:t>
      </w:r>
      <w:bookmarkEnd w:id="99"/>
    </w:p>
    <w:p>
      <w:pPr>
        <w:pStyle w:val="ySubsection"/>
      </w:pPr>
      <w:r>
        <w:tab/>
      </w:r>
      <w:r>
        <w:tab/>
        <w:t>The Regulatory Authority must give written notice to the applicant of a decision under section 48 and the reasons for the decision within 7 days after the decision is made.</w:t>
      </w:r>
    </w:p>
    <w:p>
      <w:pPr>
        <w:pStyle w:val="yHeading5"/>
      </w:pPr>
      <w:bookmarkStart w:id="100" w:name="_Toc80611803"/>
      <w:r>
        <w:rPr>
          <w:rStyle w:val="CharSClsNo"/>
        </w:rPr>
        <w:t>50A</w:t>
      </w:r>
      <w:r>
        <w:t>.</w:t>
      </w:r>
      <w:r>
        <w:tab/>
        <w:t>Approval of a place as a family day care venue</w:t>
      </w:r>
      <w:bookmarkEnd w:id="100"/>
    </w:p>
    <w:p>
      <w:pPr>
        <w:pStyle w:val="ySubsection"/>
      </w:pPr>
      <w:r>
        <w:tab/>
      </w:r>
      <w:r>
        <w:tab/>
        <w:t>The Regulatory Authority may, at the time of granting the service approval for a family day care service, approve a place (other than a residence) as a family day care venue for that service if the Regulatory Authority considers exceptional circumstances exist.</w:t>
      </w:r>
    </w:p>
    <w:p>
      <w:pPr>
        <w:pStyle w:val="yFootnotesection"/>
      </w:pPr>
      <w:r>
        <w:tab/>
        <w:t>[Section 50A inserted: No. 18 of 2018 s. 21.]</w:t>
      </w:r>
    </w:p>
    <w:p>
      <w:pPr>
        <w:pStyle w:val="yHeading5"/>
      </w:pPr>
      <w:bookmarkStart w:id="101" w:name="_Toc80611804"/>
      <w:r>
        <w:rPr>
          <w:rStyle w:val="CharSClsNo"/>
        </w:rPr>
        <w:t>51</w:t>
      </w:r>
      <w:r>
        <w:t>.</w:t>
      </w:r>
      <w:r>
        <w:tab/>
        <w:t>Conditions on service approval</w:t>
      </w:r>
      <w:bookmarkEnd w:id="101"/>
    </w:p>
    <w:p>
      <w:pPr>
        <w:pStyle w:val="ySubsection"/>
      </w:pPr>
      <w:r>
        <w:tab/>
        <w:t>(1)</w:t>
      </w:r>
      <w:r>
        <w:tab/>
        <w:t>A service approval is granted subject to the condition that the education and care service is operated in a way that —</w:t>
      </w:r>
    </w:p>
    <w:p>
      <w:pPr>
        <w:pStyle w:val="yIndenta"/>
      </w:pPr>
      <w:r>
        <w:tab/>
        <w:t>(a)</w:t>
      </w:r>
      <w:r>
        <w:tab/>
        <w:t>ensures the safety, health and wellbeing of the children being educated and cared for by the service; and</w:t>
      </w:r>
    </w:p>
    <w:p>
      <w:pPr>
        <w:pStyle w:val="yIndenta"/>
      </w:pPr>
      <w:r>
        <w:tab/>
        <w:t>(b)</w:t>
      </w:r>
      <w:r>
        <w:tab/>
        <w:t>meets the educational and developmental needs of the children being educated and cared for by the service.</w:t>
      </w:r>
    </w:p>
    <w:p>
      <w:pPr>
        <w:pStyle w:val="ySubsection"/>
      </w:pPr>
      <w:r>
        <w:tab/>
        <w:t>(2)</w:t>
      </w:r>
      <w:r>
        <w:tab/>
        <w:t>A service approval for a family day care service is granted subject to a condition that the approved provider must ensure that each family day care educator engaged by or registered with the service is adequately monitored and supported by a family day care co</w:t>
      </w:r>
      <w:r>
        <w:noBreakHyphen/>
        <w:t>ordinator.</w:t>
      </w:r>
    </w:p>
    <w:p>
      <w:pPr>
        <w:pStyle w:val="ySubsection"/>
      </w:pPr>
      <w:r>
        <w:lastRenderedPageBreak/>
        <w:tab/>
        <w:t>(2A)</w:t>
      </w:r>
      <w:r>
        <w:tab/>
        <w:t>A service approval for a family day care service is granted subject to a condition that each family day care residence, and any approved family day care venue of the service, are to be located within this jurisdiction.</w:t>
      </w:r>
    </w:p>
    <w:p>
      <w:pPr>
        <w:pStyle w:val="y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ySubsection"/>
      </w:pPr>
      <w:r>
        <w:tab/>
        <w:t>(4)</w:t>
      </w:r>
      <w:r>
        <w:tab/>
        <w:t>A service approval is granted subject to a condition that the approved provider must hold the prescribed insurance in respect of the education and care service.</w:t>
      </w:r>
    </w:p>
    <w:p>
      <w:pPr>
        <w:pStyle w:val="ySubsection"/>
      </w:pPr>
      <w:r>
        <w:tab/>
        <w:t>(4A)</w:t>
      </w:r>
      <w:r>
        <w:tab/>
        <w:t>A service approval for an education and care service other than a family day care service is granted subject to a condition that the approved provider must ensure that the number of children educated and cared for by the service at any one time does not exceed the maximum number of children specified in the service approval.</w:t>
      </w:r>
    </w:p>
    <w:p>
      <w:pPr>
        <w:pStyle w:val="ySubsection"/>
      </w:pPr>
      <w:r>
        <w:tab/>
        <w:t>(4B)</w:t>
      </w:r>
      <w:r>
        <w:tab/>
        <w:t xml:space="preserve">An approved provider is not required to comply with subsection (4A) if — </w:t>
      </w:r>
    </w:p>
    <w:p>
      <w:pPr>
        <w:pStyle w:val="yIndenta"/>
      </w:pPr>
      <w:r>
        <w:tab/>
        <w:t>(a)</w:t>
      </w:r>
      <w:r>
        <w:tab/>
        <w:t>the maximum number of children is exceeded because a child is being educated and cared for by the education and care service in an emergency; and</w:t>
      </w:r>
    </w:p>
    <w:p>
      <w:pPr>
        <w:pStyle w:val="yIndenta"/>
      </w:pPr>
      <w:r>
        <w:tab/>
        <w:t>(b)</w:t>
      </w:r>
      <w:r>
        <w:tab/>
        <w:t>the approved provider is satisfied on reasonable grounds that this will not affect the health, safety and wellbeing of any other child who is attending the education and care service.</w:t>
      </w:r>
    </w:p>
    <w:p>
      <w:pPr>
        <w:pStyle w:val="yMiscellaneousBody"/>
        <w:tabs>
          <w:tab w:val="left" w:pos="851"/>
          <w:tab w:val="left" w:pos="1843"/>
        </w:tabs>
        <w:ind w:left="1843" w:hanging="1843"/>
      </w:pPr>
      <w:r>
        <w:rPr>
          <w:rFonts w:ascii="Arial" w:hAnsi="Arial" w:cs="Arial"/>
          <w:sz w:val="18"/>
          <w:szCs w:val="18"/>
        </w:rPr>
        <w:tab/>
        <w:t>Example:</w:t>
      </w:r>
      <w:r>
        <w:rPr>
          <w:rFonts w:ascii="Arial" w:hAnsi="Arial" w:cs="Arial"/>
          <w:sz w:val="18"/>
          <w:szCs w:val="18"/>
        </w:rPr>
        <w:tab/>
        <w:t>An emergency under this subsection would include circumstances where a child is in need of protection under a child protection order or where the parent of a child needs urgent health care that prevents that parent caring for the child.</w:t>
      </w:r>
    </w:p>
    <w:p>
      <w:pPr>
        <w:pStyle w:val="ySubsection"/>
      </w:pPr>
      <w:r>
        <w:tab/>
        <w:t>(5)</w:t>
      </w:r>
      <w:r>
        <w:tab/>
        <w:t>A service approval is granted subject to any other conditions prescribed in the national regulations or imposed by —</w:t>
      </w:r>
    </w:p>
    <w:p>
      <w:pPr>
        <w:pStyle w:val="yIndenta"/>
      </w:pPr>
      <w:r>
        <w:tab/>
        <w:t>(a)</w:t>
      </w:r>
      <w:r>
        <w:tab/>
        <w:t>this Law; or</w:t>
      </w:r>
    </w:p>
    <w:p>
      <w:pPr>
        <w:pStyle w:val="yIndenta"/>
      </w:pPr>
      <w:r>
        <w:tab/>
        <w:t>(b)</w:t>
      </w:r>
      <w:r>
        <w:tab/>
        <w:t>the Regulatory Authority.</w:t>
      </w:r>
    </w:p>
    <w:p>
      <w:pPr>
        <w:pStyle w:val="ySubsection"/>
      </w:pPr>
      <w:r>
        <w:tab/>
        <w:t>(6)</w:t>
      </w:r>
      <w:r>
        <w:tab/>
        <w:t>A condition of a service approval does not apply to an associated children’s service unless the condition is expressed to apply to that associated children’s service.</w:t>
      </w:r>
    </w:p>
    <w:p>
      <w:pPr>
        <w:pStyle w:val="ySubsection"/>
      </w:pPr>
      <w:r>
        <w:lastRenderedPageBreak/>
        <w:tab/>
        <w:t>(7)</w:t>
      </w:r>
      <w:r>
        <w:tab/>
        <w:t>A condition of a service approval may be expressed to apply solely to an associated children’s service only if the Regulatory Authority has first consulted with the children’s services regulator.</w:t>
      </w:r>
      <w:r>
        <w:tab/>
      </w:r>
    </w:p>
    <w:p>
      <w:pPr>
        <w:pStyle w:val="ySubsection"/>
      </w:pPr>
      <w:r>
        <w:tab/>
        <w:t>(8)</w:t>
      </w:r>
      <w:r>
        <w:tab/>
        <w:t>An approved provider must comply with the conditions of a service approval held by the approved provider.</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51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51 amended: No. 18 of 2018 s. 22.]</w:t>
      </w:r>
    </w:p>
    <w:p>
      <w:pPr>
        <w:pStyle w:val="yHeading5"/>
      </w:pPr>
      <w:bookmarkStart w:id="102" w:name="_Toc80611805"/>
      <w:r>
        <w:rPr>
          <w:rStyle w:val="CharSClsNo"/>
        </w:rPr>
        <w:t>52</w:t>
      </w:r>
      <w:r>
        <w:t>.</w:t>
      </w:r>
      <w:r>
        <w:tab/>
        <w:t>Copy of service approval to be provided</w:t>
      </w:r>
      <w:bookmarkEnd w:id="102"/>
    </w:p>
    <w:p>
      <w:pPr>
        <w:pStyle w:val="ySubsection"/>
      </w:pPr>
      <w:r>
        <w:tab/>
      </w:r>
      <w:r>
        <w:tab/>
        <w:t>If the Regulatory Authority grants a service approval under this Part, the Regulatory Authority must provide a copy of the service approval to the approved provider stating —</w:t>
      </w:r>
    </w:p>
    <w:p>
      <w:pPr>
        <w:pStyle w:val="yIndenta"/>
      </w:pPr>
      <w:r>
        <w:tab/>
        <w:t>(a)</w:t>
      </w:r>
      <w:r>
        <w:tab/>
        <w:t>the name of the education and care service; and</w:t>
      </w:r>
    </w:p>
    <w:p>
      <w:pPr>
        <w:pStyle w:val="yIndenta"/>
      </w:pPr>
      <w:r>
        <w:tab/>
        <w:t>(b)</w:t>
      </w:r>
      <w:r>
        <w:tab/>
        <w:t>the location of the education and care service or, if the education and care service is a family day care service, the location of the principal office of the service and any approved family day care venue for the service; and</w:t>
      </w:r>
    </w:p>
    <w:p>
      <w:pPr>
        <w:pStyle w:val="yIndenta"/>
      </w:pPr>
      <w:r>
        <w:tab/>
        <w:t>(c)</w:t>
      </w:r>
      <w:r>
        <w:tab/>
        <w:t>any conditions to which the service approval is subject; and</w:t>
      </w:r>
    </w:p>
    <w:p>
      <w:pPr>
        <w:pStyle w:val="yIndenta"/>
      </w:pPr>
      <w:r>
        <w:tab/>
        <w:t>(d)</w:t>
      </w:r>
      <w:r>
        <w:tab/>
        <w:t>the date the service approval was granted; and</w:t>
      </w:r>
    </w:p>
    <w:p>
      <w:pPr>
        <w:pStyle w:val="yIndenta"/>
      </w:pPr>
      <w:r>
        <w:tab/>
        <w:t>(e)</w:t>
      </w:r>
      <w:r>
        <w:tab/>
        <w:t>the service approval number; and</w:t>
      </w:r>
    </w:p>
    <w:p>
      <w:pPr>
        <w:pStyle w:val="yIndenta"/>
      </w:pPr>
      <w:r>
        <w:tab/>
        <w:t>(f)</w:t>
      </w:r>
      <w:r>
        <w:tab/>
        <w:t>the name of the approved provider; and</w:t>
      </w:r>
    </w:p>
    <w:p>
      <w:pPr>
        <w:pStyle w:val="yIndenta"/>
      </w:pPr>
      <w:r>
        <w:tab/>
        <w:t>(g)</w:t>
      </w:r>
      <w:r>
        <w:tab/>
        <w:t>for a service other than a family day care service, the maximum number of children who can be educated and cared for by the service at any one time; and</w:t>
      </w:r>
    </w:p>
    <w:p>
      <w:pPr>
        <w:pStyle w:val="yIndenta"/>
      </w:pPr>
      <w:r>
        <w:tab/>
        <w:t>(h)</w:t>
      </w:r>
      <w:r>
        <w:tab/>
        <w:t>the details of any service waiver under Division 5 or temporary waiver under Division 6 applying to the service; and</w:t>
      </w:r>
    </w:p>
    <w:p>
      <w:pPr>
        <w:pStyle w:val="yIndenta"/>
      </w:pPr>
      <w:r>
        <w:tab/>
        <w:t>(i)</w:t>
      </w:r>
      <w:r>
        <w:tab/>
        <w:t>any other prescribed matters.</w:t>
      </w:r>
    </w:p>
    <w:p>
      <w:pPr>
        <w:pStyle w:val="yFootnotesection"/>
      </w:pPr>
      <w:r>
        <w:tab/>
        <w:t>[Section 52 amended: No. 18 of 2018 s. 23.]</w:t>
      </w:r>
    </w:p>
    <w:p>
      <w:pPr>
        <w:pStyle w:val="yHeading5"/>
      </w:pPr>
      <w:bookmarkStart w:id="103" w:name="_Toc80611806"/>
      <w:r>
        <w:rPr>
          <w:rStyle w:val="CharSClsNo"/>
        </w:rPr>
        <w:lastRenderedPageBreak/>
        <w:t>53</w:t>
      </w:r>
      <w:r>
        <w:t>.</w:t>
      </w:r>
      <w:r>
        <w:tab/>
        <w:t>Annual fee</w:t>
      </w:r>
      <w:bookmarkEnd w:id="103"/>
    </w:p>
    <w:p>
      <w:pPr>
        <w:pStyle w:val="ySubsection"/>
      </w:pPr>
      <w:r>
        <w:tab/>
      </w:r>
      <w:r>
        <w:tab/>
        <w:t>An approved provider must, in accordance with the national regulations, pay the prescribed annual fee in respect of each service approval held by the approved provider.</w:t>
      </w:r>
    </w:p>
    <w:p>
      <w:pPr>
        <w:pStyle w:val="yHeading4"/>
      </w:pPr>
      <w:bookmarkStart w:id="104" w:name="_Toc80608992"/>
      <w:bookmarkStart w:id="105" w:name="_Toc80611807"/>
      <w:r>
        <w:t>Division 2</w:t>
      </w:r>
      <w:r>
        <w:rPr>
          <w:b w:val="0"/>
        </w:rPr>
        <w:t xml:space="preserve"> — </w:t>
      </w:r>
      <w:r>
        <w:t>Amendment of service approval</w:t>
      </w:r>
      <w:bookmarkEnd w:id="104"/>
      <w:bookmarkEnd w:id="105"/>
    </w:p>
    <w:p>
      <w:pPr>
        <w:pStyle w:val="yHeading5"/>
      </w:pPr>
      <w:bookmarkStart w:id="106" w:name="_Toc80611808"/>
      <w:r>
        <w:rPr>
          <w:rStyle w:val="CharSClsNo"/>
        </w:rPr>
        <w:t>54</w:t>
      </w:r>
      <w:r>
        <w:t>.</w:t>
      </w:r>
      <w:r>
        <w:tab/>
        <w:t>Amendment of service approval on application</w:t>
      </w:r>
      <w:bookmarkEnd w:id="106"/>
    </w:p>
    <w:p>
      <w:pPr>
        <w:pStyle w:val="ySubsection"/>
      </w:pPr>
      <w:r>
        <w:tab/>
        <w:t>(1)</w:t>
      </w:r>
      <w:r>
        <w:tab/>
        <w:t>An approved provider may apply to the Regulatory Authority for an amendment of a service approval.</w:t>
      </w:r>
    </w:p>
    <w:p>
      <w:pPr>
        <w:pStyle w:val="ySubsection"/>
      </w:pPr>
      <w:r>
        <w:tab/>
        <w:t>(1A)</w:t>
      </w:r>
      <w:r>
        <w:tab/>
        <w:t>An application under subsection (1) may include a request for the approval of a place (other than a residence) as a family day care venue for a family day care service.</w:t>
      </w:r>
    </w:p>
    <w:p>
      <w:pPr>
        <w:pStyle w:val="ySubsection"/>
      </w:pPr>
      <w:r>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ask the approved provider to provide any further information that is reasonably required for the purpose of assessing the application.</w:t>
      </w:r>
    </w:p>
    <w:p>
      <w:pPr>
        <w:pStyle w:val="ySubsection"/>
      </w:pPr>
      <w:r>
        <w:tab/>
        <w:t>(4)</w:t>
      </w:r>
      <w:r>
        <w:tab/>
        <w:t>If the Regulatory Authority asks the applicant for further information under this section, the period from the making of the request until the provision of the further information is not included in the period referred to in subsection (5).</w:t>
      </w:r>
    </w:p>
    <w:p>
      <w:pPr>
        <w:pStyle w:val="ySubsection"/>
      </w:pPr>
      <w:r>
        <w:tab/>
        <w:t>(5)</w:t>
      </w:r>
      <w:r>
        <w:tab/>
        <w:t>The Regulatory Authority must make a decision on the application within 60 days after the Regulatory Authority receives the application.</w:t>
      </w:r>
    </w:p>
    <w:p>
      <w:pPr>
        <w:pStyle w:val="ySubsection"/>
      </w:pPr>
      <w:r>
        <w:tab/>
        <w:t>(6)</w:t>
      </w:r>
      <w:r>
        <w:tab/>
        <w:t>The Regulatory Authority must decide the application by —</w:t>
      </w:r>
    </w:p>
    <w:p>
      <w:pPr>
        <w:pStyle w:val="yIndenta"/>
      </w:pPr>
      <w:r>
        <w:tab/>
        <w:t>(a)</w:t>
      </w:r>
      <w:r>
        <w:tab/>
        <w:t>amending the service approval in the way applied for; or</w:t>
      </w:r>
    </w:p>
    <w:p>
      <w:pPr>
        <w:pStyle w:val="yIndenta"/>
      </w:pPr>
      <w:r>
        <w:tab/>
        <w:t>(b)</w:t>
      </w:r>
      <w:r>
        <w:tab/>
        <w:t>with the applicant’s written agreement, amending the service approval in another way; or</w:t>
      </w:r>
    </w:p>
    <w:p>
      <w:pPr>
        <w:pStyle w:val="yIndenta"/>
      </w:pPr>
      <w:r>
        <w:tab/>
        <w:t>(c)</w:t>
      </w:r>
      <w:r>
        <w:tab/>
        <w:t>refusing to amend the service approval.</w:t>
      </w:r>
    </w:p>
    <w:p>
      <w:pPr>
        <w:pStyle w:val="ySubsection"/>
      </w:pPr>
      <w:r>
        <w:lastRenderedPageBreak/>
        <w:tab/>
        <w:t>(7)</w:t>
      </w:r>
      <w:r>
        <w:tab/>
        <w:t>Without limiting subsection (6), an amendment may vary a condition of the service approval or impose a new condition on the service approval.</w:t>
      </w:r>
    </w:p>
    <w:p>
      <w:pPr>
        <w:pStyle w:val="ySubsection"/>
      </w:pPr>
      <w:r>
        <w:tab/>
        <w:t>(8)</w:t>
      </w:r>
      <w:r>
        <w:tab/>
        <w:t>Subject to subsection (8A), an amendment cannot change a location of an education and care service.</w:t>
      </w:r>
    </w:p>
    <w:p>
      <w:pPr>
        <w:pStyle w:val="ySubsection"/>
      </w:pPr>
      <w:r>
        <w:tab/>
        <w:t>(8A)</w:t>
      </w:r>
      <w:r>
        <w:tab/>
        <w:t>The Regulatory Authority may approve a place (other than a residence) as a family day care venue for a family day care service if the Regulatory Authority considers exceptional circumstances exist.</w:t>
      </w:r>
    </w:p>
    <w:p>
      <w:pPr>
        <w:pStyle w:val="ySubsection"/>
      </w:pPr>
      <w:r>
        <w:tab/>
        <w:t>(9)</w:t>
      </w:r>
      <w:r>
        <w:tab/>
        <w:t>The Regulatory Authority must give written notice of its decision to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54 amended: No. 18 of 2018 s. 24.]</w:t>
      </w:r>
    </w:p>
    <w:p>
      <w:pPr>
        <w:pStyle w:val="yHeading5"/>
      </w:pPr>
      <w:bookmarkStart w:id="107" w:name="_Toc80611809"/>
      <w:r>
        <w:rPr>
          <w:rStyle w:val="CharSClsNo"/>
        </w:rPr>
        <w:t>55</w:t>
      </w:r>
      <w:r>
        <w:t>.</w:t>
      </w:r>
      <w:r>
        <w:tab/>
        <w:t>Amendment of service approval by Regulatory Authority</w:t>
      </w:r>
      <w:bookmarkEnd w:id="107"/>
    </w:p>
    <w:p>
      <w:pPr>
        <w:pStyle w:val="ySubsection"/>
      </w:pPr>
      <w:r>
        <w:tab/>
        <w:t>(1)</w:t>
      </w:r>
      <w:r>
        <w:tab/>
        <w:t>The Regulatory Authority may amend a service approval at any time without an application from the approved provider.</w:t>
      </w:r>
    </w:p>
    <w:p>
      <w:pPr>
        <w:pStyle w:val="ySubsection"/>
      </w:pPr>
      <w:r>
        <w:tab/>
        <w:t>(2)</w:t>
      </w:r>
      <w:r>
        <w:tab/>
        <w:t>Without limiting subsection (1), an amendment may vary a condition of the service approval or impose a new condition on the service approval.</w:t>
      </w:r>
    </w:p>
    <w:p>
      <w:pPr>
        <w:pStyle w:val="ySubsection"/>
      </w:pPr>
      <w:r>
        <w:tab/>
        <w:t>(3)</w:t>
      </w:r>
      <w:r>
        <w:tab/>
        <w:t>The Regulatory Authority must give written notice of the amendment to the approved provider.</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yHeading5"/>
      </w:pPr>
      <w:bookmarkStart w:id="108" w:name="_Toc80611810"/>
      <w:r>
        <w:rPr>
          <w:rStyle w:val="CharSClsNo"/>
        </w:rPr>
        <w:lastRenderedPageBreak/>
        <w:t>55A</w:t>
      </w:r>
      <w:r>
        <w:t>.</w:t>
      </w:r>
      <w:r>
        <w:tab/>
        <w:t>Condition relating to family day care co</w:t>
      </w:r>
      <w:r>
        <w:noBreakHyphen/>
        <w:t>ordinators</w:t>
      </w:r>
      <w:bookmarkEnd w:id="108"/>
    </w:p>
    <w:p>
      <w:pPr>
        <w:pStyle w:val="ySubsection"/>
      </w:pPr>
      <w:r>
        <w:tab/>
        <w:t>(1)</w:t>
      </w:r>
      <w:r>
        <w:tab/>
        <w:t>Without limiting section 55, an amendment under that section may impose a condition on the service approval for a family day care service requiring the approved provider to ensure that there is a minimum of 1 qualified person employed or engaged as a family day care co</w:t>
      </w:r>
      <w:r>
        <w:noBreakHyphen/>
        <w:t>ordinator for each 15 family day care educators engaged by or registered with that service.</w:t>
      </w:r>
    </w:p>
    <w:p>
      <w:pPr>
        <w:pStyle w:val="ySubsection"/>
      </w:pPr>
      <w:r>
        <w:tab/>
        <w:t>(2)</w:t>
      </w:r>
      <w:r>
        <w:tab/>
        <w:t xml:space="preserve">A condition may only be imposed under subsection (1) if — </w:t>
      </w:r>
    </w:p>
    <w:p>
      <w:pPr>
        <w:pStyle w:val="yIndenta"/>
      </w:pPr>
      <w:r>
        <w:tab/>
        <w:t>(a)</w:t>
      </w:r>
      <w:r>
        <w:tab/>
        <w:t>the family day care service has been operating for more than 12 months; and</w:t>
      </w:r>
    </w:p>
    <w:p>
      <w:pPr>
        <w:pStyle w:val="yIndenta"/>
      </w:pPr>
      <w:r>
        <w:tab/>
        <w:t>(b)</w:t>
      </w:r>
      <w:r>
        <w:tab/>
        <w:t xml:space="preserve">the Regulatory Authority — </w:t>
      </w:r>
    </w:p>
    <w:p>
      <w:pPr>
        <w:pStyle w:val="yIndenti0"/>
      </w:pPr>
      <w:r>
        <w:tab/>
        <w:t>(i)</w:t>
      </w:r>
      <w:r>
        <w:tab/>
        <w:t>has taken into account the approved provider’s capability and compliance with this Law in respect of the family day care service; and</w:t>
      </w:r>
    </w:p>
    <w:p>
      <w:pPr>
        <w:pStyle w:val="yIndenti0"/>
      </w:pPr>
      <w:r>
        <w:tab/>
        <w:t>(ii)</w:t>
      </w:r>
      <w:r>
        <w:tab/>
        <w:t>considers that family day care educators are not adequately monitored and supported by a family day care co</w:t>
      </w:r>
      <w:r>
        <w:noBreakHyphen/>
        <w:t>ordinator.</w:t>
      </w:r>
    </w:p>
    <w:p>
      <w:pPr>
        <w:pStyle w:val="ySubsection"/>
      </w:pPr>
      <w:r>
        <w:tab/>
        <w:t>(3)</w:t>
      </w:r>
      <w:r>
        <w:tab/>
        <w:t>Section 163 does not apply if a condition is imposed under subsection (1) in respect of a family day care service.</w:t>
      </w:r>
    </w:p>
    <w:p>
      <w:pPr>
        <w:pStyle w:val="ySubsection"/>
      </w:pPr>
      <w:r>
        <w:tab/>
        <w:t>(4)</w:t>
      </w:r>
      <w:r>
        <w:tab/>
        <w:t>A person is a qualified person under this section if the person has the qualifications prescribed by the national regulations.</w:t>
      </w:r>
    </w:p>
    <w:p>
      <w:pPr>
        <w:pStyle w:val="yFootnotesection"/>
      </w:pPr>
      <w:r>
        <w:tab/>
        <w:t>[Section 55A inserted: No. 18 of 2018 s. 25.]</w:t>
      </w:r>
    </w:p>
    <w:p>
      <w:pPr>
        <w:pStyle w:val="yHeading5"/>
      </w:pPr>
      <w:bookmarkStart w:id="109" w:name="_Toc80611811"/>
      <w:r>
        <w:rPr>
          <w:rStyle w:val="CharSClsNo"/>
        </w:rPr>
        <w:t>56</w:t>
      </w:r>
      <w:r>
        <w:t>.</w:t>
      </w:r>
      <w:r>
        <w:tab/>
        <w:t>Notice of change to nominated supervisor</w:t>
      </w:r>
      <w:bookmarkEnd w:id="109"/>
    </w:p>
    <w:p>
      <w:pPr>
        <w:pStyle w:val="ySubsection"/>
      </w:pPr>
      <w:r>
        <w:tab/>
        <w:t>(1)</w:t>
      </w:r>
      <w:r>
        <w:tab/>
        <w:t>The approved provider of an education and care service must give written notice to the Regulatory Authority in accordance with this section if the approved provider wishes to add a new nominated supervisor of the education and care service.</w:t>
      </w:r>
    </w:p>
    <w:p>
      <w:pPr>
        <w:pStyle w:val="ySubsection"/>
      </w:pPr>
      <w:r>
        <w:tab/>
        <w:t>(2)</w:t>
      </w:r>
      <w:r>
        <w:tab/>
        <w:t>The notice must —</w:t>
      </w:r>
    </w:p>
    <w:p>
      <w:pPr>
        <w:pStyle w:val="yIndenta"/>
      </w:pPr>
      <w:r>
        <w:tab/>
        <w:t>(a)</w:t>
      </w:r>
      <w:r>
        <w:tab/>
        <w:t xml:space="preserve">nominate one or more individuals to be nominated supervisors of the service and, unless the individual nominated is the approved provider, include from each nominated individual the written consent to the nomination; and </w:t>
      </w:r>
    </w:p>
    <w:p>
      <w:pPr>
        <w:pStyle w:val="yIndenta"/>
      </w:pPr>
      <w:r>
        <w:lastRenderedPageBreak/>
        <w:tab/>
        <w:t>(b)</w:t>
      </w:r>
      <w:r>
        <w:tab/>
        <w:t>include the prescribed information that is requested by the Regulatory Authority; and</w:t>
      </w:r>
    </w:p>
    <w:p>
      <w:pPr>
        <w:pStyle w:val="yIndenta"/>
      </w:pPr>
      <w:r>
        <w:tab/>
        <w:t>(c)</w:t>
      </w:r>
      <w:r>
        <w:tab/>
        <w:t>be given —</w:t>
      </w:r>
    </w:p>
    <w:p>
      <w:pPr>
        <w:pStyle w:val="yIndenti0"/>
      </w:pPr>
      <w:r>
        <w:tab/>
        <w:t>(i)</w:t>
      </w:r>
      <w:r>
        <w:tab/>
        <w:t>at least 7 days before the individual is to commence work as a nominated supervisor; or</w:t>
      </w:r>
    </w:p>
    <w:p>
      <w:pPr>
        <w:pStyle w:val="yIndenti0"/>
      </w:pPr>
      <w:r>
        <w:tab/>
        <w:t>(ii)</w:t>
      </w:r>
      <w:r>
        <w:tab/>
        <w:t>if that period of notice is not possible in the circumstances, as soon as practicable but not more than 14 days after the individual commences work as a nominated supervisor.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Section 173(2)(b) requires an approved provider to notify the Regulatory Authority of the removal of a nominated supervisor</w:t>
      </w:r>
    </w:p>
    <w:p>
      <w:pPr>
        <w:pStyle w:val="yMiscellaneousBody"/>
        <w:tabs>
          <w:tab w:val="left" w:pos="851"/>
          <w:tab w:val="left" w:pos="1418"/>
        </w:tabs>
        <w:ind w:left="1418" w:hanging="1418"/>
        <w:rPr>
          <w:rFonts w:ascii="Arial" w:hAnsi="Arial" w:cs="Arial"/>
          <w:sz w:val="18"/>
          <w:szCs w:val="18"/>
        </w:rPr>
      </w:pPr>
      <w:r>
        <w:tab/>
        <w:t>2.</w:t>
      </w:r>
      <w:r>
        <w:tab/>
      </w:r>
      <w:r>
        <w:rPr>
          <w:rFonts w:ascii="Arial" w:hAnsi="Arial" w:cs="Arial"/>
          <w:sz w:val="18"/>
          <w:szCs w:val="18"/>
        </w:rPr>
        <w:t xml:space="preserve">This section differs from section 56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pPr>
      <w:r>
        <w:tab/>
        <w:t>[Section 56 inserted: No. 18 of 2018 s. 26.]</w:t>
      </w:r>
    </w:p>
    <w:p>
      <w:pPr>
        <w:pStyle w:val="yHeading5"/>
      </w:pPr>
      <w:bookmarkStart w:id="110" w:name="_Toc80611812"/>
      <w:r>
        <w:rPr>
          <w:rStyle w:val="CharSClsNo"/>
        </w:rPr>
        <w:t>56A</w:t>
      </w:r>
      <w:r>
        <w:t>.</w:t>
      </w:r>
      <w:r>
        <w:tab/>
        <w:t>Notice of change of a nominated supervisor’s name or contact details</w:t>
      </w:r>
      <w:bookmarkEnd w:id="110"/>
    </w:p>
    <w:p>
      <w:pPr>
        <w:pStyle w:val="ySubsection"/>
      </w:pPr>
      <w:r>
        <w:tab/>
      </w:r>
      <w:r>
        <w:tab/>
        <w:t>The approved provider of an education and care service must give written notice to the Regulatory Authority of any change to the name or contact details of any nominated supervisor of the education and care service.</w:t>
      </w:r>
    </w:p>
    <w:p>
      <w:pPr>
        <w:pStyle w:val="yFootnotesection"/>
        <w:rPr>
          <w:rFonts w:ascii="Arial" w:hAnsi="Arial" w:cs="Arial"/>
          <w:sz w:val="18"/>
          <w:szCs w:val="18"/>
        </w:rPr>
      </w:pPr>
      <w:r>
        <w:tab/>
        <w:t>[Section 56A inserted: No. 18 of 2018 s. 26.]</w:t>
      </w:r>
    </w:p>
    <w:p>
      <w:pPr>
        <w:pStyle w:val="yHeading5"/>
      </w:pPr>
      <w:bookmarkStart w:id="111" w:name="_Toc80611813"/>
      <w:r>
        <w:rPr>
          <w:rStyle w:val="CharSClsNo"/>
        </w:rPr>
        <w:t>57</w:t>
      </w:r>
      <w:r>
        <w:t>.</w:t>
      </w:r>
      <w:r>
        <w:tab/>
        <w:t>Copy of amended service approval to be provided</w:t>
      </w:r>
      <w:bookmarkEnd w:id="111"/>
    </w:p>
    <w:p>
      <w:pPr>
        <w:pStyle w:val="ySubsection"/>
      </w:pPr>
      <w:r>
        <w:tab/>
      </w:r>
      <w:r>
        <w:tab/>
        <w:t>If the Regulatory Authority amends a service approval under this Division, the Authority must provide an amended copy of the service approval to the approved provider.</w:t>
      </w:r>
    </w:p>
    <w:p>
      <w:pPr>
        <w:pStyle w:val="yHeading4"/>
      </w:pPr>
      <w:bookmarkStart w:id="112" w:name="_Toc80608999"/>
      <w:bookmarkStart w:id="113" w:name="_Toc80611814"/>
      <w:r>
        <w:t>Division 3</w:t>
      </w:r>
      <w:r>
        <w:rPr>
          <w:b w:val="0"/>
        </w:rPr>
        <w:t xml:space="preserve"> — </w:t>
      </w:r>
      <w:r>
        <w:t>Transfer of service approval</w:t>
      </w:r>
      <w:bookmarkEnd w:id="112"/>
      <w:bookmarkEnd w:id="113"/>
    </w:p>
    <w:p>
      <w:pPr>
        <w:pStyle w:val="yHeading5"/>
        <w:spacing w:before="160"/>
      </w:pPr>
      <w:bookmarkStart w:id="114" w:name="_Toc80611815"/>
      <w:r>
        <w:rPr>
          <w:rStyle w:val="CharSClsNo"/>
        </w:rPr>
        <w:t>58</w:t>
      </w:r>
      <w:r>
        <w:t>.</w:t>
      </w:r>
      <w:r>
        <w:tab/>
        <w:t>Service approval may be transferred</w:t>
      </w:r>
      <w:bookmarkEnd w:id="114"/>
    </w:p>
    <w:p>
      <w:pPr>
        <w:pStyle w:val="ySubsection"/>
      </w:pPr>
      <w:r>
        <w:tab/>
        <w:t>(1)</w:t>
      </w:r>
      <w:r>
        <w:tab/>
        <w:t>Subject to this Division, an approved provider who holds a service approval (transferring approved provider) may transfer the service approval to another approved provider (receiving approved provider).</w:t>
      </w:r>
    </w:p>
    <w:p>
      <w:pPr>
        <w:pStyle w:val="ySubsection"/>
      </w:pPr>
      <w:r>
        <w:lastRenderedPageBreak/>
        <w:tab/>
        <w:t>(2)</w:t>
      </w:r>
      <w:r>
        <w:tab/>
        <w:t>If a service approval is transferred to a receiving approved provider the transfer includes the transfer of the service approval for any associated children’s service.</w:t>
      </w:r>
    </w:p>
    <w:p>
      <w:pPr>
        <w:pStyle w:val="ySubsection"/>
      </w:pPr>
      <w:r>
        <w:tab/>
        <w:t>(3)</w:t>
      </w:r>
      <w:r>
        <w:tab/>
        <w:t>A person who holds a provider approval may transfer a service approval held by the provider even if the provider approval or service approval is suspended.</w:t>
      </w:r>
    </w:p>
    <w:p>
      <w:pPr>
        <w:pStyle w:val="yHeading5"/>
        <w:spacing w:before="160"/>
      </w:pPr>
      <w:bookmarkStart w:id="115" w:name="_Toc80611816"/>
      <w:r>
        <w:rPr>
          <w:rStyle w:val="CharSClsNo"/>
        </w:rPr>
        <w:t>59</w:t>
      </w:r>
      <w:r>
        <w:t>.</w:t>
      </w:r>
      <w:r>
        <w:tab/>
        <w:t>Regulatory Authority to be notified of transfer</w:t>
      </w:r>
      <w:bookmarkEnd w:id="115"/>
    </w:p>
    <w:p>
      <w:pPr>
        <w:pStyle w:val="ySubsection"/>
      </w:pPr>
      <w:r>
        <w:tab/>
        <w:t>(1)</w:t>
      </w:r>
      <w:r>
        <w:tab/>
        <w:t>The transferring approved provider and the receiving approved provider must jointly notify the Regulatory Authority of the transfer —</w:t>
      </w:r>
    </w:p>
    <w:p>
      <w:pPr>
        <w:pStyle w:val="yIndenta"/>
      </w:pPr>
      <w:r>
        <w:tab/>
        <w:t>(a)</w:t>
      </w:r>
      <w:r>
        <w:tab/>
        <w:t>at least 42 days before the transfer is intended to take effect; or</w:t>
      </w:r>
    </w:p>
    <w:p>
      <w:pPr>
        <w:pStyle w:val="yIndenta"/>
      </w:pPr>
      <w:r>
        <w:tab/>
        <w:t>(b)</w:t>
      </w:r>
      <w:r>
        <w:tab/>
        <w:t>if the Regulatory Authority considers that the circumstances are exceptional, a lesser period agreed to by the Regulatory Authority.</w:t>
      </w:r>
    </w:p>
    <w:p>
      <w:pPr>
        <w:pStyle w:val="ySubsection"/>
      </w:pPr>
      <w:r>
        <w:tab/>
        <w:t>(2)</w:t>
      </w:r>
      <w:r>
        <w:tab/>
        <w:t>The notice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59 amended: No. 18 of 2018 s. 90.]</w:t>
      </w:r>
    </w:p>
    <w:p>
      <w:pPr>
        <w:pStyle w:val="yHeading5"/>
      </w:pPr>
      <w:bookmarkStart w:id="116" w:name="_Toc80611817"/>
      <w:r>
        <w:rPr>
          <w:rStyle w:val="CharSClsNo"/>
        </w:rPr>
        <w:t>60</w:t>
      </w:r>
      <w:r>
        <w:t>.</w:t>
      </w:r>
      <w:r>
        <w:tab/>
        <w:t>Consent of Regulatory Authority required for transfer</w:t>
      </w:r>
      <w:bookmarkEnd w:id="116"/>
    </w:p>
    <w:p>
      <w:pPr>
        <w:pStyle w:val="ySubsection"/>
      </w:pPr>
      <w:r>
        <w:tab/>
      </w:r>
      <w:r>
        <w:tab/>
        <w:t>A service approval cannot be transferred without the consent of the Regulatory Authority.</w:t>
      </w:r>
    </w:p>
    <w:p>
      <w:pPr>
        <w:pStyle w:val="yHeading5"/>
      </w:pPr>
      <w:bookmarkStart w:id="117" w:name="_Toc80611818"/>
      <w:r>
        <w:rPr>
          <w:rStyle w:val="CharSClsNo"/>
        </w:rPr>
        <w:t>61</w:t>
      </w:r>
      <w:r>
        <w:t>.</w:t>
      </w:r>
      <w:r>
        <w:tab/>
        <w:t>Consent taken to be given unless Regulatory Authority intervenes</w:t>
      </w:r>
      <w:bookmarkEnd w:id="117"/>
    </w:p>
    <w:p>
      <w:pPr>
        <w:pStyle w:val="ySubsection"/>
      </w:pPr>
      <w:r>
        <w:tab/>
      </w:r>
      <w:r>
        <w:tab/>
        <w:t>The Regulatory Authority is taken to have consented to the transfer of a service approval if —</w:t>
      </w:r>
    </w:p>
    <w:p>
      <w:pPr>
        <w:pStyle w:val="yIndenta"/>
      </w:pPr>
      <w:r>
        <w:tab/>
        <w:t>(a)</w:t>
      </w:r>
      <w:r>
        <w:tab/>
        <w:t>the parties have given a notification under section 59; and</w:t>
      </w:r>
    </w:p>
    <w:p>
      <w:pPr>
        <w:pStyle w:val="yIndenta"/>
      </w:pPr>
      <w:r>
        <w:lastRenderedPageBreak/>
        <w:tab/>
        <w:t>(b)</w:t>
      </w:r>
      <w:r>
        <w:tab/>
        <w:t>28 days before the transfer is intended to take effect, the Regulatory Authority has not notified the parties that it intends to intervene under section 62.</w:t>
      </w:r>
    </w:p>
    <w:p>
      <w:pPr>
        <w:pStyle w:val="yHeading5"/>
      </w:pPr>
      <w:bookmarkStart w:id="118" w:name="_Toc80611819"/>
      <w:r>
        <w:rPr>
          <w:rStyle w:val="CharSClsNo"/>
        </w:rPr>
        <w:t>62</w:t>
      </w:r>
      <w:r>
        <w:t>.</w:t>
      </w:r>
      <w:r>
        <w:tab/>
        <w:t>Transfer may be subject to intervention by Regulatory Authority</w:t>
      </w:r>
      <w:bookmarkEnd w:id="118"/>
    </w:p>
    <w:p>
      <w:pPr>
        <w:pStyle w:val="ySubsection"/>
      </w:pPr>
      <w:r>
        <w:tab/>
        <w:t>(1)</w:t>
      </w:r>
      <w:r>
        <w:tab/>
        <w:t>The Regulatory Authority may intervene in a transfer of a service approval if the Regulatory Authority is concerned as to any of the following matters —</w:t>
      </w:r>
    </w:p>
    <w:p>
      <w:pPr>
        <w:pStyle w:val="y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yIndenta"/>
      </w:pPr>
      <w:r>
        <w:tab/>
        <w:t>(b)</w:t>
      </w:r>
      <w:r>
        <w:tab/>
        <w:t>the receiving approved provider’s history of compliance with this Law as applying in a participating jurisdiction, including in relation to any other education and care service it operates;</w:t>
      </w:r>
    </w:p>
    <w:p>
      <w:pPr>
        <w:pStyle w:val="yIndenta"/>
      </w:pPr>
      <w:r>
        <w:tab/>
        <w:t>(c)</w:t>
      </w:r>
      <w:r>
        <w:tab/>
        <w:t>any other matter relevant to the transfer of the service approval.</w:t>
      </w:r>
    </w:p>
    <w:p>
      <w:pPr>
        <w:pStyle w:val="ySubsection"/>
      </w:pPr>
      <w:r>
        <w:tab/>
        <w:t>(2)</w:t>
      </w:r>
      <w:r>
        <w:tab/>
        <w:t>The Regulatory Authority must notify the transferring approved provider and the receiving approved provider of the decision to intervene.</w:t>
      </w:r>
    </w:p>
    <w:p>
      <w:pPr>
        <w:pStyle w:val="ySubsection"/>
      </w:pPr>
      <w:r>
        <w:tab/>
        <w:t>(3)</w:t>
      </w:r>
      <w:r>
        <w:tab/>
        <w:t>Subject to subsection (5), the notice must be given at least 28 days before the date on which the transfer is intended to take effect.</w:t>
      </w:r>
    </w:p>
    <w:p>
      <w:pPr>
        <w:pStyle w:val="ySubsection"/>
      </w:pPr>
      <w:r>
        <w:tab/>
        <w:t>(4)</w:t>
      </w:r>
      <w:r>
        <w:tab/>
        <w:t>A notification under subsection (2) must be in writing.</w:t>
      </w:r>
    </w:p>
    <w:p>
      <w:pPr>
        <w:pStyle w:val="ySubsection"/>
      </w:pPr>
      <w:r>
        <w:tab/>
        <w:t>(5)</w:t>
      </w:r>
      <w:r>
        <w:tab/>
        <w:t>The period within which notice must be given under subsection (3) does not apply where the Regulatory Authority has not been notified of the intended transfer of a service approval in accordance with section 59.</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62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62 amended: No. 18 of 2018 s. 27.]</w:t>
      </w:r>
    </w:p>
    <w:p>
      <w:pPr>
        <w:pStyle w:val="yHeading5"/>
      </w:pPr>
      <w:bookmarkStart w:id="119" w:name="_Toc80611820"/>
      <w:r>
        <w:rPr>
          <w:rStyle w:val="CharSClsNo"/>
        </w:rPr>
        <w:t>63</w:t>
      </w:r>
      <w:r>
        <w:t>.</w:t>
      </w:r>
      <w:r>
        <w:tab/>
        <w:t>Effect of intervention</w:t>
      </w:r>
      <w:bookmarkEnd w:id="119"/>
    </w:p>
    <w:p>
      <w:pPr>
        <w:pStyle w:val="ySubsection"/>
      </w:pPr>
      <w:r>
        <w:tab/>
      </w:r>
      <w:r>
        <w:tab/>
        <w:t>If the Regulatory Authority intervenes under section 62, the transfer must not proceed unless and until the Regulatory Authority gives written consent to the transfer.</w:t>
      </w:r>
    </w:p>
    <w:p>
      <w:pPr>
        <w:pStyle w:val="yHeading5"/>
      </w:pPr>
      <w:bookmarkStart w:id="120" w:name="_Toc80611821"/>
      <w:r>
        <w:rPr>
          <w:rStyle w:val="CharSClsNo"/>
        </w:rPr>
        <w:lastRenderedPageBreak/>
        <w:t>64</w:t>
      </w:r>
      <w:r>
        <w:t>.</w:t>
      </w:r>
      <w:r>
        <w:tab/>
        <w:t>Regulatory Authority may request further information</w:t>
      </w:r>
      <w:bookmarkEnd w:id="120"/>
    </w:p>
    <w:p>
      <w:pPr>
        <w:pStyle w:val="ySubsection"/>
      </w:pPr>
      <w:r>
        <w:tab/>
      </w:r>
      <w:r>
        <w:tab/>
        <w:t>If the Regulatory Authority has intervened under section 62, the Regulatory Authority may —</w:t>
      </w:r>
    </w:p>
    <w:p>
      <w:pPr>
        <w:pStyle w:val="yIndenta"/>
      </w:pPr>
      <w:r>
        <w:tab/>
        <w:t>(a)</w:t>
      </w:r>
      <w:r>
        <w:tab/>
        <w:t>request further information from the transferring approved provider or receiving approved provider for the purposes of deciding whether to consent to the transfer; and</w:t>
      </w:r>
    </w:p>
    <w:p>
      <w:pPr>
        <w:pStyle w:val="yIndenta"/>
      </w:pPr>
      <w:r>
        <w:tab/>
        <w:t>(b)</w:t>
      </w:r>
      <w:r>
        <w:tab/>
        <w:t>undertake inquiries in relation to the receiving approved provider for that purpose.</w:t>
      </w:r>
    </w:p>
    <w:p>
      <w:pPr>
        <w:pStyle w:val="yHeading5"/>
      </w:pPr>
      <w:bookmarkStart w:id="121" w:name="_Toc80611822"/>
      <w:r>
        <w:rPr>
          <w:rStyle w:val="CharSClsNo"/>
        </w:rPr>
        <w:t>65</w:t>
      </w:r>
      <w:r>
        <w:t>.</w:t>
      </w:r>
      <w:r>
        <w:tab/>
        <w:t>Decision after intervention</w:t>
      </w:r>
      <w:bookmarkEnd w:id="121"/>
    </w:p>
    <w:p>
      <w:pPr>
        <w:pStyle w:val="ySubsection"/>
      </w:pPr>
      <w:r>
        <w:tab/>
        <w:t>(1)</w:t>
      </w:r>
      <w:r>
        <w:tab/>
        <w:t>If the Regulatory Authority has intervened under section 62, it may decide —</w:t>
      </w:r>
    </w:p>
    <w:p>
      <w:pPr>
        <w:pStyle w:val="yIndenta"/>
      </w:pPr>
      <w:r>
        <w:tab/>
        <w:t>(a)</w:t>
      </w:r>
      <w:r>
        <w:tab/>
        <w:t>to consent to the proposed transfer; or</w:t>
      </w:r>
    </w:p>
    <w:p>
      <w:pPr>
        <w:pStyle w:val="yIndenta"/>
      </w:pPr>
      <w:r>
        <w:tab/>
        <w:t>(b)</w:t>
      </w:r>
      <w:r>
        <w:tab/>
        <w:t>to refuse to consent to the proposed transfer.</w:t>
      </w:r>
    </w:p>
    <w:p>
      <w:pPr>
        <w:pStyle w:val="ySubsection"/>
      </w:pPr>
      <w:r>
        <w:tab/>
        <w:t>(2)</w:t>
      </w:r>
      <w:r>
        <w:tab/>
        <w:t>If the Regulatory Authority consents to the proposed transfer the Regulatory Authority may impose conditions on the consent, including specifying the date on which the proposed transfer is to take effect.</w:t>
      </w:r>
    </w:p>
    <w:p>
      <w:pPr>
        <w:pStyle w:val="ySubsection"/>
      </w:pPr>
      <w:r>
        <w:tab/>
        <w:t>(3)</w:t>
      </w:r>
      <w:r>
        <w:tab/>
        <w:t>The service approval must be transferred in accordance with the conditions imposed on the consent.</w:t>
      </w:r>
    </w:p>
    <w:p>
      <w:pPr>
        <w:pStyle w:val="yHeading5"/>
      </w:pPr>
      <w:bookmarkStart w:id="122" w:name="_Toc80611823"/>
      <w:r>
        <w:rPr>
          <w:rStyle w:val="CharSClsNo"/>
        </w:rPr>
        <w:t>66</w:t>
      </w:r>
      <w:r>
        <w:t>.</w:t>
      </w:r>
      <w:r>
        <w:tab/>
        <w:t>Regulatory Authority to notify outcome 7 days before transfer</w:t>
      </w:r>
      <w:bookmarkEnd w:id="122"/>
    </w:p>
    <w:p>
      <w:pPr>
        <w:pStyle w:val="y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yIndenta"/>
      </w:pPr>
      <w:r>
        <w:tab/>
        <w:t>(a)</w:t>
      </w:r>
      <w:r>
        <w:tab/>
        <w:t>consents to the transfer; or</w:t>
      </w:r>
    </w:p>
    <w:p>
      <w:pPr>
        <w:pStyle w:val="yIndenta"/>
      </w:pPr>
      <w:r>
        <w:tab/>
        <w:t>(b)</w:t>
      </w:r>
      <w:r>
        <w:tab/>
        <w:t>refuses to consent to the transfer; or</w:t>
      </w:r>
    </w:p>
    <w:p>
      <w:pPr>
        <w:pStyle w:val="yIndenta"/>
      </w:pPr>
      <w:r>
        <w:tab/>
        <w:t>(c)</w:t>
      </w:r>
      <w:r>
        <w:tab/>
        <w:t>has suspended further consideration of the transfer until further information is received and that the transfer may not proceed until a further notice is given under this section consenting to the transfer; or</w:t>
      </w:r>
    </w:p>
    <w:p>
      <w:pPr>
        <w:pStyle w:val="yIndenta"/>
      </w:pPr>
      <w:r>
        <w:tab/>
        <w:t>(d)</w:t>
      </w:r>
      <w:r>
        <w:tab/>
        <w:t xml:space="preserve">has not yet made a decision on the transfer and that the Regulatory Authority will make a decision on the transfer within 28 days and that the transfer may not proceed until a </w:t>
      </w:r>
      <w:r>
        <w:lastRenderedPageBreak/>
        <w:t>further notice is given under this section consenting to the transfer.</w:t>
      </w:r>
    </w:p>
    <w:p>
      <w:pPr>
        <w:pStyle w:val="ySubsection"/>
      </w:pPr>
      <w:r>
        <w:tab/>
        <w:t>(2)</w:t>
      </w:r>
      <w:r>
        <w:tab/>
        <w:t>If the Regulatory Authority consents to the transfer, the notice —</w:t>
      </w:r>
    </w:p>
    <w:p>
      <w:pPr>
        <w:pStyle w:val="yIndenta"/>
      </w:pPr>
      <w:r>
        <w:tab/>
        <w:t>(a)</w:t>
      </w:r>
      <w:r>
        <w:tab/>
        <w:t>must specify —</w:t>
      </w:r>
    </w:p>
    <w:p>
      <w:pPr>
        <w:pStyle w:val="yIndenti0"/>
      </w:pPr>
      <w:r>
        <w:tab/>
        <w:t>(i)</w:t>
      </w:r>
      <w:r>
        <w:tab/>
        <w:t>the date on which the transfer is to take effect; and</w:t>
      </w:r>
    </w:p>
    <w:p>
      <w:pPr>
        <w:pStyle w:val="yIndenti0"/>
      </w:pPr>
      <w:r>
        <w:tab/>
        <w:t>(ii)</w:t>
      </w:r>
      <w:r>
        <w:tab/>
        <w:t>any conditions on the consent to the transfer; and</w:t>
      </w:r>
    </w:p>
    <w:p>
      <w:pPr>
        <w:pStyle w:val="yIndenta"/>
      </w:pPr>
      <w:r>
        <w:tab/>
        <w:t>(b)</w:t>
      </w:r>
      <w:r>
        <w:tab/>
        <w:t>may include notice of any condition that the Regulatory Authority has imposed on the provider approval or a service approval of the receiving approved provider because of the transfer.</w:t>
      </w:r>
    </w:p>
    <w:p>
      <w:pPr>
        <w:pStyle w:val="ySubsection"/>
      </w:pPr>
      <w:r>
        <w:tab/>
        <w:t>(3)</w:t>
      </w:r>
      <w:r>
        <w:tab/>
        <w:t>If the Regulatory Authority refuses to consent to the transfer, the notice must include the reasons for the refusal.</w:t>
      </w:r>
    </w:p>
    <w:p>
      <w:pPr>
        <w:pStyle w:val="yHeading5"/>
      </w:pPr>
      <w:bookmarkStart w:id="123" w:name="_Toc80611824"/>
      <w:r>
        <w:rPr>
          <w:rStyle w:val="CharSClsNo"/>
        </w:rPr>
        <w:t>67</w:t>
      </w:r>
      <w:r>
        <w:t>.</w:t>
      </w:r>
      <w:r>
        <w:tab/>
        <w:t>Transfer of service approval without consent is void</w:t>
      </w:r>
      <w:bookmarkEnd w:id="123"/>
    </w:p>
    <w:p>
      <w:pPr>
        <w:pStyle w:val="ySubsection"/>
      </w:pPr>
      <w:r>
        <w:tab/>
      </w:r>
      <w:r>
        <w:tab/>
        <w:t>A transfer of a service approval is void if —</w:t>
      </w:r>
    </w:p>
    <w:p>
      <w:pPr>
        <w:pStyle w:val="yIndenta"/>
      </w:pPr>
      <w:r>
        <w:tab/>
        <w:t>(a)</w:t>
      </w:r>
      <w:r>
        <w:tab/>
        <w:t>it is made without the consent of the Regulatory Authority; or</w:t>
      </w:r>
    </w:p>
    <w:p>
      <w:pPr>
        <w:pStyle w:val="yIndenta"/>
      </w:pPr>
      <w:r>
        <w:tab/>
        <w:t>(b)</w:t>
      </w:r>
      <w:r>
        <w:tab/>
        <w:t>it is made in contravention of the conditions imposed by the Regulatory Authority on the consent to the transfer; or</w:t>
      </w:r>
    </w:p>
    <w:p>
      <w:pPr>
        <w:pStyle w:val="yIndenta"/>
      </w:pPr>
      <w:r>
        <w:tab/>
        <w:t>(c)</w:t>
      </w:r>
      <w:r>
        <w:tab/>
        <w:t>it is made to a person who is not the approved provider who gave the notification under section 59 as the receiving approved provider.</w:t>
      </w:r>
    </w:p>
    <w:p>
      <w:pPr>
        <w:pStyle w:val="yHeading5"/>
      </w:pPr>
      <w:bookmarkStart w:id="124" w:name="_Toc80611825"/>
      <w:r>
        <w:rPr>
          <w:rStyle w:val="CharSClsNo"/>
        </w:rPr>
        <w:t>68</w:t>
      </w:r>
      <w:r>
        <w:t>.</w:t>
      </w:r>
      <w:r>
        <w:tab/>
        <w:t>Confirmation of transfer</w:t>
      </w:r>
      <w:bookmarkEnd w:id="124"/>
    </w:p>
    <w:p>
      <w:pPr>
        <w:pStyle w:val="ySubsection"/>
      </w:pPr>
      <w:r>
        <w:tab/>
        <w:t>(1)</w:t>
      </w:r>
      <w:r>
        <w:tab/>
        <w:t>The transferring approved provider and the receiving approved provider must give written notice to the Regulatory Authority within 2 days after the transfer takes effect specifying the date of the transfer.</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On receipt of a notice under this section, the Regulatory Authority must amend the service approval and provide an amended copy of the service approval to the receiving approved provider.</w:t>
      </w:r>
    </w:p>
    <w:p>
      <w:pPr>
        <w:pStyle w:val="ySubsection"/>
      </w:pPr>
      <w:r>
        <w:tab/>
        <w:t>(3)</w:t>
      </w:r>
      <w:r>
        <w:tab/>
        <w:t>The amendment to the service approval is taken to take effect on the date of the transfer.</w:t>
      </w:r>
    </w:p>
    <w:p>
      <w:pPr>
        <w:pStyle w:val="ySubsection"/>
      </w:pPr>
      <w:r>
        <w:lastRenderedPageBreak/>
        <w:tab/>
        <w:t>(4)</w:t>
      </w:r>
      <w:r>
        <w:tab/>
        <w:t>An approved provider who gives notice under this section is not guilty of an offence for a failure of any other person to give that notice.</w:t>
      </w:r>
    </w:p>
    <w:p>
      <w:pPr>
        <w:pStyle w:val="yHeading5"/>
      </w:pPr>
      <w:bookmarkStart w:id="125" w:name="_Toc80611826"/>
      <w:r>
        <w:rPr>
          <w:rStyle w:val="CharSClsNo"/>
        </w:rPr>
        <w:t>69</w:t>
      </w:r>
      <w:r>
        <w:rPr>
          <w:b w:val="0"/>
        </w:rPr>
        <w:t>.</w:t>
      </w:r>
      <w:r>
        <w:rPr>
          <w:b w:val="0"/>
        </w:rPr>
        <w:tab/>
      </w:r>
      <w:r>
        <w:t>Notice to parents</w:t>
      </w:r>
      <w:bookmarkEnd w:id="125"/>
    </w:p>
    <w:p>
      <w:pPr>
        <w:pStyle w:val="ySubsection"/>
      </w:pPr>
      <w:r>
        <w:tab/>
        <w:t>(1)</w:t>
      </w:r>
      <w:r>
        <w:tab/>
        <w:t>The receiving approved provider must give written notice to the parents of children enrolled at an education and care service of the transfer of the service approval for that service to that provider.</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Subsection"/>
      </w:pPr>
      <w:r>
        <w:tab/>
        <w:t>(2)</w:t>
      </w:r>
      <w:r>
        <w:tab/>
        <w:t>The notice must be given at least 2 days before the date on which the transfer of the service approval takes effect.</w:t>
      </w:r>
    </w:p>
    <w:p>
      <w:pPr>
        <w:pStyle w:val="yHeading4"/>
      </w:pPr>
      <w:bookmarkStart w:id="126" w:name="_Toc80609012"/>
      <w:bookmarkStart w:id="127" w:name="_Toc80611827"/>
      <w:r>
        <w:t>Division 4</w:t>
      </w:r>
      <w:r>
        <w:rPr>
          <w:b w:val="0"/>
        </w:rPr>
        <w:t xml:space="preserve"> — </w:t>
      </w:r>
      <w:r>
        <w:t>Suspension or cancellation of service approval</w:t>
      </w:r>
      <w:bookmarkEnd w:id="126"/>
      <w:bookmarkEnd w:id="127"/>
    </w:p>
    <w:p>
      <w:pPr>
        <w:pStyle w:val="yHeading5"/>
      </w:pPr>
      <w:bookmarkStart w:id="128" w:name="_Toc80611828"/>
      <w:r>
        <w:rPr>
          <w:rStyle w:val="CharSClsNo"/>
        </w:rPr>
        <w:t>70</w:t>
      </w:r>
      <w:r>
        <w:t>.</w:t>
      </w:r>
      <w:r>
        <w:tab/>
        <w:t>Grounds for suspension of service approval</w:t>
      </w:r>
      <w:bookmarkEnd w:id="128"/>
    </w:p>
    <w:p>
      <w:pPr>
        <w:pStyle w:val="ySubsection"/>
      </w:pPr>
      <w:r>
        <w:tab/>
        <w:t>(1)</w:t>
      </w:r>
      <w:r>
        <w:tab/>
        <w:t>A Regulatory Authority may suspend a service approval if —</w:t>
      </w:r>
    </w:p>
    <w:p>
      <w:pPr>
        <w:pStyle w:val="yIndenta"/>
      </w:pPr>
      <w:r>
        <w:tab/>
        <w:t>(a)</w:t>
      </w:r>
      <w:r>
        <w:tab/>
        <w:t>the Regulatory Authority reasonably believes that it would not be in the best interests of children being educated and cared for by the service for the service to continue; or</w:t>
      </w:r>
    </w:p>
    <w:p>
      <w:pPr>
        <w:pStyle w:val="yIndenta"/>
      </w:pPr>
      <w:r>
        <w:tab/>
        <w:t>(b)</w:t>
      </w:r>
      <w:r>
        <w:tab/>
        <w:t>a condition of the service approval has not been complied with; or</w:t>
      </w:r>
    </w:p>
    <w:p>
      <w:pPr>
        <w:pStyle w:val="yIndenta"/>
      </w:pPr>
      <w:r>
        <w:tab/>
        <w:t>(c)</w:t>
      </w:r>
      <w:r>
        <w:tab/>
        <w:t>the service is not being managed in accordance with this Law; or</w:t>
      </w:r>
    </w:p>
    <w:p>
      <w:pPr>
        <w:pStyle w:val="yIndenta"/>
      </w:pPr>
      <w:r>
        <w:tab/>
        <w:t>(d)</w:t>
      </w:r>
      <w:r>
        <w:tab/>
        <w:t>the service has operated at a rating level as not meeting the National Quality Standard and —</w:t>
      </w:r>
    </w:p>
    <w:p>
      <w:pPr>
        <w:pStyle w:val="yIndenti0"/>
      </w:pPr>
      <w:r>
        <w:tab/>
        <w:t>(i)</w:t>
      </w:r>
      <w:r>
        <w:tab/>
        <w:t>a service waiver or temporary waiver does not apply to the service in respect of that non</w:t>
      </w:r>
      <w:r>
        <w:noBreakHyphen/>
        <w:t>compliance; and</w:t>
      </w:r>
    </w:p>
    <w:p>
      <w:pPr>
        <w:pStyle w:val="yIndenti0"/>
      </w:pPr>
      <w:r>
        <w:tab/>
        <w:t>(ii)</w:t>
      </w:r>
      <w:r>
        <w:tab/>
        <w:t>there has been no improvement in the rating level; or</w:t>
      </w:r>
    </w:p>
    <w:p>
      <w:pPr>
        <w:pStyle w:val="yIndenta"/>
      </w:pPr>
      <w:r>
        <w:tab/>
        <w:t>(e)</w:t>
      </w:r>
      <w:r>
        <w:tab/>
        <w:t>the approved provider has contravened this Law as applying in any participating jurisdiction; or</w:t>
      </w:r>
    </w:p>
    <w:p>
      <w:pPr>
        <w:pStyle w:val="yIndenta"/>
      </w:pPr>
      <w:r>
        <w:tab/>
        <w:t>(f)</w:t>
      </w:r>
      <w:r>
        <w:tab/>
        <w:t>the approved provider has failed to comply with a direction, compliance notice or emergency order under this Law as applying in any participating jurisdiction in relation to the service; or</w:t>
      </w:r>
    </w:p>
    <w:p>
      <w:pPr>
        <w:pStyle w:val="yIndenta"/>
        <w:keepNext/>
      </w:pPr>
      <w:r>
        <w:lastRenderedPageBreak/>
        <w:tab/>
        <w:t>(g)</w:t>
      </w:r>
      <w:r>
        <w:tab/>
        <w:t>the approved provider has —</w:t>
      </w:r>
    </w:p>
    <w:p>
      <w:pPr>
        <w:pStyle w:val="yIndenti0"/>
        <w:keepNext/>
      </w:pPr>
      <w:r>
        <w:tab/>
        <w:t>(i)</w:t>
      </w:r>
      <w:r>
        <w:tab/>
        <w:t>ceased to operate the education and care service at the education and care service premises for which the service approval was granted; and</w:t>
      </w:r>
    </w:p>
    <w:p>
      <w:pPr>
        <w:pStyle w:val="yIndenti0"/>
      </w:pPr>
      <w:r>
        <w:tab/>
        <w:t>(ii)</w:t>
      </w:r>
      <w:r>
        <w:tab/>
        <w:t>within 6 months of ceasing to operate the service, has not transferred the service to another approved provider; or</w:t>
      </w:r>
    </w:p>
    <w:p>
      <w:pPr>
        <w:pStyle w:val="yIndenta"/>
        <w:spacing w:before="60"/>
      </w:pPr>
      <w:r>
        <w:tab/>
        <w:t>(h)</w:t>
      </w:r>
      <w:r>
        <w:tab/>
        <w:t>the approved provider has not, within 6 months after being granted a service approval, commenced ongoing operation of the service; or</w:t>
      </w:r>
    </w:p>
    <w:p>
      <w:pPr>
        <w:pStyle w:val="yIndenta"/>
        <w:spacing w:before="60"/>
      </w:pPr>
      <w:r>
        <w:tab/>
        <w:t>(i)</w:t>
      </w:r>
      <w:r>
        <w:tab/>
        <w:t xml:space="preserve">the approved provider has not paid — </w:t>
      </w:r>
    </w:p>
    <w:p>
      <w:pPr>
        <w:pStyle w:val="yIndenti0"/>
      </w:pPr>
      <w:r>
        <w:tab/>
        <w:t>(i)</w:t>
      </w:r>
      <w:r>
        <w:tab/>
        <w:t>an amount due under a monetary order made under, or in relation to proceedings commenced by an allegation made under, section 188AB; or</w:t>
      </w:r>
    </w:p>
    <w:p>
      <w:pPr>
        <w:pStyle w:val="yIndenti0"/>
      </w:pPr>
      <w:r>
        <w:tab/>
        <w:t>(ii)</w:t>
      </w:r>
      <w:r>
        <w:tab/>
        <w:t>any outstanding prescribed fees.</w:t>
      </w:r>
    </w:p>
    <w:p>
      <w:pPr>
        <w:pStyle w:val="ySubsection"/>
        <w:spacing w:before="120"/>
      </w:pPr>
      <w:r>
        <w:tab/>
        <w:t>(2)</w:t>
      </w:r>
      <w:r>
        <w:tab/>
        <w:t xml:space="preserve">In subsection (1) — </w:t>
      </w:r>
    </w:p>
    <w:p>
      <w:pPr>
        <w:pStyle w:val="yDefstart"/>
      </w:pPr>
      <w:r>
        <w:tab/>
      </w:r>
      <w:r>
        <w:rPr>
          <w:rStyle w:val="CharDefText"/>
        </w:rPr>
        <w:t>monetary order</w:t>
      </w:r>
      <w:r>
        <w:t xml:space="preserve"> has the meaning given in the </w:t>
      </w:r>
      <w:r>
        <w:rPr>
          <w:i/>
        </w:rPr>
        <w:t>State Administrative Tribunal Act 2004</w:t>
      </w:r>
      <w:r>
        <w:t xml:space="preserve"> section 3(1).</w:t>
      </w:r>
    </w:p>
    <w:p>
      <w:pPr>
        <w:pStyle w:val="yMiscellaneousBody"/>
        <w:tabs>
          <w:tab w:val="left" w:pos="851"/>
          <w:tab w:val="left" w:pos="1418"/>
        </w:tabs>
        <w:spacing w:before="120"/>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70 amended: No. 18 of 2018 s. 28.]</w:t>
      </w:r>
    </w:p>
    <w:p>
      <w:pPr>
        <w:pStyle w:val="yHeading5"/>
        <w:spacing w:before="180"/>
      </w:pPr>
      <w:bookmarkStart w:id="129" w:name="_Toc80611829"/>
      <w:r>
        <w:rPr>
          <w:rStyle w:val="CharSClsNo"/>
        </w:rPr>
        <w:t>71</w:t>
      </w:r>
      <w:r>
        <w:t>.</w:t>
      </w:r>
      <w:r>
        <w:tab/>
        <w:t>Show cause notice before suspension</w:t>
      </w:r>
      <w:bookmarkEnd w:id="129"/>
    </w:p>
    <w:p>
      <w:pPr>
        <w:pStyle w:val="ySubsection"/>
        <w:spacing w:before="120"/>
      </w:pPr>
      <w:r>
        <w:tab/>
        <w:t>(1)</w:t>
      </w:r>
      <w:r>
        <w:tab/>
        <w:t>This section applies if the Regulatory Authority is considering the suspension of a service approval under section 70.</w:t>
      </w:r>
    </w:p>
    <w:p>
      <w:pPr>
        <w:pStyle w:val="ySubsection"/>
        <w:spacing w:before="120"/>
      </w:pPr>
      <w:r>
        <w:tab/>
        <w:t>(2)</w:t>
      </w:r>
      <w:r>
        <w:tab/>
        <w:t>The Regulatory Authority must first give the approved provider a notice (show cause notice) stating —</w:t>
      </w:r>
    </w:p>
    <w:p>
      <w:pPr>
        <w:pStyle w:val="yIndenta"/>
        <w:spacing w:before="60"/>
      </w:pPr>
      <w:r>
        <w:tab/>
        <w:t>(a)</w:t>
      </w:r>
      <w:r>
        <w:tab/>
        <w:t>that the Regulatory Authority intends to suspend the service approval; and</w:t>
      </w:r>
    </w:p>
    <w:p>
      <w:pPr>
        <w:pStyle w:val="yIndenta"/>
        <w:spacing w:before="60"/>
      </w:pPr>
      <w:r>
        <w:tab/>
        <w:t>(b)</w:t>
      </w:r>
      <w:r>
        <w:tab/>
        <w:t>the proposed period of suspension; and</w:t>
      </w:r>
    </w:p>
    <w:p>
      <w:pPr>
        <w:pStyle w:val="yIndenta"/>
        <w:spacing w:before="60"/>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130" w:name="_Toc80611830"/>
      <w:r>
        <w:rPr>
          <w:rStyle w:val="CharSClsNo"/>
        </w:rPr>
        <w:lastRenderedPageBreak/>
        <w:t>72</w:t>
      </w:r>
      <w:r>
        <w:t>.</w:t>
      </w:r>
      <w:r>
        <w:tab/>
        <w:t>Decision in relation to suspension</w:t>
      </w:r>
      <w:bookmarkEnd w:id="130"/>
    </w:p>
    <w:p>
      <w:pPr>
        <w:pStyle w:val="ySubsection"/>
      </w:pPr>
      <w:r>
        <w:tab/>
      </w:r>
      <w:r>
        <w:tab/>
        <w:t>After considering any written response from the approved provider received within the time allowed by section 71(2)(d), the Regulatory Authority may —</w:t>
      </w:r>
    </w:p>
    <w:p>
      <w:pPr>
        <w:pStyle w:val="yIndenta"/>
      </w:pPr>
      <w:r>
        <w:tab/>
        <w:t>(a)</w:t>
      </w:r>
      <w:r>
        <w:tab/>
        <w:t>if the suspension was proposed on the ground referred to in section 70(1)(a), (c) or (d), accept an undertaking from the approved provider under section 179A; or</w:t>
      </w:r>
    </w:p>
    <w:p>
      <w:pPr>
        <w:pStyle w:val="yIndenta"/>
      </w:pPr>
      <w:r>
        <w:tab/>
        <w:t>(b)</w:t>
      </w:r>
      <w:r>
        <w:tab/>
        <w:t xml:space="preserve">in any case — </w:t>
      </w:r>
    </w:p>
    <w:p>
      <w:pPr>
        <w:pStyle w:val="yIndenti0"/>
      </w:pPr>
      <w:r>
        <w:tab/>
        <w:t>(i)</w:t>
      </w:r>
      <w:r>
        <w:tab/>
        <w:t>suspend the service approval for a period not more than the prescribed period; or</w:t>
      </w:r>
    </w:p>
    <w:p>
      <w:pPr>
        <w:pStyle w:val="yIndenti0"/>
      </w:pPr>
      <w:r>
        <w:tab/>
        <w:t>(ii)</w:t>
      </w:r>
      <w:r>
        <w:tab/>
        <w:t>decide not to suspend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72 amended: No. 18 of 2018 s. 29.]</w:t>
      </w:r>
    </w:p>
    <w:p>
      <w:pPr>
        <w:pStyle w:val="yHeading5"/>
      </w:pPr>
      <w:bookmarkStart w:id="131" w:name="_Toc80611831"/>
      <w:r>
        <w:rPr>
          <w:rStyle w:val="CharSClsNo"/>
        </w:rPr>
        <w:t>73</w:t>
      </w:r>
      <w:r>
        <w:t>.</w:t>
      </w:r>
      <w:r>
        <w:tab/>
        <w:t>Suspension of service approval without show cause</w:t>
      </w:r>
      <w:bookmarkEnd w:id="131"/>
    </w:p>
    <w:p>
      <w:pPr>
        <w:pStyle w:val="y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yHeading5"/>
      </w:pPr>
      <w:bookmarkStart w:id="132" w:name="_Toc80611832"/>
      <w:r>
        <w:rPr>
          <w:rStyle w:val="CharSClsNo"/>
        </w:rPr>
        <w:t>74</w:t>
      </w:r>
      <w:r>
        <w:t>.</w:t>
      </w:r>
      <w:r>
        <w:tab/>
        <w:t>Notice and effect of decision</w:t>
      </w:r>
      <w:bookmarkEnd w:id="132"/>
    </w:p>
    <w:p>
      <w:pPr>
        <w:pStyle w:val="ySubsection"/>
      </w:pPr>
      <w:r>
        <w:tab/>
        <w:t>(1)</w:t>
      </w:r>
      <w:r>
        <w:tab/>
        <w:t>The Regulatory Authority must give the approved provider written notice of the decision to suspend.</w:t>
      </w:r>
    </w:p>
    <w:p>
      <w:pPr>
        <w:pStyle w:val="ySubsection"/>
      </w:pPr>
      <w:r>
        <w:tab/>
        <w:t>(2)</w:t>
      </w:r>
      <w:r>
        <w:tab/>
        <w:t>Subject to section 76, the decision under section 72 to suspend takes effect at the end of 14 days after the date of the decision, or, if another period is specified by the Regulatory Authority, at the end of that period.</w:t>
      </w:r>
    </w:p>
    <w:p>
      <w:pPr>
        <w:pStyle w:val="ySubsection"/>
      </w:pPr>
      <w:r>
        <w:tab/>
        <w:t>(3)</w:t>
      </w:r>
      <w:r>
        <w:tab/>
        <w:t>Subject to section 76, the decision under section 73 to suspend takes effect on the giving of the notice.</w:t>
      </w:r>
    </w:p>
    <w:p>
      <w:pPr>
        <w:pStyle w:val="ySubsection"/>
      </w:pPr>
      <w:r>
        <w:tab/>
        <w:t>(4)</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lastRenderedPageBreak/>
        <w:tab/>
        <w:t>(5)</w:t>
      </w:r>
      <w:r>
        <w:tab/>
        <w:t>A suspension of a service approval also suspends the service approval to the extent that it relates to an associated children’s service.</w:t>
      </w:r>
    </w:p>
    <w:p>
      <w:pPr>
        <w:pStyle w:val="yHeading5"/>
      </w:pPr>
      <w:bookmarkStart w:id="133" w:name="_Toc80611833"/>
      <w:r>
        <w:rPr>
          <w:rStyle w:val="CharSClsNo"/>
        </w:rPr>
        <w:t>75</w:t>
      </w:r>
      <w:r>
        <w:t>.</w:t>
      </w:r>
      <w:r>
        <w:tab/>
        <w:t>Suspension of service approval to the extent that it relates to associated children’s service</w:t>
      </w:r>
      <w:bookmarkEnd w:id="133"/>
    </w:p>
    <w:p>
      <w:pPr>
        <w:pStyle w:val="y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suspended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suspended to the extent that it relates to the associated children’s service in accordance with that determination.</w:t>
      </w:r>
    </w:p>
    <w:p>
      <w:pPr>
        <w:pStyle w:val="yHeading5"/>
      </w:pPr>
      <w:bookmarkStart w:id="134" w:name="_Toc80611834"/>
      <w:r>
        <w:rPr>
          <w:rStyle w:val="CharSClsNo"/>
        </w:rPr>
        <w:t>76</w:t>
      </w:r>
      <w:r>
        <w:t>.</w:t>
      </w:r>
      <w:r>
        <w:tab/>
        <w:t>Transfer of suspended service</w:t>
      </w:r>
      <w:bookmarkEnd w:id="134"/>
    </w:p>
    <w:p>
      <w:pPr>
        <w:pStyle w:val="ySubsection"/>
      </w:pPr>
      <w:r>
        <w:tab/>
        <w:t>(1)</w:t>
      </w:r>
      <w:r>
        <w:tab/>
        <w:t>The Regulatory Authority may consent under this Part to the transfer of a service approval that is suspended under section 72 or 73.</w:t>
      </w:r>
    </w:p>
    <w:p>
      <w:pPr>
        <w:pStyle w:val="ySubsection"/>
      </w:pPr>
      <w:r>
        <w:tab/>
        <w:t>(2)</w:t>
      </w:r>
      <w:r>
        <w:tab/>
        <w:t>The suspension of the service approval ceases on the transfer taking effect, unless the conditions of the Regulatory Authority’s consent to the transfer otherwise provide.</w:t>
      </w:r>
    </w:p>
    <w:p>
      <w:pPr>
        <w:pStyle w:val="yHeading5"/>
      </w:pPr>
      <w:bookmarkStart w:id="135" w:name="_Toc80611835"/>
      <w:r>
        <w:rPr>
          <w:rStyle w:val="CharSClsNo"/>
        </w:rPr>
        <w:t>77</w:t>
      </w:r>
      <w:r>
        <w:t>.</w:t>
      </w:r>
      <w:r>
        <w:tab/>
        <w:t>Grounds for cancellation of service approval</w:t>
      </w:r>
      <w:bookmarkEnd w:id="135"/>
    </w:p>
    <w:p>
      <w:pPr>
        <w:pStyle w:val="ySubsection"/>
      </w:pPr>
      <w:r>
        <w:tab/>
      </w:r>
      <w:r>
        <w:tab/>
        <w:t>A Regulatory Authority may cancel a service approval if —</w:t>
      </w:r>
    </w:p>
    <w:p>
      <w:pPr>
        <w:pStyle w:val="y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yIndenta"/>
      </w:pPr>
      <w:r>
        <w:lastRenderedPageBreak/>
        <w:tab/>
        <w:t>(b)</w:t>
      </w:r>
      <w:r>
        <w:tab/>
        <w:t>the service has been suspended under section 72 or 73 and the reason for the suspension has not been rectified at or before the end of the period of suspension; or</w:t>
      </w:r>
    </w:p>
    <w:p>
      <w:pPr>
        <w:pStyle w:val="yIndenta"/>
      </w:pPr>
      <w:r>
        <w:tab/>
        <w:t>(c)</w:t>
      </w:r>
      <w:r>
        <w:tab/>
        <w:t>the service approval was obtained improperly; or</w:t>
      </w:r>
    </w:p>
    <w:p>
      <w:pPr>
        <w:pStyle w:val="yIndenta"/>
      </w:pPr>
      <w:r>
        <w:tab/>
        <w:t>(d)</w:t>
      </w:r>
      <w:r>
        <w:tab/>
        <w:t>a condition of the service approval has not been complied with.</w:t>
      </w:r>
    </w:p>
    <w:p>
      <w:pPr>
        <w:pStyle w:val="yHeading5"/>
      </w:pPr>
      <w:bookmarkStart w:id="136" w:name="_Toc80611836"/>
      <w:r>
        <w:rPr>
          <w:rStyle w:val="CharSClsNo"/>
        </w:rPr>
        <w:t>78</w:t>
      </w:r>
      <w:r>
        <w:t>.</w:t>
      </w:r>
      <w:r>
        <w:tab/>
        <w:t>Show cause notice before cancellation</w:t>
      </w:r>
      <w:bookmarkEnd w:id="136"/>
    </w:p>
    <w:p>
      <w:pPr>
        <w:pStyle w:val="ySubsection"/>
      </w:pPr>
      <w:r>
        <w:tab/>
        <w:t>(1)</w:t>
      </w:r>
      <w:r>
        <w:tab/>
        <w:t>This section applies if the Regulatory Authority is considering the cancellation of a service approval under section 77.</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service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137" w:name="_Toc80611837"/>
      <w:r>
        <w:rPr>
          <w:rStyle w:val="CharSClsNo"/>
        </w:rPr>
        <w:t>79</w:t>
      </w:r>
      <w:r>
        <w:t>.</w:t>
      </w:r>
      <w:r>
        <w:tab/>
        <w:t>Decision in relation to cancellation</w:t>
      </w:r>
      <w:bookmarkEnd w:id="137"/>
    </w:p>
    <w:p>
      <w:pPr>
        <w:pStyle w:val="ySubsection"/>
      </w:pPr>
      <w:r>
        <w:tab/>
        <w:t>(1)</w:t>
      </w:r>
      <w:r>
        <w:tab/>
        <w:t>After considering any written response from the approved provider received within the time allowed by section 78(2)(c), the Regulatory Authority —</w:t>
      </w:r>
    </w:p>
    <w:p>
      <w:pPr>
        <w:pStyle w:val="yIndenta"/>
      </w:pPr>
      <w:r>
        <w:tab/>
        <w:t>(a)</w:t>
      </w:r>
      <w:r>
        <w:tab/>
        <w:t>may —</w:t>
      </w:r>
    </w:p>
    <w:p>
      <w:pPr>
        <w:pStyle w:val="yIndenti0"/>
      </w:pPr>
      <w:r>
        <w:tab/>
        <w:t>(i)</w:t>
      </w:r>
      <w:r>
        <w:tab/>
        <w:t>cancel the service approval; or</w:t>
      </w:r>
    </w:p>
    <w:p>
      <w:pPr>
        <w:pStyle w:val="yIndenti0"/>
      </w:pPr>
      <w:r>
        <w:tab/>
        <w:t>(ii)</w:t>
      </w:r>
      <w:r>
        <w:tab/>
        <w:t>suspend the service approval for a period not more than the prescribed period; or</w:t>
      </w:r>
    </w:p>
    <w:p>
      <w:pPr>
        <w:pStyle w:val="yIndenti0"/>
      </w:pPr>
      <w:r>
        <w:tab/>
        <w:t>(iii)</w:t>
      </w:r>
      <w:r>
        <w:tab/>
        <w:t>decide not to cancel the service approval; and</w:t>
      </w:r>
    </w:p>
    <w:p>
      <w:pPr>
        <w:pStyle w:val="yIndenta"/>
      </w:pPr>
      <w:r>
        <w:tab/>
        <w:t>(b)</w:t>
      </w:r>
      <w:r>
        <w:tab/>
        <w:t>must give the approved provider written notice of the decision.</w:t>
      </w:r>
    </w:p>
    <w:p>
      <w:pPr>
        <w:pStyle w:val="ySubsection"/>
      </w:pPr>
      <w:r>
        <w:tab/>
        <w:t>(2)</w:t>
      </w:r>
      <w:r>
        <w:tab/>
        <w:t>Subject to section 81, the decision to cancel the service approval takes effect —</w:t>
      </w:r>
    </w:p>
    <w:p>
      <w:pPr>
        <w:pStyle w:val="yIndenta"/>
      </w:pPr>
      <w:r>
        <w:tab/>
        <w:t>(a)</w:t>
      </w:r>
      <w:r>
        <w:tab/>
        <w:t>at the end of 14 days after the date of the decision; or</w:t>
      </w:r>
    </w:p>
    <w:p>
      <w:pPr>
        <w:pStyle w:val="yIndenta"/>
      </w:pPr>
      <w:r>
        <w:tab/>
        <w:t>(b)</w:t>
      </w:r>
      <w:r>
        <w:tab/>
        <w:t>if another period is specified by the Regulatory Authority, at the end of that period.</w:t>
      </w:r>
    </w:p>
    <w:p>
      <w:pPr>
        <w:pStyle w:val="ySubsection"/>
      </w:pPr>
      <w:r>
        <w:lastRenderedPageBreak/>
        <w:tab/>
        <w:t>(3)</w:t>
      </w:r>
      <w:r>
        <w:tab/>
        <w:t>The notice of a decision to cancel must set out the date on which it takes effect.</w:t>
      </w:r>
    </w:p>
    <w:p>
      <w:pPr>
        <w:pStyle w:val="ySubsection"/>
      </w:pPr>
      <w:r>
        <w:tab/>
        <w:t>(4)</w:t>
      </w:r>
      <w:r>
        <w:tab/>
        <w:t>A cancellation of a service approval includes the cancellation of the service approval to the extent that it relates to an associated children’s service.</w:t>
      </w:r>
    </w:p>
    <w:p>
      <w:pPr>
        <w:pStyle w:val="ySubsection"/>
      </w:pPr>
      <w:r>
        <w:tab/>
        <w:t>(5)</w:t>
      </w:r>
      <w:r>
        <w:tab/>
        <w:t>This Law applies to a suspension of a service approval under this section as if it were a suspension under section 72.</w:t>
      </w:r>
    </w:p>
    <w:p>
      <w:pPr>
        <w:pStyle w:val="yHeading5"/>
      </w:pPr>
      <w:bookmarkStart w:id="138" w:name="_Toc80611838"/>
      <w:r>
        <w:rPr>
          <w:rStyle w:val="CharSClsNo"/>
        </w:rPr>
        <w:t>80</w:t>
      </w:r>
      <w:r>
        <w:t>.</w:t>
      </w:r>
      <w:r>
        <w:tab/>
        <w:t>Cancellation of service approval to the extent that it relates to associated children’s service</w:t>
      </w:r>
      <w:bookmarkEnd w:id="138"/>
    </w:p>
    <w:p>
      <w:pPr>
        <w:pStyle w:val="y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cancelled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cancelled to the extent that it relates to the associated children’s service in accordance with that determination.</w:t>
      </w:r>
    </w:p>
    <w:p>
      <w:pPr>
        <w:pStyle w:val="yHeading5"/>
      </w:pPr>
      <w:bookmarkStart w:id="139" w:name="_Toc80611839"/>
      <w:r>
        <w:rPr>
          <w:rStyle w:val="CharSClsNo"/>
        </w:rPr>
        <w:t>81</w:t>
      </w:r>
      <w:r>
        <w:t>.</w:t>
      </w:r>
      <w:r>
        <w:tab/>
        <w:t>Application for transfer of cancelled service</w:t>
      </w:r>
      <w:bookmarkEnd w:id="139"/>
    </w:p>
    <w:p>
      <w:pPr>
        <w:pStyle w:val="ySubsection"/>
      </w:pPr>
      <w:r>
        <w:tab/>
        <w:t>(1)</w:t>
      </w:r>
      <w:r>
        <w:tab/>
        <w:t>An approved provider may apply to the Regulatory Authority under this Part for consent to transfer a service approval that is to be cancelled under this Part.</w:t>
      </w:r>
    </w:p>
    <w:p>
      <w:pPr>
        <w:pStyle w:val="ySubsection"/>
      </w:pPr>
      <w:r>
        <w:tab/>
        <w:t>(2)</w:t>
      </w:r>
      <w:r>
        <w:tab/>
        <w:t>The application for consent to transfer must be made within 14 days after the decision to cancel the service approval is made.</w:t>
      </w:r>
    </w:p>
    <w:p>
      <w:pPr>
        <w:pStyle w:val="ySubsection"/>
      </w:pPr>
      <w:r>
        <w:lastRenderedPageBreak/>
        <w:tab/>
        <w:t>(3)</w:t>
      </w:r>
      <w:r>
        <w:tab/>
        <w:t>If an application for consent to transfer is made, the cancellation of the service approval does not take effect, and the service approval is suspended, until the Regulatory Authority determines the application.</w:t>
      </w:r>
    </w:p>
    <w:p>
      <w:pPr>
        <w:pStyle w:val="ySubsection"/>
      </w:pPr>
      <w:r>
        <w:tab/>
        <w:t>(4)</w:t>
      </w:r>
      <w:r>
        <w:tab/>
        <w:t>An application cannot be made under this section for consent to transfer a cancelled service approval if the cancellation relates only to an associated children’s service.</w:t>
      </w:r>
    </w:p>
    <w:p>
      <w:pPr>
        <w:pStyle w:val="yHeading5"/>
      </w:pPr>
      <w:bookmarkStart w:id="140" w:name="_Toc80611840"/>
      <w:r>
        <w:rPr>
          <w:rStyle w:val="CharSClsNo"/>
        </w:rPr>
        <w:t>82</w:t>
      </w:r>
      <w:r>
        <w:t>.</w:t>
      </w:r>
      <w:r>
        <w:tab/>
        <w:t>Decision on application to transfer cancelled service</w:t>
      </w:r>
      <w:bookmarkEnd w:id="140"/>
    </w:p>
    <w:p>
      <w:pPr>
        <w:pStyle w:val="ySubsection"/>
      </w:pPr>
      <w:r>
        <w:tab/>
        <w:t>(1)</w:t>
      </w:r>
      <w:r>
        <w:tab/>
        <w:t>If the Regulatory Authority consents to the transfer —</w:t>
      </w:r>
    </w:p>
    <w:p>
      <w:pPr>
        <w:pStyle w:val="yIndenta"/>
      </w:pPr>
      <w:r>
        <w:tab/>
        <w:t>(a)</w:t>
      </w:r>
      <w:r>
        <w:tab/>
        <w:t>the decision to cancel the service approval is revoked; and</w:t>
      </w:r>
    </w:p>
    <w:p>
      <w:pPr>
        <w:pStyle w:val="y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ySubsection"/>
      </w:pPr>
      <w:r>
        <w:tab/>
        <w:t>(2)</w:t>
      </w:r>
      <w:r>
        <w:tab/>
        <w:t>If the Regulatory Authority refuses to consent to the transfer, the service approval is cancelled on the making of the decision to refuse to consent.</w:t>
      </w:r>
    </w:p>
    <w:p>
      <w:pPr>
        <w:pStyle w:val="yHeading5"/>
      </w:pPr>
      <w:bookmarkStart w:id="141" w:name="_Toc80611841"/>
      <w:r>
        <w:rPr>
          <w:rStyle w:val="CharSClsNo"/>
        </w:rPr>
        <w:t>83</w:t>
      </w:r>
      <w:r>
        <w:t>.</w:t>
      </w:r>
      <w:r>
        <w:tab/>
        <w:t>Approved provider to provide information to Regulatory Authority</w:t>
      </w:r>
      <w:bookmarkEnd w:id="141"/>
    </w:p>
    <w:p>
      <w:pPr>
        <w:pStyle w:val="ySubsection"/>
      </w:pPr>
      <w:r>
        <w:tab/>
        <w:t>(1)</w:t>
      </w:r>
      <w:r>
        <w:tab/>
        <w:t>This section applies if a show cause notice has been given to an approved provider under section 71 or 78.</w:t>
      </w:r>
    </w:p>
    <w:p>
      <w:pPr>
        <w:pStyle w:val="ySubsection"/>
      </w:pPr>
      <w:r>
        <w:tab/>
        <w:t>(2)</w:t>
      </w:r>
      <w:r>
        <w:tab/>
        <w:t>The approved provider, at the request of the Regulatory Authority, must provide the Authority with the contact details of the parents of all children enrolled at the education and care service.</w:t>
      </w:r>
    </w:p>
    <w:p>
      <w:pPr>
        <w:pStyle w:val="ySubsection"/>
      </w:pPr>
      <w:r>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yHeading5"/>
      </w:pPr>
      <w:bookmarkStart w:id="142" w:name="_Toc80611842"/>
      <w:r>
        <w:rPr>
          <w:rStyle w:val="CharSClsNo"/>
        </w:rPr>
        <w:t>84</w:t>
      </w:r>
      <w:r>
        <w:t>.</w:t>
      </w:r>
      <w:r>
        <w:tab/>
        <w:t>Notice to parents of suspension or cancellation</w:t>
      </w:r>
      <w:bookmarkEnd w:id="142"/>
    </w:p>
    <w:p>
      <w:pPr>
        <w:pStyle w:val="ySubsection"/>
      </w:pPr>
      <w:r>
        <w:tab/>
        <w:t>(1)</w:t>
      </w:r>
      <w:r>
        <w:tab/>
        <w:t>This section applies if a service approval has been suspended or cancelled under section 72, 73, 79 or 82.</w:t>
      </w:r>
    </w:p>
    <w:p>
      <w:pPr>
        <w:pStyle w:val="ySubsection"/>
      </w:pPr>
      <w:r>
        <w:tab/>
        <w:t>(2)</w:t>
      </w:r>
      <w:r>
        <w:tab/>
        <w:t xml:space="preserve">The Regulatory Authority may require the approved provider to give written notice of the suspension or cancellation and its effect to the </w:t>
      </w:r>
      <w:r>
        <w:lastRenderedPageBreak/>
        <w:t>parents of children enrolled at the education and care service to which the approval relates and any associated children’s service.</w:t>
      </w:r>
    </w:p>
    <w:p>
      <w:pPr>
        <w:pStyle w:val="ySubsection"/>
      </w:pPr>
      <w:r>
        <w:tab/>
        <w:t>(3)</w:t>
      </w:r>
      <w:r>
        <w:tab/>
        <w:t>The approved provider must comply with a requirement made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84 amended: No. 18 of 2018 s. 30.]</w:t>
      </w:r>
    </w:p>
    <w:p>
      <w:pPr>
        <w:pStyle w:val="yHeading5"/>
      </w:pPr>
      <w:bookmarkStart w:id="143" w:name="_Toc80611843"/>
      <w:r>
        <w:rPr>
          <w:rStyle w:val="CharSClsNo"/>
        </w:rPr>
        <w:t>85</w:t>
      </w:r>
      <w:r>
        <w:t>.</w:t>
      </w:r>
      <w:r>
        <w:tab/>
        <w:t>Voluntary suspension of service approval</w:t>
      </w:r>
      <w:bookmarkEnd w:id="143"/>
    </w:p>
    <w:p>
      <w:pPr>
        <w:pStyle w:val="ySubsection"/>
      </w:pPr>
      <w:r>
        <w:tab/>
        <w:t>(1)</w:t>
      </w:r>
      <w:r>
        <w:tab/>
        <w:t>An approved provider may apply to the Regulatory Authority for the suspension of a service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agree to the suspension, having regard to whether the suspension is reasonable in the circumstances.</w:t>
      </w:r>
    </w:p>
    <w:p>
      <w:pPr>
        <w:pStyle w:val="y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ySubsection"/>
      </w:pPr>
      <w:r>
        <w:tab/>
        <w:t>(5)</w:t>
      </w:r>
      <w:r>
        <w:tab/>
        <w:t>The Regulatory Authority must, within 30 days after the application is made, decide whether or not to grant the application.</w:t>
      </w:r>
    </w:p>
    <w:p>
      <w:pPr>
        <w:pStyle w:val="ySubsection"/>
      </w:pPr>
      <w:r>
        <w:tab/>
        <w:t>(6)</w:t>
      </w:r>
      <w:r>
        <w:tab/>
        <w:t>If the Regulatory Authority decides to grant the application, the suspension takes effect on a date agreed between the Regulatory Authority and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85 amended: No. 18 of 2018 s. 90.]</w:t>
      </w:r>
    </w:p>
    <w:p>
      <w:pPr>
        <w:pStyle w:val="yHeading5"/>
      </w:pPr>
      <w:bookmarkStart w:id="144" w:name="_Toc80611844"/>
      <w:r>
        <w:rPr>
          <w:rStyle w:val="CharSClsNo"/>
        </w:rPr>
        <w:lastRenderedPageBreak/>
        <w:t>86</w:t>
      </w:r>
      <w:r>
        <w:t>.</w:t>
      </w:r>
      <w:r>
        <w:tab/>
        <w:t>Surrender of service approval</w:t>
      </w:r>
      <w:bookmarkEnd w:id="144"/>
    </w:p>
    <w:p>
      <w:pPr>
        <w:pStyle w:val="ySubsection"/>
      </w:pPr>
      <w:r>
        <w:tab/>
        <w:t>(1)</w:t>
      </w:r>
      <w:r>
        <w:tab/>
        <w:t>An approved provider may surrender a service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ySubsection"/>
      </w:pPr>
      <w:r>
        <w:tab/>
        <w:t>(4)</w:t>
      </w:r>
      <w:r>
        <w:tab/>
        <w:t>If a service approval is surrendered, the approval is cancelled on the date specified in the notice.</w:t>
      </w:r>
    </w:p>
    <w:p>
      <w:pPr>
        <w:pStyle w:val="yHeading4"/>
      </w:pPr>
      <w:bookmarkStart w:id="145" w:name="_Toc80609030"/>
      <w:bookmarkStart w:id="146" w:name="_Toc80611845"/>
      <w:r>
        <w:t>Division 5</w:t>
      </w:r>
      <w:r>
        <w:rPr>
          <w:b w:val="0"/>
        </w:rPr>
        <w:t xml:space="preserve"> — </w:t>
      </w:r>
      <w:r>
        <w:t>Application for service waiver</w:t>
      </w:r>
      <w:bookmarkEnd w:id="145"/>
      <w:bookmarkEnd w:id="146"/>
    </w:p>
    <w:p>
      <w:pPr>
        <w:pStyle w:val="yHeading5"/>
      </w:pPr>
      <w:bookmarkStart w:id="147" w:name="_Toc80611846"/>
      <w:r>
        <w:rPr>
          <w:rStyle w:val="CharSClsNo"/>
        </w:rPr>
        <w:t>87</w:t>
      </w:r>
      <w:r>
        <w:t>.</w:t>
      </w:r>
      <w:r>
        <w:tab/>
        <w:t>Application for service waiver for service</w:t>
      </w:r>
      <w:bookmarkEnd w:id="147"/>
    </w:p>
    <w:p>
      <w:pPr>
        <w:pStyle w:val="y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ySubsection"/>
      </w:pPr>
      <w:r>
        <w:tab/>
        <w:t>(2)</w:t>
      </w:r>
      <w:r>
        <w:tab/>
        <w:t>A person who applies for a service approval may apply for a service waiver under this section together with the application for the service approval.</w:t>
      </w:r>
    </w:p>
    <w:p>
      <w:pPr>
        <w:pStyle w:val="ySubsection"/>
      </w:pPr>
      <w:r>
        <w:tab/>
        <w:t>(3)</w:t>
      </w:r>
      <w:r>
        <w:tab/>
        <w:t>The Regulatory Authority must not grant a service waiver to a person who applies under subsection (2) unless the service approval is granted to that person.</w:t>
      </w:r>
    </w:p>
    <w:p>
      <w:pPr>
        <w:pStyle w:val="yHeading5"/>
      </w:pPr>
      <w:bookmarkStart w:id="148" w:name="_Toc80611847"/>
      <w:r>
        <w:rPr>
          <w:rStyle w:val="CharSClsNo"/>
        </w:rPr>
        <w:t>88</w:t>
      </w:r>
      <w:r>
        <w:t>.</w:t>
      </w:r>
      <w:r>
        <w:tab/>
        <w:t>Form of application</w:t>
      </w:r>
      <w:bookmarkEnd w:id="148"/>
    </w:p>
    <w:p>
      <w:pPr>
        <w:pStyle w:val="ySubsection"/>
      </w:pPr>
      <w:r>
        <w:tab/>
      </w:r>
      <w:r>
        <w:tab/>
        <w:t>An application under section 87 must —</w:t>
      </w:r>
    </w:p>
    <w:p>
      <w:pPr>
        <w:pStyle w:val="yIndenta"/>
      </w:pPr>
      <w:r>
        <w:tab/>
        <w:t>(a)</w:t>
      </w:r>
      <w:r>
        <w:tab/>
        <w:t>be in writing; and</w:t>
      </w:r>
    </w:p>
    <w:p>
      <w:pPr>
        <w:pStyle w:val="yIndenta"/>
      </w:pPr>
      <w:r>
        <w:lastRenderedPageBreak/>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88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88 amended: No. 18 of 2018 s. 90.]</w:t>
      </w:r>
    </w:p>
    <w:p>
      <w:pPr>
        <w:pStyle w:val="yHeading5"/>
      </w:pPr>
      <w:bookmarkStart w:id="149" w:name="_Toc80611848"/>
      <w:r>
        <w:rPr>
          <w:rStyle w:val="CharSClsNo"/>
        </w:rPr>
        <w:t>89</w:t>
      </w:r>
      <w:r>
        <w:t>.</w:t>
      </w:r>
      <w:r>
        <w:tab/>
        <w:t>Powers of Regulatory Authority in considering application</w:t>
      </w:r>
      <w:bookmarkEnd w:id="149"/>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91(2) for the Regulatory Authority to make a decision on the application.</w:t>
      </w:r>
    </w:p>
    <w:p>
      <w:pPr>
        <w:pStyle w:val="yFootnotesection"/>
      </w:pPr>
      <w:r>
        <w:tab/>
        <w:t>[Section 89 amended: No. 18 of 2018 s. 31.]</w:t>
      </w:r>
    </w:p>
    <w:p>
      <w:pPr>
        <w:pStyle w:val="yHeading5"/>
      </w:pPr>
      <w:bookmarkStart w:id="150" w:name="_Toc80611849"/>
      <w:r>
        <w:rPr>
          <w:rStyle w:val="CharSClsNo"/>
        </w:rPr>
        <w:t>90</w:t>
      </w:r>
      <w:r>
        <w:t>.</w:t>
      </w:r>
      <w:r>
        <w:tab/>
        <w:t>Matters to be considered</w:t>
      </w:r>
      <w:bookmarkEnd w:id="150"/>
    </w:p>
    <w:p>
      <w:pPr>
        <w:pStyle w:val="ySubsection"/>
      </w:pPr>
      <w:r>
        <w:tab/>
      </w:r>
      <w:r>
        <w:tab/>
        <w:t>In considering whether the grant of a service waiver is appropriate, the Regulatory Authority may have regard to either or both of the following —</w:t>
      </w:r>
    </w:p>
    <w:p>
      <w:pPr>
        <w:pStyle w:val="yIndenta"/>
      </w:pPr>
      <w:r>
        <w:tab/>
        <w:t>(a)</w:t>
      </w:r>
      <w:r>
        <w:tab/>
        <w:t>whether the education and care service is able to meet the prescribed element or elements of the National Quality Standard and the national regulations by alternative means that satisfy the objectives of those elements;</w:t>
      </w:r>
    </w:p>
    <w:p>
      <w:pPr>
        <w:pStyle w:val="yIndenta"/>
      </w:pPr>
      <w:r>
        <w:tab/>
        <w:t>(b)</w:t>
      </w:r>
      <w:r>
        <w:tab/>
        <w:t>any matters disclosed in the application that are relevant to the application for the service waiver.</w:t>
      </w:r>
    </w:p>
    <w:p>
      <w:pPr>
        <w:pStyle w:val="yHeading5"/>
      </w:pPr>
      <w:bookmarkStart w:id="151" w:name="_Toc80611850"/>
      <w:r>
        <w:rPr>
          <w:rStyle w:val="CharSClsNo"/>
        </w:rPr>
        <w:t>91</w:t>
      </w:r>
      <w:r>
        <w:t>.</w:t>
      </w:r>
      <w:r>
        <w:tab/>
        <w:t>Decision on application</w:t>
      </w:r>
      <w:bookmarkEnd w:id="151"/>
    </w:p>
    <w:p>
      <w:pPr>
        <w:pStyle w:val="ySubsection"/>
      </w:pPr>
      <w:r>
        <w:tab/>
        <w:t>(1)</w:t>
      </w:r>
      <w:r>
        <w:tab/>
        <w:t>On an application under this Division, the Regulatory Authority may decide to grant the service waiver or refuse the application.</w:t>
      </w:r>
    </w:p>
    <w:p>
      <w:pPr>
        <w:pStyle w:val="ySubsection"/>
      </w:pPr>
      <w:r>
        <w:lastRenderedPageBreak/>
        <w:tab/>
        <w:t>(2)</w:t>
      </w:r>
      <w:r>
        <w:tab/>
        <w:t>Subject to subsection (3), the Regulatory Authority must notify the applicant within 60 days after the application is made of the Authority’s decision on the application.</w:t>
      </w:r>
    </w:p>
    <w:p>
      <w:pPr>
        <w:pStyle w:val="y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ySubsection"/>
      </w:pPr>
      <w:r>
        <w:tab/>
        <w:t>(4)</w:t>
      </w:r>
      <w:r>
        <w:tab/>
        <w:t>If a service waiver is granted, the Regulatory Authority may place any conditions on the service waiver, including any condition limiting the use of the service waiver.</w:t>
      </w:r>
    </w:p>
    <w:p>
      <w:pPr>
        <w:pStyle w:val="ySubsection"/>
      </w:pPr>
      <w:r>
        <w:tab/>
        <w:t>(5)</w:t>
      </w:r>
      <w:r>
        <w:tab/>
        <w:t>The Regulatory Authority may, at any time remove, add to or vary any conditions placed on a service waiver under subsection (4).</w:t>
      </w:r>
    </w:p>
    <w:p>
      <w:pPr>
        <w:pStyle w:val="ySubsection"/>
      </w:pPr>
      <w:r>
        <w:tab/>
        <w:t>(6)</w:t>
      </w:r>
      <w:r>
        <w:tab/>
        <w:t xml:space="preserve">If a service waiver is granted or its conditions are amended under subsection (5), the Regulatory Authority must issue or reissue the service approval specifying — </w:t>
      </w:r>
    </w:p>
    <w:p>
      <w:pPr>
        <w:pStyle w:val="yIndenta"/>
      </w:pPr>
      <w:r>
        <w:tab/>
        <w:t>(a)</w:t>
      </w:r>
      <w:r>
        <w:tab/>
        <w:t>the element or elements of the National Quality Standard and the national regulations that have been waived; and</w:t>
      </w:r>
    </w:p>
    <w:p>
      <w:pPr>
        <w:pStyle w:val="yIndenta"/>
      </w:pPr>
      <w:r>
        <w:tab/>
        <w:t>(b)</w:t>
      </w:r>
      <w:r>
        <w:tab/>
        <w:t>any conditions placed on the waiver.</w:t>
      </w:r>
    </w:p>
    <w:p>
      <w:pPr>
        <w:pStyle w:val="yFootnotesection"/>
      </w:pPr>
      <w:r>
        <w:tab/>
        <w:t>[Section 91 amended: No. 18 of 2018 s. 32.]</w:t>
      </w:r>
    </w:p>
    <w:p>
      <w:pPr>
        <w:pStyle w:val="yHeading5"/>
      </w:pPr>
      <w:bookmarkStart w:id="152" w:name="_Toc80611851"/>
      <w:r>
        <w:rPr>
          <w:rStyle w:val="CharSClsNo"/>
        </w:rPr>
        <w:t>92</w:t>
      </w:r>
      <w:r>
        <w:t>.</w:t>
      </w:r>
      <w:r>
        <w:tab/>
        <w:t>Revocation of service waiver</w:t>
      </w:r>
      <w:bookmarkEnd w:id="152"/>
    </w:p>
    <w:p>
      <w:pPr>
        <w:pStyle w:val="ySubsection"/>
      </w:pPr>
      <w:r>
        <w:tab/>
        <w:t>(1)</w:t>
      </w:r>
      <w:r>
        <w:tab/>
        <w:t>The Regulatory Authority may, at its discretion, revoke a service waiver.</w:t>
      </w:r>
    </w:p>
    <w:p>
      <w:pPr>
        <w:pStyle w:val="ySubsection"/>
      </w:pPr>
      <w:r>
        <w:tab/>
        <w:t>(2)</w:t>
      </w:r>
      <w:r>
        <w:tab/>
        <w:t>An approved provider may apply to the Regulatory Authority for the revocation of a service waiver applying to any education and care service that it operates.</w:t>
      </w:r>
    </w:p>
    <w:p>
      <w:pPr>
        <w:pStyle w:val="ySubsection"/>
      </w:pPr>
      <w:r>
        <w:tab/>
        <w:t>(3)</w:t>
      </w:r>
      <w:r>
        <w:tab/>
        <w:t>A revocation under this section takes effect at the end of the period prescribed in the national regulations.</w:t>
      </w:r>
    </w:p>
    <w:p>
      <w:pPr>
        <w:pStyle w:val="yHeading5"/>
      </w:pPr>
      <w:bookmarkStart w:id="153" w:name="_Toc80611852"/>
      <w:r>
        <w:rPr>
          <w:rStyle w:val="CharSClsNo"/>
        </w:rPr>
        <w:t>93</w:t>
      </w:r>
      <w:r>
        <w:t>.</w:t>
      </w:r>
      <w:r>
        <w:tab/>
        <w:t>Effect of service waiver</w:t>
      </w:r>
      <w:bookmarkEnd w:id="153"/>
    </w:p>
    <w:p>
      <w:pPr>
        <w:pStyle w:val="y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yHeading4"/>
      </w:pPr>
      <w:bookmarkStart w:id="154" w:name="_Toc80609038"/>
      <w:bookmarkStart w:id="155" w:name="_Toc80611853"/>
      <w:r>
        <w:lastRenderedPageBreak/>
        <w:t>Division 6</w:t>
      </w:r>
      <w:r>
        <w:rPr>
          <w:b w:val="0"/>
        </w:rPr>
        <w:t xml:space="preserve"> — </w:t>
      </w:r>
      <w:r>
        <w:t>Temporary waiver</w:t>
      </w:r>
      <w:bookmarkEnd w:id="154"/>
      <w:bookmarkEnd w:id="155"/>
    </w:p>
    <w:p>
      <w:pPr>
        <w:pStyle w:val="yHeading5"/>
      </w:pPr>
      <w:bookmarkStart w:id="156" w:name="_Toc80611854"/>
      <w:r>
        <w:rPr>
          <w:rStyle w:val="CharSClsNo"/>
        </w:rPr>
        <w:t>94</w:t>
      </w:r>
      <w:r>
        <w:t>.</w:t>
      </w:r>
      <w:r>
        <w:tab/>
        <w:t>Application for temporary waiver</w:t>
      </w:r>
      <w:bookmarkEnd w:id="156"/>
    </w:p>
    <w:p>
      <w:pPr>
        <w:pStyle w:val="y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yHeading5"/>
      </w:pPr>
      <w:bookmarkStart w:id="157" w:name="_Toc80611855"/>
      <w:r>
        <w:rPr>
          <w:rStyle w:val="CharSClsNo"/>
        </w:rPr>
        <w:t>95</w:t>
      </w:r>
      <w:r>
        <w:t>.</w:t>
      </w:r>
      <w:r>
        <w:tab/>
        <w:t>Form of application</w:t>
      </w:r>
      <w:bookmarkEnd w:id="157"/>
    </w:p>
    <w:p>
      <w:pPr>
        <w:pStyle w:val="ySubsection"/>
      </w:pPr>
      <w:r>
        <w:tab/>
      </w:r>
      <w:r>
        <w:tab/>
        <w:t>An application under section 94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95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95 amended: No. 18 of 2018 s. 90.]</w:t>
      </w:r>
    </w:p>
    <w:p>
      <w:pPr>
        <w:pStyle w:val="yHeading5"/>
      </w:pPr>
      <w:bookmarkStart w:id="158" w:name="_Toc80611856"/>
      <w:r>
        <w:rPr>
          <w:rStyle w:val="CharSClsNo"/>
        </w:rPr>
        <w:t>96</w:t>
      </w:r>
      <w:r>
        <w:t>.</w:t>
      </w:r>
      <w:r>
        <w:tab/>
        <w:t>Regulatory Authority may seek further information</w:t>
      </w:r>
      <w:bookmarkEnd w:id="158"/>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98(1) for the Regulatory Authority to make a decision on the application.</w:t>
      </w:r>
    </w:p>
    <w:p>
      <w:pPr>
        <w:pStyle w:val="yFootnotesection"/>
      </w:pPr>
      <w:r>
        <w:tab/>
        <w:t>[Section 96 amended: No. 18 of 2018 s. 33.]</w:t>
      </w:r>
    </w:p>
    <w:p>
      <w:pPr>
        <w:pStyle w:val="yHeading5"/>
      </w:pPr>
      <w:bookmarkStart w:id="159" w:name="_Toc80611857"/>
      <w:r>
        <w:rPr>
          <w:rStyle w:val="CharSClsNo"/>
        </w:rPr>
        <w:lastRenderedPageBreak/>
        <w:t>97</w:t>
      </w:r>
      <w:r>
        <w:t>.</w:t>
      </w:r>
      <w:r>
        <w:tab/>
        <w:t>Special circumstances</w:t>
      </w:r>
      <w:bookmarkEnd w:id="159"/>
    </w:p>
    <w:p>
      <w:pPr>
        <w:pStyle w:val="y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yHeading5"/>
      </w:pPr>
      <w:bookmarkStart w:id="160" w:name="_Toc80611858"/>
      <w:r>
        <w:rPr>
          <w:rStyle w:val="CharSClsNo"/>
        </w:rPr>
        <w:t>98</w:t>
      </w:r>
      <w:r>
        <w:t>.</w:t>
      </w:r>
      <w:r>
        <w:tab/>
        <w:t>Decision on application</w:t>
      </w:r>
      <w:bookmarkEnd w:id="160"/>
    </w:p>
    <w:p>
      <w:pPr>
        <w:pStyle w:val="ySubsection"/>
      </w:pPr>
      <w:r>
        <w:tab/>
        <w:t>(1)</w:t>
      </w:r>
      <w:r>
        <w:tab/>
        <w:t>The Regulatory Authority must notify the applicant within 60 days after the application is made of the Authority’s decision on the application.</w:t>
      </w:r>
    </w:p>
    <w:p>
      <w:pPr>
        <w:pStyle w:val="ySubsection"/>
      </w:pPr>
      <w:r>
        <w:tab/>
        <w:t>(2)</w:t>
      </w:r>
      <w:r>
        <w:tab/>
        <w:t>A temporary waiver must specify the period of the waiver which cannot be for a period of more than 12 months.</w:t>
      </w:r>
    </w:p>
    <w:p>
      <w:pPr>
        <w:pStyle w:val="ySubsection"/>
      </w:pPr>
      <w:r>
        <w:tab/>
        <w:t>(3)</w:t>
      </w:r>
      <w:r>
        <w:tab/>
        <w:t>The Regulatory Authority, on the application of the approved provider, may —</w:t>
      </w:r>
    </w:p>
    <w:p>
      <w:pPr>
        <w:pStyle w:val="yIndenta"/>
      </w:pPr>
      <w:r>
        <w:tab/>
        <w:t>(a)</w:t>
      </w:r>
      <w:r>
        <w:tab/>
        <w:t>extend and further extend the period of a temporary waiver by periods of not more than 12 months; and</w:t>
      </w:r>
    </w:p>
    <w:p>
      <w:pPr>
        <w:pStyle w:val="yIndenta"/>
      </w:pPr>
      <w:r>
        <w:tab/>
        <w:t>(b)</w:t>
      </w:r>
      <w:r>
        <w:tab/>
        <w:t>grant a further temporary waiver for an education and care service under this Division.</w:t>
      </w:r>
    </w:p>
    <w:p>
      <w:pPr>
        <w:pStyle w:val="ySubsection"/>
      </w:pPr>
      <w:r>
        <w:tab/>
        <w:t>(4)</w:t>
      </w:r>
      <w:r>
        <w:tab/>
        <w:t>An application under subsection (3) must include payment of the prescribed fee.</w:t>
      </w:r>
    </w:p>
    <w:p>
      <w:pPr>
        <w:pStyle w:val="ySubsection"/>
      </w:pPr>
      <w:r>
        <w:tab/>
        <w:t>(5)</w:t>
      </w:r>
      <w:r>
        <w:tab/>
        <w:t>If a temporary waiver is granted, the Regulatory Authority may place any conditions on the temporary waiver, including any condition limiting the use of the temporary waiver.</w:t>
      </w:r>
    </w:p>
    <w:p>
      <w:pPr>
        <w:pStyle w:val="ySubsection"/>
      </w:pPr>
      <w:r>
        <w:tab/>
        <w:t>(6)</w:t>
      </w:r>
      <w:r>
        <w:tab/>
        <w:t>The Regulatory Authority may, at any time remove, add to or vary any conditions placed on a temporary waiver under subsection (5).</w:t>
      </w:r>
    </w:p>
    <w:p>
      <w:pPr>
        <w:pStyle w:val="ySubsection"/>
      </w:pPr>
      <w:r>
        <w:tab/>
        <w:t>(7)</w:t>
      </w:r>
      <w:r>
        <w:tab/>
        <w:t xml:space="preserve">If a temporary waiver is granted or its conditions are amended under subsection (6), the Regulatory Authority must issue or reissue the service approval specifying — </w:t>
      </w:r>
    </w:p>
    <w:p>
      <w:pPr>
        <w:pStyle w:val="yIndenta"/>
      </w:pPr>
      <w:r>
        <w:tab/>
        <w:t>(a)</w:t>
      </w:r>
      <w:r>
        <w:tab/>
        <w:t>the element or elements of the National Quality Standard and the national regulations that have been temporarily waived; and</w:t>
      </w:r>
    </w:p>
    <w:p>
      <w:pPr>
        <w:pStyle w:val="yIndenta"/>
      </w:pPr>
      <w:r>
        <w:tab/>
        <w:t>(b)</w:t>
      </w:r>
      <w:r>
        <w:tab/>
        <w:t>the period of the waiver; and</w:t>
      </w:r>
    </w:p>
    <w:p>
      <w:pPr>
        <w:pStyle w:val="yIndenta"/>
      </w:pPr>
      <w:r>
        <w:tab/>
        <w:t>(c)</w:t>
      </w:r>
      <w:r>
        <w:tab/>
        <w:t>any conditions placed on the waiver.</w:t>
      </w:r>
    </w:p>
    <w:p>
      <w:pPr>
        <w:pStyle w:val="yFootnotesection"/>
      </w:pPr>
      <w:r>
        <w:tab/>
        <w:t>[Section 98 amended: No. 18 of 2018 s. 34.]</w:t>
      </w:r>
    </w:p>
    <w:p>
      <w:pPr>
        <w:pStyle w:val="yHeading5"/>
      </w:pPr>
      <w:bookmarkStart w:id="161" w:name="_Toc80611859"/>
      <w:r>
        <w:rPr>
          <w:rStyle w:val="CharSClsNo"/>
        </w:rPr>
        <w:lastRenderedPageBreak/>
        <w:t>99</w:t>
      </w:r>
      <w:r>
        <w:t>.</w:t>
      </w:r>
      <w:r>
        <w:tab/>
        <w:t>Revocation of temporary waiver</w:t>
      </w:r>
      <w:bookmarkEnd w:id="161"/>
    </w:p>
    <w:p>
      <w:pPr>
        <w:pStyle w:val="ySubsection"/>
      </w:pPr>
      <w:r>
        <w:tab/>
      </w:r>
      <w:r>
        <w:tab/>
        <w:t>The Regulatory Authority may, at its discretion, revoke a temporary waiver.</w:t>
      </w:r>
    </w:p>
    <w:p>
      <w:pPr>
        <w:pStyle w:val="yHeading5"/>
      </w:pPr>
      <w:bookmarkStart w:id="162" w:name="_Toc80611860"/>
      <w:r>
        <w:rPr>
          <w:rStyle w:val="CharSClsNo"/>
        </w:rPr>
        <w:t>100</w:t>
      </w:r>
      <w:r>
        <w:t>.</w:t>
      </w:r>
      <w:r>
        <w:tab/>
        <w:t>Effect of temporary waiver</w:t>
      </w:r>
      <w:bookmarkEnd w:id="162"/>
    </w:p>
    <w:p>
      <w:pPr>
        <w:pStyle w:val="y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yHeading4"/>
      </w:pPr>
      <w:bookmarkStart w:id="163" w:name="_Toc80609046"/>
      <w:bookmarkStart w:id="164" w:name="_Toc80611861"/>
      <w:r>
        <w:t>Division 7</w:t>
      </w:r>
      <w:r>
        <w:rPr>
          <w:b w:val="0"/>
        </w:rPr>
        <w:t xml:space="preserve"> — </w:t>
      </w:r>
      <w:r>
        <w:t>Exercise of powers by another Regulatory Authority</w:t>
      </w:r>
      <w:bookmarkEnd w:id="163"/>
      <w:bookmarkEnd w:id="164"/>
    </w:p>
    <w:p>
      <w:pPr>
        <w:pStyle w:val="yHeading5"/>
      </w:pPr>
      <w:bookmarkStart w:id="165" w:name="_Toc80611862"/>
      <w:r>
        <w:rPr>
          <w:rStyle w:val="CharSClsNo"/>
        </w:rPr>
        <w:t>101</w:t>
      </w:r>
      <w:r>
        <w:t>.</w:t>
      </w:r>
      <w:r>
        <w:tab/>
        <w:t>Exercise of powers by another Regulatory Authority — family day care services</w:t>
      </w:r>
      <w:bookmarkEnd w:id="165"/>
    </w:p>
    <w:p>
      <w:pPr>
        <w:pStyle w:val="ySubsection"/>
      </w:pPr>
      <w:r>
        <w:tab/>
        <w:t>(1)</w:t>
      </w:r>
      <w:r>
        <w:tab/>
        <w:t>This section applies if the Regulatory Authority has granted a service approval under this Part to an approved provider for a family day care service.</w:t>
      </w:r>
    </w:p>
    <w:p>
      <w:pPr>
        <w:pStyle w:val="y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ySubsection"/>
      </w:pPr>
      <w:r>
        <w:tab/>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service approval for a family day care service in another participating jurisdiction has effect in this jurisdiction.</w:t>
      </w:r>
    </w:p>
    <w:p>
      <w:pPr>
        <w:pStyle w:val="yHeading4"/>
      </w:pPr>
      <w:bookmarkStart w:id="166" w:name="_Toc80609048"/>
      <w:bookmarkStart w:id="167" w:name="_Toc80611863"/>
      <w:r>
        <w:lastRenderedPageBreak/>
        <w:t>Division 8</w:t>
      </w:r>
      <w:r>
        <w:rPr>
          <w:b w:val="0"/>
        </w:rPr>
        <w:t xml:space="preserve"> — </w:t>
      </w:r>
      <w:r>
        <w:t>Associated children’s services</w:t>
      </w:r>
      <w:bookmarkEnd w:id="166"/>
      <w:bookmarkEnd w:id="167"/>
    </w:p>
    <w:p>
      <w:pPr>
        <w:pStyle w:val="yHeading5"/>
      </w:pPr>
      <w:bookmarkStart w:id="168" w:name="_Toc80611864"/>
      <w:r>
        <w:rPr>
          <w:rStyle w:val="CharSClsNo"/>
        </w:rPr>
        <w:t>102</w:t>
      </w:r>
      <w:r>
        <w:t>.</w:t>
      </w:r>
      <w:r>
        <w:tab/>
        <w:t>Application of this Law to associated children’s services</w:t>
      </w:r>
      <w:bookmarkEnd w:id="168"/>
    </w:p>
    <w:p>
      <w:pPr>
        <w:pStyle w:val="ySubsection"/>
      </w:pPr>
      <w:r>
        <w:tab/>
      </w:r>
      <w:r>
        <w:tab/>
        <w:t>This Law does not apply to an associated children’s service except as expressly provided in this Law.</w:t>
      </w:r>
    </w:p>
    <w:p>
      <w:pPr>
        <w:pStyle w:val="yHeading4"/>
      </w:pPr>
      <w:bookmarkStart w:id="169" w:name="_Toc80609050"/>
      <w:bookmarkStart w:id="170" w:name="_Toc80611865"/>
      <w:r>
        <w:t>Division 9</w:t>
      </w:r>
      <w:r>
        <w:rPr>
          <w:b w:val="0"/>
        </w:rPr>
        <w:t xml:space="preserve"> — </w:t>
      </w:r>
      <w:r>
        <w:t>Offences</w:t>
      </w:r>
      <w:bookmarkEnd w:id="169"/>
      <w:bookmarkEnd w:id="170"/>
    </w:p>
    <w:p>
      <w:pPr>
        <w:pStyle w:val="yHeading5"/>
      </w:pPr>
      <w:bookmarkStart w:id="171" w:name="_Toc80611866"/>
      <w:r>
        <w:rPr>
          <w:rStyle w:val="CharSClsNo"/>
        </w:rPr>
        <w:t>103</w:t>
      </w:r>
      <w:r>
        <w:t>.</w:t>
      </w:r>
      <w:r>
        <w:tab/>
        <w:t>Offence to provide an education and care service without service approval</w:t>
      </w:r>
      <w:bookmarkEnd w:id="171"/>
    </w:p>
    <w:p>
      <w:pPr>
        <w:pStyle w:val="ySubsection"/>
      </w:pPr>
      <w:r>
        <w:tab/>
        <w:t>(1)</w:t>
      </w:r>
      <w:r>
        <w:tab/>
        <w:t>A person must not provide an education and care service unless —</w:t>
      </w:r>
    </w:p>
    <w:p>
      <w:pPr>
        <w:pStyle w:val="yIndenta"/>
      </w:pPr>
      <w:r>
        <w:tab/>
        <w:t>(a)</w:t>
      </w:r>
      <w:r>
        <w:tab/>
        <w:t>the person is an approved provider in respect of that service; and</w:t>
      </w:r>
    </w:p>
    <w:p>
      <w:pPr>
        <w:pStyle w:val="yIndenta"/>
      </w:pPr>
      <w:r>
        <w:tab/>
        <w:t>(b)</w:t>
      </w:r>
      <w:r>
        <w:tab/>
        <w:t>the education and care service is an approved education and care service.</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Subsection (1) does not apply to a family day care educator providing education and care to children as part of an approved family day care service.</w:t>
      </w:r>
    </w:p>
    <w:p>
      <w:pPr>
        <w:pStyle w:val="yHeading5"/>
      </w:pPr>
      <w:bookmarkStart w:id="172" w:name="_Toc80611867"/>
      <w:r>
        <w:rPr>
          <w:rStyle w:val="CharSClsNo"/>
        </w:rPr>
        <w:t>103A</w:t>
      </w:r>
      <w:r>
        <w:t>.</w:t>
      </w:r>
      <w:r>
        <w:tab/>
        <w:t>Offence relating to places where education and care is provided as part of a family day care service</w:t>
      </w:r>
      <w:bookmarkEnd w:id="172"/>
    </w:p>
    <w:p>
      <w:pPr>
        <w:pStyle w:val="ySubsection"/>
      </w:pPr>
      <w:r>
        <w:tab/>
      </w:r>
      <w:r>
        <w:tab/>
        <w:t>An approved provider of a family day care service must ensure that education and care is not provided to children, as part of the service, from a place that is not a family day care residence or an approved family day care venue unless otherwise permitted by this Law.</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Footnotesection"/>
      </w:pPr>
      <w:r>
        <w:tab/>
        <w:t>[Section 103A inserted: No. 18 of 2018 s. 35.]</w:t>
      </w:r>
    </w:p>
    <w:p>
      <w:pPr>
        <w:pStyle w:val="yHeading5"/>
        <w:pageBreakBefore/>
        <w:spacing w:before="0"/>
      </w:pPr>
      <w:bookmarkStart w:id="173" w:name="_Toc80611868"/>
      <w:r>
        <w:rPr>
          <w:rStyle w:val="CharSClsNo"/>
        </w:rPr>
        <w:lastRenderedPageBreak/>
        <w:t>104</w:t>
      </w:r>
      <w:r>
        <w:t>.</w:t>
      </w:r>
      <w:r>
        <w:tab/>
        <w:t>Offence to advertise education and care service without service approval</w:t>
      </w:r>
      <w:bookmarkEnd w:id="173"/>
    </w:p>
    <w:p>
      <w:pPr>
        <w:pStyle w:val="ySubsection"/>
      </w:pPr>
      <w:r>
        <w:tab/>
        <w:t>(1)</w:t>
      </w:r>
      <w:r>
        <w:tab/>
        <w:t>A person must not knowingly publish or cause to be published an advertisement for an education and care service unless it is an approved education and care service.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if an application for a service approval in respect of the education and care service has been made under this Law but has not been decided.</w:t>
      </w:r>
    </w:p>
    <w:p>
      <w:pPr>
        <w:pStyle w:val="yEdnotesection"/>
      </w:pPr>
      <w:r>
        <w:t>[Part 4 (s. 105</w:t>
      </w:r>
      <w:r>
        <w:noBreakHyphen/>
        <w:t>132) deleted: No. 18 of 2018 s. 36.]</w:t>
      </w:r>
    </w:p>
    <w:p>
      <w:pPr>
        <w:pStyle w:val="yHeading3"/>
        <w:spacing w:before="180"/>
      </w:pPr>
      <w:bookmarkStart w:id="174" w:name="_Toc80609054"/>
      <w:bookmarkStart w:id="175" w:name="_Toc80611869"/>
      <w:r>
        <w:rPr>
          <w:rStyle w:val="CharSDivNo"/>
        </w:rPr>
        <w:t>Part 5</w:t>
      </w:r>
      <w:r>
        <w:t xml:space="preserve"> — </w:t>
      </w:r>
      <w:r>
        <w:rPr>
          <w:rStyle w:val="CharSDivText"/>
        </w:rPr>
        <w:t>Assessments and ratings</w:t>
      </w:r>
      <w:bookmarkEnd w:id="174"/>
      <w:bookmarkEnd w:id="175"/>
    </w:p>
    <w:p>
      <w:pPr>
        <w:pStyle w:val="yHeading4"/>
        <w:spacing w:before="180"/>
      </w:pPr>
      <w:bookmarkStart w:id="176" w:name="_Toc80609055"/>
      <w:bookmarkStart w:id="177" w:name="_Toc80611870"/>
      <w:r>
        <w:t>Division 1</w:t>
      </w:r>
      <w:r>
        <w:rPr>
          <w:b w:val="0"/>
        </w:rPr>
        <w:t xml:space="preserve"> — </w:t>
      </w:r>
      <w:r>
        <w:t>Assessment and rating</w:t>
      </w:r>
      <w:bookmarkEnd w:id="176"/>
      <w:bookmarkEnd w:id="177"/>
    </w:p>
    <w:p>
      <w:pPr>
        <w:pStyle w:val="yHeading5"/>
        <w:spacing w:before="120"/>
      </w:pPr>
      <w:bookmarkStart w:id="178" w:name="_Toc80611871"/>
      <w:r>
        <w:rPr>
          <w:rStyle w:val="CharSClsNo"/>
        </w:rPr>
        <w:t>133</w:t>
      </w:r>
      <w:r>
        <w:t>.</w:t>
      </w:r>
      <w:r>
        <w:tab/>
        <w:t>Assessment for rating purposes</w:t>
      </w:r>
      <w:bookmarkEnd w:id="178"/>
    </w:p>
    <w:p>
      <w:pPr>
        <w:pStyle w:val="y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ySubsection"/>
      </w:pPr>
      <w:r>
        <w:tab/>
        <w:t>(2)</w:t>
      </w:r>
      <w:r>
        <w:tab/>
        <w:t>Until an approved education and care service is first assessed under this Part, it is taken to have the prescribed provisional rating.</w:t>
      </w:r>
    </w:p>
    <w:p>
      <w:pPr>
        <w:pStyle w:val="yHeading5"/>
      </w:pPr>
      <w:bookmarkStart w:id="179" w:name="_Toc80611872"/>
      <w:r>
        <w:rPr>
          <w:rStyle w:val="CharSClsNo"/>
        </w:rPr>
        <w:t>134</w:t>
      </w:r>
      <w:r>
        <w:t>.</w:t>
      </w:r>
      <w:r>
        <w:tab/>
        <w:t>Rating levels</w:t>
      </w:r>
      <w:bookmarkEnd w:id="179"/>
    </w:p>
    <w:p>
      <w:pPr>
        <w:pStyle w:val="ySubsection"/>
      </w:pPr>
      <w:r>
        <w:tab/>
        <w:t>(1)</w:t>
      </w:r>
      <w:r>
        <w:tab/>
        <w:t>The rating levels for the purposes of this Law are the levels prescribed by the national regulations.</w:t>
      </w:r>
    </w:p>
    <w:p>
      <w:pPr>
        <w:pStyle w:val="ySubsection"/>
      </w:pPr>
      <w:r>
        <w:tab/>
        <w:t>(2)</w:t>
      </w:r>
      <w:r>
        <w:tab/>
        <w:t>The highest rating level prescribed by the national regulations can only be given by the National Authority under this Part.</w:t>
      </w:r>
    </w:p>
    <w:p>
      <w:pPr>
        <w:pStyle w:val="yHeading5"/>
        <w:pageBreakBefore/>
        <w:spacing w:before="0"/>
      </w:pPr>
      <w:bookmarkStart w:id="180" w:name="_Toc80611873"/>
      <w:r>
        <w:rPr>
          <w:rStyle w:val="CharSClsNo"/>
        </w:rPr>
        <w:lastRenderedPageBreak/>
        <w:t>135</w:t>
      </w:r>
      <w:r>
        <w:t>.</w:t>
      </w:r>
      <w:r>
        <w:tab/>
        <w:t>Rating of approved education and care service</w:t>
      </w:r>
      <w:bookmarkEnd w:id="180"/>
    </w:p>
    <w:p>
      <w:pPr>
        <w:pStyle w:val="ySubsection"/>
      </w:pPr>
      <w:r>
        <w:tab/>
        <w:t>(1)</w:t>
      </w:r>
      <w:r>
        <w:tab/>
        <w:t>After carrying out a rating assessment of an approved education and care service, the Regulatory Authority must determine the rating level (other than the highest rating level) —</w:t>
      </w:r>
    </w:p>
    <w:p>
      <w:pPr>
        <w:pStyle w:val="yIndenta"/>
      </w:pPr>
      <w:r>
        <w:tab/>
        <w:t>(a)</w:t>
      </w:r>
      <w:r>
        <w:tab/>
        <w:t>for each quality area stated in the National Quality Standard; and</w:t>
      </w:r>
    </w:p>
    <w:p>
      <w:pPr>
        <w:pStyle w:val="yIndenta"/>
      </w:pPr>
      <w:r>
        <w:tab/>
        <w:t>(b)</w:t>
      </w:r>
      <w:r>
        <w:tab/>
        <w:t>for the overall rating of the service.</w:t>
      </w:r>
    </w:p>
    <w:p>
      <w:pPr>
        <w:pStyle w:val="ySubsection"/>
        <w:keepNext/>
      </w:pPr>
      <w:r>
        <w:tab/>
        <w:t>(2)</w:t>
      </w:r>
      <w:r>
        <w:tab/>
        <w:t>In determining a rating level, the Regulatory Authority may have regard to —</w:t>
      </w:r>
    </w:p>
    <w:p>
      <w:pPr>
        <w:pStyle w:val="yIndenta"/>
        <w:keepNext/>
      </w:pPr>
      <w:r>
        <w:tab/>
        <w:t>(a)</w:t>
      </w:r>
      <w:r>
        <w:tab/>
        <w:t>any information obtained in the rating assessment; and</w:t>
      </w:r>
    </w:p>
    <w:p>
      <w:pPr>
        <w:pStyle w:val="yIndenta"/>
      </w:pPr>
      <w:r>
        <w:tab/>
        <w:t>(b)</w:t>
      </w:r>
      <w:r>
        <w:tab/>
        <w:t>any information obtained in any monitoring or investigation of the service under this Law; and</w:t>
      </w:r>
    </w:p>
    <w:p>
      <w:pPr>
        <w:pStyle w:val="yIndenta"/>
      </w:pPr>
      <w:r>
        <w:tab/>
        <w:t>(c)</w:t>
      </w:r>
      <w:r>
        <w:tab/>
        <w:t>the service’s history of compliance with this Law as applying in any participating jurisdiction; and</w:t>
      </w:r>
    </w:p>
    <w:p>
      <w:pPr>
        <w:pStyle w:val="yIndenta"/>
      </w:pPr>
      <w:r>
        <w:tab/>
        <w:t>(d)</w:t>
      </w:r>
      <w:r>
        <w:tab/>
        <w:t>any other prescribed information.</w:t>
      </w:r>
    </w:p>
    <w:p>
      <w:pPr>
        <w:pStyle w:val="yHeading5"/>
      </w:pPr>
      <w:bookmarkStart w:id="181" w:name="_Toc80611874"/>
      <w:r>
        <w:rPr>
          <w:rStyle w:val="CharSClsNo"/>
        </w:rPr>
        <w:t>136</w:t>
      </w:r>
      <w:r>
        <w:t>.</w:t>
      </w:r>
      <w:r>
        <w:tab/>
        <w:t>Notice to approved education and care service of rating</w:t>
      </w:r>
      <w:bookmarkEnd w:id="181"/>
    </w:p>
    <w:p>
      <w:pPr>
        <w:pStyle w:val="y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ySubsection"/>
      </w:pPr>
      <w:r>
        <w:tab/>
        <w:t>(2)</w:t>
      </w:r>
      <w:r>
        <w:tab/>
        <w:t>The notice under subsection (1) must be given within 60 days —</w:t>
      </w:r>
    </w:p>
    <w:p>
      <w:pPr>
        <w:pStyle w:val="yIndenta"/>
      </w:pPr>
      <w:r>
        <w:tab/>
        <w:t>(a)</w:t>
      </w:r>
      <w:r>
        <w:tab/>
        <w:t>after the completion of the assessment by an authorised officer under Part 9 of the premises of the approved education and care service for the purpose of the rating assessment; or</w:t>
      </w:r>
    </w:p>
    <w:p>
      <w:pPr>
        <w:pStyle w:val="yIndenta"/>
      </w:pPr>
      <w:r>
        <w:tab/>
        <w:t>(b)</w:t>
      </w:r>
      <w:r>
        <w:tab/>
        <w:t>if section 137 applies, after the end of the final period for review of the applicable decision or action referred to in section 137(1).</w:t>
      </w:r>
    </w:p>
    <w:p>
      <w:pPr>
        <w:pStyle w:val="ySubsection"/>
      </w:pPr>
      <w:r>
        <w:tab/>
        <w:t>(3)</w:t>
      </w:r>
      <w:r>
        <w:tab/>
        <w:t>A rating level set out in the notice is to be a rating level for the education and care service for the purposes of this Law unless a review of the rating level is sought under Division 3 or 4.</w:t>
      </w:r>
    </w:p>
    <w:p>
      <w:pPr>
        <w:pStyle w:val="yHeading5"/>
      </w:pPr>
      <w:bookmarkStart w:id="182" w:name="_Toc80611875"/>
      <w:r>
        <w:rPr>
          <w:rStyle w:val="CharSClsNo"/>
        </w:rPr>
        <w:lastRenderedPageBreak/>
        <w:t>137</w:t>
      </w:r>
      <w:r>
        <w:t>.</w:t>
      </w:r>
      <w:r>
        <w:tab/>
        <w:t>Suspension of rating assessment</w:t>
      </w:r>
      <w:bookmarkEnd w:id="182"/>
    </w:p>
    <w:p>
      <w:pPr>
        <w:pStyle w:val="ySubsection"/>
      </w:pPr>
      <w:r>
        <w:tab/>
        <w:t>(1)</w:t>
      </w:r>
      <w:r>
        <w:tab/>
        <w:t>This section applies in respect of a rating assessment of an approved education and care service if the assessment has not been completed and —</w:t>
      </w:r>
    </w:p>
    <w:p>
      <w:pPr>
        <w:pStyle w:val="yIndenta"/>
      </w:pPr>
      <w:r>
        <w:tab/>
        <w:t>(a)</w:t>
      </w:r>
      <w:r>
        <w:tab/>
        <w:t>the provider approval or the service approval for the service is suspended or cancelled; or</w:t>
      </w:r>
    </w:p>
    <w:p>
      <w:pPr>
        <w:pStyle w:val="yIndenta"/>
      </w:pPr>
      <w:r>
        <w:tab/>
        <w:t>(b)</w:t>
      </w:r>
      <w:r>
        <w:tab/>
        <w:t>a compliance notice has been given to the approved provider in respect of the service; or</w:t>
      </w:r>
    </w:p>
    <w:p>
      <w:pPr>
        <w:pStyle w:val="yIndenta"/>
      </w:pPr>
      <w:r>
        <w:tab/>
        <w:t>(c)</w:t>
      </w:r>
      <w:r>
        <w:tab/>
        <w:t>a notice has been given under section 179 in respect of the service; or</w:t>
      </w:r>
    </w:p>
    <w:p>
      <w:pPr>
        <w:pStyle w:val="yIndenta"/>
      </w:pPr>
      <w:r>
        <w:tab/>
        <w:t>(d)</w:t>
      </w:r>
      <w:r>
        <w:tab/>
        <w:t>an action has been taken under section 189 in respect of a child or children being educated and cared for by the service.</w:t>
      </w:r>
    </w:p>
    <w:p>
      <w:pPr>
        <w:pStyle w:val="ySubsection"/>
      </w:pPr>
      <w:r>
        <w:tab/>
        <w:t>(2)</w:t>
      </w:r>
      <w:r>
        <w:tab/>
        <w:t>The Regulatory Authority must give the approved provider a written notice stating that notice of the outcome of the rating assessment will be given under section 136 within 60 days after —</w:t>
      </w:r>
    </w:p>
    <w:p>
      <w:pPr>
        <w:pStyle w:val="yIndenta"/>
      </w:pPr>
      <w:r>
        <w:tab/>
        <w:t>(a)</w:t>
      </w:r>
      <w:r>
        <w:tab/>
        <w:t>the end of the final period for review of the decision or action referred to in subsection (1); or</w:t>
      </w:r>
    </w:p>
    <w:p>
      <w:pPr>
        <w:pStyle w:val="yIndenta"/>
      </w:pPr>
      <w:r>
        <w:tab/>
        <w:t>(b)</w:t>
      </w:r>
      <w:r>
        <w:tab/>
        <w:t>if that review is sought, the determination of the review.</w:t>
      </w:r>
    </w:p>
    <w:p>
      <w:pPr>
        <w:pStyle w:val="yHeading4"/>
      </w:pPr>
      <w:bookmarkStart w:id="183" w:name="_Toc80609061"/>
      <w:bookmarkStart w:id="184" w:name="_Toc80611876"/>
      <w:r>
        <w:t>Division 2</w:t>
      </w:r>
      <w:r>
        <w:rPr>
          <w:b w:val="0"/>
        </w:rPr>
        <w:t xml:space="preserve"> — </w:t>
      </w:r>
      <w:r>
        <w:t>Reassessment and re</w:t>
      </w:r>
      <w:r>
        <w:noBreakHyphen/>
        <w:t>rating</w:t>
      </w:r>
      <w:bookmarkEnd w:id="183"/>
      <w:bookmarkEnd w:id="184"/>
    </w:p>
    <w:p>
      <w:pPr>
        <w:pStyle w:val="yHeading5"/>
      </w:pPr>
      <w:bookmarkStart w:id="185" w:name="_Toc80611877"/>
      <w:r>
        <w:rPr>
          <w:rStyle w:val="CharSClsNo"/>
        </w:rPr>
        <w:t>138</w:t>
      </w:r>
      <w:r>
        <w:t>.</w:t>
      </w:r>
      <w:r>
        <w:tab/>
        <w:t>Regulatory Authority may reassess and re</w:t>
      </w:r>
      <w:r>
        <w:noBreakHyphen/>
        <w:t>rate approved education and care service</w:t>
      </w:r>
      <w:bookmarkEnd w:id="185"/>
    </w:p>
    <w:p>
      <w:pPr>
        <w:pStyle w:val="y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yHeading5"/>
      </w:pPr>
      <w:bookmarkStart w:id="186" w:name="_Toc80611878"/>
      <w:r>
        <w:rPr>
          <w:rStyle w:val="CharSClsNo"/>
        </w:rPr>
        <w:t>139</w:t>
      </w:r>
      <w:r>
        <w:t>.</w:t>
      </w:r>
      <w:r>
        <w:tab/>
        <w:t>Application for reassessment and re</w:t>
      </w:r>
      <w:r>
        <w:noBreakHyphen/>
        <w:t>rating by approved provider</w:t>
      </w:r>
      <w:bookmarkEnd w:id="186"/>
    </w:p>
    <w:p>
      <w:pPr>
        <w:pStyle w:val="y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ySubsection"/>
      </w:pPr>
      <w:r>
        <w:lastRenderedPageBreak/>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An application under this section can only be made once in every 2 year period, unless the Regulatory Authority agrees otherwise.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139 amended: No. 18 of 2018 s. 90.]</w:t>
      </w:r>
    </w:p>
    <w:p>
      <w:pPr>
        <w:pStyle w:val="yHeading5"/>
      </w:pPr>
      <w:bookmarkStart w:id="187" w:name="_Toc80611879"/>
      <w:r>
        <w:rPr>
          <w:rStyle w:val="CharSClsNo"/>
        </w:rPr>
        <w:t>140</w:t>
      </w:r>
      <w:r>
        <w:t>.</w:t>
      </w:r>
      <w:r>
        <w:tab/>
        <w:t>Application of Division 1</w:t>
      </w:r>
      <w:bookmarkEnd w:id="187"/>
    </w:p>
    <w:p>
      <w:pPr>
        <w:pStyle w:val="y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yHeading4"/>
      </w:pPr>
      <w:bookmarkStart w:id="188" w:name="_Toc80609065"/>
      <w:bookmarkStart w:id="189" w:name="_Toc80611880"/>
      <w:r>
        <w:t>Division 3</w:t>
      </w:r>
      <w:r>
        <w:rPr>
          <w:b w:val="0"/>
        </w:rPr>
        <w:t xml:space="preserve"> — </w:t>
      </w:r>
      <w:r>
        <w:t>Review by Regulatory Authority</w:t>
      </w:r>
      <w:bookmarkEnd w:id="188"/>
      <w:bookmarkEnd w:id="189"/>
    </w:p>
    <w:p>
      <w:pPr>
        <w:pStyle w:val="yHeading5"/>
      </w:pPr>
      <w:bookmarkStart w:id="190" w:name="_Toc80611881"/>
      <w:r>
        <w:rPr>
          <w:rStyle w:val="CharSClsNo"/>
        </w:rPr>
        <w:t>141</w:t>
      </w:r>
      <w:r>
        <w:t>.</w:t>
      </w:r>
      <w:r>
        <w:tab/>
        <w:t>Review by Regulatory Authority</w:t>
      </w:r>
      <w:bookmarkEnd w:id="190"/>
    </w:p>
    <w:p>
      <w:pPr>
        <w:pStyle w:val="ySubsection"/>
      </w:pPr>
      <w:r>
        <w:tab/>
        <w:t>(1)</w:t>
      </w:r>
      <w:r>
        <w:tab/>
        <w:t>This section applies to an approved provider that is given a notice under section 136.</w:t>
      </w:r>
    </w:p>
    <w:p>
      <w:pPr>
        <w:pStyle w:val="ySubsection"/>
      </w:pPr>
      <w:r>
        <w:tab/>
        <w:t>(2)</w:t>
      </w:r>
      <w:r>
        <w:tab/>
        <w:t>The approved provider may ask the Regulatory Authority that determined the rating levels to review the rating levels.</w:t>
      </w:r>
    </w:p>
    <w:p>
      <w:pPr>
        <w:pStyle w:val="ySubsection"/>
      </w:pPr>
      <w:r>
        <w:tab/>
        <w:t>(3)</w:t>
      </w:r>
      <w:r>
        <w:tab/>
        <w:t>A request must be made within 14 days after the approved provider receives the notice.</w:t>
      </w:r>
    </w:p>
    <w:p>
      <w:pPr>
        <w:pStyle w:val="ySubsection"/>
      </w:pPr>
      <w:r>
        <w:tab/>
        <w:t>(4)</w:t>
      </w:r>
      <w:r>
        <w:tab/>
        <w:t>A request must —</w:t>
      </w:r>
    </w:p>
    <w:p>
      <w:pPr>
        <w:pStyle w:val="yIndenta"/>
      </w:pPr>
      <w:r>
        <w:tab/>
        <w:t>(a)</w:t>
      </w:r>
      <w:r>
        <w:tab/>
        <w:t>be in writing; and</w:t>
      </w:r>
    </w:p>
    <w:p>
      <w:pPr>
        <w:pStyle w:val="yIndenta"/>
      </w:pPr>
      <w:r>
        <w:tab/>
        <w:t>(b)</w:t>
      </w:r>
      <w:r>
        <w:tab/>
        <w:t>set out the grounds on which review is sought; and</w:t>
      </w:r>
    </w:p>
    <w:p>
      <w:pPr>
        <w:pStyle w:val="yIndenta"/>
      </w:pPr>
      <w:r>
        <w:tab/>
        <w:t>(c)</w:t>
      </w:r>
      <w:r>
        <w:tab/>
        <w:t xml:space="preserve">be accompanied by </w:t>
      </w:r>
      <w:r>
        <w:rPr>
          <w:szCs w:val="22"/>
        </w:rPr>
        <w:t>the prescribed</w:t>
      </w:r>
      <w:r>
        <w:t xml:space="preserve"> information that is requested by the Regulatory Authority; and</w:t>
      </w:r>
    </w:p>
    <w:p>
      <w:pPr>
        <w:pStyle w:val="yIndenta"/>
        <w:keepNext/>
      </w:pPr>
      <w:r>
        <w:lastRenderedPageBreak/>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141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141 amended: No. 18 of 2018 s. 90.]</w:t>
      </w:r>
    </w:p>
    <w:p>
      <w:pPr>
        <w:pStyle w:val="yHeading5"/>
      </w:pPr>
      <w:bookmarkStart w:id="191" w:name="_Toc80611882"/>
      <w:r>
        <w:rPr>
          <w:rStyle w:val="CharSClsNo"/>
        </w:rPr>
        <w:t>142</w:t>
      </w:r>
      <w:r>
        <w:t>.</w:t>
      </w:r>
      <w:r>
        <w:tab/>
        <w:t>Process for review</w:t>
      </w:r>
      <w:bookmarkEnd w:id="191"/>
    </w:p>
    <w:p>
      <w:pPr>
        <w:pStyle w:val="ySubsection"/>
      </w:pPr>
      <w:r>
        <w:tab/>
        <w:t>(1)</w:t>
      </w:r>
      <w:r>
        <w:tab/>
        <w:t>The person who conducts a review of rating levels for an approved education and care service for the Regulatory Authority must not be a person who was involved in the assessment or rating of the service.</w:t>
      </w:r>
    </w:p>
    <w:p>
      <w:pPr>
        <w:pStyle w:val="ySubsection"/>
      </w:pPr>
      <w:r>
        <w:tab/>
        <w:t>(2)</w:t>
      </w:r>
      <w:r>
        <w:tab/>
        <w:t>The person conducting the review may ask the approved provider and any person who was involved in the assessment or rating of the service for further information.</w:t>
      </w:r>
    </w:p>
    <w:p>
      <w:pPr>
        <w:pStyle w:val="ySubsection"/>
      </w:pPr>
      <w:r>
        <w:tab/>
        <w:t>(3)</w:t>
      </w:r>
      <w:r>
        <w:tab/>
        <w:t>A review under this section must be conducted within 30 days after the application for review is received.</w:t>
      </w:r>
    </w:p>
    <w:p>
      <w:pPr>
        <w:pStyle w:val="ySubsection"/>
      </w:pPr>
      <w:r>
        <w:tab/>
        <w:t>(4)</w:t>
      </w:r>
      <w:r>
        <w:tab/>
        <w:t>The Regulatory Authority may extend the 30 day review period under subsection (3) in one of the following circumstances —</w:t>
      </w:r>
    </w:p>
    <w:p>
      <w:pPr>
        <w:pStyle w:val="yIndenta"/>
      </w:pPr>
      <w:r>
        <w:tab/>
        <w:t>(a)</w:t>
      </w:r>
      <w:r>
        <w:tab/>
        <w:t xml:space="preserve">for an additional period of up to 30 days, if a request for further information is made under subsection (2); </w:t>
      </w:r>
    </w:p>
    <w:p>
      <w:pPr>
        <w:pStyle w:val="yIndenta"/>
      </w:pPr>
      <w:r>
        <w:tab/>
        <w:t>(b)</w:t>
      </w:r>
      <w:r>
        <w:tab/>
        <w:t xml:space="preserve">for an additional period of up to 30 days, by agreement between the approved provider and the Regulatory Authority; </w:t>
      </w:r>
    </w:p>
    <w:p>
      <w:pPr>
        <w:pStyle w:val="yIndenta"/>
      </w:pPr>
      <w:r>
        <w:tab/>
        <w:t>(c)</w:t>
      </w:r>
      <w:r>
        <w:tab/>
        <w:t>for an additional period of up to 60 days, where the Regulatory Authority considers there are special circumstances that warrant an extension of time to conduct the review.</w:t>
      </w:r>
    </w:p>
    <w:p>
      <w:pPr>
        <w:pStyle w:val="yFootnotesection"/>
      </w:pPr>
      <w:r>
        <w:tab/>
        <w:t>[Section 142 amended: No. 18 of 2018 s. 37.]</w:t>
      </w:r>
    </w:p>
    <w:p>
      <w:pPr>
        <w:pStyle w:val="yHeading5"/>
      </w:pPr>
      <w:bookmarkStart w:id="192" w:name="_Toc80611883"/>
      <w:r>
        <w:rPr>
          <w:rStyle w:val="CharSClsNo"/>
        </w:rPr>
        <w:t>143</w:t>
      </w:r>
      <w:r>
        <w:t>.</w:t>
      </w:r>
      <w:r>
        <w:tab/>
        <w:t>Outcome of review by Regulatory Authority</w:t>
      </w:r>
      <w:bookmarkEnd w:id="192"/>
    </w:p>
    <w:p>
      <w:pPr>
        <w:pStyle w:val="ySubsection"/>
      </w:pPr>
      <w:r>
        <w:tab/>
        <w:t>(1)</w:t>
      </w:r>
      <w:r>
        <w:tab/>
        <w:t>Following a review under section 142, the Regulatory Authority may —</w:t>
      </w:r>
    </w:p>
    <w:p>
      <w:pPr>
        <w:pStyle w:val="yIndenta"/>
      </w:pPr>
      <w:r>
        <w:tab/>
        <w:t>(a)</w:t>
      </w:r>
      <w:r>
        <w:tab/>
        <w:t>confirm the specific rating levels or the overall rating or both; or</w:t>
      </w:r>
    </w:p>
    <w:p>
      <w:pPr>
        <w:pStyle w:val="yIndenta"/>
      </w:pPr>
      <w:r>
        <w:tab/>
        <w:t>(b)</w:t>
      </w:r>
      <w:r>
        <w:tab/>
        <w:t>amend the specific rating levels or the overall rating or both.</w:t>
      </w:r>
    </w:p>
    <w:p>
      <w:pPr>
        <w:pStyle w:val="ySubsection"/>
      </w:pPr>
      <w:r>
        <w:lastRenderedPageBreak/>
        <w:tab/>
        <w:t>(2)</w:t>
      </w:r>
      <w:r>
        <w:tab/>
        <w:t>The Regulatory Authority must give the approved provider written notice of the decision on the review within 30 days after the decision is made.</w:t>
      </w:r>
    </w:p>
    <w:p>
      <w:pPr>
        <w:pStyle w:val="ySubsection"/>
      </w:pPr>
      <w:r>
        <w:tab/>
        <w:t>(3)</w:t>
      </w:r>
      <w:r>
        <w:tab/>
        <w:t>The notice must set out —</w:t>
      </w:r>
    </w:p>
    <w:p>
      <w:pPr>
        <w:pStyle w:val="yIndenta"/>
      </w:pPr>
      <w:r>
        <w:tab/>
        <w:t>(a)</w:t>
      </w:r>
      <w:r>
        <w:tab/>
        <w:t>the rating levels and overall rating for the approved education and care service; and</w:t>
      </w:r>
    </w:p>
    <w:p>
      <w:pPr>
        <w:pStyle w:val="yIndenta"/>
      </w:pPr>
      <w:r>
        <w:tab/>
        <w:t>(b)</w:t>
      </w:r>
      <w:r>
        <w:tab/>
        <w:t>the reasons for the decision.</w:t>
      </w:r>
    </w:p>
    <w:p>
      <w:pPr>
        <w:pStyle w:val="y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yHeading4"/>
      </w:pPr>
      <w:bookmarkStart w:id="193" w:name="_Toc80609069"/>
      <w:bookmarkStart w:id="194" w:name="_Toc80611884"/>
      <w:r>
        <w:t>Division 4</w:t>
      </w:r>
      <w:r>
        <w:rPr>
          <w:b w:val="0"/>
        </w:rPr>
        <w:t xml:space="preserve"> — </w:t>
      </w:r>
      <w:r>
        <w:t>Review by Ratings Review Panel</w:t>
      </w:r>
      <w:bookmarkEnd w:id="193"/>
      <w:bookmarkEnd w:id="194"/>
    </w:p>
    <w:p>
      <w:pPr>
        <w:pStyle w:val="yHeading4"/>
      </w:pPr>
      <w:bookmarkStart w:id="195" w:name="_Toc80609070"/>
      <w:bookmarkStart w:id="196" w:name="_Toc80611885"/>
      <w:r>
        <w:t>Subdivision 1 — Application for review</w:t>
      </w:r>
      <w:bookmarkEnd w:id="195"/>
      <w:bookmarkEnd w:id="196"/>
    </w:p>
    <w:p>
      <w:pPr>
        <w:pStyle w:val="yHeading5"/>
      </w:pPr>
      <w:bookmarkStart w:id="197" w:name="_Toc80611886"/>
      <w:r>
        <w:rPr>
          <w:rStyle w:val="CharSClsNo"/>
        </w:rPr>
        <w:t>144</w:t>
      </w:r>
      <w:r>
        <w:t>.</w:t>
      </w:r>
      <w:r>
        <w:tab/>
        <w:t>Application for further review by Ratings Review Panel</w:t>
      </w:r>
      <w:bookmarkEnd w:id="197"/>
    </w:p>
    <w:p>
      <w:pPr>
        <w:pStyle w:val="ySubsection"/>
      </w:pPr>
      <w:r>
        <w:tab/>
        <w:t>(1)</w:t>
      </w:r>
      <w:r>
        <w:tab/>
        <w:t>This section applies if the Regulatory Authority has conducted a review of any rating levels of an approved education and care service under Division 3.</w:t>
      </w:r>
    </w:p>
    <w:p>
      <w:pPr>
        <w:pStyle w:val="ySubsection"/>
      </w:pPr>
      <w:r>
        <w:tab/>
        <w:t>(2)</w:t>
      </w:r>
      <w:r>
        <w:tab/>
        <w:t>The approved provider may apply to the National Authority for a further review by a Ratings Review Panel of the rating levels confirmed or amended by the Regulatory Authority under Division 3.</w:t>
      </w:r>
    </w:p>
    <w:p>
      <w:pPr>
        <w:pStyle w:val="ySubsection"/>
      </w:pPr>
      <w:r>
        <w:tab/>
        <w:t>(3)</w:t>
      </w:r>
      <w:r>
        <w:tab/>
        <w:t>An application may only be made on the ground that the Regulatory Authority —</w:t>
      </w:r>
    </w:p>
    <w:p>
      <w:pPr>
        <w:pStyle w:val="yIndenta"/>
      </w:pPr>
      <w:r>
        <w:tab/>
        <w:t>(a)</w:t>
      </w:r>
      <w:r>
        <w:tab/>
        <w:t>did not appropriately apply the prescribed processes for determining a rating level; or</w:t>
      </w:r>
    </w:p>
    <w:p>
      <w:pPr>
        <w:pStyle w:val="yIndenta"/>
      </w:pPr>
      <w:r>
        <w:tab/>
        <w:t>(b)</w:t>
      </w:r>
      <w:r>
        <w:tab/>
        <w:t>failed to take into account or give sufficient weight to special circumstances existing or facts existing at the time of the rating assessment.</w:t>
      </w:r>
    </w:p>
    <w:p>
      <w:pPr>
        <w:pStyle w:val="yHeading5"/>
      </w:pPr>
      <w:bookmarkStart w:id="198" w:name="_Toc80611887"/>
      <w:r>
        <w:rPr>
          <w:rStyle w:val="CharSClsNo"/>
        </w:rPr>
        <w:t>145</w:t>
      </w:r>
      <w:r>
        <w:t>.</w:t>
      </w:r>
      <w:r>
        <w:tab/>
        <w:t>Form and time of application</w:t>
      </w:r>
      <w:bookmarkEnd w:id="198"/>
    </w:p>
    <w:p>
      <w:pPr>
        <w:pStyle w:val="ySubsection"/>
      </w:pPr>
      <w:r>
        <w:tab/>
        <w:t>(1)</w:t>
      </w:r>
      <w:r>
        <w:tab/>
        <w:t>An application must be made under section 144 within 14 days after the decision of the Regulatory Authority is received under Division 3.</w:t>
      </w:r>
    </w:p>
    <w:p>
      <w:pPr>
        <w:pStyle w:val="ySubsection"/>
        <w:keepNext/>
      </w:pPr>
      <w:r>
        <w:lastRenderedPageBreak/>
        <w:tab/>
        <w:t>(2)</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(3)</w:t>
      </w:r>
      <w:r>
        <w:tab/>
        <w:t>An application must not include information or evidence that was not given to the Regulatory Authority for the purpose of a determination under Division 1, 2 or 3.</w:t>
      </w:r>
    </w:p>
    <w:p>
      <w:pPr>
        <w:pStyle w:val="ySubsection"/>
      </w:pPr>
      <w:r>
        <w:tab/>
        <w:t>(4)</w:t>
      </w:r>
      <w:r>
        <w:tab/>
        <w:t>The National Authority must —</w:t>
      </w:r>
    </w:p>
    <w:p>
      <w:pPr>
        <w:pStyle w:val="yIndenta"/>
      </w:pPr>
      <w:r>
        <w:tab/>
        <w:t>(a)</w:t>
      </w:r>
      <w:r>
        <w:tab/>
        <w:t xml:space="preserve">within 7 days after receipt of the application, give written notice to the Regulatory Authority of an application under this Division to review a determination of the Regulatory Authority; and </w:t>
      </w:r>
    </w:p>
    <w:p>
      <w:pPr>
        <w:pStyle w:val="yIndenta"/>
      </w:pPr>
      <w:r>
        <w:tab/>
        <w:t>(b)</w:t>
      </w:r>
      <w:r>
        <w:tab/>
        <w:t>invite the Regulatory Authority to make submissions to the review.</w:t>
      </w:r>
    </w:p>
    <w:p>
      <w:pPr>
        <w:pStyle w:val="yHeading4"/>
      </w:pPr>
      <w:bookmarkStart w:id="199" w:name="_Toc80609073"/>
      <w:bookmarkStart w:id="200" w:name="_Toc80611888"/>
      <w:r>
        <w:t>Subdivision 2 — Establishment of Ratings Review Panel</w:t>
      </w:r>
      <w:bookmarkEnd w:id="199"/>
      <w:bookmarkEnd w:id="200"/>
    </w:p>
    <w:p>
      <w:pPr>
        <w:pStyle w:val="yHeading5"/>
      </w:pPr>
      <w:bookmarkStart w:id="201" w:name="_Toc80611889"/>
      <w:r>
        <w:rPr>
          <w:rStyle w:val="CharSClsNo"/>
        </w:rPr>
        <w:t>146</w:t>
      </w:r>
      <w:r>
        <w:t>.</w:t>
      </w:r>
      <w:r>
        <w:tab/>
        <w:t>Establishment of Ratings Review Panel</w:t>
      </w:r>
      <w:bookmarkEnd w:id="201"/>
    </w:p>
    <w:p>
      <w:pPr>
        <w:pStyle w:val="ySubsection"/>
      </w:pPr>
      <w:r>
        <w:tab/>
        <w:t>(1)</w:t>
      </w:r>
      <w:r>
        <w:tab/>
        <w:t>The Board must establish a Ratings Review Panel for the purposes of conducting a review under this Division.</w:t>
      </w:r>
    </w:p>
    <w:p>
      <w:pPr>
        <w:pStyle w:val="ySubsection"/>
      </w:pPr>
      <w:r>
        <w:tab/>
        <w:t>(2)</w:t>
      </w:r>
      <w:r>
        <w:tab/>
        <w:t>The Panel is to consist of up to 3 members appointed by the Board.</w:t>
      </w:r>
    </w:p>
    <w:p>
      <w:pPr>
        <w:pStyle w:val="ySubsection"/>
      </w:pPr>
      <w:r>
        <w:tab/>
        <w:t>(3)</w:t>
      </w:r>
      <w:r>
        <w:tab/>
        <w:t>One of the members is to be appointed as chairperson.</w:t>
      </w:r>
    </w:p>
    <w:p>
      <w:pPr>
        <w:pStyle w:val="ySubsection"/>
      </w:pPr>
      <w:r>
        <w:tab/>
        <w:t>(4)</w:t>
      </w:r>
      <w:r>
        <w:tab/>
        <w:t>The members are to be appointed from the Review Panel pool established under section 147.</w:t>
      </w:r>
    </w:p>
    <w:p>
      <w:pPr>
        <w:pStyle w:val="yHeading5"/>
      </w:pPr>
      <w:bookmarkStart w:id="202" w:name="_Toc80611890"/>
      <w:r>
        <w:rPr>
          <w:rStyle w:val="CharSClsNo"/>
        </w:rPr>
        <w:t>147</w:t>
      </w:r>
      <w:r>
        <w:t>.</w:t>
      </w:r>
      <w:r>
        <w:tab/>
        <w:t>Review Panel pool</w:t>
      </w:r>
      <w:bookmarkEnd w:id="202"/>
    </w:p>
    <w:p>
      <w:pPr>
        <w:pStyle w:val="ySubsection"/>
      </w:pPr>
      <w:r>
        <w:tab/>
        <w:t>(1)</w:t>
      </w:r>
      <w:r>
        <w:tab/>
        <w:t>The Board must establish a pool of persons to act as members of a Ratings Review Panel.</w:t>
      </w:r>
    </w:p>
    <w:p>
      <w:pPr>
        <w:pStyle w:val="ySubsection"/>
      </w:pPr>
      <w:r>
        <w:tab/>
        <w:t>(2)</w:t>
      </w:r>
      <w:r>
        <w:tab/>
        <w:t>The pool may consist of persons nominated by the Regulatory Authorities of each participating jurisdiction and the Commonwealth Minister.</w:t>
      </w:r>
    </w:p>
    <w:p>
      <w:pPr>
        <w:pStyle w:val="ySubsection"/>
        <w:keepNext/>
      </w:pPr>
      <w:r>
        <w:lastRenderedPageBreak/>
        <w:tab/>
        <w:t>(3)</w:t>
      </w:r>
      <w:r>
        <w:tab/>
        <w:t>Subject to subsection (4), the persons approved as members of the pool must have expertise or expert knowledge in one or more of the following areas —</w:t>
      </w:r>
    </w:p>
    <w:p>
      <w:pPr>
        <w:pStyle w:val="yIndenta"/>
      </w:pPr>
      <w:r>
        <w:tab/>
        <w:t>(a)</w:t>
      </w:r>
      <w:r>
        <w:tab/>
        <w:t>early learning and development research or practice;</w:t>
      </w:r>
    </w:p>
    <w:p>
      <w:pPr>
        <w:pStyle w:val="yIndenta"/>
      </w:pPr>
      <w:r>
        <w:tab/>
        <w:t>(b)</w:t>
      </w:r>
      <w:r>
        <w:tab/>
        <w:t>law;</w:t>
      </w:r>
    </w:p>
    <w:p>
      <w:pPr>
        <w:pStyle w:val="yIndenta"/>
      </w:pPr>
      <w:r>
        <w:tab/>
        <w:t>(c)</w:t>
      </w:r>
      <w:r>
        <w:tab/>
        <w:t>a prescribed area.</w:t>
      </w:r>
    </w:p>
    <w:p>
      <w:pPr>
        <w:pStyle w:val="ySubsection"/>
      </w:pPr>
      <w:r>
        <w:tab/>
        <w:t>(4)</w:t>
      </w:r>
      <w:r>
        <w:tab/>
        <w:t>A member of staff of the National Authority may be approved as a member of the pool.</w:t>
      </w:r>
    </w:p>
    <w:p>
      <w:pPr>
        <w:pStyle w:val="yHeading5"/>
      </w:pPr>
      <w:bookmarkStart w:id="203" w:name="_Toc80611891"/>
      <w:r>
        <w:rPr>
          <w:rStyle w:val="CharSClsNo"/>
        </w:rPr>
        <w:t>148</w:t>
      </w:r>
      <w:r>
        <w:t>.</w:t>
      </w:r>
      <w:r>
        <w:tab/>
        <w:t>Procedure of Panel</w:t>
      </w:r>
      <w:bookmarkEnd w:id="203"/>
    </w:p>
    <w:p>
      <w:pPr>
        <w:pStyle w:val="ySubsection"/>
      </w:pPr>
      <w:r>
        <w:tab/>
        <w:t>(1)</w:t>
      </w:r>
      <w:r>
        <w:tab/>
        <w:t>Subject to this Law, the procedure of a Ratings Review Panel is in its discretion.</w:t>
      </w:r>
    </w:p>
    <w:p>
      <w:pPr>
        <w:pStyle w:val="ySubsection"/>
      </w:pPr>
      <w:r>
        <w:tab/>
        <w:t>(2)</w:t>
      </w:r>
      <w:r>
        <w:tab/>
        <w:t>The chairperson of a Panel must convene meetings of the Panel.</w:t>
      </w:r>
    </w:p>
    <w:p>
      <w:pPr>
        <w:pStyle w:val="ySubsection"/>
        <w:keepNext/>
      </w:pPr>
      <w:r>
        <w:tab/>
        <w:t>(3)</w:t>
      </w:r>
      <w:r>
        <w:tab/>
        <w:t>A Panel must keep minutes of its deliberations setting out —</w:t>
      </w:r>
    </w:p>
    <w:p>
      <w:pPr>
        <w:pStyle w:val="yIndenta"/>
        <w:keepNext/>
      </w:pPr>
      <w:r>
        <w:tab/>
        <w:t>(a)</w:t>
      </w:r>
      <w:r>
        <w:tab/>
        <w:t>the dates and duration of its deliberations; and</w:t>
      </w:r>
    </w:p>
    <w:p>
      <w:pPr>
        <w:pStyle w:val="yIndenta"/>
      </w:pPr>
      <w:r>
        <w:tab/>
        <w:t>(b)</w:t>
      </w:r>
      <w:r>
        <w:tab/>
        <w:t>its decisions on the review.</w:t>
      </w:r>
    </w:p>
    <w:p>
      <w:pPr>
        <w:pStyle w:val="ySubsection"/>
      </w:pPr>
      <w:r>
        <w:tab/>
        <w:t>(4)</w:t>
      </w:r>
      <w:r>
        <w:tab/>
        <w:t>The Panel must seek to make decisions by consensus.</w:t>
      </w:r>
    </w:p>
    <w:p>
      <w:pPr>
        <w:pStyle w:val="ySubsection"/>
      </w:pPr>
      <w:r>
        <w:tab/>
        <w:t>(5)</w:t>
      </w:r>
      <w:r>
        <w:tab/>
        <w:t>In the absence of a consensus, a decision of the Panel is a decision of the majority of the members of the Panel.</w:t>
      </w:r>
    </w:p>
    <w:p>
      <w:pPr>
        <w:pStyle w:val="ySubsection"/>
      </w:pPr>
      <w:r>
        <w:tab/>
        <w:t>(6)</w:t>
      </w:r>
      <w:r>
        <w:tab/>
        <w:t>If a majority decision is not reached, the Panel is taken to have confirmed the rating levels determined by the Regulatory Authority.</w:t>
      </w:r>
    </w:p>
    <w:p>
      <w:pPr>
        <w:pStyle w:val="yHeading5"/>
      </w:pPr>
      <w:bookmarkStart w:id="204" w:name="_Toc80611892"/>
      <w:r>
        <w:rPr>
          <w:rStyle w:val="CharSClsNo"/>
        </w:rPr>
        <w:t>149</w:t>
      </w:r>
      <w:r>
        <w:t>.</w:t>
      </w:r>
      <w:r>
        <w:tab/>
        <w:t>Transaction of business by alternative means</w:t>
      </w:r>
      <w:bookmarkEnd w:id="204"/>
    </w:p>
    <w:p>
      <w:pPr>
        <w:pStyle w:val="y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y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lastRenderedPageBreak/>
        <w:tab/>
        <w:t>(3)</w:t>
      </w:r>
      <w:r>
        <w:tab/>
        <w:t>Papers may be circulated among the members for the purposes of subsection (1) by facsimile, email or other transmission of the information in the papers concerned.</w:t>
      </w:r>
    </w:p>
    <w:p>
      <w:pPr>
        <w:pStyle w:val="yHeading4"/>
      </w:pPr>
      <w:bookmarkStart w:id="205" w:name="_Toc80609078"/>
      <w:bookmarkStart w:id="206" w:name="_Toc80611893"/>
      <w:r>
        <w:t>Subdivision 3 — Conduct of review</w:t>
      </w:r>
      <w:bookmarkEnd w:id="205"/>
      <w:bookmarkEnd w:id="206"/>
    </w:p>
    <w:p>
      <w:pPr>
        <w:pStyle w:val="yHeading5"/>
      </w:pPr>
      <w:bookmarkStart w:id="207" w:name="_Toc80611894"/>
      <w:r>
        <w:rPr>
          <w:rStyle w:val="CharSClsNo"/>
        </w:rPr>
        <w:t>150</w:t>
      </w:r>
      <w:r>
        <w:t>.</w:t>
      </w:r>
      <w:r>
        <w:tab/>
        <w:t>Conduct of review</w:t>
      </w:r>
      <w:bookmarkEnd w:id="207"/>
    </w:p>
    <w:p>
      <w:pPr>
        <w:pStyle w:val="ySubsection"/>
      </w:pPr>
      <w:r>
        <w:tab/>
        <w:t>(1)</w:t>
      </w:r>
      <w:r>
        <w:tab/>
        <w:t>In conducting a review, the Ratings Review Panel may consider —</w:t>
      </w:r>
    </w:p>
    <w:p>
      <w:pPr>
        <w:pStyle w:val="yIndenta"/>
      </w:pPr>
      <w:r>
        <w:tab/>
        <w:t>(a)</w:t>
      </w:r>
      <w:r>
        <w:tab/>
        <w:t>any documents or other information or plans, photographs or video or other evidence available to the Regulatory Authority in carrying out the rating assessment; and</w:t>
      </w:r>
    </w:p>
    <w:p>
      <w:pPr>
        <w:pStyle w:val="yIndenta"/>
      </w:pPr>
      <w:r>
        <w:tab/>
        <w:t>(b)</w:t>
      </w:r>
      <w:r>
        <w:tab/>
        <w:t>the approved provider’s history of compliance with this Law as applying in any participating jurisdiction; and</w:t>
      </w:r>
    </w:p>
    <w:p>
      <w:pPr>
        <w:pStyle w:val="yIndenta"/>
      </w:pPr>
      <w:r>
        <w:tab/>
        <w:t>(c)</w:t>
      </w:r>
      <w:r>
        <w:tab/>
        <w:t>the approved education and care service’s history of compliance with this Law as applying in any participating jurisdiction; and</w:t>
      </w:r>
    </w:p>
    <w:p>
      <w:pPr>
        <w:pStyle w:val="yIndenta"/>
      </w:pPr>
      <w:r>
        <w:tab/>
        <w:t>(d)</w:t>
      </w:r>
      <w:r>
        <w:tab/>
        <w:t>the application for review to the Regulatory Authority; and</w:t>
      </w:r>
    </w:p>
    <w:p>
      <w:pPr>
        <w:pStyle w:val="yIndenta"/>
      </w:pPr>
      <w:r>
        <w:tab/>
        <w:t>(e)</w:t>
      </w:r>
      <w:r>
        <w:tab/>
        <w:t>any submissions made by the approved provider to the review by the Regulatory Authority; and</w:t>
      </w:r>
    </w:p>
    <w:p>
      <w:pPr>
        <w:pStyle w:val="yIndenta"/>
      </w:pPr>
      <w:r>
        <w:tab/>
        <w:t>(f)</w:t>
      </w:r>
      <w:r>
        <w:tab/>
        <w:t>the written findings on the review by the Regulatory Authority; and</w:t>
      </w:r>
    </w:p>
    <w:p>
      <w:pPr>
        <w:pStyle w:val="yIndenta"/>
      </w:pPr>
      <w:r>
        <w:tab/>
        <w:t>(g)</w:t>
      </w:r>
      <w:r>
        <w:tab/>
        <w:t>the application for review to the Ratings Review Panel; and</w:t>
      </w:r>
    </w:p>
    <w:p>
      <w:pPr>
        <w:pStyle w:val="yIndenta"/>
      </w:pPr>
      <w:r>
        <w:tab/>
        <w:t>(h)</w:t>
      </w:r>
      <w:r>
        <w:tab/>
        <w:t>any written submissions or responses made to the Ratings Review Panel by the approved provider; and</w:t>
      </w:r>
    </w:p>
    <w:p>
      <w:pPr>
        <w:pStyle w:val="yIndenta"/>
      </w:pPr>
      <w:r>
        <w:tab/>
        <w:t>(i)</w:t>
      </w:r>
      <w:r>
        <w:tab/>
        <w:t>any written submissions or responses made to the Ratings Review Panel by the Regulatory Authority relating to the stated grounds for review; and</w:t>
      </w:r>
    </w:p>
    <w:p>
      <w:pPr>
        <w:pStyle w:val="yIndenta"/>
      </w:pPr>
      <w:r>
        <w:tab/>
        <w:t>(j)</w:t>
      </w:r>
      <w:r>
        <w:tab/>
        <w:t>any advice received from the National Authority, at the request of the Ratings Review Panel, about how the prescribed processes for rating assessments are intended to be applied that is relevant to the review.</w:t>
      </w:r>
    </w:p>
    <w:p>
      <w:pPr>
        <w:pStyle w:val="ySubsection"/>
      </w:pPr>
      <w:r>
        <w:tab/>
        <w:t>(2)</w:t>
      </w:r>
      <w:r>
        <w:tab/>
        <w:t>The Ratings Review Panel is not required to hold an oral hearing for a review.</w:t>
      </w:r>
    </w:p>
    <w:p>
      <w:pPr>
        <w:pStyle w:val="ySubsection"/>
      </w:pPr>
      <w:r>
        <w:tab/>
        <w:t>(3)</w:t>
      </w:r>
      <w:r>
        <w:tab/>
        <w:t>The Ratings Review Panel may ask the Regulatory Authority to provide in writing any information in relation to the assessment.</w:t>
      </w:r>
    </w:p>
    <w:p>
      <w:pPr>
        <w:pStyle w:val="ySubsection"/>
      </w:pPr>
      <w:r>
        <w:lastRenderedPageBreak/>
        <w:tab/>
        <w:t>(4)</w:t>
      </w:r>
      <w:r>
        <w:tab/>
        <w:t>The Ratings Review Panel may ask the approved provider for further written information in relation to its application.</w:t>
      </w:r>
    </w:p>
    <w:p>
      <w:pPr>
        <w:pStyle w:val="y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yHeading5"/>
      </w:pPr>
      <w:bookmarkStart w:id="208" w:name="_Toc80611895"/>
      <w:r>
        <w:rPr>
          <w:rStyle w:val="CharSClsNo"/>
        </w:rPr>
        <w:t>151</w:t>
      </w:r>
      <w:r>
        <w:t>.</w:t>
      </w:r>
      <w:r>
        <w:tab/>
        <w:t>Decision on review by Ratings Review Panel</w:t>
      </w:r>
      <w:bookmarkEnd w:id="208"/>
    </w:p>
    <w:p>
      <w:pPr>
        <w:pStyle w:val="ySubsection"/>
      </w:pPr>
      <w:r>
        <w:tab/>
        <w:t>(1)</w:t>
      </w:r>
      <w:r>
        <w:tab/>
        <w:t>Following a review, the Ratings Review Panel may —</w:t>
      </w:r>
    </w:p>
    <w:p>
      <w:pPr>
        <w:pStyle w:val="yIndenta"/>
      </w:pPr>
      <w:r>
        <w:tab/>
        <w:t>(a)</w:t>
      </w:r>
      <w:r>
        <w:tab/>
        <w:t xml:space="preserve">confirm the rating levels determined by the Regulatory Authority; or </w:t>
      </w:r>
    </w:p>
    <w:p>
      <w:pPr>
        <w:pStyle w:val="yIndenta"/>
      </w:pPr>
      <w:r>
        <w:tab/>
        <w:t>(b)</w:t>
      </w:r>
      <w:r>
        <w:tab/>
        <w:t>amend the rating levels.</w:t>
      </w:r>
    </w:p>
    <w:p>
      <w:pPr>
        <w:pStyle w:val="ySubsection"/>
      </w:pPr>
      <w:r>
        <w:tab/>
        <w:t>(2)</w:t>
      </w:r>
      <w:r>
        <w:tab/>
        <w:t>The Ratings Review Panel must make a decision on the review within 60 days after the application for review was made.</w:t>
      </w:r>
    </w:p>
    <w:p>
      <w:pPr>
        <w:pStyle w:val="ySubsection"/>
      </w:pPr>
      <w:r>
        <w:tab/>
        <w:t>(3)</w:t>
      </w:r>
      <w:r>
        <w:tab/>
        <w:t>The chairperson of the Panel may extend the period for the making of a decision by a Ratings Review Panel if the chairperson considers there are special circumstances that warrant that extension.</w:t>
      </w:r>
    </w:p>
    <w:p>
      <w:pPr>
        <w:pStyle w:val="ySubsection"/>
      </w:pPr>
      <w:r>
        <w:tab/>
        <w:t>(4)</w:t>
      </w:r>
      <w:r>
        <w:tab/>
        <w:t>The period for the making of a decision by a Ratings Review Panel may be extended by agreement between the chairperson of the Panel and the approved provider.</w:t>
      </w:r>
    </w:p>
    <w:p>
      <w:pPr>
        <w:pStyle w:val="y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ySubsection"/>
      </w:pPr>
      <w:r>
        <w:tab/>
        <w:t>(6)</w:t>
      </w:r>
      <w:r>
        <w:tab/>
        <w:t>A rating level confirmed or amended on a review under this Division by the Ratings Review Panel is the rating level for the approved education and care service for the purposes of this Law.</w:t>
      </w:r>
    </w:p>
    <w:p>
      <w:pPr>
        <w:pStyle w:val="yHeading4"/>
      </w:pPr>
      <w:bookmarkStart w:id="209" w:name="_Toc80609081"/>
      <w:bookmarkStart w:id="210" w:name="_Toc80611896"/>
      <w:r>
        <w:t>Division 5</w:t>
      </w:r>
      <w:r>
        <w:rPr>
          <w:b w:val="0"/>
        </w:rPr>
        <w:t xml:space="preserve"> — </w:t>
      </w:r>
      <w:r>
        <w:t>Awarding of highest rating</w:t>
      </w:r>
      <w:bookmarkEnd w:id="209"/>
      <w:bookmarkEnd w:id="210"/>
    </w:p>
    <w:p>
      <w:pPr>
        <w:pStyle w:val="yHeading5"/>
      </w:pPr>
      <w:bookmarkStart w:id="211" w:name="_Toc80611897"/>
      <w:r>
        <w:rPr>
          <w:rStyle w:val="CharSClsNo"/>
        </w:rPr>
        <w:t>152</w:t>
      </w:r>
      <w:r>
        <w:t>.</w:t>
      </w:r>
      <w:r>
        <w:tab/>
        <w:t>Application for highest rating</w:t>
      </w:r>
      <w:bookmarkEnd w:id="211"/>
    </w:p>
    <w:p>
      <w:pPr>
        <w:pStyle w:val="ySubsection"/>
      </w:pPr>
      <w:r>
        <w:tab/>
        <w:t>(1)</w:t>
      </w:r>
      <w: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p>
    <w:p>
      <w:pPr>
        <w:pStyle w:val="ySubsection"/>
      </w:pPr>
      <w:r>
        <w:lastRenderedPageBreak/>
        <w:tab/>
        <w:t>(2)</w:t>
      </w:r>
      <w:r>
        <w:tab/>
        <w:t>The highest rating level is an overall rating of the education and care service.</w:t>
      </w:r>
    </w:p>
    <w:p>
      <w:pPr>
        <w:pStyle w:val="ySubsection"/>
      </w:pPr>
      <w:r>
        <w:tab/>
        <w:t>(3)</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(4)</w:t>
      </w:r>
      <w:r>
        <w:tab/>
        <w:t>An application may be made only once every 3 years, unless the National Authority determines otherwise in a particular case.</w:t>
      </w:r>
    </w:p>
    <w:p>
      <w:pPr>
        <w:pStyle w:val="ySubsection"/>
      </w:pPr>
      <w:r>
        <w:tab/>
        <w:t>(5)</w:t>
      </w:r>
      <w:r>
        <w:tab/>
        <w:t>An application may be made for the highest rating level only if the approved education and care service holds the rating levels prescribed for the purposes of this section.</w:t>
      </w:r>
    </w:p>
    <w:p>
      <w:pPr>
        <w:pStyle w:val="yFootnotesection"/>
      </w:pPr>
      <w:r>
        <w:tab/>
        <w:t>[Section 152 amended: No. 18 of 2018 s. 38.]</w:t>
      </w:r>
    </w:p>
    <w:p>
      <w:pPr>
        <w:pStyle w:val="yHeading5"/>
      </w:pPr>
      <w:bookmarkStart w:id="212" w:name="_Toc80611898"/>
      <w:r>
        <w:rPr>
          <w:rStyle w:val="CharSClsNo"/>
        </w:rPr>
        <w:t>153</w:t>
      </w:r>
      <w:r>
        <w:t>.</w:t>
      </w:r>
      <w:r>
        <w:tab/>
        <w:t>Assessment of education and care service</w:t>
      </w:r>
      <w:bookmarkEnd w:id="212"/>
    </w:p>
    <w:p>
      <w:pPr>
        <w:pStyle w:val="ySubsection"/>
      </w:pPr>
      <w:r>
        <w:tab/>
        <w:t>(1)</w:t>
      </w:r>
      <w:r>
        <w:tab/>
        <w:t>The National Authority may determine and publish criteria that must be met by approved education and care services in respect of the award of the highest rating level.</w:t>
      </w:r>
    </w:p>
    <w:p>
      <w:pPr>
        <w:pStyle w:val="ySubsection"/>
      </w:pPr>
      <w:r>
        <w:tab/>
        <w:t>(2)</w:t>
      </w:r>
      <w: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p>
    <w:p>
      <w:pPr>
        <w:pStyle w:val="ySubsection"/>
      </w:pPr>
      <w:r>
        <w:tab/>
        <w:t>(3)</w:t>
      </w:r>
      <w:r>
        <w:tab/>
        <w:t>The Board must ask for, and take into account, the advice of the Regulatory Authority in carrying out the assessment.</w:t>
      </w:r>
    </w:p>
    <w:p>
      <w:pPr>
        <w:pStyle w:val="ySubsection"/>
      </w:pPr>
      <w:r>
        <w:tab/>
        <w:t>(4)</w:t>
      </w:r>
      <w:r>
        <w:tab/>
        <w:t>The advice of the Regulatory Authority may include —</w:t>
      </w:r>
    </w:p>
    <w:p>
      <w:pPr>
        <w:pStyle w:val="yIndenta"/>
      </w:pPr>
      <w:r>
        <w:tab/>
        <w:t>(a)</w:t>
      </w:r>
      <w:r>
        <w:tab/>
        <w:t>previous rating assessments and ratings for the education and care service; and</w:t>
      </w:r>
    </w:p>
    <w:p>
      <w:pPr>
        <w:pStyle w:val="yIndenta"/>
      </w:pPr>
      <w:r>
        <w:tab/>
        <w:t>(b)</w:t>
      </w:r>
      <w:r>
        <w:tab/>
        <w:t>information about the service’s compliance history; and</w:t>
      </w:r>
    </w:p>
    <w:p>
      <w:pPr>
        <w:pStyle w:val="yIndenta"/>
      </w:pPr>
      <w:r>
        <w:tab/>
        <w:t>(c)</w:t>
      </w:r>
      <w:r>
        <w:tab/>
        <w:t>any other relevant information.</w:t>
      </w:r>
    </w:p>
    <w:p>
      <w:pPr>
        <w:pStyle w:val="yHeading5"/>
        <w:pageBreakBefore/>
        <w:spacing w:before="0"/>
      </w:pPr>
      <w:bookmarkStart w:id="213" w:name="_Toc80611899"/>
      <w:r>
        <w:rPr>
          <w:rStyle w:val="CharSClsNo"/>
        </w:rPr>
        <w:lastRenderedPageBreak/>
        <w:t>154</w:t>
      </w:r>
      <w:r>
        <w:t>.</w:t>
      </w:r>
      <w:r>
        <w:tab/>
        <w:t>Board may seek information and documents</w:t>
      </w:r>
      <w:bookmarkEnd w:id="213"/>
    </w:p>
    <w:p>
      <w:pPr>
        <w:pStyle w:val="ySubsection"/>
      </w:pPr>
      <w:r>
        <w:tab/>
        <w:t>(1)</w:t>
      </w:r>
      <w:r>
        <w:tab/>
        <w:t>The Board for the purposes of the rating assessment may —</w:t>
      </w:r>
    </w:p>
    <w:p>
      <w:pPr>
        <w:pStyle w:val="yIndenta"/>
      </w:pPr>
      <w:r>
        <w:tab/>
        <w:t>(a)</w:t>
      </w:r>
      <w:r>
        <w:tab/>
        <w:t>ask the approved provider of the approved education and care service for any information and documents; and</w:t>
      </w:r>
    </w:p>
    <w:p>
      <w:pPr>
        <w:pStyle w:val="yIndenta"/>
      </w:pPr>
      <w:r>
        <w:tab/>
        <w:t>(b)</w:t>
      </w:r>
      <w:r>
        <w:tab/>
        <w:t>make any inquiries it considers appropriate.</w:t>
      </w:r>
    </w:p>
    <w:p>
      <w:pPr>
        <w:pStyle w:val="ySubsection"/>
      </w:pPr>
      <w:r>
        <w:tab/>
        <w:t>(2)</w:t>
      </w:r>
      <w: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p>
    <w:p>
      <w:pPr>
        <w:pStyle w:val="yHeading5"/>
      </w:pPr>
      <w:bookmarkStart w:id="214" w:name="_Toc80611900"/>
      <w:r>
        <w:rPr>
          <w:rStyle w:val="CharSClsNo"/>
        </w:rPr>
        <w:t>155</w:t>
      </w:r>
      <w:r>
        <w:t>.</w:t>
      </w:r>
      <w:r>
        <w:tab/>
        <w:t>Decision on application</w:t>
      </w:r>
      <w:bookmarkEnd w:id="214"/>
    </w:p>
    <w:p>
      <w:pPr>
        <w:pStyle w:val="ySubsection"/>
        <w:keepNext/>
      </w:pPr>
      <w:r>
        <w:tab/>
        <w:t>(1)</w:t>
      </w:r>
      <w:r>
        <w:tab/>
        <w:t>After assessing the approved education and care service, the Board must —</w:t>
      </w:r>
    </w:p>
    <w:p>
      <w:pPr>
        <w:pStyle w:val="yIndenta"/>
        <w:keepNext/>
      </w:pPr>
      <w:r>
        <w:tab/>
        <w:t>(a)</w:t>
      </w:r>
      <w:r>
        <w:tab/>
        <w:t>if it is satisfied that it is appropriate to do so, give the approved education and care service the highest rating level; or</w:t>
      </w:r>
    </w:p>
    <w:p>
      <w:pPr>
        <w:pStyle w:val="yIndenta"/>
      </w:pPr>
      <w:r>
        <w:tab/>
        <w:t>(b)</w:t>
      </w:r>
      <w:r>
        <w:tab/>
        <w:t>otherwise refuse to give that rating.</w:t>
      </w:r>
    </w:p>
    <w:p>
      <w:pPr>
        <w:pStyle w:val="ySubsection"/>
      </w:pPr>
      <w:r>
        <w:tab/>
        <w:t>(2)</w:t>
      </w:r>
      <w:r>
        <w:tab/>
        <w:t>The Board must make its decision within 60 days after the application is received.</w:t>
      </w:r>
    </w:p>
    <w:p>
      <w:pPr>
        <w:pStyle w:val="ySubsection"/>
      </w:pPr>
      <w:r>
        <w:tab/>
        <w:t>(3)</w:t>
      </w:r>
      <w:r>
        <w:tab/>
        <w:t>The period specified in subsection (2) may be extended by up to 30 days —</w:t>
      </w:r>
    </w:p>
    <w:p>
      <w:pPr>
        <w:pStyle w:val="yIndenta"/>
      </w:pPr>
      <w:r>
        <w:tab/>
        <w:t>(a)</w:t>
      </w:r>
      <w:r>
        <w:tab/>
        <w:t>if a request for information and documents is made under section 154; or</w:t>
      </w:r>
    </w:p>
    <w:p>
      <w:pPr>
        <w:pStyle w:val="yIndenta"/>
      </w:pPr>
      <w:r>
        <w:tab/>
        <w:t>(b)</w:t>
      </w:r>
      <w:r>
        <w:tab/>
        <w:t>by agreement between the approved provider and the Board.</w:t>
      </w:r>
    </w:p>
    <w:p>
      <w:pPr>
        <w:pStyle w:val="ySubsection"/>
      </w:pPr>
      <w:r>
        <w:tab/>
        <w:t>(4)</w:t>
      </w:r>
      <w:r>
        <w:tab/>
        <w:t>If the Board gives the highest rating level to an approved education and care service, that rating becomes the rating level for that service.</w:t>
      </w:r>
    </w:p>
    <w:p>
      <w:pPr>
        <w:pStyle w:val="ySubsection"/>
      </w:pPr>
      <w:r>
        <w:tab/>
        <w:t>(5)</w:t>
      </w:r>
      <w:r>
        <w:tab/>
        <w:t>The highest rating level awarded to an approved education and care service applies to that service for 3 years, unless sooner revoked.</w:t>
      </w:r>
    </w:p>
    <w:p>
      <w:pPr>
        <w:pStyle w:val="yHeading5"/>
        <w:pageBreakBefore/>
        <w:spacing w:before="0"/>
      </w:pPr>
      <w:bookmarkStart w:id="215" w:name="_Toc80611901"/>
      <w:r>
        <w:rPr>
          <w:rStyle w:val="CharSClsNo"/>
        </w:rPr>
        <w:lastRenderedPageBreak/>
        <w:t>156</w:t>
      </w:r>
      <w:r>
        <w:t>.</w:t>
      </w:r>
      <w:r>
        <w:tab/>
        <w:t>Notice of decision</w:t>
      </w:r>
      <w:bookmarkEnd w:id="215"/>
    </w:p>
    <w:p>
      <w:pPr>
        <w:pStyle w:val="ySubsection"/>
      </w:pPr>
      <w:r>
        <w:tab/>
        <w:t>(1)</w:t>
      </w:r>
      <w:r>
        <w:tab/>
        <w:t>The Board must give written notice of its decision under section 155 in relation to an approved education and care service to —</w:t>
      </w:r>
    </w:p>
    <w:p>
      <w:pPr>
        <w:pStyle w:val="yIndenta"/>
      </w:pPr>
      <w:r>
        <w:tab/>
        <w:t>(a)</w:t>
      </w:r>
      <w:r>
        <w:tab/>
        <w:t>the approved provider; and</w:t>
      </w:r>
    </w:p>
    <w:p>
      <w:pPr>
        <w:pStyle w:val="yIndenta"/>
      </w:pPr>
      <w:r>
        <w:tab/>
        <w:t>(b)</w:t>
      </w:r>
      <w:r>
        <w:tab/>
        <w:t>the Regulatory Authority.</w:t>
      </w:r>
    </w:p>
    <w:p>
      <w:pPr>
        <w:pStyle w:val="ySubsection"/>
      </w:pPr>
      <w:r>
        <w:tab/>
        <w:t>(2)</w:t>
      </w:r>
      <w:r>
        <w:tab/>
        <w:t>The notice must be given within 14 days of making the decision.</w:t>
      </w:r>
    </w:p>
    <w:p>
      <w:pPr>
        <w:pStyle w:val="yHeading5"/>
      </w:pPr>
      <w:bookmarkStart w:id="216" w:name="_Toc80611902"/>
      <w:r>
        <w:rPr>
          <w:rStyle w:val="CharSClsNo"/>
        </w:rPr>
        <w:t>157</w:t>
      </w:r>
      <w:r>
        <w:t>.</w:t>
      </w:r>
      <w:r>
        <w:tab/>
        <w:t>Reassessment of highest rating level</w:t>
      </w:r>
      <w:bookmarkEnd w:id="216"/>
    </w:p>
    <w:p>
      <w:pPr>
        <w:pStyle w:val="ySubsection"/>
        <w:spacing w:before="120"/>
      </w:pPr>
      <w:r>
        <w:tab/>
      </w:r>
      <w:r>
        <w:tab/>
        <w:t>The Board may at any time reassess an approved education and care service in accordance with section 153.</w:t>
      </w:r>
    </w:p>
    <w:p>
      <w:pPr>
        <w:pStyle w:val="yHeading5"/>
      </w:pPr>
      <w:bookmarkStart w:id="217" w:name="_Toc80611903"/>
      <w:r>
        <w:rPr>
          <w:rStyle w:val="CharSClsNo"/>
        </w:rPr>
        <w:t>158</w:t>
      </w:r>
      <w:r>
        <w:t>.</w:t>
      </w:r>
      <w:r>
        <w:tab/>
        <w:t>Revocation of highest rating level</w:t>
      </w:r>
      <w:bookmarkEnd w:id="217"/>
    </w:p>
    <w:p>
      <w:pPr>
        <w:pStyle w:val="ySubsection"/>
        <w:keepNext/>
        <w:spacing w:before="120"/>
      </w:pPr>
      <w:r>
        <w:tab/>
      </w:r>
      <w:r>
        <w:tab/>
        <w:t>The Board must revoke the highest rating level of an approved education and care service if —</w:t>
      </w:r>
    </w:p>
    <w:p>
      <w:pPr>
        <w:pStyle w:val="yIndenta"/>
        <w:keepNext/>
      </w:pPr>
      <w:r>
        <w:tab/>
        <w:t>(a)</w:t>
      </w:r>
      <w:r>
        <w:tab/>
        <w:t>it determines that the service no longer meets the criteria for the highest rating level; or</w:t>
      </w:r>
    </w:p>
    <w:p>
      <w:pPr>
        <w:pStyle w:val="yIndenta"/>
      </w:pPr>
      <w:r>
        <w:tab/>
        <w:t>(b)</w:t>
      </w:r>
      <w:r>
        <w:tab/>
        <w:t>the Regulatory Authority advises the Board that the service no longer meets the requirements for the rating levels prescribed for the purposes of section 152(5).</w:t>
      </w:r>
    </w:p>
    <w:p>
      <w:pPr>
        <w:pStyle w:val="yFootnotesection"/>
      </w:pPr>
      <w:r>
        <w:tab/>
        <w:t>[Section 158 amended: No. 18 of 2018 s. 39.]</w:t>
      </w:r>
    </w:p>
    <w:p>
      <w:pPr>
        <w:pStyle w:val="yHeading5"/>
      </w:pPr>
      <w:bookmarkStart w:id="218" w:name="_Toc80611904"/>
      <w:r>
        <w:rPr>
          <w:rStyle w:val="CharSClsNo"/>
        </w:rPr>
        <w:t>159</w:t>
      </w:r>
      <w:r>
        <w:t>.</w:t>
      </w:r>
      <w:r>
        <w:tab/>
        <w:t>Re</w:t>
      </w:r>
      <w:r>
        <w:noBreakHyphen/>
        <w:t>application for highest rating level</w:t>
      </w:r>
      <w:bookmarkEnd w:id="218"/>
    </w:p>
    <w:p>
      <w:pPr>
        <w:pStyle w:val="ySubsection"/>
        <w:spacing w:before="120"/>
      </w:pPr>
      <w:r>
        <w:tab/>
        <w:t>(1)</w:t>
      </w:r>
      <w:r>
        <w:tab/>
        <w:t>An approved provider of an approved education and care service that has been awarded the highest rating level may reapply for the award of the highest rating level for the service.</w:t>
      </w:r>
    </w:p>
    <w:p>
      <w:pPr>
        <w:pStyle w:val="ySubsection"/>
      </w:pPr>
      <w:r>
        <w:tab/>
        <w:t>(2)</w:t>
      </w:r>
      <w:r>
        <w:tab/>
        <w:t>The application must be made within 90 days before the expiry of the existing highest rating level for the approved education and care service.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Heading4"/>
        <w:pageBreakBefore/>
        <w:spacing w:before="0"/>
      </w:pPr>
      <w:bookmarkStart w:id="219" w:name="_Toc80609090"/>
      <w:bookmarkStart w:id="220" w:name="_Toc80611905"/>
      <w:r>
        <w:lastRenderedPageBreak/>
        <w:t>Division 6</w:t>
      </w:r>
      <w:r>
        <w:rPr>
          <w:b w:val="0"/>
        </w:rPr>
        <w:t xml:space="preserve"> — </w:t>
      </w:r>
      <w:r>
        <w:t>Publication of rating levels</w:t>
      </w:r>
      <w:bookmarkEnd w:id="219"/>
      <w:bookmarkEnd w:id="220"/>
    </w:p>
    <w:p>
      <w:pPr>
        <w:pStyle w:val="yHeading5"/>
      </w:pPr>
      <w:bookmarkStart w:id="221" w:name="_Toc80611906"/>
      <w:r>
        <w:rPr>
          <w:rStyle w:val="CharSClsNo"/>
        </w:rPr>
        <w:t>160</w:t>
      </w:r>
      <w:r>
        <w:t>.</w:t>
      </w:r>
      <w:r>
        <w:tab/>
        <w:t>Publication of ratings</w:t>
      </w:r>
      <w:bookmarkEnd w:id="221"/>
    </w:p>
    <w:p>
      <w:pPr>
        <w:pStyle w:val="ySubsection"/>
      </w:pPr>
      <w:r>
        <w:tab/>
        <w:t>(1)</w:t>
      </w:r>
      <w:r>
        <w:tab/>
        <w:t>The National Authority must publish the rating levels for an approved education and care service in accordance with this section.</w:t>
      </w:r>
    </w:p>
    <w:p>
      <w:pPr>
        <w:pStyle w:val="ySubsection"/>
      </w:pPr>
      <w:r>
        <w:tab/>
        <w:t>(2)</w:t>
      </w:r>
      <w:r>
        <w:tab/>
        <w:t>The National Authority must publish any rating levels determined under Division 1 or 2 at the end of the period for requesting a review of the rating levels under Division 3 if no request for review is received in that period.</w:t>
      </w:r>
    </w:p>
    <w:p>
      <w:pPr>
        <w:pStyle w:val="ySubsection"/>
      </w:pPr>
      <w:r>
        <w:tab/>
        <w:t>(3)</w:t>
      </w:r>
      <w:r>
        <w:tab/>
        <w:t>If a review by the Regulatory Authority is requested under Division 3, the rating levels must be published at the end of the period for requesting a further review of the rating under Division 4 if no request for further review is received in that period.</w:t>
      </w:r>
    </w:p>
    <w:p>
      <w:pPr>
        <w:pStyle w:val="ySubsection"/>
      </w:pPr>
      <w:r>
        <w:tab/>
        <w:t>(4)</w:t>
      </w:r>
      <w:r>
        <w:tab/>
        <w:t>If a further review is requested under Division 4, the rating levels must be published after the notification to the approved provider of the decision on the review.</w:t>
      </w:r>
    </w:p>
    <w:p>
      <w:pPr>
        <w:pStyle w:val="ySubsection"/>
      </w:pPr>
      <w:r>
        <w:tab/>
        <w:t>(5)</w:t>
      </w:r>
      <w: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p>
    <w:p>
      <w:pPr>
        <w:pStyle w:val="yHeading3"/>
      </w:pPr>
      <w:bookmarkStart w:id="222" w:name="_Toc80609092"/>
      <w:bookmarkStart w:id="223" w:name="_Toc80611907"/>
      <w:r>
        <w:rPr>
          <w:rStyle w:val="CharSDivNo"/>
        </w:rPr>
        <w:t>Part 6</w:t>
      </w:r>
      <w:r>
        <w:t xml:space="preserve"> — </w:t>
      </w:r>
      <w:r>
        <w:rPr>
          <w:rStyle w:val="CharSDivText"/>
        </w:rPr>
        <w:t>Operating an education and care service</w:t>
      </w:r>
      <w:bookmarkEnd w:id="222"/>
      <w:bookmarkEnd w:id="223"/>
    </w:p>
    <w:p>
      <w:pPr>
        <w:pStyle w:val="yHeading5"/>
      </w:pPr>
      <w:bookmarkStart w:id="224" w:name="_Toc80611908"/>
      <w:r>
        <w:rPr>
          <w:rStyle w:val="CharSClsNo"/>
        </w:rPr>
        <w:t>161</w:t>
      </w:r>
      <w:r>
        <w:t>.</w:t>
      </w:r>
      <w:r>
        <w:tab/>
        <w:t>Offence to operate education and care service without nominated supervisor</w:t>
      </w:r>
      <w:bookmarkEnd w:id="224"/>
    </w:p>
    <w:p>
      <w:pPr>
        <w:pStyle w:val="ySubsection"/>
      </w:pPr>
      <w:r>
        <w:tab/>
      </w:r>
      <w:r>
        <w:tab/>
        <w:t>The approved provider of an education and care service must not operate the service unless there is at least 1 nominated supervisor for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Footnotesection"/>
      </w:pPr>
      <w:r>
        <w:tab/>
        <w:t>[Section 161 amended: No. 18 of 2018 s. 40.]</w:t>
      </w:r>
    </w:p>
    <w:p>
      <w:pPr>
        <w:pStyle w:val="yHeading5"/>
      </w:pPr>
      <w:bookmarkStart w:id="225" w:name="_Toc80611909"/>
      <w:r>
        <w:rPr>
          <w:rStyle w:val="CharSClsNo"/>
        </w:rPr>
        <w:lastRenderedPageBreak/>
        <w:t>161A</w:t>
      </w:r>
      <w:r>
        <w:t>.</w:t>
      </w:r>
      <w:r>
        <w:tab/>
        <w:t>Offence for nominated supervisor not to meet prescribed minimum requirements</w:t>
      </w:r>
      <w:bookmarkEnd w:id="225"/>
    </w:p>
    <w:p>
      <w:pPr>
        <w:pStyle w:val="ySubsection"/>
      </w:pPr>
      <w:r>
        <w:tab/>
      </w:r>
      <w:r>
        <w:tab/>
        <w:t>The approved provider of an education and care service must not nominate an individual to be a nominated supervisor of that service unless that individual meets the prescribed minimum requirements for nomination as a nominated supervisor.</w:t>
      </w:r>
    </w:p>
    <w:p>
      <w:pPr>
        <w:pStyle w:val="yPenstart"/>
        <w:tabs>
          <w:tab w:val="left" w:pos="1843"/>
        </w:tabs>
      </w:pPr>
      <w:r>
        <w:tab/>
        <w:t>Penalty:</w:t>
      </w:r>
      <w:r>
        <w:tab/>
        <w:t>$5 000, in the case of an individual.</w:t>
      </w:r>
    </w:p>
    <w:p>
      <w:pPr>
        <w:pStyle w:val="yPenstart"/>
        <w:tabs>
          <w:tab w:val="left" w:pos="1843"/>
        </w:tabs>
      </w:pPr>
      <w:r>
        <w:tab/>
      </w:r>
      <w:r>
        <w:tab/>
      </w:r>
      <w:r>
        <w:tab/>
        <w:t>$25 000, in any other case.</w:t>
      </w:r>
    </w:p>
    <w:p>
      <w:pPr>
        <w:pStyle w:val="yFootnotesection"/>
      </w:pPr>
      <w:r>
        <w:tab/>
        <w:t>[Section 161A inserted: No. 18 of 2018 s. 41.]</w:t>
      </w:r>
    </w:p>
    <w:p>
      <w:pPr>
        <w:pStyle w:val="yHeading5"/>
      </w:pPr>
      <w:bookmarkStart w:id="226" w:name="_Toc80611910"/>
      <w:r>
        <w:rPr>
          <w:rStyle w:val="CharSClsNo"/>
        </w:rPr>
        <w:t>162</w:t>
      </w:r>
      <w:r>
        <w:t>.</w:t>
      </w:r>
      <w:r>
        <w:tab/>
        <w:t>Offence to operate education and care service unless responsible person is present</w:t>
      </w:r>
      <w:bookmarkEnd w:id="226"/>
      <w:r>
        <w:t xml:space="preserve"> </w:t>
      </w:r>
    </w:p>
    <w:p>
      <w:pPr>
        <w:pStyle w:val="ySubsection"/>
      </w:pPr>
      <w:r>
        <w:tab/>
        <w:t>(1)</w:t>
      </w:r>
      <w:r>
        <w:tab/>
        <w:t>The approved provider of an education and care service must ensure that one of the following persons is present at all times that the service is educating and caring for children —</w:t>
      </w:r>
    </w:p>
    <w:p>
      <w:pPr>
        <w:pStyle w:val="yIndenta"/>
      </w:pPr>
      <w:r>
        <w:tab/>
        <w:t>(a)</w:t>
      </w:r>
      <w:r>
        <w:tab/>
        <w:t>the approved provider, if the approved provider is an individual or, in any other case, a person with management or control of an education and care service operated by the approved provider;</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This section does not apply to an approved family day care service.</w:t>
      </w:r>
    </w:p>
    <w:p>
      <w:pPr>
        <w:pStyle w:val="yFootnotesection"/>
      </w:pPr>
      <w:r>
        <w:tab/>
        <w:t>[Section 162 amended: No. 18 of 2018 s. 42.]</w:t>
      </w:r>
    </w:p>
    <w:p>
      <w:pPr>
        <w:pStyle w:val="yHeading5"/>
      </w:pPr>
      <w:bookmarkStart w:id="227" w:name="_Toc80611911"/>
      <w:r>
        <w:rPr>
          <w:rStyle w:val="CharSClsNo"/>
        </w:rPr>
        <w:t>162A</w:t>
      </w:r>
      <w:r>
        <w:t>.</w:t>
      </w:r>
      <w:r>
        <w:tab/>
        <w:t>Persons in day</w:t>
      </w:r>
      <w:r>
        <w:noBreakHyphen/>
        <w:t>to</w:t>
      </w:r>
      <w:r>
        <w:noBreakHyphen/>
        <w:t>day charge and nominated supervisors to have child protection training</w:t>
      </w:r>
      <w:bookmarkEnd w:id="227"/>
    </w:p>
    <w:p>
      <w:pPr>
        <w:pStyle w:val="ySubsection"/>
      </w:pPr>
      <w:r>
        <w:tab/>
      </w:r>
      <w:r>
        <w:tab/>
        <w:t>The approved provider of an education and care service must ensure that each nominated supervisor and each person in day</w:t>
      </w:r>
      <w:r>
        <w:noBreakHyphen/>
        <w:t>to</w:t>
      </w:r>
      <w:r>
        <w:noBreakHyphen/>
        <w:t>day charge of the service has successfully completed the child protection training (if any) required by or under the law of this jurisdiction, a Government protocol applying to the approved provider in this jurisdiction or otherwise required by this jurisdiction.</w:t>
      </w:r>
    </w:p>
    <w:p>
      <w:pPr>
        <w:pStyle w:val="yFootnotesection"/>
      </w:pPr>
      <w:r>
        <w:tab/>
        <w:t>[Section 162A inserted: No. 18 of 2018 s. 43.]</w:t>
      </w:r>
    </w:p>
    <w:p>
      <w:pPr>
        <w:pStyle w:val="yHeading5"/>
      </w:pPr>
      <w:bookmarkStart w:id="228" w:name="_Toc80611912"/>
      <w:r>
        <w:rPr>
          <w:rStyle w:val="CharSClsNo"/>
        </w:rPr>
        <w:lastRenderedPageBreak/>
        <w:t>163</w:t>
      </w:r>
      <w:r>
        <w:t>.</w:t>
      </w:r>
      <w:r>
        <w:tab/>
        <w:t>Offence relating to appointment or engagement of family day care co</w:t>
      </w:r>
      <w:r>
        <w:noBreakHyphen/>
        <w:t>ordinators</w:t>
      </w:r>
      <w:bookmarkEnd w:id="228"/>
    </w:p>
    <w:p>
      <w:pPr>
        <w:pStyle w:val="ySubsection"/>
      </w:pPr>
      <w:r>
        <w:tab/>
        <w:t>(1)</w:t>
      </w:r>
      <w:r>
        <w:tab/>
        <w:t>The approved provider of a family day care service must ensure that at all times the prescribed minimum number of qualified persons are employed or engaged as family day care co</w:t>
      </w:r>
      <w:r>
        <w:noBreakHyphen/>
        <w:t>ordinators of the family day care service —</w:t>
      </w:r>
    </w:p>
    <w:p>
      <w:pPr>
        <w:pStyle w:val="yIndenta"/>
      </w:pPr>
      <w:r>
        <w:tab/>
        <w:t>(a)</w:t>
      </w:r>
      <w:r>
        <w:tab/>
        <w:t>to assist with the operation of the family day care service; and</w:t>
      </w:r>
    </w:p>
    <w:p>
      <w:pPr>
        <w:pStyle w:val="yIndenta"/>
        <w:keepNext/>
      </w:pPr>
      <w:r>
        <w:tab/>
        <w:t>(b)</w:t>
      </w:r>
      <w:r>
        <w:tab/>
        <w:t>to support, monitor and train the family day care educators of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A person is a qualified person under this section if the person has the qualifications prescribed by the national regulations.</w:t>
      </w:r>
    </w:p>
    <w:p>
      <w:pPr>
        <w:pStyle w:val="yFootnotesection"/>
      </w:pPr>
      <w:r>
        <w:tab/>
        <w:t>[Section 163 amended: No. 18 of 2018 s. 44.]</w:t>
      </w:r>
    </w:p>
    <w:p>
      <w:pPr>
        <w:pStyle w:val="yHeading5"/>
      </w:pPr>
      <w:bookmarkStart w:id="229" w:name="_Toc80611913"/>
      <w:r>
        <w:rPr>
          <w:rStyle w:val="CharSClsNo"/>
        </w:rPr>
        <w:t>164</w:t>
      </w:r>
      <w:r>
        <w:t>.</w:t>
      </w:r>
      <w:r>
        <w:tab/>
        <w:t>Offence relating to assistance to family day care educators</w:t>
      </w:r>
      <w:bookmarkEnd w:id="229"/>
    </w:p>
    <w:p>
      <w:pPr>
        <w:pStyle w:val="y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yIndenta"/>
      </w:pPr>
      <w:r>
        <w:tab/>
        <w:t>(a)</w:t>
      </w:r>
      <w:r>
        <w:tab/>
        <w:t>the approved provider, if the approved provider is an individual, or a person with management or control of the family day care service, in any other case;</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yFootnotesection"/>
      </w:pPr>
      <w:r>
        <w:tab/>
        <w:t>[Section 164 amended: No. 18 of 2018 s. 45.]</w:t>
      </w:r>
    </w:p>
    <w:p>
      <w:pPr>
        <w:pStyle w:val="yHeading5"/>
      </w:pPr>
      <w:bookmarkStart w:id="230" w:name="_Toc80611914"/>
      <w:r>
        <w:rPr>
          <w:rStyle w:val="CharSClsNo"/>
        </w:rPr>
        <w:lastRenderedPageBreak/>
        <w:t>164A</w:t>
      </w:r>
      <w:r>
        <w:t>.</w:t>
      </w:r>
      <w:r>
        <w:tab/>
        <w:t>Offence relating to the education and care of children by family day care service</w:t>
      </w:r>
      <w:bookmarkEnd w:id="230"/>
    </w:p>
    <w:p>
      <w:pPr>
        <w:pStyle w:val="ySubsection"/>
      </w:pPr>
      <w:r>
        <w:tab/>
        <w:t>(1)</w:t>
      </w:r>
      <w:r>
        <w:tab/>
        <w:t>The approved provider of a family day care service must ensure that any child being educated and cared for as part of the service is not educated and cared for by a person other than a family day care educator, except in the circumstances prescribed by the national regulations.</w:t>
      </w:r>
    </w:p>
    <w:p>
      <w:pPr>
        <w:pStyle w:val="yPenstart"/>
        <w:tabs>
          <w:tab w:val="left" w:pos="1843"/>
        </w:tabs>
      </w:pPr>
      <w:r>
        <w:tab/>
        <w:t>Penalty:</w:t>
      </w:r>
      <w:r>
        <w:tab/>
        <w:t>$10 000, in the case of an individual.</w:t>
      </w:r>
    </w:p>
    <w:p>
      <w:pPr>
        <w:pStyle w:val="yPenstart"/>
        <w:tabs>
          <w:tab w:val="left" w:pos="1843"/>
        </w:tabs>
      </w:pPr>
      <w:r>
        <w:tab/>
      </w:r>
      <w:r>
        <w:tab/>
      </w:r>
      <w:r>
        <w:tab/>
        <w:t>$50 000, in any other case.</w:t>
      </w:r>
    </w:p>
    <w:p>
      <w:pPr>
        <w:pStyle w:val="ySubsection"/>
      </w:pPr>
      <w:r>
        <w:tab/>
        <w:t>(2)</w:t>
      </w:r>
      <w:r>
        <w:tab/>
        <w:t>A family day care educator must ensure that any child being educated and cared for by the educator as part of a family day care service is not educated or cared for by any other person at the family day care residence or approved family day care venue, except in the circumstances prescribed by the national regulations.</w:t>
      </w:r>
    </w:p>
    <w:p>
      <w:pPr>
        <w:pStyle w:val="yPenstart"/>
        <w:tabs>
          <w:tab w:val="left" w:pos="1843"/>
        </w:tabs>
      </w:pPr>
      <w:r>
        <w:tab/>
        <w:t>Penalty:</w:t>
      </w:r>
      <w:r>
        <w:tab/>
        <w:t>$2 000.</w:t>
      </w:r>
    </w:p>
    <w:p>
      <w:pPr>
        <w:pStyle w:val="yFootnotesection"/>
      </w:pPr>
      <w:r>
        <w:tab/>
        <w:t>[Section 164A inserted: No. 18 of 2018 s. 46.]</w:t>
      </w:r>
    </w:p>
    <w:p>
      <w:pPr>
        <w:pStyle w:val="yHeading5"/>
      </w:pPr>
      <w:bookmarkStart w:id="231" w:name="_Toc80611915"/>
      <w:r>
        <w:rPr>
          <w:rStyle w:val="CharSClsNo"/>
        </w:rPr>
        <w:t>165</w:t>
      </w:r>
      <w:r>
        <w:t>.</w:t>
      </w:r>
      <w:r>
        <w:tab/>
        <w:t>Offence to inadequately supervise children</w:t>
      </w:r>
      <w:bookmarkEnd w:id="231"/>
    </w:p>
    <w:p>
      <w:pPr>
        <w:pStyle w:val="y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w:t>
      </w:r>
    </w:p>
    <w:p>
      <w:pPr>
        <w:pStyle w:val="ySubsection"/>
      </w:pPr>
      <w:r>
        <w:tab/>
        <w:t>(3)</w:t>
      </w:r>
      <w:r>
        <w:tab/>
        <w:t>A family day care educator must ensure that any child being educated and cared for by the educator as a part of a family day care service is adequately supervised.</w:t>
      </w:r>
    </w:p>
    <w:p>
      <w:pPr>
        <w:pStyle w:val="yPenstart"/>
        <w:tabs>
          <w:tab w:val="left" w:pos="1843"/>
        </w:tabs>
      </w:pPr>
      <w:r>
        <w:tab/>
        <w:t>Penalty:</w:t>
      </w:r>
      <w:r>
        <w:tab/>
        <w:t>$10 000.</w:t>
      </w:r>
    </w:p>
    <w:p>
      <w:pPr>
        <w:pStyle w:val="yFootnotesection"/>
      </w:pPr>
      <w:r>
        <w:tab/>
        <w:t>[Section 165 amended: No. 18 of 2018 s. 47.]</w:t>
      </w:r>
    </w:p>
    <w:p>
      <w:pPr>
        <w:pStyle w:val="yHeading5"/>
      </w:pPr>
      <w:bookmarkStart w:id="232" w:name="_Toc80611916"/>
      <w:r>
        <w:rPr>
          <w:rStyle w:val="CharSClsNo"/>
        </w:rPr>
        <w:lastRenderedPageBreak/>
        <w:t>165A</w:t>
      </w:r>
      <w:r>
        <w:t>.</w:t>
      </w:r>
      <w:r>
        <w:tab/>
        <w:t>Offence relating to children leaving the education and care service premises unauthorised</w:t>
      </w:r>
      <w:bookmarkEnd w:id="232"/>
    </w:p>
    <w:p>
      <w:pPr>
        <w:pStyle w:val="y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(4)</w:t>
      </w:r>
      <w:r>
        <w:tab/>
        <w:t xml:space="preserve">The child may only leave the relevant premises if the child — </w:t>
      </w:r>
    </w:p>
    <w:p>
      <w:pPr>
        <w:pStyle w:val="yIndenta"/>
      </w:pPr>
      <w:r>
        <w:tab/>
        <w:t>(a)</w:t>
      </w:r>
      <w:r>
        <w:tab/>
        <w:t xml:space="preserve">is given into the care of — </w:t>
      </w:r>
    </w:p>
    <w:p>
      <w:pPr>
        <w:pStyle w:val="yIndenti0"/>
      </w:pPr>
      <w:r>
        <w:tab/>
        <w:t>(i)</w:t>
      </w:r>
      <w:r>
        <w:tab/>
        <w:t>a parent of the child; or</w:t>
      </w:r>
    </w:p>
    <w:p>
      <w:pPr>
        <w:pStyle w:val="yIndenti0"/>
      </w:pPr>
      <w:r>
        <w:tab/>
        <w:t>(ii)</w:t>
      </w:r>
      <w:r>
        <w:tab/>
        <w:t>an authorised nominee named in the child’s enrolment record; or</w:t>
      </w:r>
    </w:p>
    <w:p>
      <w:pPr>
        <w:pStyle w:val="yIndenti0"/>
      </w:pPr>
      <w:r>
        <w:tab/>
        <w:t>(iii)</w:t>
      </w:r>
      <w:r>
        <w:tab/>
        <w:t>a person authorised by a parent or authorised nominee named in the child’s enrolment record to collect the child from the premises; or</w:t>
      </w:r>
    </w:p>
    <w:p>
      <w:pPr>
        <w:pStyle w:val="yIndenta"/>
      </w:pPr>
      <w:r>
        <w:tab/>
        <w:t>(b)</w:t>
      </w:r>
      <w:r>
        <w:tab/>
        <w:t>leaves the premises in accordance with the written authorisation of the child’s parent or authorised nominee named in the child’s enrolment record; or</w:t>
      </w:r>
    </w:p>
    <w:p>
      <w:pPr>
        <w:pStyle w:val="yIndenta"/>
      </w:pPr>
      <w:r>
        <w:tab/>
        <w:t>(c)</w:t>
      </w:r>
      <w:r>
        <w:tab/>
        <w:t>is taken on an excursion in accordance with the national regulations; or</w:t>
      </w:r>
    </w:p>
    <w:p>
      <w:pPr>
        <w:pStyle w:val="yIndenta"/>
      </w:pPr>
      <w:r>
        <w:lastRenderedPageBreak/>
        <w:tab/>
        <w:t>(d)</w:t>
      </w:r>
      <w:r>
        <w:tab/>
        <w:t xml:space="preserve">is given into the care of a person or taken outside the premises — </w:t>
      </w:r>
    </w:p>
    <w:p>
      <w:pPr>
        <w:pStyle w:val="yIndenti0"/>
      </w:pPr>
      <w:r>
        <w:tab/>
        <w:t>(i)</w:t>
      </w:r>
      <w:r>
        <w:tab/>
        <w:t>because the child requires medical, hospital or ambulance care or treatment; or</w:t>
      </w:r>
    </w:p>
    <w:p>
      <w:pPr>
        <w:pStyle w:val="yIndenti0"/>
      </w:pPr>
      <w:r>
        <w:tab/>
        <w:t>(ii)</w:t>
      </w:r>
      <w:r>
        <w:tab/>
        <w:t>because of another emergency.</w:t>
      </w:r>
    </w:p>
    <w:p>
      <w:pPr>
        <w:pStyle w:val="ySubsection"/>
      </w:pPr>
      <w:r>
        <w:tab/>
        <w:t>(5)</w:t>
      </w:r>
      <w:r>
        <w:tab/>
        <w:t xml:space="preserve">In this section — </w:t>
      </w:r>
    </w:p>
    <w:p>
      <w:pPr>
        <w:pStyle w:val="yDefstart"/>
      </w:pPr>
      <w:r>
        <w:tab/>
      </w:r>
      <w:r>
        <w:rPr>
          <w:rStyle w:val="CharDefText"/>
        </w:rPr>
        <w:t>authorised nominee</w:t>
      </w:r>
      <w:r>
        <w:t xml:space="preserve"> has the meaning given in section 170(5);</w:t>
      </w:r>
    </w:p>
    <w:p>
      <w:pPr>
        <w:pStyle w:val="yDefstart"/>
      </w:pPr>
      <w:r>
        <w:tab/>
      </w:r>
      <w:r>
        <w:rPr>
          <w:rStyle w:val="CharDefText"/>
        </w:rPr>
        <w:t>parent</w:t>
      </w:r>
      <w:r>
        <w:t xml:space="preserve"> does not include a parent who is prohibited by a court order from having contact with the child.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165A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165A amended: No. 18 of 2018 s. 48.]</w:t>
      </w:r>
    </w:p>
    <w:p>
      <w:pPr>
        <w:pStyle w:val="yHeading5"/>
      </w:pPr>
      <w:bookmarkStart w:id="233" w:name="_Toc80611917"/>
      <w:r>
        <w:rPr>
          <w:rStyle w:val="CharSClsNo"/>
        </w:rPr>
        <w:t>166</w:t>
      </w:r>
      <w:r>
        <w:t>.</w:t>
      </w:r>
      <w:r>
        <w:tab/>
        <w:t>Offence to use inappropriate discipline</w:t>
      </w:r>
      <w:bookmarkEnd w:id="233"/>
    </w:p>
    <w:p>
      <w:pPr>
        <w:pStyle w:val="ySubsection"/>
      </w:pPr>
      <w:r>
        <w:tab/>
        <w:t>(1)</w:t>
      </w:r>
      <w:r>
        <w:tab/>
        <w:t>The approved provider of an education and care service must ensure that no child being educated and cared for by the service is subjected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no child being educated and cared for by the service is subjected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(3)</w:t>
      </w:r>
      <w:r>
        <w:tab/>
        <w:t>A staff member of, or a volunteer at, an education and care service must not subject any child being educated and cared for by the service to —</w:t>
      </w:r>
    </w:p>
    <w:p>
      <w:pPr>
        <w:pStyle w:val="yIndenta"/>
      </w:pPr>
      <w:r>
        <w:tab/>
        <w:t>(a)</w:t>
      </w:r>
      <w:r>
        <w:tab/>
        <w:t>any form of corporal punishment; or</w:t>
      </w:r>
    </w:p>
    <w:p>
      <w:pPr>
        <w:pStyle w:val="yIndenta"/>
        <w:keepNext/>
      </w:pPr>
      <w:r>
        <w:lastRenderedPageBreak/>
        <w:tab/>
        <w:t>(b)</w:t>
      </w:r>
      <w:r>
        <w:tab/>
        <w:t>any discipline that is unreasonable in the circumstances.</w:t>
      </w:r>
    </w:p>
    <w:p>
      <w:pPr>
        <w:pStyle w:val="yPenstart"/>
        <w:tabs>
          <w:tab w:val="left" w:pos="1843"/>
        </w:tabs>
      </w:pPr>
      <w:r>
        <w:tab/>
        <w:t>Penalty:</w:t>
      </w:r>
      <w:r>
        <w:tab/>
        <w:t>$10 000.</w:t>
      </w:r>
    </w:p>
    <w:p>
      <w:pPr>
        <w:pStyle w:val="ySubsection"/>
      </w:pPr>
      <w:r>
        <w:tab/>
        <w:t>(4)</w:t>
      </w:r>
      <w:r>
        <w:tab/>
        <w:t>A family day care educator must not subject any child being educated and cared for by the educator as part of a family day care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Footnotesection"/>
      </w:pPr>
      <w:r>
        <w:tab/>
        <w:t>[Section 166 amended: No. 18 of 2018 s. 49.]</w:t>
      </w:r>
    </w:p>
    <w:p>
      <w:pPr>
        <w:pStyle w:val="yHeading5"/>
      </w:pPr>
      <w:bookmarkStart w:id="234" w:name="_Toc80611918"/>
      <w:r>
        <w:rPr>
          <w:rStyle w:val="CharSClsNo"/>
        </w:rPr>
        <w:t>167</w:t>
      </w:r>
      <w:r>
        <w:t>.</w:t>
      </w:r>
      <w:r>
        <w:tab/>
        <w:t>Offence relating to protection of children from harm and hazards</w:t>
      </w:r>
      <w:bookmarkEnd w:id="234"/>
    </w:p>
    <w:p>
      <w:pPr>
        <w:pStyle w:val="y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w:t>
      </w:r>
    </w:p>
    <w:p>
      <w:pPr>
        <w:pStyle w:val="y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yPenstart"/>
        <w:tabs>
          <w:tab w:val="left" w:pos="1843"/>
        </w:tabs>
      </w:pPr>
      <w:r>
        <w:tab/>
        <w:t>Penalty:</w:t>
      </w:r>
      <w:r>
        <w:tab/>
        <w:t>$10 000.</w:t>
      </w:r>
    </w:p>
    <w:p>
      <w:pPr>
        <w:pStyle w:val="yHeading5"/>
      </w:pPr>
      <w:bookmarkStart w:id="235" w:name="_Toc80611919"/>
      <w:r>
        <w:rPr>
          <w:rStyle w:val="CharSClsNo"/>
        </w:rPr>
        <w:t>168</w:t>
      </w:r>
      <w:r>
        <w:t>.</w:t>
      </w:r>
      <w:r>
        <w:tab/>
        <w:t>Offence relating to required programs</w:t>
      </w:r>
      <w:bookmarkEnd w:id="235"/>
    </w:p>
    <w:p>
      <w:pPr>
        <w:pStyle w:val="ySubsection"/>
      </w:pPr>
      <w:r>
        <w:tab/>
        <w:t>(1)</w:t>
      </w:r>
      <w:r>
        <w:tab/>
        <w:t>The approved provider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lastRenderedPageBreak/>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keepNext/>
      </w:pPr>
      <w:r>
        <w:tab/>
        <w:t>(2)</w:t>
      </w:r>
      <w:r>
        <w:tab/>
        <w:t>A nominated supervisor of an education and care service must ensure that a program is delivered to all children being educated and cared for by the service that —</w:t>
      </w:r>
    </w:p>
    <w:p>
      <w:pPr>
        <w:pStyle w:val="yIndenta"/>
        <w:keepNext/>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w:t>
      </w:r>
    </w:p>
    <w:p>
      <w:pPr>
        <w:pStyle w:val="yHeading5"/>
      </w:pPr>
      <w:bookmarkStart w:id="236" w:name="_Toc80611920"/>
      <w:r>
        <w:rPr>
          <w:rStyle w:val="CharSClsNo"/>
        </w:rPr>
        <w:t>169</w:t>
      </w:r>
      <w:r>
        <w:t>.</w:t>
      </w:r>
      <w:r>
        <w:tab/>
        <w:t>Offence relating to staffing arrangements</w:t>
      </w:r>
      <w:bookmarkEnd w:id="236"/>
    </w:p>
    <w:p>
      <w:pPr>
        <w:pStyle w:val="y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 xml:space="preserve">A nominated supervisor of an education and care service must ensure that, whenever children are being educated and cared for by the </w:t>
      </w:r>
      <w:r>
        <w:lastRenderedPageBreak/>
        <w:t>service, the relevant number of educators educating and caring for the children is no less than the number prescribed for this purpose.</w:t>
      </w:r>
    </w:p>
    <w:p>
      <w:pPr>
        <w:pStyle w:val="yPenstart"/>
        <w:tabs>
          <w:tab w:val="left" w:pos="1843"/>
        </w:tabs>
      </w:pPr>
      <w:r>
        <w:tab/>
        <w:t>Penalty:</w:t>
      </w:r>
      <w:r>
        <w:tab/>
        <w:t>$10 000.</w:t>
      </w:r>
    </w:p>
    <w:p>
      <w:pPr>
        <w:pStyle w:val="y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w:t>
      </w:r>
    </w:p>
    <w:p>
      <w:pPr>
        <w:pStyle w:val="ySubsection"/>
      </w:pPr>
      <w:r>
        <w:tab/>
        <w:t>(5)</w:t>
      </w:r>
      <w:r>
        <w:tab/>
        <w:t>A family day care educator must ensure that the number of children being educated and cared for by the family day care educator at any one time is no more than the number prescribed for this purpose.</w:t>
      </w:r>
    </w:p>
    <w:p>
      <w:pPr>
        <w:pStyle w:val="yPenstart"/>
        <w:tabs>
          <w:tab w:val="left" w:pos="1843"/>
        </w:tabs>
      </w:pPr>
      <w:r>
        <w:tab/>
        <w:t>Penalty:</w:t>
      </w:r>
      <w:r>
        <w:tab/>
        <w:t>$10 000.</w:t>
      </w:r>
    </w:p>
    <w:p>
      <w:pPr>
        <w:pStyle w:val="ySubsection"/>
      </w:pPr>
      <w:r>
        <w:tab/>
        <w:t>(6)</w:t>
      </w:r>
      <w:r>
        <w:tab/>
        <w:t>Subsections (1), (2), (3), (4) and (5) do not apply in respect of an education and care service —</w:t>
      </w:r>
    </w:p>
    <w:p>
      <w:pPr>
        <w:pStyle w:val="yIndenta"/>
      </w:pPr>
      <w:r>
        <w:tab/>
        <w:t>(a)</w:t>
      </w:r>
      <w:r>
        <w:tab/>
        <w:t>to the extent that it holds a temporary waiver under Division 6 of Part 3 in respect of this requirement; or</w:t>
      </w:r>
    </w:p>
    <w:p>
      <w:pPr>
        <w:pStyle w:val="yIndenta"/>
      </w:pPr>
      <w:r>
        <w:tab/>
        <w:t>(b)</w:t>
      </w:r>
      <w:r>
        <w:tab/>
        <w:t>to the extent that it holds a service waiver under Division 5 of Part 3 in respect of this requirement.</w:t>
      </w:r>
    </w:p>
    <w:p>
      <w:pPr>
        <w:pStyle w:val="ySubsection"/>
      </w:pPr>
      <w:r>
        <w:tab/>
        <w:t>(7)</w:t>
      </w:r>
      <w:r>
        <w:tab/>
        <w:t>The National Authority may, on application, determine qualifications, including foreign qualifications, to be equivalent to the qualifications required by the national regulations.</w:t>
      </w:r>
    </w:p>
    <w:p>
      <w:pPr>
        <w:pStyle w:val="ySubsection"/>
      </w:pPr>
      <w:r>
        <w:tab/>
        <w:t>(8)</w:t>
      </w:r>
      <w:r>
        <w:tab/>
        <w:t>If a determination is made under subsection (7), any person holding the qualification is to be taken to be qualified in accordance with the national regulations.</w:t>
      </w:r>
    </w:p>
    <w:p>
      <w:pPr>
        <w:pStyle w:val="yHeading5"/>
      </w:pPr>
      <w:bookmarkStart w:id="237" w:name="_Toc80611921"/>
      <w:r>
        <w:rPr>
          <w:rStyle w:val="CharSClsNo"/>
        </w:rPr>
        <w:t>170</w:t>
      </w:r>
      <w:r>
        <w:t>.</w:t>
      </w:r>
      <w:r>
        <w:tab/>
        <w:t>Offence relating to unauthorised persons on education and care service premises</w:t>
      </w:r>
      <w:bookmarkEnd w:id="237"/>
    </w:p>
    <w:p>
      <w:pPr>
        <w:pStyle w:val="ySubsection"/>
      </w:pPr>
      <w:r>
        <w:tab/>
        <w:t>(1)</w:t>
      </w:r>
      <w:r>
        <w:tab/>
        <w:t>This section applies to an education and care service operating in a participating jurisdiction that has a working with children law.</w:t>
      </w:r>
    </w:p>
    <w:p>
      <w:pPr>
        <w:pStyle w:val="ySubsection"/>
      </w:pPr>
      <w:r>
        <w:tab/>
        <w:t>(2)</w:t>
      </w:r>
      <w:r>
        <w:tab/>
        <w:t xml:space="preserve">The approved provider of the education and care service must ensure that a person does not remain at the education and care service premises while children are being educated and cared for at the premises, unless — </w:t>
      </w:r>
    </w:p>
    <w:p>
      <w:pPr>
        <w:pStyle w:val="yIndenta"/>
      </w:pPr>
      <w:r>
        <w:tab/>
        <w:t>(a)</w:t>
      </w:r>
      <w:r>
        <w:tab/>
        <w:t>the person is an authorised person; or</w:t>
      </w:r>
    </w:p>
    <w:p>
      <w:pPr>
        <w:pStyle w:val="yIndenta"/>
      </w:pPr>
      <w:r>
        <w:lastRenderedPageBreak/>
        <w:tab/>
        <w:t>(b)</w:t>
      </w:r>
      <w:r>
        <w:tab/>
        <w:t>the person is under the direct supervision of an educator or other staff member of the service.</w:t>
      </w:r>
    </w:p>
    <w:p>
      <w:pPr>
        <w:pStyle w:val="yPenstart"/>
        <w:tabs>
          <w:tab w:val="left" w:pos="1843"/>
        </w:tabs>
      </w:pPr>
      <w:r>
        <w:tab/>
        <w:t>Penalty:</w:t>
      </w:r>
      <w:r>
        <w:tab/>
        <w:t>$1 000, in the case of an individual.</w:t>
      </w:r>
    </w:p>
    <w:p>
      <w:pPr>
        <w:pStyle w:val="yPenstart"/>
        <w:tabs>
          <w:tab w:val="left" w:pos="1843"/>
        </w:tabs>
      </w:pPr>
      <w:r>
        <w:tab/>
      </w:r>
      <w:r>
        <w:tab/>
      </w:r>
      <w:r>
        <w:tab/>
        <w:t>$5 000, in any other case.</w:t>
      </w:r>
    </w:p>
    <w:p>
      <w:pPr>
        <w:pStyle w:val="ySubsection"/>
        <w:keepNext/>
      </w:pPr>
      <w:r>
        <w:tab/>
        <w:t>(3)</w:t>
      </w:r>
      <w:r>
        <w:tab/>
        <w:t xml:space="preserve">A nominated supervisor of the education and care service must ensure that a person does not remain at the education and care service premises while children are being educated and cared for at the premises, unless — </w:t>
      </w:r>
    </w:p>
    <w:p>
      <w:pPr>
        <w:pStyle w:val="yIndenta"/>
        <w:keepNext/>
      </w:pPr>
      <w:r>
        <w:tab/>
        <w:t>(a)</w:t>
      </w:r>
      <w:r>
        <w:tab/>
        <w:t>the person is an authorised person; or</w:t>
      </w:r>
    </w:p>
    <w:p>
      <w:pPr>
        <w:pStyle w:val="yIndenta"/>
      </w:pPr>
      <w:r>
        <w:tab/>
        <w:t>(b)</w:t>
      </w:r>
      <w:r>
        <w:tab/>
        <w:t>the person is under the direct supervision of an educator or other staff member of the service.</w:t>
      </w:r>
    </w:p>
    <w:p>
      <w:pPr>
        <w:pStyle w:val="yPenstart"/>
        <w:tabs>
          <w:tab w:val="left" w:pos="1843"/>
        </w:tabs>
      </w:pPr>
      <w:r>
        <w:tab/>
        <w:t>Penalty:</w:t>
      </w:r>
      <w:r>
        <w:tab/>
        <w:t>$1 000.</w:t>
      </w:r>
    </w:p>
    <w:p>
      <w:pPr>
        <w:pStyle w:val="ySubsection"/>
      </w:pPr>
      <w:r>
        <w:tab/>
        <w:t>(4)</w:t>
      </w:r>
      <w:r>
        <w:tab/>
        <w:t xml:space="preserve">A family day care educator must ensure that a person does not remain at the family day care residence or approved family day care venue at which the educator is educating and caring for children, unless — </w:t>
      </w:r>
    </w:p>
    <w:p>
      <w:pPr>
        <w:pStyle w:val="yIndenta"/>
      </w:pPr>
      <w:r>
        <w:tab/>
        <w:t>(a)</w:t>
      </w:r>
      <w:r>
        <w:tab/>
        <w:t>the person is an authorised person; or</w:t>
      </w:r>
    </w:p>
    <w:p>
      <w:pPr>
        <w:pStyle w:val="yIndenta"/>
      </w:pPr>
      <w:r>
        <w:tab/>
        <w:t>(b)</w:t>
      </w:r>
      <w:r>
        <w:tab/>
        <w:t>the person is under the direct supervision of the educator.</w:t>
      </w:r>
    </w:p>
    <w:p>
      <w:pPr>
        <w:pStyle w:val="yPenstart"/>
        <w:tabs>
          <w:tab w:val="left" w:pos="1843"/>
        </w:tabs>
      </w:pPr>
      <w:r>
        <w:tab/>
        <w:t>Penalty:</w:t>
      </w:r>
      <w:r>
        <w:tab/>
        <w:t>$1 000.</w:t>
      </w:r>
    </w:p>
    <w:p>
      <w:pPr>
        <w:pStyle w:val="ySubsection"/>
      </w:pPr>
      <w:r>
        <w:tab/>
        <w:t>(5)</w:t>
      </w:r>
      <w:r>
        <w:tab/>
        <w:t>In this section —</w:t>
      </w:r>
    </w:p>
    <w:p>
      <w:pPr>
        <w:pStyle w:val="y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yDefstart"/>
      </w:pPr>
      <w:r>
        <w:tab/>
      </w:r>
      <w:r>
        <w:rPr>
          <w:rStyle w:val="CharDefText"/>
          <w:szCs w:val="22"/>
        </w:rPr>
        <w:t>authorised person</w:t>
      </w:r>
      <w:r>
        <w:t xml:space="preserve"> means a person who is —</w:t>
      </w:r>
    </w:p>
    <w:p>
      <w:pPr>
        <w:pStyle w:val="yDefpara"/>
      </w:pPr>
      <w:r>
        <w:tab/>
        <w:t>(a)</w:t>
      </w:r>
      <w:r>
        <w:tab/>
        <w:t>a person who holds a current working with children check or working with children card; or</w:t>
      </w:r>
    </w:p>
    <w:p>
      <w:pPr>
        <w:pStyle w:val="yDefpara"/>
      </w:pPr>
      <w:r>
        <w:tab/>
        <w:t>(b)</w:t>
      </w:r>
      <w:r>
        <w:tab/>
        <w:t>a parent or family member of a child who is being educated and cared for by the education and care service or the family day care educator; or</w:t>
      </w:r>
    </w:p>
    <w:p>
      <w:pPr>
        <w:pStyle w:val="yDefpara"/>
      </w:pPr>
      <w:r>
        <w:tab/>
        <w:t>(c)</w:t>
      </w:r>
      <w:r>
        <w:tab/>
        <w:t>an authorised nominee of a parent or family member of a child who is being educated and cared for by the education and care service or the family day care educator; or</w:t>
      </w:r>
    </w:p>
    <w:p>
      <w:pPr>
        <w:pStyle w:val="yDefpara"/>
        <w:keepNext/>
      </w:pPr>
      <w:r>
        <w:lastRenderedPageBreak/>
        <w:tab/>
        <w:t>(d)</w:t>
      </w:r>
      <w:r>
        <w:tab/>
        <w:t>in the case of an emergency, medical personnel or emergency service personnel; or</w:t>
      </w:r>
    </w:p>
    <w:p>
      <w:pPr>
        <w:pStyle w:val="yDefpara"/>
        <w:keepNext/>
      </w:pPr>
      <w:r>
        <w:tab/>
        <w:t>(e)</w:t>
      </w:r>
      <w:r>
        <w:tab/>
        <w:t>a person who is permitted under the working with children law of this jurisdiction to remain at the education and care service premises without holding a working with children check or a working with children card.</w:t>
      </w:r>
    </w:p>
    <w:p>
      <w:pPr>
        <w:pStyle w:val="ySubsection"/>
      </w:pPr>
      <w:r>
        <w:tab/>
        <w:t>(6)</w:t>
      </w:r>
      <w:r>
        <w:tab/>
        <w:t>A reference in subsection (5) to a parent or family member of a child does not include a person —</w:t>
      </w:r>
    </w:p>
    <w:p>
      <w:pPr>
        <w:pStyle w:val="yIndenta"/>
      </w:pPr>
      <w:r>
        <w:tab/>
        <w:t>(a)</w:t>
      </w:r>
      <w:r>
        <w:tab/>
        <w:t>whose access to the child is prohibited or restricted by an order of a court or tribunal of which the approved provider, nominated supervisor or family day care educator (as the case requires) is aware; or</w:t>
      </w:r>
    </w:p>
    <w:p>
      <w:pPr>
        <w:pStyle w:val="yIndenta"/>
      </w:pPr>
      <w:r>
        <w:tab/>
        <w:t>(b)</w:t>
      </w:r>
      <w:r>
        <w:tab/>
        <w:t>who is an inappropriate person within the meaning of section 171.</w:t>
      </w:r>
    </w:p>
    <w:p>
      <w:pPr>
        <w:pStyle w:val="yFootnotesection"/>
      </w:pPr>
      <w:r>
        <w:tab/>
        <w:t>[Section 170 amended: No. 18 of 2018 s. 50.]</w:t>
      </w:r>
    </w:p>
    <w:p>
      <w:pPr>
        <w:pStyle w:val="yHeading5"/>
      </w:pPr>
      <w:bookmarkStart w:id="238" w:name="_Toc80611922"/>
      <w:r>
        <w:rPr>
          <w:rStyle w:val="CharSClsNo"/>
        </w:rPr>
        <w:t>171</w:t>
      </w:r>
      <w:r>
        <w:t>.</w:t>
      </w:r>
      <w:r>
        <w:tab/>
        <w:t>Offence relating to direction to exclude inappropriate persons from education and care service premises</w:t>
      </w:r>
      <w:bookmarkEnd w:id="238"/>
    </w:p>
    <w:p>
      <w:pPr>
        <w:pStyle w:val="y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ySubsection"/>
      </w:pPr>
      <w:r>
        <w:tab/>
        <w:t>(2)</w:t>
      </w:r>
      <w:r>
        <w:tab/>
        <w:t>A person to whom a direction is given under subsection (1) must comply with the direction.</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keepNext/>
      </w:pPr>
      <w:r>
        <w:tab/>
        <w:t>(3)</w:t>
      </w:r>
      <w:r>
        <w:tab/>
        <w:t>In this section —</w:t>
      </w:r>
    </w:p>
    <w:p>
      <w:pPr>
        <w:pStyle w:val="yDefstart"/>
        <w:keepNext/>
      </w:pPr>
      <w:r>
        <w:tab/>
      </w:r>
      <w:r>
        <w:rPr>
          <w:rStyle w:val="CharDefText"/>
        </w:rPr>
        <w:t>inappropriate person</w:t>
      </w:r>
      <w:r>
        <w:t xml:space="preserve"> means a person —</w:t>
      </w:r>
    </w:p>
    <w:p>
      <w:pPr>
        <w:pStyle w:val="yDefpara"/>
        <w:keepNext/>
      </w:pPr>
      <w:r>
        <w:tab/>
        <w:t>(a)</w:t>
      </w:r>
      <w:r>
        <w:tab/>
        <w:t>who may pose a risk to the safety, health or wellbeing of any child or children being educated and cared for by the education and care service; or</w:t>
      </w:r>
    </w:p>
    <w:p>
      <w:pPr>
        <w:pStyle w:val="yDefpara"/>
      </w:pPr>
      <w:r>
        <w:tab/>
        <w:t>(b)</w:t>
      </w:r>
      <w:r>
        <w:tab/>
        <w:t xml:space="preserve">whose behaviour or state of mind or whose pattern of behaviour or common state of mind is such that it would be </w:t>
      </w:r>
      <w:r>
        <w:lastRenderedPageBreak/>
        <w:t>inappropriate for him or her to be on the education and care service premises while children are being educated and cared for by the education and care service.</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person who is under the influence of drugs or alcohol.</w:t>
      </w:r>
    </w:p>
    <w:p>
      <w:pPr>
        <w:pStyle w:val="yHeading5"/>
      </w:pPr>
      <w:bookmarkStart w:id="239" w:name="_Toc80611923"/>
      <w:r>
        <w:rPr>
          <w:rStyle w:val="CharSClsNo"/>
        </w:rPr>
        <w:t>172</w:t>
      </w:r>
      <w:r>
        <w:t>.</w:t>
      </w:r>
      <w:r>
        <w:tab/>
        <w:t>Offence to fail to display prescribed information</w:t>
      </w:r>
      <w:bookmarkEnd w:id="239"/>
    </w:p>
    <w:p>
      <w:pPr>
        <w:pStyle w:val="y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yIndenta"/>
      </w:pPr>
      <w:r>
        <w:tab/>
        <w:t>(a)</w:t>
      </w:r>
      <w:r>
        <w:tab/>
        <w:t>the provider approval;</w:t>
      </w:r>
    </w:p>
    <w:p>
      <w:pPr>
        <w:pStyle w:val="yIndenta"/>
      </w:pPr>
      <w:r>
        <w:tab/>
        <w:t>(b)</w:t>
      </w:r>
      <w:r>
        <w:tab/>
        <w:t>the service approval;</w:t>
      </w:r>
    </w:p>
    <w:p>
      <w:pPr>
        <w:pStyle w:val="yIndenta"/>
      </w:pPr>
      <w:r>
        <w:tab/>
        <w:t>(c)</w:t>
      </w:r>
      <w:r>
        <w:tab/>
        <w:t>each nominated supervisor of the service;</w:t>
      </w:r>
    </w:p>
    <w:p>
      <w:pPr>
        <w:pStyle w:val="yIndenta"/>
      </w:pPr>
      <w:r>
        <w:tab/>
        <w:t>(d)</w:t>
      </w:r>
      <w:r>
        <w:tab/>
        <w:t>the rating of the service;</w:t>
      </w:r>
    </w:p>
    <w:p>
      <w:pPr>
        <w:pStyle w:val="yIndenta"/>
      </w:pPr>
      <w:r>
        <w:tab/>
        <w:t>(e)</w:t>
      </w:r>
      <w:r>
        <w:tab/>
        <w:t>any service waivers or temporary waivers held by the service;</w:t>
      </w:r>
    </w:p>
    <w:p>
      <w:pPr>
        <w:pStyle w:val="yIndenta"/>
      </w:pPr>
      <w:r>
        <w:tab/>
        <w:t>(f)</w:t>
      </w:r>
      <w:r>
        <w:tab/>
        <w:t>any other prescribed matters.</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172 amended: No. 18 of 2018 s. 51.]</w:t>
      </w:r>
    </w:p>
    <w:p>
      <w:pPr>
        <w:pStyle w:val="yHeading5"/>
      </w:pPr>
      <w:bookmarkStart w:id="240" w:name="_Toc80611924"/>
      <w:r>
        <w:rPr>
          <w:rStyle w:val="CharSClsNo"/>
        </w:rPr>
        <w:t>173</w:t>
      </w:r>
      <w:r>
        <w:t>.</w:t>
      </w:r>
      <w:r>
        <w:tab/>
        <w:t>Offence to fail to notify certain circumstances to Regulatory Authority</w:t>
      </w:r>
      <w:bookmarkEnd w:id="240"/>
      <w:r>
        <w:t xml:space="preserve"> </w:t>
      </w:r>
    </w:p>
    <w:p>
      <w:pPr>
        <w:pStyle w:val="ySubsection"/>
      </w:pPr>
      <w:r>
        <w:tab/>
        <w:t>(1)</w:t>
      </w:r>
      <w:r>
        <w:tab/>
        <w:t>An approved provider must notify the Regulatory Authority of the following in relation to the approved provider or each approved education and care service operated by the approved provider —</w:t>
      </w:r>
    </w:p>
    <w:p>
      <w:pPr>
        <w:pStyle w:val="yIndenta"/>
      </w:pPr>
      <w:r>
        <w:tab/>
        <w:t>(a)</w:t>
      </w:r>
      <w:r>
        <w:tab/>
        <w:t xml:space="preserve">a change in the name of the approved provider; </w:t>
      </w:r>
    </w:p>
    <w:p>
      <w:pPr>
        <w:pStyle w:val="yIndenta"/>
      </w:pPr>
      <w:r>
        <w:tab/>
        <w:t>(b)</w:t>
      </w:r>
      <w:r>
        <w:tab/>
        <w:t>any appointment or removal of a person with management or control of an education and care service operated by the approved provider;</w:t>
      </w:r>
    </w:p>
    <w:p>
      <w:pPr>
        <w:pStyle w:val="yIndenta"/>
        <w:keepNext/>
      </w:pPr>
      <w:r>
        <w:tab/>
        <w:t>(c)</w:t>
      </w:r>
      <w:r>
        <w:tab/>
        <w:t>a failure to commence operating an education and care service within 6 months (or within the time agreed with the Regulatory Authority) after being granted a service approval for the service.</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lastRenderedPageBreak/>
        <w:tab/>
        <w:t>(2)</w:t>
      </w:r>
      <w:r>
        <w:tab/>
        <w:t>An approved provider must notify the Regulatory Authority of the following in relation to an approved education and care service operated by the approved provider —</w:t>
      </w:r>
    </w:p>
    <w:p>
      <w:pPr>
        <w:pStyle w:val="yIndenta"/>
      </w:pPr>
      <w:r>
        <w:tab/>
        <w:t>(a)</w:t>
      </w:r>
      <w:r>
        <w:tab/>
        <w:t>if the approved provider is notified of the suspension or cancellation of a working with children card or teacher registration of, or disciplinary proceedings under an education law of a participating jurisdiction in respect of, a nominated supervisor engaged by the service;</w:t>
      </w:r>
    </w:p>
    <w:p>
      <w:pPr>
        <w:pStyle w:val="yIndenta"/>
      </w:pPr>
      <w:r>
        <w:tab/>
        <w:t>(b)</w:t>
      </w:r>
      <w:r>
        <w:tab/>
        <w:t xml:space="preserve">if a nominated supervisor of an approved education and care service — </w:t>
      </w:r>
    </w:p>
    <w:p>
      <w:pPr>
        <w:pStyle w:val="yIndenti0"/>
      </w:pPr>
      <w:r>
        <w:tab/>
        <w:t>(i)</w:t>
      </w:r>
      <w:r>
        <w:tab/>
        <w:t>ceases to be employed or engaged by the service; or</w:t>
      </w:r>
    </w:p>
    <w:p>
      <w:pPr>
        <w:pStyle w:val="yIndenti0"/>
      </w:pPr>
      <w:r>
        <w:tab/>
        <w:t>(ii)</w:t>
      </w:r>
      <w:r>
        <w:tab/>
        <w:t>is removed from the role of nominated supervisor; or</w:t>
      </w:r>
    </w:p>
    <w:p>
      <w:pPr>
        <w:pStyle w:val="yIndenti0"/>
      </w:pPr>
      <w:r>
        <w:tab/>
        <w:t>(iii)</w:t>
      </w:r>
      <w:r>
        <w:tab/>
        <w:t>withdraws consent to the nomination;</w:t>
      </w:r>
    </w:p>
    <w:p>
      <w:pPr>
        <w:pStyle w:val="yIndenta"/>
      </w:pPr>
      <w:r>
        <w:tab/>
        <w:t>(c)</w:t>
      </w:r>
      <w:r>
        <w:tab/>
        <w:t>any proposed change to the education and care service premises of an approved education and care service (other than a family day care residence);</w:t>
      </w:r>
    </w:p>
    <w:p>
      <w:pPr>
        <w:pStyle w:val="yIndenta"/>
      </w:pPr>
      <w:r>
        <w:tab/>
        <w:t>(d)</w:t>
      </w:r>
      <w:r>
        <w:tab/>
        <w:t>if the approved provider ceases to operate the education and care service;</w:t>
      </w:r>
    </w:p>
    <w:p>
      <w:pPr>
        <w:pStyle w:val="yIndenta"/>
      </w:pPr>
      <w:r>
        <w:tab/>
        <w:t>(e)</w:t>
      </w:r>
      <w:r>
        <w:tab/>
        <w:t>in the case of an approved family day care service, a change in the location of the principal office of the service;</w:t>
      </w:r>
    </w:p>
    <w:p>
      <w:pPr>
        <w:pStyle w:val="yIndenta"/>
      </w:pPr>
      <w:r>
        <w:tab/>
        <w:t>(f)</w:t>
      </w:r>
      <w:r>
        <w:tab/>
        <w:t>an intention to transfer a service approval, as required under section 59.</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 xml:space="preserve">A notice under subsection (1) or (2) must — </w:t>
      </w:r>
    </w:p>
    <w:p>
      <w:pPr>
        <w:pStyle w:val="yIndenta"/>
      </w:pPr>
      <w:r>
        <w:tab/>
        <w:t>(a)</w:t>
      </w:r>
      <w:r>
        <w:tab/>
        <w:t>be in writing; and</w:t>
      </w:r>
    </w:p>
    <w:p>
      <w:pPr>
        <w:pStyle w:val="yIndenta"/>
      </w:pPr>
      <w:r>
        <w:tab/>
        <w:t>(b)</w:t>
      </w:r>
      <w:r>
        <w:tab/>
        <w:t>include any prescribed information.</w:t>
      </w:r>
    </w:p>
    <w:p>
      <w:pPr>
        <w:pStyle w:val="ySubsection"/>
      </w:pPr>
      <w:r>
        <w:tab/>
        <w:t>(4)</w:t>
      </w:r>
      <w:r>
        <w:tab/>
        <w:t>A notice under subsection (1) must be provided within the relevant prescribed time to the Regulatory Authority that granted the provider approval to which the notice relates.</w:t>
      </w:r>
    </w:p>
    <w:p>
      <w:pPr>
        <w:pStyle w:val="ySubsection"/>
      </w:pPr>
      <w:r>
        <w:tab/>
        <w:t>(5)</w:t>
      </w:r>
      <w:r>
        <w:tab/>
        <w:t>A notice under subsection (2) must be provided within the relevant prescribed time to the Regulatory Authority that granted the service approval for the education and care service to which the notice relates.</w:t>
      </w:r>
    </w:p>
    <w:p>
      <w:pPr>
        <w:pStyle w:val="yFootnotesection"/>
      </w:pPr>
      <w:r>
        <w:tab/>
        <w:t>[Section 173 amended: No. 18 of 2018 s. 52.]</w:t>
      </w:r>
    </w:p>
    <w:p>
      <w:pPr>
        <w:pStyle w:val="yHeading5"/>
      </w:pPr>
      <w:bookmarkStart w:id="241" w:name="_Toc80611925"/>
      <w:r>
        <w:rPr>
          <w:rStyle w:val="CharSClsNo"/>
        </w:rPr>
        <w:lastRenderedPageBreak/>
        <w:t>174</w:t>
      </w:r>
      <w:r>
        <w:t>.</w:t>
      </w:r>
      <w:r>
        <w:tab/>
        <w:t>Offence to fail to notify certain information to Regulatory Authority</w:t>
      </w:r>
      <w:bookmarkEnd w:id="241"/>
    </w:p>
    <w:p>
      <w:pPr>
        <w:pStyle w:val="ySubsection"/>
      </w:pPr>
      <w:r>
        <w:tab/>
        <w:t>(1)</w:t>
      </w:r>
      <w:r>
        <w:tab/>
        <w:t>An approved provider must notify the Regulatory Authority of the following information in relation to the approved provider or each approved education and care service operated by the approved provider —</w:t>
      </w:r>
    </w:p>
    <w:p>
      <w:pPr>
        <w:pStyle w:val="yIndenta"/>
      </w:pPr>
      <w:r>
        <w:tab/>
        <w:t>(a)</w:t>
      </w:r>
      <w:r>
        <w:tab/>
        <w:t>any change relevant to whether the approved provider is a fit and proper person to be involved in the provision of an education and care service;</w:t>
      </w:r>
    </w:p>
    <w:p>
      <w:pPr>
        <w:pStyle w:val="yIndenta"/>
      </w:pPr>
      <w:r>
        <w:tab/>
        <w:t>(b)</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information in relation to an approved education and care service operated by the approved provider —</w:t>
      </w:r>
    </w:p>
    <w:p>
      <w:pPr>
        <w:pStyle w:val="yIndenta"/>
      </w:pPr>
      <w:r>
        <w:tab/>
        <w:t>(a)</w:t>
      </w:r>
      <w:r>
        <w:tab/>
        <w:t xml:space="preserve">any serious incident at the approved education and care service; </w:t>
      </w:r>
    </w:p>
    <w:p>
      <w:pPr>
        <w:pStyle w:val="yIndenta"/>
        <w:keepNext/>
      </w:pPr>
      <w:r>
        <w:tab/>
        <w:t>(b)</w:t>
      </w:r>
      <w:r>
        <w:tab/>
        <w:t>any complaints alleging —</w:t>
      </w:r>
    </w:p>
    <w:p>
      <w:pPr>
        <w:pStyle w:val="yIndenti0"/>
      </w:pPr>
      <w:r>
        <w:tab/>
        <w:t>(i)</w:t>
      </w:r>
      <w:r>
        <w:tab/>
        <w:t>that a serious incident has occurred or is occurring while a child was or is being educated and cared for by the approved education and care service;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A notice under subsection (2) must be in writing and be provided within the relevant prescribed time to —</w:t>
      </w:r>
    </w:p>
    <w:p>
      <w:pPr>
        <w:pStyle w:val="yIndenta"/>
      </w:pPr>
      <w:r>
        <w:tab/>
        <w:t>(a)</w:t>
      </w:r>
      <w:r>
        <w:tab/>
        <w:t>the Regulatory Authority that granted the service approval for the education and care service to which the notice relates; and</w:t>
      </w:r>
    </w:p>
    <w:p>
      <w:pPr>
        <w:pStyle w:val="yIndenta"/>
      </w:pPr>
      <w:r>
        <w:lastRenderedPageBreak/>
        <w:tab/>
        <w:t>(b)</w:t>
      </w:r>
      <w:r>
        <w:tab/>
        <w:t>in the case of a family day care service, the Regulatory Authority in each participating jurisdiction in which the family day care service operates.</w:t>
      </w:r>
    </w:p>
    <w:p>
      <w:pPr>
        <w:pStyle w:val="yFootnotesection"/>
      </w:pPr>
      <w:r>
        <w:tab/>
        <w:t>[Section 174 amended: No. 18 of 2018 s. 53.]</w:t>
      </w:r>
    </w:p>
    <w:p>
      <w:pPr>
        <w:pStyle w:val="yHeading5"/>
      </w:pPr>
      <w:bookmarkStart w:id="242" w:name="_Toc80611926"/>
      <w:r>
        <w:rPr>
          <w:rStyle w:val="CharSClsNo"/>
        </w:rPr>
        <w:t>174A</w:t>
      </w:r>
      <w:r>
        <w:t>.</w:t>
      </w:r>
      <w:r>
        <w:tab/>
        <w:t>Family day care educator to notify certain information to approved provider</w:t>
      </w:r>
      <w:bookmarkEnd w:id="242"/>
    </w:p>
    <w:p>
      <w:pPr>
        <w:pStyle w:val="ySubsection"/>
      </w:pPr>
      <w:r>
        <w:tab/>
      </w:r>
      <w:r>
        <w:tab/>
        <w:t xml:space="preserve">A family day care educator who educates and cares for children as part of a family day care service must notify the approved provider of the service of the following information — </w:t>
      </w:r>
    </w:p>
    <w:p>
      <w:pPr>
        <w:pStyle w:val="yIndenta"/>
      </w:pPr>
      <w:r>
        <w:tab/>
        <w:t>(a)</w:t>
      </w:r>
      <w:r>
        <w:tab/>
        <w:t>any serious incident that occurs while a child is being educated and cared for by the educator as part of the service;</w:t>
      </w:r>
    </w:p>
    <w:p>
      <w:pPr>
        <w:pStyle w:val="yIndenta"/>
      </w:pPr>
      <w:r>
        <w:tab/>
        <w:t>(b)</w:t>
      </w:r>
      <w:r>
        <w:tab/>
        <w:t xml:space="preserve">any complaints alleging — </w:t>
      </w:r>
    </w:p>
    <w:p>
      <w:pPr>
        <w:pStyle w:val="yIndenti0"/>
      </w:pPr>
      <w:r>
        <w:tab/>
        <w:t>(i)</w:t>
      </w:r>
      <w:r>
        <w:tab/>
        <w:t>that a serious incident has occurred or is occurring while a child was or is being educated and cared for by the educator;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$2 000.</w:t>
      </w:r>
    </w:p>
    <w:p>
      <w:pPr>
        <w:pStyle w:val="yFootnotesection"/>
      </w:pPr>
      <w:r>
        <w:tab/>
        <w:t>[Section 174A inserted: No. 18 of 2018 s. 54.]</w:t>
      </w:r>
    </w:p>
    <w:p>
      <w:pPr>
        <w:pStyle w:val="yHeading5"/>
        <w:spacing w:before="240"/>
      </w:pPr>
      <w:bookmarkStart w:id="243" w:name="_Toc80611927"/>
      <w:r>
        <w:rPr>
          <w:rStyle w:val="CharSClsNo"/>
        </w:rPr>
        <w:t>175</w:t>
      </w:r>
      <w:r>
        <w:t>.</w:t>
      </w:r>
      <w:r>
        <w:tab/>
        <w:t>Offence relating to requirement to keep enrolment and other documents</w:t>
      </w:r>
      <w:bookmarkEnd w:id="243"/>
    </w:p>
    <w:p>
      <w:pPr>
        <w:pStyle w:val="ySubsection"/>
      </w:pPr>
      <w:r>
        <w:tab/>
        <w:t>(1)</w:t>
      </w:r>
      <w:r>
        <w:tab/>
        <w:t>An approved provider of an education and care service must keep the prescribed documents available for inspection by an authorised officer in accordance with this section.</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Documents referred to in subsection (1) —</w:t>
      </w:r>
    </w:p>
    <w:p>
      <w:pPr>
        <w:pStyle w:val="yIndenta"/>
      </w:pPr>
      <w:r>
        <w:tab/>
        <w:t>(a)</w:t>
      </w:r>
      <w:r>
        <w:tab/>
        <w:t>must, to the extent practicable, be kept at the education and care service premises if they relate to —</w:t>
      </w:r>
    </w:p>
    <w:p>
      <w:pPr>
        <w:pStyle w:val="yIndenti0"/>
      </w:pPr>
      <w:r>
        <w:tab/>
        <w:t>(i)</w:t>
      </w:r>
      <w:r>
        <w:tab/>
        <w:t>the operation of the service; or</w:t>
      </w:r>
    </w:p>
    <w:p>
      <w:pPr>
        <w:pStyle w:val="yIndenti0"/>
      </w:pPr>
      <w:r>
        <w:tab/>
        <w:t>(ii)</w:t>
      </w:r>
      <w:r>
        <w:tab/>
        <w:t>any staff member employed or engaged by the service; or</w:t>
      </w:r>
    </w:p>
    <w:p>
      <w:pPr>
        <w:pStyle w:val="yIndenti0"/>
      </w:pPr>
      <w:r>
        <w:lastRenderedPageBreak/>
        <w:tab/>
        <w:t>(iii)</w:t>
      </w:r>
      <w:r>
        <w:tab/>
        <w:t>any child cared for, or educated at, those premises —</w:t>
      </w:r>
    </w:p>
    <w:p>
      <w:pPr>
        <w:pStyle w:val="yIndenta"/>
      </w:pPr>
      <w:r>
        <w:tab/>
      </w:r>
      <w:r>
        <w:tab/>
        <w:t>in the previous 12 months; and</w:t>
      </w:r>
    </w:p>
    <w:p>
      <w:pPr>
        <w:pStyle w:val="yIndenta"/>
      </w:pPr>
      <w:r>
        <w:tab/>
        <w:t>(b)</w:t>
      </w:r>
      <w:r>
        <w:tab/>
        <w:t>in any other case, must be kept at a place, and in a manner, that they are readily accessible by an authorised officer.</w:t>
      </w:r>
    </w:p>
    <w:p>
      <w:pPr>
        <w:pStyle w:val="y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yPenstart"/>
        <w:tabs>
          <w:tab w:val="left" w:pos="1843"/>
        </w:tabs>
      </w:pPr>
      <w:r>
        <w:tab/>
        <w:t>Penalty:</w:t>
      </w:r>
      <w:r>
        <w:tab/>
        <w:t>$4 000.</w:t>
      </w:r>
    </w:p>
    <w:p>
      <w:pPr>
        <w:pStyle w:val="yHeading3"/>
      </w:pPr>
      <w:bookmarkStart w:id="244" w:name="_Toc80609113"/>
      <w:bookmarkStart w:id="245" w:name="_Toc80611928"/>
      <w:r>
        <w:rPr>
          <w:rStyle w:val="CharSDivNo"/>
        </w:rPr>
        <w:t>Part 7</w:t>
      </w:r>
      <w:r>
        <w:t xml:space="preserve"> — </w:t>
      </w:r>
      <w:r>
        <w:rPr>
          <w:rStyle w:val="CharSDivText"/>
        </w:rPr>
        <w:t>Compliance with this Law</w:t>
      </w:r>
      <w:bookmarkEnd w:id="244"/>
      <w:bookmarkEnd w:id="245"/>
    </w:p>
    <w:p>
      <w:pPr>
        <w:pStyle w:val="yHeading4"/>
      </w:pPr>
      <w:bookmarkStart w:id="246" w:name="_Toc80609114"/>
      <w:bookmarkStart w:id="247" w:name="_Toc80611929"/>
      <w:r>
        <w:t>Division 1</w:t>
      </w:r>
      <w:r>
        <w:rPr>
          <w:b w:val="0"/>
        </w:rPr>
        <w:t xml:space="preserve"> — </w:t>
      </w:r>
      <w:r>
        <w:t>Notices</w:t>
      </w:r>
      <w:bookmarkEnd w:id="246"/>
      <w:bookmarkEnd w:id="247"/>
    </w:p>
    <w:p>
      <w:pPr>
        <w:pStyle w:val="yHeading5"/>
      </w:pPr>
      <w:bookmarkStart w:id="248" w:name="_Toc80611930"/>
      <w:r>
        <w:rPr>
          <w:rStyle w:val="CharSClsNo"/>
        </w:rPr>
        <w:t>176</w:t>
      </w:r>
      <w:r>
        <w:t>.</w:t>
      </w:r>
      <w:r>
        <w:tab/>
        <w:t>Compliance directions</w:t>
      </w:r>
      <w:bookmarkEnd w:id="248"/>
    </w:p>
    <w:p>
      <w:pPr>
        <w:pStyle w:val="ySubsection"/>
      </w:pPr>
      <w:r>
        <w:tab/>
        <w:t>(1)</w:t>
      </w:r>
      <w:r>
        <w:tab/>
        <w:t>This section applies if the Regulatory Authority is satisfied that an education and care service has not complied with a provision of this Law that is prescribed by the national regulations.</w:t>
      </w:r>
    </w:p>
    <w:p>
      <w:pPr>
        <w:pStyle w:val="ySubsection"/>
      </w:pPr>
      <w:r>
        <w:tab/>
        <w:t>(2)</w:t>
      </w:r>
      <w:r>
        <w:tab/>
        <w:t>The Regulatory Authority may give the approved provider a written direction (a compliance direction) requiring the approved provider to take the steps specified in the direction to comply with that provision.</w:t>
      </w:r>
    </w:p>
    <w:p>
      <w:pPr>
        <w:pStyle w:val="ySubsection"/>
      </w:pPr>
      <w:r>
        <w:tab/>
        <w:t>(3)</w:t>
      </w:r>
      <w:r>
        <w:tab/>
        <w:t>An approved provider must comply with a direction under subsection (2) within the period (being not less than 14 days) specified in the direction.</w:t>
      </w:r>
    </w:p>
    <w:p>
      <w:pPr>
        <w:pStyle w:val="yPenstart"/>
        <w:tabs>
          <w:tab w:val="left" w:pos="1843"/>
        </w:tabs>
      </w:pPr>
      <w:r>
        <w:tab/>
        <w:t>Penalty:</w:t>
      </w:r>
      <w:r>
        <w:tab/>
        <w:t>$2 000, in the case of an individual.</w:t>
      </w:r>
    </w:p>
    <w:p>
      <w:pPr>
        <w:pStyle w:val="yPenstart"/>
        <w:tabs>
          <w:tab w:val="clear" w:pos="879"/>
          <w:tab w:val="left" w:pos="1843"/>
        </w:tabs>
      </w:pPr>
      <w:r>
        <w:tab/>
      </w:r>
      <w:r>
        <w:tab/>
        <w:t>$10 000, in any other case.</w:t>
      </w:r>
    </w:p>
    <w:p>
      <w:pPr>
        <w:pStyle w:val="yHeading5"/>
      </w:pPr>
      <w:bookmarkStart w:id="249" w:name="_Toc80611931"/>
      <w:r>
        <w:rPr>
          <w:rStyle w:val="CharSClsNo"/>
        </w:rPr>
        <w:t>177</w:t>
      </w:r>
      <w:r>
        <w:t>.</w:t>
      </w:r>
      <w:r>
        <w:tab/>
        <w:t>Compliance notices</w:t>
      </w:r>
      <w:bookmarkEnd w:id="249"/>
    </w:p>
    <w:p>
      <w:pPr>
        <w:pStyle w:val="ySubsection"/>
      </w:pPr>
      <w:r>
        <w:tab/>
        <w:t>(1)</w:t>
      </w:r>
      <w:r>
        <w:tab/>
        <w:t>This section applies if the Regulatory Authority is satisfied that an education and care service is not complying with any provision of this Law.</w:t>
      </w:r>
    </w:p>
    <w:p>
      <w:pPr>
        <w:pStyle w:val="ySubsection"/>
      </w:pPr>
      <w:r>
        <w:tab/>
        <w:t>(2)</w:t>
      </w:r>
      <w:r>
        <w:tab/>
        <w:t>The Regulatory Authority may give the approved provider a notice (a compliance notice) requiring the approved provider to take the steps specified in the notice to comply with that provision.</w:t>
      </w:r>
    </w:p>
    <w:p>
      <w:pPr>
        <w:pStyle w:val="ySubsection"/>
      </w:pPr>
      <w:r>
        <w:lastRenderedPageBreak/>
        <w:tab/>
        <w:t>(3)</w:t>
      </w:r>
      <w:r>
        <w:tab/>
        <w:t>An approved provider must comply with a compliance notice under subsection (2) within the period (being not less than 14 days) specified in the notice.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250" w:name="_Toc80611932"/>
      <w:r>
        <w:rPr>
          <w:rStyle w:val="CharSClsNo"/>
        </w:rPr>
        <w:t>178</w:t>
      </w:r>
      <w:r>
        <w:t>.</w:t>
      </w:r>
      <w:r>
        <w:tab/>
        <w:t>Notice to suspend education and care by a family day care educator</w:t>
      </w:r>
      <w:bookmarkEnd w:id="250"/>
    </w:p>
    <w:p>
      <w:pPr>
        <w:pStyle w:val="y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yIndenta"/>
      </w:pPr>
      <w:r>
        <w:tab/>
        <w:t>(a)</w:t>
      </w:r>
      <w:r>
        <w:tab/>
        <w:t>the approved provider or a nominated supervisor of an approved family day care service is not complying with any provision of this Law; or</w:t>
      </w:r>
    </w:p>
    <w:p>
      <w:pPr>
        <w:pStyle w:val="yIndenta"/>
      </w:pPr>
      <w:r>
        <w:tab/>
        <w:t>(b)</w:t>
      </w:r>
      <w:r>
        <w:tab/>
        <w:t>there is a risk to the safety, health or wellbeing of children being educated and cared for by the family day care educator.</w:t>
      </w:r>
    </w:p>
    <w:p>
      <w:pPr>
        <w:pStyle w:val="ySubsection"/>
      </w:pPr>
      <w:r>
        <w:tab/>
        <w:t>(2)</w:t>
      </w:r>
      <w:r>
        <w:tab/>
        <w:t>The Regulatory Authority may give the approved provider, the nominated supervisor (if applicable) and the educator a notice (show cause notice) stating —</w:t>
      </w:r>
    </w:p>
    <w:p>
      <w:pPr>
        <w:pStyle w:val="yIndenta"/>
      </w:pPr>
      <w:r>
        <w:tab/>
        <w:t>(a)</w:t>
      </w:r>
      <w:r>
        <w:tab/>
        <w:t>that the Regulatory Authority intends to give the approved provider a notice directing the provider to suspend the provision of education and care by the educator; and</w:t>
      </w:r>
    </w:p>
    <w:p>
      <w:pPr>
        <w:pStyle w:val="yIndenta"/>
      </w:pPr>
      <w:r>
        <w:tab/>
        <w:t>(b)</w:t>
      </w:r>
      <w:r>
        <w:tab/>
        <w:t>the reasons for the proposed direction; and</w:t>
      </w:r>
    </w:p>
    <w:p>
      <w:pPr>
        <w:pStyle w:val="y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ySubsection"/>
      </w:pPr>
      <w:r>
        <w:tab/>
        <w:t>(3)</w:t>
      </w:r>
      <w:r>
        <w:tab/>
        <w:t>The show cause notice must be served by delivering it personally to the family day care educator.</w:t>
      </w:r>
    </w:p>
    <w:p>
      <w:pPr>
        <w:pStyle w:val="ySubsection"/>
      </w:pPr>
      <w:r>
        <w:tab/>
        <w:t>(4)</w:t>
      </w:r>
      <w:r>
        <w:tab/>
        <w:t>The Regulatory Authority —</w:t>
      </w:r>
    </w:p>
    <w:p>
      <w:pPr>
        <w:pStyle w:val="yIndenta"/>
      </w:pPr>
      <w:r>
        <w:tab/>
        <w:t>(a)</w:t>
      </w:r>
      <w:r>
        <w:tab/>
        <w:t xml:space="preserve">must consider any submissions from the approved provider, the nominated supervisor and the family day care educator received within the time allowed by subsection (2)(c); and </w:t>
      </w:r>
    </w:p>
    <w:p>
      <w:pPr>
        <w:pStyle w:val="yIndenta"/>
      </w:pPr>
      <w:r>
        <w:lastRenderedPageBreak/>
        <w:tab/>
        <w:t>(b)</w:t>
      </w:r>
      <w:r>
        <w:tab/>
        <w:t>may consider any other submissions and any matters the Regulatory Authority considers relevant; and</w:t>
      </w:r>
    </w:p>
    <w:p>
      <w:pPr>
        <w:pStyle w:val="yIndenta"/>
      </w:pPr>
      <w:r>
        <w:tab/>
        <w:t>(c)</w:t>
      </w:r>
      <w:r>
        <w:tab/>
        <w:t>may —</w:t>
      </w:r>
    </w:p>
    <w:p>
      <w:pPr>
        <w:pStyle w:val="yIndenti0"/>
      </w:pPr>
      <w:r>
        <w:tab/>
        <w:t>(i)</w:t>
      </w:r>
      <w:r>
        <w:tab/>
        <w:t>give the approved provider a notice directing the provider to suspend the provision of education and care of children by the family day care educator; or</w:t>
      </w:r>
    </w:p>
    <w:p>
      <w:pPr>
        <w:pStyle w:val="yIndenti0"/>
      </w:pPr>
      <w:r>
        <w:tab/>
        <w:t>(ii)</w:t>
      </w:r>
      <w:r>
        <w:tab/>
        <w:t>decide not to give that direction.</w:t>
      </w:r>
    </w:p>
    <w:p>
      <w:pPr>
        <w:pStyle w:val="ySubsection"/>
      </w:pPr>
      <w:r>
        <w:tab/>
        <w:t>(5)</w:t>
      </w:r>
      <w:r>
        <w:tab/>
        <w:t>The Regulatory Authority must give the family day care educator a notice of the decision under subsection (4).</w:t>
      </w:r>
    </w:p>
    <w:p>
      <w:pPr>
        <w:pStyle w:val="ySubsection"/>
      </w:pPr>
      <w:r>
        <w:tab/>
        <w:t>(6)</w:t>
      </w:r>
      <w:r>
        <w:tab/>
        <w:t>If the Regulatory Authority decides not to give the direction to suspend, the Regulatory Authority must give the approved provider notice of the decision.</w:t>
      </w:r>
    </w:p>
    <w:p>
      <w:pPr>
        <w:pStyle w:val="ySubsection"/>
      </w:pPr>
      <w:r>
        <w:tab/>
        <w:t>(7)</w:t>
      </w:r>
      <w:r>
        <w:tab/>
        <w:t>A person must comply with a direction under subsection (4).</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Footnotesection"/>
      </w:pPr>
      <w:r>
        <w:tab/>
        <w:t>[Section 178 amended: No. 18 of 2018 s. 55.]</w:t>
      </w:r>
    </w:p>
    <w:p>
      <w:pPr>
        <w:pStyle w:val="yHeading5"/>
      </w:pPr>
      <w:bookmarkStart w:id="251" w:name="_Toc80611933"/>
      <w:r>
        <w:rPr>
          <w:rStyle w:val="CharSClsNo"/>
        </w:rPr>
        <w:t>179</w:t>
      </w:r>
      <w:r>
        <w:t>.</w:t>
      </w:r>
      <w:r>
        <w:tab/>
        <w:t>Emergency action notices</w:t>
      </w:r>
      <w:bookmarkEnd w:id="251"/>
    </w:p>
    <w:p>
      <w:pPr>
        <w:pStyle w:val="ySubsection"/>
      </w:pPr>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y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ySubsection"/>
      </w:pPr>
      <w:r>
        <w:tab/>
        <w:t>(3)</w:t>
      </w:r>
      <w:r>
        <w:tab/>
        <w:t>An approved provider must comply with a direction given under subsection (2).</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4"/>
      </w:pPr>
      <w:bookmarkStart w:id="252" w:name="_Toc80609119"/>
      <w:bookmarkStart w:id="253" w:name="_Toc80611934"/>
      <w:r>
        <w:lastRenderedPageBreak/>
        <w:t>Division 2 — Enforceable undertakings</w:t>
      </w:r>
      <w:bookmarkEnd w:id="252"/>
      <w:bookmarkEnd w:id="253"/>
    </w:p>
    <w:p>
      <w:pPr>
        <w:pStyle w:val="yFootnoteheading"/>
        <w:keepNext/>
      </w:pPr>
      <w:r>
        <w:tab/>
        <w:t>[Heading inserted: No. 18 of 2018 s. 56.]</w:t>
      </w:r>
    </w:p>
    <w:p>
      <w:pPr>
        <w:pStyle w:val="yHeading5"/>
      </w:pPr>
      <w:bookmarkStart w:id="254" w:name="_Toc80611935"/>
      <w:r>
        <w:rPr>
          <w:rStyle w:val="CharSClsNo"/>
        </w:rPr>
        <w:t>179A</w:t>
      </w:r>
      <w:r>
        <w:t>.</w:t>
      </w:r>
      <w:r>
        <w:tab/>
        <w:t>Enforceable undertakings</w:t>
      </w:r>
      <w:bookmarkEnd w:id="254"/>
    </w:p>
    <w:p>
      <w:pPr>
        <w:pStyle w:val="ySubsection"/>
        <w:keepNext/>
      </w:pPr>
      <w:r>
        <w:tab/>
        <w:t>(1)</w:t>
      </w:r>
      <w:r>
        <w:tab/>
        <w:t xml:space="preserve">This section applies — </w:t>
      </w:r>
    </w:p>
    <w:p>
      <w:pPr>
        <w:pStyle w:val="yIndenta"/>
      </w:pPr>
      <w:r>
        <w:tab/>
        <w:t>(a)</w:t>
      </w:r>
      <w:r>
        <w:tab/>
        <w:t>if a person has, or believes the person may have, contravened, or if the Regulatory Authority alleges a person has contravened, a provision of this Law; or</w:t>
      </w:r>
    </w:p>
    <w:p>
      <w:pPr>
        <w:pStyle w:val="yIndenta"/>
      </w:pPr>
      <w:r>
        <w:tab/>
        <w:t>(b)</w:t>
      </w:r>
      <w:r>
        <w:tab/>
        <w:t>in the circumstances set out in section 27(a), 72(a) or 184(3).</w:t>
      </w:r>
    </w:p>
    <w:p>
      <w:pPr>
        <w:pStyle w:val="ySubsection"/>
      </w:pPr>
      <w:r>
        <w:tab/>
        <w:t>(2)</w:t>
      </w:r>
      <w:r>
        <w:tab/>
        <w:t>If subsection (1)(a) applies, the Regulatory Authority may accept a written undertaking from the person, under which the person undertakes to take certain actions, or refrain from taking certain actions, to comply with this Law.</w:t>
      </w:r>
    </w:p>
    <w:p>
      <w:pPr>
        <w:pStyle w:val="ySubsection"/>
      </w:pPr>
      <w:r>
        <w:tab/>
        <w:t>(3)</w:t>
      </w:r>
      <w:r>
        <w:tab/>
        <w:t>If subsection (1)(b) applies in relation to the approved provider of an education and care service, the Regulatory Authority may accept a written undertaking from the approved provider, under which the approved provider undertakes to take certain actions, or refrain from taking certain actions in relation to the education and care service.</w:t>
      </w:r>
    </w:p>
    <w:p>
      <w:pPr>
        <w:pStyle w:val="ySubsection"/>
      </w:pPr>
      <w:r>
        <w:tab/>
        <w:t>(4)</w:t>
      </w:r>
      <w:r>
        <w:tab/>
        <w:t>If subsection (1)(b) applies in relation to a person other than the approved provider of an education and care service, the Regulatory Authority may accept a written undertaking from the person, under which the person undertakes to take certain actions, or refrain from taking certain actions in relation to an education and care service.</w:t>
      </w:r>
    </w:p>
    <w:p>
      <w:pPr>
        <w:pStyle w:val="ySubsection"/>
      </w:pPr>
      <w:r>
        <w:tab/>
        <w:t>(5)</w:t>
      </w:r>
      <w:r>
        <w:tab/>
        <w:t>A person may, with the consent of the Regulatory Authority, withdraw or amend an undertaking.</w:t>
      </w:r>
    </w:p>
    <w:p>
      <w:pPr>
        <w:pStyle w:val="ySubsection"/>
      </w:pPr>
      <w:r>
        <w:tab/>
        <w:t>(6)</w:t>
      </w:r>
      <w:r>
        <w:tab/>
        <w:t>The Regulatory Authority may withdraw its acceptance of the undertaking at any time and the undertaking ceases to be in force on that withdrawal.</w:t>
      </w:r>
    </w:p>
    <w:p>
      <w:pPr>
        <w:pStyle w:val="ySubsection"/>
      </w:pPr>
      <w:r>
        <w:tab/>
        <w:t>(7)</w:t>
      </w:r>
      <w:r>
        <w:tab/>
        <w:t>The Regulatory Authority may publish on the Regulatory Authority’s website an undertaking accepted under this section.</w:t>
      </w:r>
    </w:p>
    <w:p>
      <w:pPr>
        <w:pStyle w:val="yPenstart"/>
        <w:tabs>
          <w:tab w:val="left" w:pos="1843"/>
        </w:tabs>
        <w:rPr>
          <w:rFonts w:ascii="Arial" w:hAnsi="Arial"/>
          <w:sz w:val="18"/>
        </w:rPr>
      </w:pPr>
      <w:r>
        <w:rPr>
          <w:rFonts w:ascii="Arial" w:hAnsi="Arial"/>
          <w:sz w:val="18"/>
        </w:rPr>
        <w:tab/>
        <w:t>Note:</w:t>
      </w:r>
      <w:r>
        <w:rPr>
          <w:rFonts w:ascii="Arial" w:hAnsi="Arial"/>
          <w:sz w:val="18"/>
        </w:rPr>
        <w:tab/>
        <w:t xml:space="preserve">This section differs from section 179A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179A inserted: No. 18 of 2018 s. 56.]</w:t>
      </w:r>
    </w:p>
    <w:p>
      <w:pPr>
        <w:pStyle w:val="yHeading5"/>
      </w:pPr>
      <w:bookmarkStart w:id="255" w:name="_Toc80611936"/>
      <w:r>
        <w:rPr>
          <w:rStyle w:val="CharSClsNo"/>
        </w:rPr>
        <w:lastRenderedPageBreak/>
        <w:t>179B</w:t>
      </w:r>
      <w:r>
        <w:t>.</w:t>
      </w:r>
      <w:r>
        <w:tab/>
        <w:t>Certain actions prohibited while undertaking is in force</w:t>
      </w:r>
      <w:bookmarkEnd w:id="255"/>
    </w:p>
    <w:p>
      <w:pPr>
        <w:pStyle w:val="ySubsection"/>
      </w:pPr>
      <w:r>
        <w:tab/>
        <w:t>(1)</w:t>
      </w:r>
      <w:r>
        <w:tab/>
        <w:t>While an undertaking is in force under section 179A(2), proceedings may not be brought for any offence constituted by the contravention or alleged contravention in respect of which the undertaking is given.</w:t>
      </w:r>
    </w:p>
    <w:p>
      <w:pPr>
        <w:pStyle w:val="ySubsection"/>
      </w:pPr>
      <w:r>
        <w:tab/>
        <w:t>(2)</w:t>
      </w:r>
      <w:r>
        <w:tab/>
        <w:t>While an undertaking is in force under section 179A(3), the Regulatory Authority must not (as the case requires)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While an undertaking is in force under section 179A(4), the Regulatory Authority must not give a prohibition notice under section 182 in relation to a matter that is the subject of the undertaking.</w:t>
      </w:r>
    </w:p>
    <w:p>
      <w:pPr>
        <w:pStyle w:val="yFootnotesection"/>
      </w:pPr>
      <w:r>
        <w:tab/>
        <w:t>[Section 179B inserted: No. 18 of 2018 s. 56.]</w:t>
      </w:r>
    </w:p>
    <w:p>
      <w:pPr>
        <w:pStyle w:val="yHeading5"/>
      </w:pPr>
      <w:bookmarkStart w:id="256" w:name="_Toc80611937"/>
      <w:r>
        <w:rPr>
          <w:rStyle w:val="CharSClsNo"/>
        </w:rPr>
        <w:t>180</w:t>
      </w:r>
      <w:r>
        <w:t>.</w:t>
      </w:r>
      <w:r>
        <w:tab/>
        <w:t>Certain actions prohibited if undertaking is complied with</w:t>
      </w:r>
      <w:bookmarkEnd w:id="256"/>
    </w:p>
    <w:p>
      <w:pPr>
        <w:pStyle w:val="ySubsection"/>
      </w:pPr>
      <w:r>
        <w:tab/>
        <w:t>(1)</w:t>
      </w:r>
      <w:r>
        <w:tab/>
        <w:t>If a person complies with the requirements of an undertaking under section 179A(2), no further proceedings may be brought for any offence constituted by the contravention or alleged contravention in respect of which the undertaking was given.</w:t>
      </w:r>
    </w:p>
    <w:p>
      <w:pPr>
        <w:pStyle w:val="ySubsection"/>
      </w:pPr>
      <w:r>
        <w:tab/>
        <w:t>(2)</w:t>
      </w:r>
      <w:r>
        <w:tab/>
        <w:t xml:space="preserve">If an approved provider complies with the requirements of an undertaking under section 179A(3), the Regulatory Authority must not (as the case requires) —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 xml:space="preserve">If a person complies with the requirements of an undertaking under section 179A(4), the Regulatory Authority must not give a prohibition </w:t>
      </w:r>
      <w:r>
        <w:lastRenderedPageBreak/>
        <w:t>notice under section 182 in relation to a matter that is the subject of the undertaking.</w:t>
      </w:r>
    </w:p>
    <w:p>
      <w:pPr>
        <w:pStyle w:val="yFootnotesection"/>
      </w:pPr>
      <w:r>
        <w:tab/>
        <w:t>[Section 180 inserted: No. 18 of 2018 s. 56.]</w:t>
      </w:r>
    </w:p>
    <w:p>
      <w:pPr>
        <w:pStyle w:val="yHeading5"/>
      </w:pPr>
      <w:bookmarkStart w:id="257" w:name="_Toc80611938"/>
      <w:r>
        <w:rPr>
          <w:rStyle w:val="CharSClsNo"/>
        </w:rPr>
        <w:t>181</w:t>
      </w:r>
      <w:r>
        <w:t>.</w:t>
      </w:r>
      <w:r>
        <w:tab/>
        <w:t>Failure to comply with enforceable undertakings</w:t>
      </w:r>
      <w:bookmarkEnd w:id="257"/>
    </w:p>
    <w:p>
      <w:pPr>
        <w:pStyle w:val="ySubsection"/>
      </w:pPr>
      <w:r>
        <w:tab/>
        <w:t>(1)</w:t>
      </w:r>
      <w:r>
        <w:tab/>
        <w:t>If the Regulatory Authority considers that a person who gave an undertaking under section 179A has failed to comply with any of its terms, the Regulatory Authority may apply to the relevant tribunal or court for an order under subsection (2) to enforce the undertaking.</w:t>
      </w:r>
    </w:p>
    <w:p>
      <w:pPr>
        <w:pStyle w:val="ySubsection"/>
      </w:pPr>
      <w:r>
        <w:tab/>
        <w:t>(2)</w:t>
      </w:r>
      <w:r>
        <w:tab/>
        <w:t xml:space="preserve">If the relevant tribunal or court is satisfied that the person has failed to comply with a term of the undertaking, the relevant tribunal or court may make any of the following orders — </w:t>
      </w:r>
    </w:p>
    <w:p>
      <w:pPr>
        <w:pStyle w:val="yIndenta"/>
      </w:pPr>
      <w:r>
        <w:tab/>
        <w:t>(a)</w:t>
      </w:r>
      <w:r>
        <w:tab/>
        <w:t>an order directing the person to comply with the term of the undertaking;</w:t>
      </w:r>
    </w:p>
    <w:p>
      <w:pPr>
        <w:pStyle w:val="yIndenta"/>
      </w:pPr>
      <w:r>
        <w:tab/>
        <w:t>(b)</w:t>
      </w:r>
      <w:r>
        <w:tab/>
        <w:t>an order that the person take any specified action for the purpose of complying with the undertaking;</w:t>
      </w:r>
    </w:p>
    <w:p>
      <w:pPr>
        <w:pStyle w:val="yIndenta"/>
      </w:pPr>
      <w:r>
        <w:tab/>
        <w:t>(c)</w:t>
      </w:r>
      <w:r>
        <w:tab/>
        <w:t>any other order that the relevant tribunal or court considers appropriate in the circumstances.</w:t>
      </w:r>
    </w:p>
    <w:p>
      <w:pPr>
        <w:pStyle w:val="ySubsection"/>
      </w:pPr>
      <w:r>
        <w:tab/>
        <w:t>(3)</w:t>
      </w:r>
      <w:r>
        <w:tab/>
        <w:t>If the relevant tribunal or court determines that the person has failed to comply with a term of an undertaking under section 179A(2), proceedings may be brought for any offence constituted by the contravention or alleged contravention in respect of which the undertaking was given.</w:t>
      </w:r>
    </w:p>
    <w:p>
      <w:pPr>
        <w:pStyle w:val="ySubsection"/>
      </w:pPr>
      <w:r>
        <w:tab/>
        <w:t>(4)</w:t>
      </w:r>
      <w:r>
        <w:tab/>
        <w:t xml:space="preserve">If the relevant tribunal or court determines that an approved provider has failed to comply with a term of an undertaking under section 179A(3), the Regulatory Authority may without further notice — </w:t>
      </w:r>
    </w:p>
    <w:p>
      <w:pPr>
        <w:pStyle w:val="yIndenta"/>
      </w:pPr>
      <w:r>
        <w:tab/>
        <w:t>(a)</w:t>
      </w:r>
      <w:r>
        <w:tab/>
        <w:t>if the undertaking was given in circumstances set out in section 27(a), suspend the provider approval under section 27; or</w:t>
      </w:r>
    </w:p>
    <w:p>
      <w:pPr>
        <w:pStyle w:val="yIndenta"/>
      </w:pPr>
      <w:r>
        <w:tab/>
        <w:t>(b)</w:t>
      </w:r>
      <w:r>
        <w:tab/>
        <w:t>if the undertaking was given in circumstances set out in section 72(a), suspend the service approval under section 72; or</w:t>
      </w:r>
    </w:p>
    <w:p>
      <w:pPr>
        <w:pStyle w:val="yIndenta"/>
      </w:pPr>
      <w:r>
        <w:tab/>
        <w:t>(c)</w:t>
      </w:r>
      <w:r>
        <w:tab/>
        <w:t>if the undertaking was given in circumstances set out in section 184(3), give a prohibition notice under section 182 in relation to a matter that is the subject of the undertaking.</w:t>
      </w:r>
    </w:p>
    <w:p>
      <w:pPr>
        <w:pStyle w:val="ySubsection"/>
      </w:pPr>
      <w:r>
        <w:lastRenderedPageBreak/>
        <w:tab/>
        <w:t>(5)</w:t>
      </w:r>
      <w:r>
        <w:tab/>
        <w:t>If the relevant tribunal or court determines that a person has failed to comply with a term of an undertaking under section 179A(4), the Regulatory Authority may, without further notice, give a prohibition notice under section 182 in relation to a matter that is the subject of the undertaking.</w:t>
      </w:r>
    </w:p>
    <w:p>
      <w:pPr>
        <w:pStyle w:val="ySubsection"/>
      </w:pPr>
      <w:r>
        <w:tab/>
        <w:t>(6)</w:t>
      </w:r>
      <w:r>
        <w:tab/>
        <w:t>Proceedings referred to in subsection (3) may be brought within 6 months of the determination or within 2 years of the date of the alleged offence, whichever occurs last.</w:t>
      </w:r>
    </w:p>
    <w:p>
      <w:pPr>
        <w:pStyle w:val="yFootnotesection"/>
      </w:pPr>
      <w:r>
        <w:tab/>
        <w:t>[Section 181 inserted: No. 18 of 2018 s. 56.]</w:t>
      </w:r>
    </w:p>
    <w:p>
      <w:pPr>
        <w:pStyle w:val="yHeading4"/>
      </w:pPr>
      <w:bookmarkStart w:id="258" w:name="_Toc80609124"/>
      <w:bookmarkStart w:id="259" w:name="_Toc80611939"/>
      <w:r>
        <w:t>Division 3</w:t>
      </w:r>
      <w:r>
        <w:rPr>
          <w:b w:val="0"/>
        </w:rPr>
        <w:t xml:space="preserve"> — </w:t>
      </w:r>
      <w:r>
        <w:t>Prohibition notices</w:t>
      </w:r>
      <w:bookmarkEnd w:id="258"/>
      <w:bookmarkEnd w:id="259"/>
    </w:p>
    <w:p>
      <w:pPr>
        <w:pStyle w:val="yHeading5"/>
      </w:pPr>
      <w:bookmarkStart w:id="260" w:name="_Toc80611940"/>
      <w:r>
        <w:rPr>
          <w:rStyle w:val="CharSClsNo"/>
        </w:rPr>
        <w:t>182</w:t>
      </w:r>
      <w:r>
        <w:t>.</w:t>
      </w:r>
      <w:r>
        <w:tab/>
        <w:t>Grounds for giving prohibition notice</w:t>
      </w:r>
      <w:bookmarkEnd w:id="260"/>
    </w:p>
    <w:p>
      <w:pPr>
        <w:pStyle w:val="y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yIndenta"/>
      </w:pPr>
      <w:r>
        <w:tab/>
        <w:t>(a)</w:t>
      </w:r>
      <w:r>
        <w:tab/>
        <w:t>to remain on the education and care service premises; or</w:t>
      </w:r>
    </w:p>
    <w:p>
      <w:pPr>
        <w:pStyle w:val="yIndenta"/>
      </w:pPr>
      <w:r>
        <w:tab/>
        <w:t>(b)</w:t>
      </w:r>
      <w:r>
        <w:tab/>
        <w:t>to provide education and care to children.</w:t>
      </w:r>
    </w:p>
    <w:p>
      <w:pPr>
        <w:pStyle w:val="ySubsection"/>
      </w:pPr>
      <w:r>
        <w:tab/>
        <w:t>(2)</w:t>
      </w:r>
      <w:r>
        <w:tab/>
        <w:t>For the purposes of subsection (1), a person may be involved in the provision of an approved education and care service as any of the following —</w:t>
      </w:r>
    </w:p>
    <w:p>
      <w:pPr>
        <w:pStyle w:val="yIndenta"/>
      </w:pPr>
      <w:r>
        <w:tab/>
        <w:t>(a)</w:t>
      </w:r>
      <w:r>
        <w:tab/>
        <w:t>an approved provider;</w:t>
      </w:r>
    </w:p>
    <w:p>
      <w:pPr>
        <w:pStyle w:val="yIndenta"/>
      </w:pPr>
      <w:r>
        <w:tab/>
        <w:t>(b)</w:t>
      </w:r>
      <w:r>
        <w:tab/>
        <w:t>a nominated supervisor;</w:t>
      </w:r>
    </w:p>
    <w:p>
      <w:pPr>
        <w:pStyle w:val="yIndenta"/>
      </w:pPr>
      <w:r>
        <w:tab/>
        <w:t>(c)</w:t>
      </w:r>
      <w:r>
        <w:tab/>
        <w:t>an educator;</w:t>
      </w:r>
    </w:p>
    <w:p>
      <w:pPr>
        <w:pStyle w:val="yIndenta"/>
      </w:pPr>
      <w:r>
        <w:tab/>
        <w:t>(d)</w:t>
      </w:r>
      <w:r>
        <w:tab/>
        <w:t>a family day care educator;</w:t>
      </w:r>
    </w:p>
    <w:p>
      <w:pPr>
        <w:pStyle w:val="yIndenta"/>
      </w:pPr>
      <w:r>
        <w:tab/>
        <w:t>(e)</w:t>
      </w:r>
      <w:r>
        <w:tab/>
        <w:t>an employee;</w:t>
      </w:r>
    </w:p>
    <w:p>
      <w:pPr>
        <w:pStyle w:val="yIndenta"/>
      </w:pPr>
      <w:r>
        <w:tab/>
        <w:t>(f)</w:t>
      </w:r>
      <w:r>
        <w:tab/>
        <w:t>a contractor;</w:t>
      </w:r>
    </w:p>
    <w:p>
      <w:pPr>
        <w:pStyle w:val="yIndenta"/>
      </w:pPr>
      <w:r>
        <w:tab/>
        <w:t>(g)</w:t>
      </w:r>
      <w:r>
        <w:tab/>
        <w:t>a volunteer;</w:t>
      </w:r>
    </w:p>
    <w:p>
      <w:pPr>
        <w:pStyle w:val="yIndenta"/>
      </w:pPr>
      <w:r>
        <w:tab/>
        <w:t>(h)</w:t>
      </w:r>
      <w:r>
        <w:tab/>
        <w:t>a person who was formerly a person referred to in paragraphs (a) to (g) in relation to the approved education and care service,</w:t>
      </w:r>
    </w:p>
    <w:p>
      <w:pPr>
        <w:pStyle w:val="ySubsection"/>
      </w:pPr>
      <w:r>
        <w:tab/>
      </w:r>
      <w:r>
        <w:tab/>
        <w:t>or in any other capacity.</w:t>
      </w:r>
    </w:p>
    <w:p>
      <w:pPr>
        <w:pStyle w:val="ySubsection"/>
      </w:pPr>
      <w:r>
        <w:lastRenderedPageBreak/>
        <w:tab/>
        <w:t>(3)</w:t>
      </w:r>
      <w:r>
        <w:tab/>
        <w:t xml:space="preserve">The Regulatory Authority may give a prohibition notice to a person to — </w:t>
      </w:r>
    </w:p>
    <w:p>
      <w:pPr>
        <w:pStyle w:val="yIndenta"/>
      </w:pPr>
      <w:r>
        <w:tab/>
        <w:t>(a)</w:t>
      </w:r>
      <w:r>
        <w:tab/>
        <w:t>prohibit the person from being nominated as a nominated supervisor if the Regulatory Authority considers the person is not a fit and proper person to be nominated as a nominated supervisor of a service; or</w:t>
      </w:r>
    </w:p>
    <w:p>
      <w:pPr>
        <w:pStyle w:val="yIndenta"/>
      </w:pPr>
      <w:r>
        <w:tab/>
        <w:t>(b)</w:t>
      </w:r>
      <w:r>
        <w:tab/>
        <w:t>impose one or more conditions on the nomination of the person as a nominated supervisor that the Regulatory Authority considers appropriate, if the Regulatory Authority considers the person is a fit and proper person to be nominated as a nominated supervisor of a service subject to those conditions.</w:t>
      </w:r>
    </w:p>
    <w:p>
      <w:pPr>
        <w:pStyle w:val="yFootnotesection"/>
      </w:pPr>
      <w:r>
        <w:tab/>
        <w:t>[Section 182 amended: No. 18 of 2018 s. 57.]</w:t>
      </w:r>
    </w:p>
    <w:p>
      <w:pPr>
        <w:pStyle w:val="yHeading5"/>
      </w:pPr>
      <w:bookmarkStart w:id="261" w:name="_Toc80611941"/>
      <w:r>
        <w:rPr>
          <w:rStyle w:val="CharSClsNo"/>
        </w:rPr>
        <w:t>183</w:t>
      </w:r>
      <w:r>
        <w:t>.</w:t>
      </w:r>
      <w:r>
        <w:tab/>
        <w:t>Show cause notice to be given before prohibition notice</w:t>
      </w:r>
      <w:bookmarkEnd w:id="261"/>
    </w:p>
    <w:p>
      <w:pPr>
        <w:pStyle w:val="ySubsection"/>
      </w:pPr>
      <w:r>
        <w:tab/>
        <w:t>(1)</w:t>
      </w:r>
      <w:r>
        <w:tab/>
        <w:t>Before giving a person a prohibition notice, the Regulatory Authority must give the person a notice (a show cause notice) —</w:t>
      </w:r>
    </w:p>
    <w:p>
      <w:pPr>
        <w:pStyle w:val="yIndenta"/>
      </w:pPr>
      <w:r>
        <w:tab/>
        <w:t>(a)</w:t>
      </w:r>
      <w:r>
        <w:tab/>
        <w:t>stating that the Regulatory Authority proposes to give the person a prohibition notice; and</w:t>
      </w:r>
    </w:p>
    <w:p>
      <w:pPr>
        <w:pStyle w:val="yIndenta"/>
      </w:pPr>
      <w:r>
        <w:tab/>
        <w:t>(b)</w:t>
      </w:r>
      <w:r>
        <w:tab/>
        <w:t>stating the reasons for the proposed prohibition; and</w:t>
      </w:r>
    </w:p>
    <w:p>
      <w:pPr>
        <w:pStyle w:val="yIndenta"/>
      </w:pPr>
      <w:r>
        <w:tab/>
        <w:t>(c)</w:t>
      </w:r>
      <w:r>
        <w:tab/>
        <w:t>inviting the person to make a written submission to the Regulatory Authority, within a stated time of at least 14 days, about the proposed prohibition.</w:t>
      </w:r>
    </w:p>
    <w:p>
      <w:pPr>
        <w:pStyle w:val="y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yHeading5"/>
      </w:pPr>
      <w:bookmarkStart w:id="262" w:name="_Toc80611942"/>
      <w:r>
        <w:rPr>
          <w:rStyle w:val="CharSClsNo"/>
        </w:rPr>
        <w:t>184</w:t>
      </w:r>
      <w:r>
        <w:t>.</w:t>
      </w:r>
      <w:r>
        <w:tab/>
        <w:t>Deciding whether to give prohibition notice</w:t>
      </w:r>
      <w:bookmarkEnd w:id="262"/>
    </w:p>
    <w:p>
      <w:pPr>
        <w:pStyle w:val="ySubsection"/>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ySubsection"/>
      </w:pPr>
      <w:r>
        <w:lastRenderedPageBreak/>
        <w:tab/>
        <w:t>(2)</w:t>
      </w:r>
      <w:r>
        <w:tab/>
        <w:t>If the Regulatory Authority decides not to issue a prohibition notice to the person, the Regulatory Authority must give the person notice of the decision.</w:t>
      </w:r>
    </w:p>
    <w:p>
      <w:pPr>
        <w:pStyle w:val="ySubsection"/>
      </w:pPr>
      <w:r>
        <w:tab/>
        <w:t>(3)</w:t>
      </w:r>
      <w:r>
        <w:tab/>
        <w:t>The Regulatory Authority may accept an undertaking from a person under section 179A instead of giving a prohibition notice under this Division.</w:t>
      </w:r>
    </w:p>
    <w:p>
      <w:pPr>
        <w:pStyle w:val="yFootnotesection"/>
      </w:pPr>
      <w:r>
        <w:tab/>
        <w:t>[Section 184 amended: No. 18 of 2018 s. 58.]</w:t>
      </w:r>
    </w:p>
    <w:p>
      <w:pPr>
        <w:pStyle w:val="yHeading5"/>
      </w:pPr>
      <w:bookmarkStart w:id="263" w:name="_Toc80611943"/>
      <w:r>
        <w:rPr>
          <w:rStyle w:val="CharSClsNo"/>
        </w:rPr>
        <w:t>185</w:t>
      </w:r>
      <w:r>
        <w:t>.</w:t>
      </w:r>
      <w:r>
        <w:tab/>
        <w:t>Content of prohibition notice</w:t>
      </w:r>
      <w:bookmarkEnd w:id="263"/>
    </w:p>
    <w:p>
      <w:pPr>
        <w:pStyle w:val="ySubsection"/>
      </w:pPr>
      <w:r>
        <w:tab/>
        <w:t>(1)</w:t>
      </w:r>
      <w:r>
        <w:tab/>
        <w:t>A prohibition notice given to a person under section 182(1) must state that the person is prohibited from doing one or more of the following —</w:t>
      </w:r>
    </w:p>
    <w:p>
      <w:pPr>
        <w:pStyle w:val="yIndenta"/>
      </w:pPr>
      <w:r>
        <w:tab/>
        <w:t>(a)</w:t>
      </w:r>
      <w:r>
        <w:tab/>
        <w:t>providing education and care to children for an education and care service;</w:t>
      </w:r>
    </w:p>
    <w:p>
      <w:pPr>
        <w:pStyle w:val="yIndenta"/>
      </w:pPr>
      <w:r>
        <w:tab/>
        <w:t>(b)</w:t>
      </w:r>
      <w:r>
        <w:tab/>
        <w:t>being engaged as an educator, family day care educator, employee, contractor or staff member of, or being a volunteer at, an education and care service;</w:t>
      </w:r>
    </w:p>
    <w:p>
      <w:pPr>
        <w:pStyle w:val="yIndenta"/>
      </w:pPr>
      <w:r>
        <w:tab/>
        <w:t>(c)</w:t>
      </w:r>
      <w:r>
        <w:tab/>
        <w:t>carrying out any other activity relating to an education and care service.</w:t>
      </w:r>
    </w:p>
    <w:p>
      <w:pPr>
        <w:pStyle w:val="ySubsection"/>
      </w:pPr>
      <w:r>
        <w:tab/>
        <w:t>(2)</w:t>
      </w:r>
      <w:r>
        <w:tab/>
        <w:t>A prohibition notice given to a person under section 182(3) must state that either —</w:t>
      </w:r>
    </w:p>
    <w:p>
      <w:pPr>
        <w:pStyle w:val="yIndenta"/>
      </w:pPr>
      <w:r>
        <w:tab/>
        <w:t>(a)</w:t>
      </w:r>
      <w:r>
        <w:tab/>
        <w:t>the person is prohibited from being nominated as a nominated supervisor of an education and care service; or</w:t>
      </w:r>
    </w:p>
    <w:p>
      <w:pPr>
        <w:pStyle w:val="yIndenta"/>
      </w:pPr>
      <w:r>
        <w:tab/>
        <w:t>(b)</w:t>
      </w:r>
      <w:r>
        <w:tab/>
        <w:t>the person may only be nominated as a nominated supervisor of an education and care service on the condition or conditions specified by the Regulatory Authority in the notice.</w:t>
      </w:r>
    </w:p>
    <w:p>
      <w:pPr>
        <w:pStyle w:val="ySubsection"/>
      </w:pPr>
      <w:r>
        <w:tab/>
        <w:t>(3)</w:t>
      </w:r>
      <w:r>
        <w:tab/>
        <w:t>A prohibition notice given to a person under section 182(1) or (3) must state —</w:t>
      </w:r>
    </w:p>
    <w:p>
      <w:pPr>
        <w:pStyle w:val="yIndenta"/>
      </w:pPr>
      <w:r>
        <w:tab/>
        <w:t>(a)</w:t>
      </w:r>
      <w:r>
        <w:tab/>
        <w:t>that the person may apply for cancellation of the notice; and</w:t>
      </w:r>
    </w:p>
    <w:p>
      <w:pPr>
        <w:pStyle w:val="yIndenta"/>
      </w:pPr>
      <w:r>
        <w:tab/>
        <w:t>(b)</w:t>
      </w:r>
      <w:r>
        <w:tab/>
        <w:t>how an application for cancellation must be made.</w:t>
      </w:r>
    </w:p>
    <w:p>
      <w:pPr>
        <w:pStyle w:val="yFootnotesection"/>
      </w:pPr>
      <w:r>
        <w:tab/>
        <w:t>[Section 185 inserted: No. 18 of 2018 s. 59.]</w:t>
      </w:r>
    </w:p>
    <w:p>
      <w:pPr>
        <w:pStyle w:val="yHeading5"/>
        <w:spacing w:before="120"/>
      </w:pPr>
      <w:bookmarkStart w:id="264" w:name="_Toc80611944"/>
      <w:r>
        <w:rPr>
          <w:rStyle w:val="CharSClsNo"/>
        </w:rPr>
        <w:lastRenderedPageBreak/>
        <w:t>186</w:t>
      </w:r>
      <w:r>
        <w:t>.</w:t>
      </w:r>
      <w:r>
        <w:tab/>
        <w:t>Cancellation of prohibition notice</w:t>
      </w:r>
      <w:bookmarkEnd w:id="264"/>
    </w:p>
    <w:p>
      <w:pPr>
        <w:pStyle w:val="ySubsection"/>
        <w:spacing w:before="100"/>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ySubsection"/>
      </w:pPr>
      <w:r>
        <w:tab/>
        <w:t>(2)</w:t>
      </w:r>
      <w:r>
        <w:tab/>
        <w:t>A person for whom a prohibition notice is in force may apply to the Regulatory Authority to cancel the notice.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be signed by the person.</w:t>
      </w:r>
    </w:p>
    <w:p>
      <w:pPr>
        <w:pStyle w:val="ySubsection"/>
      </w:pPr>
      <w:r>
        <w:tab/>
        <w:t>(4)</w:t>
      </w:r>
      <w:r>
        <w:tab/>
        <w:t>The person may state in the application anything the person considers relevant to the Regulatory Authority’s decision about whether there would be an unacceptable risk of harm to children if the person were —</w:t>
      </w:r>
    </w:p>
    <w:p>
      <w:pPr>
        <w:pStyle w:val="yIndenta"/>
      </w:pPr>
      <w:r>
        <w:tab/>
        <w:t>(a)</w:t>
      </w:r>
      <w:r>
        <w:tab/>
        <w:t>to remain at the education and care service premises; or</w:t>
      </w:r>
    </w:p>
    <w:p>
      <w:pPr>
        <w:pStyle w:val="yIndenta"/>
      </w:pPr>
      <w:r>
        <w:tab/>
        <w:t>(b)</w:t>
      </w:r>
      <w:r>
        <w:tab/>
        <w:t>to provide education and care to children.</w:t>
      </w:r>
    </w:p>
    <w:p>
      <w:pPr>
        <w:pStyle w:val="ySubsection"/>
      </w:pPr>
      <w:r>
        <w:tab/>
        <w:t>(4A)</w:t>
      </w:r>
      <w:r>
        <w:tab/>
        <w:t>The person may state in the application anything the person considers relevant to the Regulatory Authority’s decision about whether the person is a fit and proper person to be nominated as a nominated supervisor with or without conditions.</w:t>
      </w:r>
    </w:p>
    <w:p>
      <w:pPr>
        <w:pStyle w:val="y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ySubsection"/>
      </w:pPr>
      <w:r>
        <w:tab/>
        <w:t>(6)</w:t>
      </w:r>
      <w:r>
        <w:tab/>
        <w:t>The Regulatory Authority must decide the application as soon as practicable after its receipt.</w:t>
      </w:r>
    </w:p>
    <w:p>
      <w:pPr>
        <w:pStyle w:val="yFootnotesection"/>
      </w:pPr>
      <w:r>
        <w:tab/>
        <w:t>[Section 186 amended: No. 18 of 2018 s. 60.]</w:t>
      </w:r>
    </w:p>
    <w:p>
      <w:pPr>
        <w:pStyle w:val="yHeading5"/>
        <w:spacing w:before="120"/>
      </w:pPr>
      <w:bookmarkStart w:id="265" w:name="_Toc80611945"/>
      <w:r>
        <w:rPr>
          <w:rStyle w:val="CharSClsNo"/>
        </w:rPr>
        <w:lastRenderedPageBreak/>
        <w:t>187</w:t>
      </w:r>
      <w:r>
        <w:t>.</w:t>
      </w:r>
      <w:r>
        <w:tab/>
        <w:t>Person must not contravene prohibition notice</w:t>
      </w:r>
      <w:bookmarkEnd w:id="265"/>
    </w:p>
    <w:p>
      <w:pPr>
        <w:pStyle w:val="ySubsection"/>
        <w:keepNext/>
      </w:pPr>
      <w:r>
        <w:tab/>
        <w:t>(1)</w:t>
      </w:r>
      <w:r>
        <w:tab/>
        <w:t>While a prohibition notice under section 182(1) is in force under this Law as applying in any participating jurisdiction for a person, the person must not —</w:t>
      </w:r>
    </w:p>
    <w:p>
      <w:pPr>
        <w:pStyle w:val="yIndenta"/>
        <w:keepNext/>
      </w:pPr>
      <w:r>
        <w:tab/>
        <w:t>(a)</w:t>
      </w:r>
      <w:r>
        <w:tab/>
        <w:t>provide education and care to children for an education and care service; or</w:t>
      </w:r>
    </w:p>
    <w:p>
      <w:pPr>
        <w:pStyle w:val="yIndenta"/>
      </w:pPr>
      <w:r>
        <w:tab/>
        <w:t>(b)</w:t>
      </w:r>
      <w:r>
        <w:tab/>
        <w:t>be engaged as an educator, family day care educator, employee, contractor or staff member of, or perform volunteer services for, an education and care service; or</w:t>
      </w:r>
    </w:p>
    <w:p>
      <w:pPr>
        <w:pStyle w:val="yIndenta"/>
      </w:pPr>
      <w:r>
        <w:tab/>
        <w:t>(c)</w:t>
      </w:r>
      <w:r>
        <w:tab/>
        <w:t>carry out any other activity relating to education and care services.</w:t>
      </w:r>
    </w:p>
    <w:p>
      <w:pPr>
        <w:pStyle w:val="yPenstart"/>
        <w:tabs>
          <w:tab w:val="left" w:pos="1843"/>
        </w:tabs>
      </w:pPr>
      <w:r>
        <w:tab/>
        <w:t>Penalty:</w:t>
      </w:r>
      <w:r>
        <w:tab/>
        <w:t>$20 000.</w:t>
      </w:r>
    </w:p>
    <w:p>
      <w:pPr>
        <w:pStyle w:val="ySubsection"/>
      </w:pPr>
      <w:r>
        <w:tab/>
        <w:t>(2)</w:t>
      </w:r>
      <w:r>
        <w:tab/>
        <w:t xml:space="preserve">While a prohibition notice under section 182(3) is in force under this Law as applying in any participating jurisdiction for a person, the person must not — </w:t>
      </w:r>
    </w:p>
    <w:p>
      <w:pPr>
        <w:pStyle w:val="yIndenta"/>
      </w:pPr>
      <w:r>
        <w:tab/>
        <w:t>(a)</w:t>
      </w:r>
      <w:r>
        <w:tab/>
        <w:t>in the case of a prohibition notice under section 182(3)(a), consent to a nomination of that person as a nominated supervisor of an education and care service; or</w:t>
      </w:r>
    </w:p>
    <w:p>
      <w:pPr>
        <w:pStyle w:val="yIndenta"/>
      </w:pPr>
      <w:r>
        <w:tab/>
        <w:t>(b)</w:t>
      </w:r>
      <w:r>
        <w:tab/>
        <w:t>in the case of a prohibition notice under section 182(3)(b), consent to a nomination of that person as a nominated supervisor of an education and care service in contravention of a condition or conditions stated in the prohibition notice.</w:t>
      </w:r>
    </w:p>
    <w:p>
      <w:pPr>
        <w:pStyle w:val="yPenstart"/>
        <w:tabs>
          <w:tab w:val="left" w:pos="1843"/>
        </w:tabs>
      </w:pPr>
      <w:r>
        <w:tab/>
        <w:t>Penalty:</w:t>
      </w:r>
      <w:r>
        <w:tab/>
        <w:t>$20 000.</w:t>
      </w:r>
    </w:p>
    <w:p>
      <w:pPr>
        <w:pStyle w:val="yFootnotesection"/>
      </w:pPr>
      <w:r>
        <w:tab/>
        <w:t>[Section 187 amended: No. 18 of 2018 s. 61.]</w:t>
      </w:r>
    </w:p>
    <w:p>
      <w:pPr>
        <w:pStyle w:val="yHeading5"/>
        <w:spacing w:before="240"/>
      </w:pPr>
      <w:bookmarkStart w:id="266" w:name="_Toc80611946"/>
      <w:r>
        <w:rPr>
          <w:rStyle w:val="CharSClsNo"/>
        </w:rPr>
        <w:t>188</w:t>
      </w:r>
      <w:r>
        <w:t>.</w:t>
      </w:r>
      <w:r>
        <w:tab/>
        <w:t>Offence to engage person to whom prohibition notice applies</w:t>
      </w:r>
      <w:bookmarkEnd w:id="266"/>
    </w:p>
    <w:p>
      <w:pPr>
        <w:pStyle w:val="ySubsection"/>
      </w:pPr>
      <w:r>
        <w:tab/>
        <w:t>(1)</w:t>
      </w:r>
      <w:r>
        <w:tab/>
        <w:t>An approved provider must not engage a person as an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lastRenderedPageBreak/>
        <w:tab/>
        <w:t>(2)</w:t>
      </w:r>
      <w:r>
        <w:tab/>
        <w:t>An approved provider must not nominate a person as a nominated supervisor of an education and care service if the approved provider knows, or ought reasonably to know, that a prohibition notice is in force under this Law as applying in any participating jurisdiction prohibiting the nomination of that person as a nominated supervisor of an education and care service.</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Subsection"/>
        <w:keepLines/>
      </w:pPr>
      <w:r>
        <w:tab/>
        <w:t>(3)</w:t>
      </w:r>
      <w:r>
        <w:tab/>
        <w:t>An approved provider must not nominate a person as a nominated supervisor of an education and care service if the approved provider knows, or ought reasonably to know, that the nomination would place the person in contravention of a condition of a prohibition notice in force under this Law as applying in any participating jurisdiction.</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Footnotesection"/>
      </w:pPr>
      <w:r>
        <w:tab/>
        <w:t>[Section 188 amended: No. 18 of 2018 s. 62.]</w:t>
      </w:r>
    </w:p>
    <w:p>
      <w:pPr>
        <w:pStyle w:val="yHeading5"/>
      </w:pPr>
      <w:bookmarkStart w:id="267" w:name="_Toc80611947"/>
      <w:r>
        <w:rPr>
          <w:rStyle w:val="CharSClsNo"/>
        </w:rPr>
        <w:t>188A</w:t>
      </w:r>
      <w:r>
        <w:t>.</w:t>
      </w:r>
      <w:r>
        <w:tab/>
        <w:t>False or misleading information about prohibition notice</w:t>
      </w:r>
      <w:bookmarkEnd w:id="267"/>
    </w:p>
    <w:p>
      <w:pPr>
        <w:pStyle w:val="ySubsection"/>
      </w:pPr>
      <w:r>
        <w:tab/>
      </w:r>
      <w:r>
        <w:tab/>
        <w:t>A person who is subject to a prohibition notice under this Law as applying in any participating jurisdiction must not give an approved provider any information about the content or existence of the prohibition notice that is false or misleading in any material particular.</w:t>
      </w:r>
    </w:p>
    <w:p>
      <w:pPr>
        <w:pStyle w:val="yPenstart"/>
        <w:tabs>
          <w:tab w:val="left" w:pos="1843"/>
        </w:tabs>
      </w:pPr>
      <w:r>
        <w:tab/>
        <w:t>Penalty:</w:t>
      </w:r>
      <w:r>
        <w:tab/>
        <w:t>$6 000.</w:t>
      </w:r>
    </w:p>
    <w:p>
      <w:pPr>
        <w:pStyle w:val="yFootnotesection"/>
      </w:pPr>
      <w:r>
        <w:tab/>
        <w:t>[Section 188A inserted: No. 18 of 2018 s. 63.]</w:t>
      </w:r>
    </w:p>
    <w:p>
      <w:pPr>
        <w:pStyle w:val="yHeading4"/>
      </w:pPr>
      <w:bookmarkStart w:id="268" w:name="_Toc80609133"/>
      <w:bookmarkStart w:id="269" w:name="_Toc80611948"/>
      <w:r>
        <w:t>Division 3A — Disciplinary action</w:t>
      </w:r>
      <w:bookmarkEnd w:id="268"/>
      <w:bookmarkEnd w:id="269"/>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Division 3A of Part 7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70" w:name="_Toc80611949"/>
      <w:r>
        <w:rPr>
          <w:rStyle w:val="CharSClsNo"/>
        </w:rPr>
        <w:t>188AA</w:t>
      </w:r>
      <w:r>
        <w:t>.</w:t>
      </w:r>
      <w:r>
        <w:tab/>
        <w:t>Persons against whom disciplinary action may be taken</w:t>
      </w:r>
      <w:bookmarkEnd w:id="270"/>
    </w:p>
    <w:p>
      <w:pPr>
        <w:pStyle w:val="ySubsection"/>
      </w:pPr>
      <w:r>
        <w:tab/>
      </w:r>
      <w:r>
        <w:tab/>
        <w:t xml:space="preserve">In this Division — </w:t>
      </w:r>
    </w:p>
    <w:p>
      <w:pPr>
        <w:pStyle w:val="yDefstart"/>
      </w:pPr>
      <w:r>
        <w:rPr>
          <w:b/>
          <w:i/>
        </w:rPr>
        <w:tab/>
      </w:r>
      <w:r>
        <w:rPr>
          <w:rStyle w:val="CharDefText"/>
        </w:rPr>
        <w:t>person linked to a WA service</w:t>
      </w:r>
      <w:r>
        <w:t xml:space="preserve"> means any of the following — </w:t>
      </w:r>
    </w:p>
    <w:p>
      <w:pPr>
        <w:pStyle w:val="yDefpara"/>
      </w:pPr>
      <w:r>
        <w:tab/>
        <w:t>(a)</w:t>
      </w:r>
      <w:r>
        <w:tab/>
        <w:t>an approved provider operating a WA service;</w:t>
      </w:r>
    </w:p>
    <w:p>
      <w:pPr>
        <w:pStyle w:val="yDefpara"/>
      </w:pPr>
      <w:r>
        <w:lastRenderedPageBreak/>
        <w:tab/>
        <w:t>(b)</w:t>
      </w:r>
      <w:r>
        <w:tab/>
        <w:t>a nominated supervisor of a WA service;</w:t>
      </w:r>
    </w:p>
    <w:p>
      <w:pPr>
        <w:pStyle w:val="yEdnotedefpara"/>
      </w:pPr>
      <w:r>
        <w:tab/>
        <w:t>[(c)</w:t>
      </w:r>
      <w:r>
        <w:tab/>
        <w:t>deleted]</w:t>
      </w:r>
    </w:p>
    <w:p>
      <w:pPr>
        <w:pStyle w:val="yDefpara"/>
      </w:pPr>
      <w:r>
        <w:tab/>
        <w:t>(d)</w:t>
      </w:r>
      <w:r>
        <w:tab/>
        <w:t>a person with management or control of a WA service;</w:t>
      </w:r>
    </w:p>
    <w:p>
      <w:pPr>
        <w:pStyle w:val="yDefpara"/>
      </w:pPr>
      <w:r>
        <w:tab/>
        <w:t>(e)</w:t>
      </w:r>
      <w:r>
        <w:tab/>
        <w:t>a family day care educator engaged by or registered with a WA service;</w:t>
      </w:r>
    </w:p>
    <w:p>
      <w:pPr>
        <w:pStyle w:val="yDefstart"/>
      </w:pPr>
      <w:r>
        <w:tab/>
      </w:r>
      <w:r>
        <w:rPr>
          <w:rStyle w:val="CharDefText"/>
        </w:rPr>
        <w:t>WA service</w:t>
      </w:r>
      <w:r>
        <w:t xml:space="preserve"> means an education and care service located in this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188AA</w:t>
      </w:r>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188AA, formerly section 188A renumbered as section 188AA: No. 18 of 2018 s. 67; amended: No. 18 of 2018 s. 64.]</w:t>
      </w:r>
    </w:p>
    <w:p>
      <w:pPr>
        <w:pStyle w:val="yHeading5"/>
      </w:pPr>
      <w:bookmarkStart w:id="271" w:name="_Toc80611950"/>
      <w:r>
        <w:rPr>
          <w:rStyle w:val="CharSClsNo"/>
        </w:rPr>
        <w:t>188AB</w:t>
      </w:r>
      <w:r>
        <w:t>.</w:t>
      </w:r>
      <w:r>
        <w:tab/>
        <w:t>Disciplinary action</w:t>
      </w:r>
      <w:bookmarkEnd w:id="271"/>
    </w:p>
    <w:p>
      <w:pPr>
        <w:pStyle w:val="ySubsection"/>
      </w:pPr>
      <w:r>
        <w:tab/>
        <w:t>(1)</w:t>
      </w:r>
      <w:r>
        <w:tab/>
        <w:t xml:space="preserve">Grounds for disciplinary action exist against a person linked to a WA service if — </w:t>
      </w:r>
    </w:p>
    <w:p>
      <w:pPr>
        <w:pStyle w:val="yIndenta"/>
      </w:pPr>
      <w:r>
        <w:tab/>
        <w:t>(a)</w:t>
      </w:r>
      <w:r>
        <w:tab/>
        <w:t>the person has failed to comply with this Law as applying in this jurisdiction; or</w:t>
      </w:r>
    </w:p>
    <w:p>
      <w:pPr>
        <w:pStyle w:val="yIndenta"/>
      </w:pPr>
      <w:r>
        <w:tab/>
        <w:t>(b)</w:t>
      </w:r>
      <w:r>
        <w:tab/>
        <w:t xml:space="preserve">the person is a person with management or control of a body corporate that is itself a person linked to a WA service and — </w:t>
      </w:r>
    </w:p>
    <w:p>
      <w:pPr>
        <w:pStyle w:val="yIndenti0"/>
      </w:pPr>
      <w:r>
        <w:tab/>
        <w:t>(i)</w:t>
      </w:r>
      <w:r>
        <w:tab/>
        <w:t>the body corporate has failed to comply with this law as applying in this jurisdiction; and</w:t>
      </w:r>
    </w:p>
    <w:p>
      <w:pPr>
        <w:pStyle w:val="yIndenti0"/>
      </w:pPr>
      <w:r>
        <w:tab/>
        <w:t>(ii)</w:t>
      </w:r>
      <w:r>
        <w:tab/>
        <w:t>the person with management or control of the body corporate has failed to exercise due diligence to prevent that failure.</w:t>
      </w:r>
    </w:p>
    <w:p>
      <w:pPr>
        <w:pStyle w:val="ySubsection"/>
      </w:pPr>
      <w:r>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y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yIndenta"/>
      </w:pPr>
      <w:r>
        <w:tab/>
        <w:t>(a)</w:t>
      </w:r>
      <w:r>
        <w:tab/>
        <w:t>an order reprimanding the person;</w:t>
      </w:r>
    </w:p>
    <w:p>
      <w:pPr>
        <w:pStyle w:val="yIndenta"/>
      </w:pPr>
      <w:r>
        <w:lastRenderedPageBreak/>
        <w:tab/>
        <w:t>(b)</w:t>
      </w:r>
      <w:r>
        <w:tab/>
        <w:t xml:space="preserve">subject to </w:t>
      </w:r>
      <w:r>
        <w:rPr>
          <w:szCs w:val="22"/>
        </w:rPr>
        <w:t xml:space="preserve">section 188AC, </w:t>
      </w:r>
      <w:r>
        <w:t>an order requiring the person to pay a fine not exceeding $50 000;</w:t>
      </w:r>
    </w:p>
    <w:p>
      <w:pPr>
        <w:pStyle w:val="yIndenta"/>
      </w:pPr>
      <w:r>
        <w:tab/>
        <w:t>(c)</w:t>
      </w:r>
      <w:r>
        <w:tab/>
        <w:t>an order to take certain actions, or refrain from taking certain actions, to comply with this Law.</w:t>
      </w:r>
    </w:p>
    <w:p>
      <w:pPr>
        <w:pStyle w:val="ySubsection"/>
      </w:pPr>
      <w:r>
        <w:tab/>
        <w:t>(4)</w:t>
      </w:r>
      <w:r>
        <w:tab/>
        <w:t>The relevant tribunal or court may make an order under subsection (3)(a) or (b) in respect of a person whether or not at the time when the order is made the person is a person linked to a WA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188AB</w:t>
      </w:r>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188AB, formerly section 188B renumbered as section 188AB: No. 18 of 2018 s. 67; amended: No. 18 of 2018 s. 65.]</w:t>
      </w:r>
    </w:p>
    <w:p>
      <w:pPr>
        <w:pStyle w:val="yHeading5"/>
      </w:pPr>
      <w:bookmarkStart w:id="272" w:name="_Toc80611951"/>
      <w:r>
        <w:rPr>
          <w:rStyle w:val="CharSClsNo"/>
        </w:rPr>
        <w:t>188AC</w:t>
      </w:r>
      <w:r>
        <w:t>.</w:t>
      </w:r>
      <w:r>
        <w:tab/>
        <w:t>Limitation on section 188AB(3)(b)</w:t>
      </w:r>
      <w:bookmarkEnd w:id="272"/>
    </w:p>
    <w:p>
      <w:pPr>
        <w:pStyle w:val="ySubsection"/>
      </w:pPr>
      <w:r>
        <w:tab/>
        <w:t>(1)</w:t>
      </w:r>
      <w:r>
        <w:tab/>
        <w:t xml:space="preserve">The power described in </w:t>
      </w:r>
      <w:r>
        <w:rPr>
          <w:szCs w:val="22"/>
        </w:rPr>
        <w:t xml:space="preserve">section 188AB(3)(b) </w:t>
      </w:r>
      <w:r>
        <w:t>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ySubsection"/>
      </w:pPr>
      <w:r>
        <w:tab/>
        <w:t>(2)</w:t>
      </w:r>
      <w:r>
        <w:tab/>
        <w:t xml:space="preserve">A fine that exceeds the relevant maximum fine cannot be imposed under </w:t>
      </w:r>
      <w:r>
        <w:rPr>
          <w:szCs w:val="22"/>
        </w:rPr>
        <w:t>section 188AB(3)(b).</w:t>
      </w:r>
    </w:p>
    <w:p>
      <w:pPr>
        <w:pStyle w:val="ySubsection"/>
        <w:keepNext/>
      </w:pPr>
      <w:r>
        <w:tab/>
        <w:t>(3)</w:t>
      </w:r>
      <w:r>
        <w:tab/>
        <w:t xml:space="preserve">In subsection (2) — </w:t>
      </w:r>
    </w:p>
    <w:p>
      <w:pPr>
        <w:pStyle w:val="yDefstart"/>
        <w:keepNex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188AC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188AC, formerly section 188C renumbered as section 188AC: No. 18 of 2018 s. 67; amended: No. 18 of 2018 s. 66.]</w:t>
      </w:r>
    </w:p>
    <w:p>
      <w:pPr>
        <w:pStyle w:val="yHeading4"/>
      </w:pPr>
      <w:bookmarkStart w:id="273" w:name="_Toc80609137"/>
      <w:bookmarkStart w:id="274" w:name="_Toc80611952"/>
      <w:r>
        <w:lastRenderedPageBreak/>
        <w:t>Division 4</w:t>
      </w:r>
      <w:r>
        <w:rPr>
          <w:b w:val="0"/>
        </w:rPr>
        <w:t xml:space="preserve"> — </w:t>
      </w:r>
      <w:r>
        <w:t>Emergency removal of children</w:t>
      </w:r>
      <w:bookmarkEnd w:id="273"/>
      <w:bookmarkEnd w:id="274"/>
    </w:p>
    <w:p>
      <w:pPr>
        <w:pStyle w:val="yHeading5"/>
      </w:pPr>
      <w:bookmarkStart w:id="275" w:name="_Toc80611953"/>
      <w:r>
        <w:rPr>
          <w:rStyle w:val="CharSClsNo"/>
        </w:rPr>
        <w:t>189</w:t>
      </w:r>
      <w:r>
        <w:t>.</w:t>
      </w:r>
      <w:r>
        <w:tab/>
        <w:t>Emergency removal of children</w:t>
      </w:r>
      <w:bookmarkEnd w:id="275"/>
    </w:p>
    <w:p>
      <w:pPr>
        <w:pStyle w:val="ySubsection"/>
      </w:pPr>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ySubsection"/>
      </w:pPr>
      <w:r>
        <w:tab/>
        <w:t>(2)</w:t>
      </w:r>
      <w:r>
        <w:tab/>
        <w:t>The Regulatory Authority may remove, or cause the removal of, the child or children from the education and care service premises.</w:t>
      </w:r>
    </w:p>
    <w:p>
      <w:pPr>
        <w:pStyle w:val="ySubsection"/>
      </w:pPr>
      <w:r>
        <w:tab/>
        <w:t>(3)</w:t>
      </w:r>
      <w:r>
        <w:tab/>
        <w:t>In exercising a power under subsection (2) —</w:t>
      </w:r>
    </w:p>
    <w:p>
      <w:pPr>
        <w:pStyle w:val="yIndenta"/>
      </w:pPr>
      <w:r>
        <w:tab/>
        <w:t>(a)</w:t>
      </w:r>
      <w:r>
        <w:tab/>
        <w:t>the Regulatory Authority may be given such assistance by other persons (including police officers) as is reasonably required; and</w:t>
      </w:r>
    </w:p>
    <w:p>
      <w:pPr>
        <w:pStyle w:val="yIndenta"/>
      </w:pPr>
      <w:r>
        <w:tab/>
        <w:t>(b)</w:t>
      </w:r>
      <w:r>
        <w:tab/>
        <w:t>the Regulatory Authority and any person assisting the Regulatory Authority may —</w:t>
      </w:r>
    </w:p>
    <w:p>
      <w:pPr>
        <w:pStyle w:val="yIndenti0"/>
      </w:pPr>
      <w:r>
        <w:tab/>
        <w:t>(i)</w:t>
      </w:r>
      <w:r>
        <w:tab/>
        <w:t>enter the education and care service premises, without warrant; and</w:t>
      </w:r>
    </w:p>
    <w:p>
      <w:pPr>
        <w:pStyle w:val="yIndenti0"/>
      </w:pPr>
      <w:r>
        <w:tab/>
        <w:t>(ii)</w:t>
      </w:r>
      <w:r>
        <w:tab/>
        <w:t>use reasonable force as necessary.</w:t>
      </w:r>
    </w:p>
    <w:p>
      <w:pPr>
        <w:pStyle w:val="y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yHeading3"/>
      </w:pPr>
      <w:bookmarkStart w:id="276" w:name="_Toc80609139"/>
      <w:bookmarkStart w:id="277" w:name="_Toc80611954"/>
      <w:r>
        <w:rPr>
          <w:rStyle w:val="CharSDivNo"/>
        </w:rPr>
        <w:t>Part 8</w:t>
      </w:r>
      <w:r>
        <w:t xml:space="preserve"> — </w:t>
      </w:r>
      <w:r>
        <w:rPr>
          <w:rStyle w:val="CharSDivText"/>
        </w:rPr>
        <w:t>Review</w:t>
      </w:r>
      <w:bookmarkEnd w:id="276"/>
      <w:bookmarkEnd w:id="277"/>
    </w:p>
    <w:p>
      <w:pPr>
        <w:pStyle w:val="yHeading4"/>
      </w:pPr>
      <w:bookmarkStart w:id="278" w:name="_Toc80609140"/>
      <w:bookmarkStart w:id="279" w:name="_Toc80611955"/>
      <w:r>
        <w:t>Division 1</w:t>
      </w:r>
      <w:r>
        <w:rPr>
          <w:b w:val="0"/>
        </w:rPr>
        <w:t xml:space="preserve"> — </w:t>
      </w:r>
      <w:r>
        <w:t>Internal review</w:t>
      </w:r>
      <w:bookmarkEnd w:id="278"/>
      <w:bookmarkEnd w:id="279"/>
    </w:p>
    <w:p>
      <w:pPr>
        <w:pStyle w:val="yHeading5"/>
      </w:pPr>
      <w:bookmarkStart w:id="280" w:name="_Toc80611956"/>
      <w:r>
        <w:rPr>
          <w:rStyle w:val="CharSClsNo"/>
        </w:rPr>
        <w:t>190</w:t>
      </w:r>
      <w:r>
        <w:t>.</w:t>
      </w:r>
      <w:r>
        <w:tab/>
        <w:t>Reviewable decision — internal review</w:t>
      </w:r>
      <w:bookmarkEnd w:id="280"/>
    </w:p>
    <w:p>
      <w:pPr>
        <w:pStyle w:val="ySubsection"/>
      </w:pPr>
      <w:r>
        <w:tab/>
      </w:r>
      <w:r>
        <w:tab/>
        <w:t>A reviewable decision for internal review is a decision of the Regulatory Authority under this Law as applying in any participating jurisdiction —</w:t>
      </w:r>
    </w:p>
    <w:p>
      <w:pPr>
        <w:pStyle w:val="yIndenta"/>
      </w:pPr>
      <w:r>
        <w:tab/>
        <w:t>(a)</w:t>
      </w:r>
      <w:r>
        <w:tab/>
        <w:t>to refuse to grant a provider approval or a service approval; or</w:t>
      </w:r>
    </w:p>
    <w:p>
      <w:pPr>
        <w:pStyle w:val="yIndenta"/>
      </w:pPr>
      <w:r>
        <w:tab/>
        <w:t>(b)</w:t>
      </w:r>
      <w:r>
        <w:tab/>
        <w:t>to amend or refuse to amend a provider approval, a service approval or a supervisor certificate; or</w:t>
      </w:r>
    </w:p>
    <w:p>
      <w:pPr>
        <w:pStyle w:val="yIndenta"/>
      </w:pPr>
      <w:r>
        <w:tab/>
        <w:t>(c)</w:t>
      </w:r>
      <w:r>
        <w:tab/>
        <w:t>to impose a condition on a provider approval, a service approval or a supervisor certificate; or</w:t>
      </w:r>
    </w:p>
    <w:p>
      <w:pPr>
        <w:pStyle w:val="yIndenta"/>
      </w:pPr>
      <w:r>
        <w:lastRenderedPageBreak/>
        <w:tab/>
        <w:t>(d)</w:t>
      </w:r>
      <w:r>
        <w:tab/>
        <w:t>to suspend —</w:t>
      </w:r>
    </w:p>
    <w:p>
      <w:pPr>
        <w:pStyle w:val="yIndenti0"/>
      </w:pPr>
      <w:r>
        <w:tab/>
        <w:t>(i)</w:t>
      </w:r>
      <w:r>
        <w:tab/>
        <w:t>a provider approval under section 28; or</w:t>
      </w:r>
    </w:p>
    <w:p>
      <w:pPr>
        <w:pStyle w:val="yIndenti0"/>
      </w:pPr>
      <w:r>
        <w:tab/>
        <w:t>(ii)</w:t>
      </w:r>
      <w:r>
        <w:tab/>
        <w:t>a service approval under section 73; or</w:t>
      </w:r>
    </w:p>
    <w:p>
      <w:pPr>
        <w:pStyle w:val="yIndenta"/>
      </w:pPr>
      <w:r>
        <w:tab/>
        <w:t>(e)</w:t>
      </w:r>
      <w:r>
        <w:tab/>
        <w:t>to refuse to consent to the transfer of a service approval; or</w:t>
      </w:r>
    </w:p>
    <w:p>
      <w:pPr>
        <w:pStyle w:val="yIndenta"/>
      </w:pPr>
      <w:r>
        <w:tab/>
        <w:t>(f)</w:t>
      </w:r>
      <w:r>
        <w:tab/>
        <w:t>to revoke a service waiver; or</w:t>
      </w:r>
    </w:p>
    <w:p>
      <w:pPr>
        <w:pStyle w:val="yIndenta"/>
      </w:pPr>
      <w:r>
        <w:tab/>
        <w:t>(g)</w:t>
      </w:r>
      <w:r>
        <w:tab/>
        <w:t>to issue a compliance direction; or</w:t>
      </w:r>
    </w:p>
    <w:p>
      <w:pPr>
        <w:pStyle w:val="yIndenta"/>
      </w:pPr>
      <w:r>
        <w:tab/>
        <w:t>(h)</w:t>
      </w:r>
      <w:r>
        <w:tab/>
        <w:t>to issue a compliance notice.</w:t>
      </w:r>
    </w:p>
    <w:p>
      <w:pPr>
        <w:pStyle w:val="yFootnotesection"/>
      </w:pPr>
      <w:r>
        <w:tab/>
        <w:t>[Section 190 amended: No. 18 of 2018 s. 68.]</w:t>
      </w:r>
    </w:p>
    <w:p>
      <w:pPr>
        <w:pStyle w:val="yHeading5"/>
      </w:pPr>
      <w:bookmarkStart w:id="281" w:name="_Toc80611957"/>
      <w:r>
        <w:rPr>
          <w:rStyle w:val="CharSClsNo"/>
        </w:rPr>
        <w:t>191</w:t>
      </w:r>
      <w:r>
        <w:t>.</w:t>
      </w:r>
      <w:r>
        <w:tab/>
        <w:t>Internal review of reviewable decisions</w:t>
      </w:r>
      <w:bookmarkEnd w:id="281"/>
    </w:p>
    <w:p>
      <w:pPr>
        <w:pStyle w:val="ySubsection"/>
      </w:pPr>
      <w:r>
        <w:tab/>
        <w:t>(1)</w:t>
      </w:r>
      <w:r>
        <w:tab/>
        <w:t>A person who is the subject of a reviewable decision for internal review may apply to the Regulatory Authority in writing for review of the decision.</w:t>
      </w:r>
    </w:p>
    <w:p>
      <w:pPr>
        <w:pStyle w:val="ySubsection"/>
      </w:pPr>
      <w:r>
        <w:tab/>
        <w:t>(2)</w:t>
      </w:r>
      <w:r>
        <w:tab/>
        <w:t>An application under subsection (1) must be made —</w:t>
      </w:r>
    </w:p>
    <w:p>
      <w:pPr>
        <w:pStyle w:val="yIndenta"/>
      </w:pPr>
      <w:r>
        <w:tab/>
        <w:t>(a)</w:t>
      </w:r>
      <w:r>
        <w:tab/>
        <w:t>within 14 days after the day on which the person is notified of the decision; or</w:t>
      </w:r>
    </w:p>
    <w:p>
      <w:pPr>
        <w:pStyle w:val="yIndenta"/>
      </w:pPr>
      <w:r>
        <w:tab/>
        <w:t>(b)</w:t>
      </w:r>
      <w:r>
        <w:tab/>
        <w:t>if the person is not notified of the decision, within 14 days after the person becomes aware of the decision.</w:t>
      </w:r>
    </w:p>
    <w:p>
      <w:pPr>
        <w:pStyle w:val="ySubsection"/>
      </w:pPr>
      <w:r>
        <w:tab/>
        <w:t>(3)</w:t>
      </w:r>
      <w:r>
        <w:tab/>
        <w:t>The person who conducts the review for the Regulatory Authority must not be a person who was involved in the assessment or investigation of the person or service to whom or which the decision relates.</w:t>
      </w:r>
    </w:p>
    <w:p>
      <w:pPr>
        <w:pStyle w:val="ySubsection"/>
      </w:pPr>
      <w:r>
        <w:tab/>
        <w:t>(4)</w:t>
      </w:r>
      <w:r>
        <w:tab/>
        <w:t>The person conducting the review may ask the person who applied for the review for further information.</w:t>
      </w:r>
    </w:p>
    <w:p>
      <w:pPr>
        <w:pStyle w:val="ySubsection"/>
      </w:pPr>
      <w:r>
        <w:tab/>
        <w:t>(5)</w:t>
      </w:r>
      <w:r>
        <w:tab/>
        <w:t>A review under this section must be conducted within 30 days after the application is made.</w:t>
      </w:r>
    </w:p>
    <w:p>
      <w:pPr>
        <w:pStyle w:val="ySubsection"/>
      </w:pPr>
      <w:r>
        <w:tab/>
        <w:t>(6)</w:t>
      </w:r>
      <w:r>
        <w:tab/>
        <w:t>The period specified in subsection (5) may be extended by up to 30 days —</w:t>
      </w:r>
    </w:p>
    <w:p>
      <w:pPr>
        <w:pStyle w:val="yIndenta"/>
      </w:pPr>
      <w:r>
        <w:tab/>
        <w:t>(a)</w:t>
      </w:r>
      <w:r>
        <w:tab/>
        <w:t>if a request for further information is made under subsection (4); or</w:t>
      </w:r>
    </w:p>
    <w:p>
      <w:pPr>
        <w:pStyle w:val="yIndenta"/>
      </w:pPr>
      <w:r>
        <w:tab/>
        <w:t>(b)</w:t>
      </w:r>
      <w:r>
        <w:tab/>
        <w:t>by agreement between the person who applied for the review and the Regulatory Authority.</w:t>
      </w:r>
    </w:p>
    <w:p>
      <w:pPr>
        <w:pStyle w:val="ySubsection"/>
      </w:pPr>
      <w:r>
        <w:lastRenderedPageBreak/>
        <w:tab/>
        <w:t>(7)</w:t>
      </w:r>
      <w:r>
        <w:tab/>
        <w:t>The Regulatory Authority may, in relation to an application under subsection (1) —</w:t>
      </w:r>
    </w:p>
    <w:p>
      <w:pPr>
        <w:pStyle w:val="yIndenta"/>
      </w:pPr>
      <w:r>
        <w:tab/>
        <w:t>(a)</w:t>
      </w:r>
      <w:r>
        <w:tab/>
        <w:t>confirm the decision; or</w:t>
      </w:r>
    </w:p>
    <w:p>
      <w:pPr>
        <w:pStyle w:val="yIndenta"/>
      </w:pPr>
      <w:r>
        <w:tab/>
        <w:t>(b)</w:t>
      </w:r>
      <w:r>
        <w:tab/>
        <w:t>make any other decision that the Regulatory Authority thinks appropriate.</w:t>
      </w:r>
    </w:p>
    <w:p>
      <w:pPr>
        <w:pStyle w:val="yHeading4"/>
      </w:pPr>
      <w:bookmarkStart w:id="282" w:name="_Toc80609143"/>
      <w:bookmarkStart w:id="283" w:name="_Toc80611958"/>
      <w:r>
        <w:t>Division 2</w:t>
      </w:r>
      <w:r>
        <w:rPr>
          <w:b w:val="0"/>
        </w:rPr>
        <w:t xml:space="preserve"> — </w:t>
      </w:r>
      <w:r>
        <w:t>External review</w:t>
      </w:r>
      <w:bookmarkEnd w:id="282"/>
      <w:bookmarkEnd w:id="283"/>
    </w:p>
    <w:p>
      <w:pPr>
        <w:pStyle w:val="yHeading5"/>
      </w:pPr>
      <w:bookmarkStart w:id="284" w:name="_Toc80611959"/>
      <w:r>
        <w:rPr>
          <w:rStyle w:val="CharSClsNo"/>
        </w:rPr>
        <w:t>192</w:t>
      </w:r>
      <w:r>
        <w:t>.</w:t>
      </w:r>
      <w:r>
        <w:tab/>
        <w:t>Reviewable decision — external review</w:t>
      </w:r>
      <w:bookmarkEnd w:id="284"/>
    </w:p>
    <w:p>
      <w:pPr>
        <w:pStyle w:val="ySubsection"/>
      </w:pPr>
      <w:r>
        <w:tab/>
      </w:r>
      <w:r>
        <w:tab/>
        <w:t>A reviewable decision for external review is —</w:t>
      </w:r>
    </w:p>
    <w:p>
      <w:pPr>
        <w:pStyle w:val="yIndenta"/>
      </w:pPr>
      <w:r>
        <w:tab/>
        <w:t>(a)</w:t>
      </w:r>
      <w:r>
        <w:tab/>
        <w:t>a decision of the Regulatory Authority made under section 191 (other than a decision in relation to the issue of a compliance direction or a compliance notice); or</w:t>
      </w:r>
    </w:p>
    <w:p>
      <w:pPr>
        <w:pStyle w:val="yIndenta"/>
      </w:pPr>
      <w:r>
        <w:tab/>
        <w:t>(b)</w:t>
      </w:r>
      <w:r>
        <w:tab/>
        <w:t>a decision of the Regulatory Authority under this Law as applying in any participating jurisdiction —</w:t>
      </w:r>
    </w:p>
    <w:p>
      <w:pPr>
        <w:pStyle w:val="yIndenti0"/>
      </w:pPr>
      <w:r>
        <w:tab/>
        <w:t>(i)</w:t>
      </w:r>
      <w:r>
        <w:tab/>
        <w:t>to suspend a provider approval under section 27; or</w:t>
      </w:r>
    </w:p>
    <w:p>
      <w:pPr>
        <w:pStyle w:val="yIndenti0"/>
      </w:pPr>
      <w:r>
        <w:tab/>
        <w:t>(ii)</w:t>
      </w:r>
      <w:r>
        <w:tab/>
        <w:t>to cancel a provider approval under section 33; or</w:t>
      </w:r>
    </w:p>
    <w:p>
      <w:pPr>
        <w:pStyle w:val="yIndenti0"/>
      </w:pPr>
      <w:r>
        <w:tab/>
        <w:t>(iii)</w:t>
      </w:r>
      <w:r>
        <w:tab/>
        <w:t>to suspend a service approval under section 72; or</w:t>
      </w:r>
    </w:p>
    <w:p>
      <w:pPr>
        <w:pStyle w:val="yIndenti0"/>
      </w:pPr>
      <w:r>
        <w:tab/>
        <w:t>(iv)</w:t>
      </w:r>
      <w:r>
        <w:tab/>
        <w:t>to cancel a service approval under section 79 or 307; or</w:t>
      </w:r>
    </w:p>
    <w:p>
      <w:pPr>
        <w:pStyle w:val="yEdnotesubpara"/>
      </w:pPr>
      <w:r>
        <w:tab/>
        <w:t>[(v)</w:t>
      </w:r>
      <w:r>
        <w:tab/>
        <w:t>deleted]</w:t>
      </w:r>
    </w:p>
    <w:p>
      <w:pPr>
        <w:pStyle w:val="yIndenti0"/>
      </w:pPr>
      <w:r>
        <w:tab/>
        <w:t>(vi)</w:t>
      </w:r>
      <w:r>
        <w:tab/>
        <w:t>to direct the approved provider of a family day care service to suspend the care and education of children by a family day care educator; or</w:t>
      </w:r>
    </w:p>
    <w:p>
      <w:pPr>
        <w:pStyle w:val="yIndenti0"/>
      </w:pPr>
      <w:r>
        <w:tab/>
        <w:t>(vii)</w:t>
      </w:r>
      <w:r>
        <w:tab/>
        <w:t>to give a prohibition notice or to refuse to cancel a prohibition notice.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yFootnotesection"/>
        <w:rPr>
          <w:rFonts w:ascii="Arial" w:hAnsi="Arial" w:cs="Arial"/>
          <w:sz w:val="18"/>
          <w:szCs w:val="18"/>
        </w:rPr>
      </w:pPr>
      <w:r>
        <w:tab/>
        <w:t>[Section 192 amended: No. 18 of 2018 s. 69.]</w:t>
      </w:r>
    </w:p>
    <w:p>
      <w:pPr>
        <w:pStyle w:val="yHeading5"/>
      </w:pPr>
      <w:bookmarkStart w:id="285" w:name="_Toc80611960"/>
      <w:r>
        <w:rPr>
          <w:rStyle w:val="CharSClsNo"/>
        </w:rPr>
        <w:t>193</w:t>
      </w:r>
      <w:r>
        <w:t>.</w:t>
      </w:r>
      <w:r>
        <w:tab/>
        <w:t>Application for review of decision of the Regulatory Authority</w:t>
      </w:r>
      <w:bookmarkEnd w:id="285"/>
    </w:p>
    <w:p>
      <w:pPr>
        <w:pStyle w:val="ySubsection"/>
      </w:pPr>
      <w:r>
        <w:tab/>
        <w:t>(1)</w:t>
      </w:r>
      <w:r>
        <w:tab/>
        <w:t>A person who is the subject of a reviewable decision for external review may apply to the relevant tribunal or court for a review of the decision.</w:t>
      </w:r>
    </w:p>
    <w:p>
      <w:pPr>
        <w:pStyle w:val="ySubsection"/>
      </w:pPr>
      <w:r>
        <w:lastRenderedPageBreak/>
        <w:tab/>
        <w:t>(2)</w:t>
      </w:r>
      <w:r>
        <w:tab/>
        <w:t>An application must be made within 30 days after the day on which the applicant is notified of the decision that is to be reviewed.</w:t>
      </w:r>
    </w:p>
    <w:p>
      <w:pPr>
        <w:pStyle w:val="ySubsection"/>
      </w:pPr>
      <w:r>
        <w:tab/>
        <w:t>(3)</w:t>
      </w:r>
      <w:r>
        <w:tab/>
        <w:t>After hearing the matter, the relevant tribunal or court may —</w:t>
      </w:r>
    </w:p>
    <w:p>
      <w:pPr>
        <w:pStyle w:val="yIndenta"/>
      </w:pPr>
      <w:r>
        <w:tab/>
        <w:t>(a)</w:t>
      </w:r>
      <w:r>
        <w:tab/>
        <w:t>confirm the decision of the Regulatory Authority; or</w:t>
      </w:r>
    </w:p>
    <w:p>
      <w:pPr>
        <w:pStyle w:val="yIndenta"/>
      </w:pPr>
      <w:r>
        <w:tab/>
        <w:t>(b)</w:t>
      </w:r>
      <w:r>
        <w:tab/>
        <w:t>amend the decision of the Regulatory Authority; or</w:t>
      </w:r>
    </w:p>
    <w:p>
      <w:pPr>
        <w:pStyle w:val="yIndenta"/>
      </w:pPr>
      <w:r>
        <w:tab/>
        <w:t>(c)</w:t>
      </w:r>
      <w:r>
        <w:tab/>
        <w:t>substitute another decision for the decision of the Regulatory Authority.</w:t>
      </w:r>
    </w:p>
    <w:p>
      <w:pPr>
        <w:pStyle w:val="y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yHeading4"/>
      </w:pPr>
      <w:bookmarkStart w:id="286" w:name="_Toc80609146"/>
      <w:bookmarkStart w:id="287" w:name="_Toc80611961"/>
      <w:r>
        <w:t>Division 3</w:t>
      </w:r>
      <w:r>
        <w:rPr>
          <w:b w:val="0"/>
        </w:rPr>
        <w:t xml:space="preserve"> — </w:t>
      </w:r>
      <w:r>
        <w:t>General</w:t>
      </w:r>
      <w:bookmarkEnd w:id="286"/>
      <w:bookmarkEnd w:id="287"/>
    </w:p>
    <w:p>
      <w:pPr>
        <w:pStyle w:val="yHeading5"/>
      </w:pPr>
      <w:bookmarkStart w:id="288" w:name="_Toc80611962"/>
      <w:r>
        <w:rPr>
          <w:rStyle w:val="CharSClsNo"/>
        </w:rPr>
        <w:t>194</w:t>
      </w:r>
      <w:r>
        <w:t>.</w:t>
      </w:r>
      <w:r>
        <w:tab/>
        <w:t>Relationship with Act establishing administrative body</w:t>
      </w:r>
      <w:bookmarkEnd w:id="288"/>
    </w:p>
    <w:p>
      <w:pPr>
        <w:pStyle w:val="ySubsection"/>
      </w:pPr>
      <w:r>
        <w:tab/>
      </w:r>
      <w:r>
        <w:tab/>
        <w:t>This Part applies despite any provision to the contrary in the Act that establishes the relevant tribunal or court but does not otherwise limit that Act.</w:t>
      </w:r>
    </w:p>
    <w:p>
      <w:pPr>
        <w:pStyle w:val="yHeading3"/>
      </w:pPr>
      <w:bookmarkStart w:id="289" w:name="_Toc80609148"/>
      <w:bookmarkStart w:id="290" w:name="_Toc80611963"/>
      <w:r>
        <w:rPr>
          <w:rStyle w:val="CharSDivNo"/>
        </w:rPr>
        <w:t>Part 9 </w:t>
      </w:r>
      <w:r>
        <w:t xml:space="preserve">— </w:t>
      </w:r>
      <w:r>
        <w:rPr>
          <w:rStyle w:val="CharSDivText"/>
        </w:rPr>
        <w:t>Monitoring and enforcement</w:t>
      </w:r>
      <w:bookmarkEnd w:id="289"/>
      <w:bookmarkEnd w:id="290"/>
    </w:p>
    <w:p>
      <w:pPr>
        <w:pStyle w:val="yHeading4"/>
      </w:pPr>
      <w:bookmarkStart w:id="291" w:name="_Toc80609149"/>
      <w:bookmarkStart w:id="292" w:name="_Toc80611964"/>
      <w:r>
        <w:t>Division 1</w:t>
      </w:r>
      <w:r>
        <w:rPr>
          <w:b w:val="0"/>
        </w:rPr>
        <w:t xml:space="preserve"> — </w:t>
      </w:r>
      <w:r>
        <w:t>Authorised officers</w:t>
      </w:r>
      <w:bookmarkEnd w:id="291"/>
      <w:bookmarkEnd w:id="292"/>
    </w:p>
    <w:p>
      <w:pPr>
        <w:pStyle w:val="yHeading5"/>
      </w:pPr>
      <w:bookmarkStart w:id="293" w:name="_Toc80611965"/>
      <w:r>
        <w:rPr>
          <w:rStyle w:val="CharSClsNo"/>
        </w:rPr>
        <w:t>195</w:t>
      </w:r>
      <w:r>
        <w:t>.</w:t>
      </w:r>
      <w:r>
        <w:tab/>
        <w:t>Authorisation of authorised officers</w:t>
      </w:r>
      <w:bookmarkEnd w:id="293"/>
    </w:p>
    <w:p>
      <w:pPr>
        <w:pStyle w:val="ySubsection"/>
      </w:pPr>
      <w:r>
        <w:tab/>
        <w:t>(1)</w:t>
      </w:r>
      <w:r>
        <w:tab/>
        <w:t>The Regulatory Authority may authorise any person who the Regulatory Authority is satisfied is an appropriate person to be an authorised officer for the purposes of this Law.</w:t>
      </w:r>
    </w:p>
    <w:p>
      <w:pPr>
        <w:pStyle w:val="y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ySubsection"/>
      </w:pPr>
      <w:r>
        <w:tab/>
        <w:t>(3)</w:t>
      </w:r>
      <w:r>
        <w:tab/>
        <w:t>An authorised officer holds office on any terms and conditions stated in the authorisation.</w:t>
      </w:r>
    </w:p>
    <w:p>
      <w:pPr>
        <w:pStyle w:val="ySubsection"/>
      </w:pPr>
      <w:r>
        <w:tab/>
        <w:t>(4)</w:t>
      </w:r>
      <w:r>
        <w:tab/>
        <w:t>A defect in the authorisation of an authorised officer does not affect the validity of any action taken or decision made by the authorised officer under this Law.</w:t>
      </w:r>
    </w:p>
    <w:p>
      <w:pPr>
        <w:pStyle w:val="ySubsection"/>
      </w:pPr>
      <w:r>
        <w:lastRenderedPageBreak/>
        <w:tab/>
        <w:t>(5)</w:t>
      </w:r>
      <w:r>
        <w:tab/>
        <w:t>The National Authority may determine the requirements for the authorisation of authorised officers under this section.</w:t>
      </w:r>
    </w:p>
    <w:p>
      <w:pPr>
        <w:pStyle w:val="ySubsection"/>
      </w:pPr>
      <w:r>
        <w:tab/>
        <w:t>(6)</w:t>
      </w:r>
      <w:r>
        <w:tab/>
        <w:t>A determination under subsection (5) must be published on the website of the National Authority.</w:t>
      </w:r>
    </w:p>
    <w:p>
      <w:pPr>
        <w:pStyle w:val="yHeading5"/>
      </w:pPr>
      <w:bookmarkStart w:id="294" w:name="_Toc80611966"/>
      <w:r>
        <w:rPr>
          <w:rStyle w:val="CharSClsNo"/>
        </w:rPr>
        <w:t>196</w:t>
      </w:r>
      <w:r>
        <w:t>.</w:t>
      </w:r>
      <w:r>
        <w:tab/>
        <w:t>Identity card</w:t>
      </w:r>
      <w:bookmarkEnd w:id="294"/>
    </w:p>
    <w:p>
      <w:pPr>
        <w:pStyle w:val="ySubsection"/>
      </w:pPr>
      <w:r>
        <w:tab/>
        <w:t>(1)</w:t>
      </w:r>
      <w:r>
        <w:tab/>
        <w:t>The Regulatory Authority must issue to each authorised officer an identity card in the form prescribed by the national regulations.</w:t>
      </w:r>
    </w:p>
    <w:p>
      <w:pPr>
        <w:pStyle w:val="ySubsection"/>
      </w:pPr>
      <w:r>
        <w:tab/>
        <w:t>(2)</w:t>
      </w:r>
      <w:r>
        <w:tab/>
        <w:t>The identity card must identify the authorised officer as an authorised officer authorised by the Regulatory Authority under this Law.</w:t>
      </w:r>
    </w:p>
    <w:p>
      <w:pPr>
        <w:pStyle w:val="ySubsection"/>
      </w:pPr>
      <w:r>
        <w:tab/>
        <w:t>(3)</w:t>
      </w:r>
      <w:r>
        <w:tab/>
        <w:t>An authorised officer must —</w:t>
      </w:r>
    </w:p>
    <w:p>
      <w:pPr>
        <w:pStyle w:val="yIndenta"/>
      </w:pPr>
      <w:r>
        <w:tab/>
        <w:t>(a)</w:t>
      </w:r>
      <w:r>
        <w:tab/>
        <w:t>carry the identity card whenever the officer is exercising his or her functions under this Law; and</w:t>
      </w:r>
    </w:p>
    <w:p>
      <w:pPr>
        <w:pStyle w:val="yIndenta"/>
      </w:pPr>
      <w:r>
        <w:tab/>
        <w:t>(b)</w:t>
      </w:r>
      <w:r>
        <w:tab/>
        <w:t>show the identity card —</w:t>
      </w:r>
    </w:p>
    <w:p>
      <w:pPr>
        <w:pStyle w:val="yIndenti0"/>
      </w:pPr>
      <w:r>
        <w:tab/>
        <w:t>(i)</w:t>
      </w:r>
      <w:r>
        <w:tab/>
        <w:t>before exercising a power of entry under this Law; and</w:t>
      </w:r>
    </w:p>
    <w:p>
      <w:pPr>
        <w:pStyle w:val="yIndenti0"/>
      </w:pPr>
      <w:r>
        <w:tab/>
        <w:t>(ii)</w:t>
      </w:r>
      <w:r>
        <w:tab/>
        <w:t>at any time during the exercise of a power under this Law when asked to do so.</w:t>
      </w:r>
    </w:p>
    <w:p>
      <w:pPr>
        <w:pStyle w:val="yPenstart"/>
        <w:tabs>
          <w:tab w:val="left" w:pos="1843"/>
        </w:tabs>
      </w:pPr>
      <w:r>
        <w:tab/>
        <w:t>Penalty:</w:t>
      </w:r>
      <w:r>
        <w:tab/>
        <w:t>$1 000.</w:t>
      </w:r>
    </w:p>
    <w:p>
      <w:pPr>
        <w:pStyle w:val="ySubsection"/>
      </w:pPr>
      <w:r>
        <w:tab/>
        <w:t>(4)</w:t>
      </w:r>
      <w:r>
        <w:tab/>
        <w:t>An authorised officer who fails to comply with subsection (3)(b) in relation to the exercise of a power ceases to be authorised to exercise the power in relation to the matter.</w:t>
      </w:r>
    </w:p>
    <w:p>
      <w:pPr>
        <w:pStyle w:val="ySubsection"/>
      </w:pPr>
      <w:r>
        <w:tab/>
        <w:t>(5)</w:t>
      </w:r>
      <w:r>
        <w:tab/>
        <w:t>An authorised officer must return his or her identity card to the Regulatory Authority on ceasing to be authorised as an authorised officer for the purposes of this Law.</w:t>
      </w:r>
    </w:p>
    <w:p>
      <w:pPr>
        <w:pStyle w:val="yPenstart"/>
        <w:tabs>
          <w:tab w:val="left" w:pos="1843"/>
        </w:tabs>
      </w:pPr>
      <w:r>
        <w:tab/>
        <w:t>Penalty:</w:t>
      </w:r>
      <w:r>
        <w:tab/>
        <w:t>$1 000.</w:t>
      </w:r>
    </w:p>
    <w:p>
      <w:pPr>
        <w:pStyle w:val="yHeading4"/>
      </w:pPr>
      <w:bookmarkStart w:id="295" w:name="_Toc80609152"/>
      <w:bookmarkStart w:id="296" w:name="_Toc80611967"/>
      <w:r>
        <w:t>Division 2</w:t>
      </w:r>
      <w:r>
        <w:rPr>
          <w:b w:val="0"/>
        </w:rPr>
        <w:t xml:space="preserve"> — </w:t>
      </w:r>
      <w:r>
        <w:t>Powers of entry</w:t>
      </w:r>
      <w:bookmarkEnd w:id="295"/>
      <w:bookmarkEnd w:id="296"/>
    </w:p>
    <w:p>
      <w:pPr>
        <w:pStyle w:val="yHeading5"/>
      </w:pPr>
      <w:bookmarkStart w:id="297" w:name="_Toc80611968"/>
      <w:r>
        <w:rPr>
          <w:rStyle w:val="CharSClsNo"/>
        </w:rPr>
        <w:t>197</w:t>
      </w:r>
      <w:r>
        <w:t>.</w:t>
      </w:r>
      <w:r>
        <w:tab/>
        <w:t>Powers of entry for assessing and monitoring approved education and care service</w:t>
      </w:r>
      <w:bookmarkEnd w:id="297"/>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lastRenderedPageBreak/>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at any reasonable time and with such assistants as may reasonably be required, enter any education and care service premises and do any of the following —</w:t>
      </w:r>
    </w:p>
    <w:p>
      <w:pPr>
        <w:pStyle w:val="yIndenta"/>
      </w:pPr>
      <w:r>
        <w:tab/>
        <w:t>(a)</w:t>
      </w:r>
      <w:r>
        <w:tab/>
        <w:t>inspect the premises and any plant, equipment, vehicle or other thing;</w:t>
      </w:r>
    </w:p>
    <w:p>
      <w:pPr>
        <w:pStyle w:val="yIndenta"/>
      </w:pPr>
      <w:r>
        <w:tab/>
        <w:t>(b)</w:t>
      </w:r>
      <w:r>
        <w:tab/>
        <w:t>photograph or film, or make audio recordings or make sketches of, any part of the premises or anything at the premises;</w:t>
      </w:r>
    </w:p>
    <w:p>
      <w:pPr>
        <w:pStyle w:val="yIndenta"/>
      </w:pPr>
      <w:r>
        <w:tab/>
        <w:t>(c)</w:t>
      </w:r>
      <w:r>
        <w:tab/>
        <w:t>inspect and make copies of, or take extracts from, any document kept at the premises;</w:t>
      </w:r>
    </w:p>
    <w:p>
      <w:pPr>
        <w:pStyle w:val="yIndenta"/>
      </w:pPr>
      <w:r>
        <w:tab/>
        <w:t>(d)</w:t>
      </w:r>
      <w:r>
        <w:tab/>
        <w:t>take any document or any other thing at the premises;</w:t>
      </w:r>
    </w:p>
    <w:p>
      <w:pPr>
        <w:pStyle w:val="yIndenta"/>
      </w:pPr>
      <w:r>
        <w:tab/>
        <w:t>(e)</w:t>
      </w:r>
      <w:r>
        <w:tab/>
        <w:t>ask a person at the premises —</w:t>
      </w:r>
    </w:p>
    <w:p>
      <w:pPr>
        <w:pStyle w:val="yIndenti0"/>
      </w:pPr>
      <w:r>
        <w:tab/>
        <w:t>(i)</w:t>
      </w:r>
      <w:r>
        <w:tab/>
        <w:t>to answer a question to the best of that person’s knowledge, information and belief; or</w:t>
      </w:r>
    </w:p>
    <w:p>
      <w:pPr>
        <w:pStyle w:val="yIndenti0"/>
      </w:pPr>
      <w:r>
        <w:tab/>
        <w:t>(ii)</w:t>
      </w:r>
      <w:r>
        <w:tab/>
        <w:t>to take reasonable steps to provide information or produce a document.</w:t>
      </w:r>
    </w:p>
    <w:p>
      <w:pPr>
        <w:pStyle w:val="ySubsection"/>
      </w:pPr>
      <w:r>
        <w:tab/>
        <w:t>(3)</w:t>
      </w:r>
      <w:r>
        <w:tab/>
        <w:t>A power under subsection (2)(a) to (d) is limited to a document or thing that is used or likely to being used in, or in relation to, the provision of the education and care service.</w:t>
      </w:r>
    </w:p>
    <w:p>
      <w:pPr>
        <w:pStyle w:val="ySubsection"/>
        <w:keepNext/>
      </w:pPr>
      <w:r>
        <w:tab/>
        <w:t>(4)</w:t>
      </w:r>
      <w:r>
        <w:tab/>
        <w:t>If the authorised officer takes any document or thing under subsection (2), he or she must —</w:t>
      </w:r>
    </w:p>
    <w:p>
      <w:pPr>
        <w:pStyle w:val="yIndenta"/>
      </w:pPr>
      <w:r>
        <w:tab/>
        <w:t>(a)</w:t>
      </w:r>
      <w:r>
        <w:tab/>
        <w:t>give notice of the taking of the document or thing to the person apparently in charge of it or to an occupier of the premises; and</w:t>
      </w:r>
    </w:p>
    <w:p>
      <w:pPr>
        <w:pStyle w:val="yIndenta"/>
      </w:pPr>
      <w:r>
        <w:tab/>
        <w:t>(b)</w:t>
      </w:r>
      <w:r>
        <w:tab/>
        <w:t>return the document or thing to that person or the premises within 7 days after taking it.</w:t>
      </w:r>
    </w:p>
    <w:p>
      <w:pPr>
        <w:pStyle w:val="ySubsection"/>
        <w:keepNext/>
      </w:pPr>
      <w:r>
        <w:lastRenderedPageBreak/>
        <w:tab/>
        <w:t>(5)</w:t>
      </w:r>
      <w:r>
        <w:tab/>
        <w:t>An authorised officer may not, under this section, enter a residence unless —</w:t>
      </w:r>
    </w:p>
    <w:p>
      <w:pPr>
        <w:pStyle w:val="yIndenta"/>
        <w:keepNext/>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Subsection"/>
      </w:pPr>
      <w:r>
        <w:tab/>
        <w:t>(6)</w:t>
      </w:r>
      <w:r>
        <w:tab/>
        <w:t xml:space="preserve">In this section — </w:t>
      </w:r>
    </w:p>
    <w:p>
      <w:pPr>
        <w:pStyle w:val="yDefstart"/>
      </w:pPr>
      <w:r>
        <w:rPr>
          <w:b/>
          <w:i/>
        </w:rPr>
        <w:tab/>
      </w:r>
      <w:r>
        <w:rPr>
          <w:rStyle w:val="CharDefText"/>
        </w:rPr>
        <w:t>specified person</w:t>
      </w:r>
      <w:r>
        <w:t xml:space="preserve"> has the meaning given in section 206(4).</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197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98" w:name="_Toc80611969"/>
      <w:r>
        <w:rPr>
          <w:rStyle w:val="CharSClsNo"/>
        </w:rPr>
        <w:t>198</w:t>
      </w:r>
      <w:r>
        <w:t>.</w:t>
      </w:r>
      <w:r>
        <w:tab/>
        <w:t>National Authority representative may enter service premises in company with Regulatory Authority</w:t>
      </w:r>
      <w:bookmarkEnd w:id="298"/>
    </w:p>
    <w:p>
      <w:pPr>
        <w:pStyle w:val="ySubsection"/>
      </w:pPr>
      <w:r>
        <w:tab/>
        <w:t>(1)</w:t>
      </w:r>
      <w:r>
        <w:tab/>
        <w:t>A person authorised by the National Authority, in company with an authorised officer, may enter premises used by an approved education and care service within the usual hours of operation of the service at those premises.</w:t>
      </w:r>
    </w:p>
    <w:p>
      <w:pPr>
        <w:pStyle w:val="y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yHeading5"/>
      </w:pPr>
      <w:bookmarkStart w:id="299" w:name="_Toc80611970"/>
      <w:r>
        <w:rPr>
          <w:rStyle w:val="CharSClsNo"/>
        </w:rPr>
        <w:t>199</w:t>
      </w:r>
      <w:r>
        <w:t>.</w:t>
      </w:r>
      <w:r>
        <w:tab/>
        <w:t>Powers of entry for investigating approved education and care service</w:t>
      </w:r>
      <w:bookmarkEnd w:id="299"/>
    </w:p>
    <w:p>
      <w:pPr>
        <w:pStyle w:val="y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y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yIndenta"/>
      </w:pPr>
      <w:r>
        <w:tab/>
        <w:t>(a)</w:t>
      </w:r>
      <w:r>
        <w:tab/>
        <w:t>search any part of the premises;</w:t>
      </w:r>
    </w:p>
    <w:p>
      <w:pPr>
        <w:pStyle w:val="yIndenta"/>
      </w:pPr>
      <w:r>
        <w:lastRenderedPageBreak/>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 power under subsection (2)(b) to (d) is limited to a document or thing that is used or likely to be used in the provision of the education and care service.</w:t>
      </w:r>
    </w:p>
    <w:p>
      <w:pPr>
        <w:pStyle w:val="ySubsection"/>
      </w:pPr>
      <w:r>
        <w:tab/>
        <w:t>(4)</w:t>
      </w:r>
      <w:r>
        <w:tab/>
        <w:t>An authorised officer may not, under this section, enter a residence unless —</w:t>
      </w:r>
    </w:p>
    <w:p>
      <w:pPr>
        <w:pStyle w:val="yIndenta"/>
      </w:pPr>
      <w:r>
        <w:tab/>
        <w:t>(a)</w:t>
      </w:r>
      <w:r>
        <w:tab/>
        <w:t>the authorised officer reasonably believes that an approved education and care service is operating at the residence at the time of entry; or</w:t>
      </w:r>
    </w:p>
    <w:p>
      <w:pPr>
        <w:pStyle w:val="yIndenta"/>
      </w:pPr>
      <w:r>
        <w:tab/>
        <w:t>(ab)</w:t>
      </w:r>
      <w:r>
        <w:tab/>
        <w:t>the register of family day care educators records that the approved education and care service operates at the residence at the time of entry; or</w:t>
      </w:r>
    </w:p>
    <w:p>
      <w:pPr>
        <w:pStyle w:val="yIndenta"/>
      </w:pPr>
      <w:r>
        <w:tab/>
        <w:t>(b)</w:t>
      </w:r>
      <w:r>
        <w:tab/>
        <w:t>the occupier of the residence has consented in writing to the entry and the inspection.</w:t>
      </w:r>
    </w:p>
    <w:p>
      <w:pPr>
        <w:pStyle w:val="yFootnotesection"/>
      </w:pPr>
      <w:r>
        <w:tab/>
        <w:t>[Section 199 amended: No. 18 of 2018 s. 70.]</w:t>
      </w:r>
    </w:p>
    <w:p>
      <w:pPr>
        <w:pStyle w:val="yHeading5"/>
      </w:pPr>
      <w:bookmarkStart w:id="300" w:name="_Toc80611971"/>
      <w:r>
        <w:rPr>
          <w:rStyle w:val="CharSClsNo"/>
        </w:rPr>
        <w:t>200</w:t>
      </w:r>
      <w:r>
        <w:t>.</w:t>
      </w:r>
      <w:r>
        <w:tab/>
        <w:t>Powers of entry to business premises</w:t>
      </w:r>
      <w:bookmarkEnd w:id="300"/>
      <w:r>
        <w:t xml:space="preserve"> </w:t>
      </w:r>
    </w:p>
    <w:p>
      <w:pPr>
        <w:pStyle w:val="ySubsection"/>
      </w:pPr>
      <w:r>
        <w:tab/>
        <w:t>(1)</w:t>
      </w:r>
      <w:r>
        <w:tab/>
        <w:t>An authorised officer may exercise powers under this section if the authorised officer reasonably suspects that documents or other evidence relevant to the possible commission of an offence against this Law are present at the principal office of the approved provider of the service or any other business office of the approved provider of the service.</w:t>
      </w:r>
    </w:p>
    <w:p>
      <w:pPr>
        <w:pStyle w:val="ySubsection"/>
        <w:keepNext/>
      </w:pPr>
      <w:r>
        <w:lastRenderedPageBreak/>
        <w:tab/>
        <w:t>(2)</w:t>
      </w:r>
      <w:r>
        <w:tab/>
        <w:t>The authorised officer, with the consent of the occupier of the premises, may enter the premises and do any of the following —</w:t>
      </w:r>
    </w:p>
    <w:p>
      <w:pPr>
        <w:pStyle w:val="yIndenta"/>
        <w:keepNext/>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An authorised officer must not enter and search the premises with the consent of the occupier unless, before the occupier consents to that entry, the authorised officer has —</w:t>
      </w:r>
    </w:p>
    <w:p>
      <w:pPr>
        <w:pStyle w:val="yIndenta"/>
      </w:pPr>
      <w:r>
        <w:tab/>
        <w:t>(a)</w:t>
      </w:r>
      <w:r>
        <w:tab/>
        <w:t>produced his or her identity card for inspection; and</w:t>
      </w:r>
    </w:p>
    <w:p>
      <w:pPr>
        <w:pStyle w:val="yIndenta"/>
        <w:keepNext/>
      </w:pPr>
      <w:r>
        <w:tab/>
        <w:t>(b)</w:t>
      </w:r>
      <w:r>
        <w:tab/>
        <w:t>informed the occupier —</w:t>
      </w:r>
    </w:p>
    <w:p>
      <w:pPr>
        <w:pStyle w:val="yIndenti0"/>
      </w:pPr>
      <w:r>
        <w:tab/>
        <w:t>(i)</w:t>
      </w:r>
      <w:r>
        <w:tab/>
        <w:t>of the purpose of the search and the powers that may be exercised; and</w:t>
      </w:r>
    </w:p>
    <w:p>
      <w:pPr>
        <w:pStyle w:val="yIndenti0"/>
      </w:pPr>
      <w:r>
        <w:tab/>
        <w:t>(ii)</w:t>
      </w:r>
      <w:r>
        <w:tab/>
        <w:t>that the occupier may refuse to give consent to the entry and search or to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Footnotesection"/>
      </w:pPr>
      <w:r>
        <w:tab/>
        <w:t>[Section 200 amended: No. 18 of 2018 s. 71.]</w:t>
      </w:r>
    </w:p>
    <w:p>
      <w:pPr>
        <w:pStyle w:val="yHeading5"/>
      </w:pPr>
      <w:bookmarkStart w:id="301" w:name="_Toc80611972"/>
      <w:r>
        <w:rPr>
          <w:rStyle w:val="CharSClsNo"/>
        </w:rPr>
        <w:t>200A</w:t>
      </w:r>
      <w:r>
        <w:t>.</w:t>
      </w:r>
      <w:r>
        <w:tab/>
        <w:t>Entry to premises without search warrant</w:t>
      </w:r>
      <w:bookmarkEnd w:id="301"/>
    </w:p>
    <w:p>
      <w:pPr>
        <w:pStyle w:val="ySubsection"/>
        <w:keepNext/>
      </w:pPr>
      <w:r>
        <w:tab/>
        <w:t>(1)</w:t>
      </w:r>
      <w:r>
        <w:tab/>
        <w:t xml:space="preserve">An authorised officer may enter any premises (including residential or business premises) for the purpose of determining whether an </w:t>
      </w:r>
      <w:r>
        <w:lastRenderedPageBreak/>
        <w:t xml:space="preserve">education and care service is operating without a service approval at or from the premises, if — </w:t>
      </w:r>
    </w:p>
    <w:p>
      <w:pPr>
        <w:pStyle w:val="yIndenta"/>
        <w:keepNext/>
      </w:pPr>
      <w:r>
        <w:tab/>
        <w:t>(a)</w:t>
      </w:r>
      <w:r>
        <w:tab/>
        <w:t>the authorised officer reasonably believes that a person is operating an education and care service in contravention of section 103 at the premises; and</w:t>
      </w:r>
    </w:p>
    <w:p>
      <w:pPr>
        <w:pStyle w:val="yIndenta"/>
      </w:pPr>
      <w:r>
        <w:tab/>
        <w:t>(b)</w:t>
      </w:r>
      <w:r>
        <w:tab/>
        <w:t>the occupier of the premises has consented in writing to the entry and inspection.</w:t>
      </w:r>
    </w:p>
    <w:p>
      <w:pPr>
        <w:pStyle w:val="ySubsection"/>
      </w:pPr>
      <w:r>
        <w:tab/>
        <w:t>(2)</w:t>
      </w:r>
      <w:r>
        <w:tab/>
        <w:t xml:space="preserve">An authorised officer must not enter and search the premises under this section unless, before the occupier consents to the entry, the authorised officer has — </w:t>
      </w:r>
    </w:p>
    <w:p>
      <w:pPr>
        <w:pStyle w:val="yIndenta"/>
      </w:pPr>
      <w:r>
        <w:tab/>
        <w:t>(a)</w:t>
      </w:r>
      <w:r>
        <w:tab/>
        <w:t>produced the authorised officer’s identity card for inspection; and</w:t>
      </w:r>
    </w:p>
    <w:p>
      <w:pPr>
        <w:pStyle w:val="yIndenta"/>
      </w:pPr>
      <w:r>
        <w:tab/>
        <w:t>(b)</w:t>
      </w:r>
      <w:r>
        <w:tab/>
        <w:t xml:space="preserve">informed the occupier — </w:t>
      </w:r>
    </w:p>
    <w:p>
      <w:pPr>
        <w:pStyle w:val="yIndenti0"/>
      </w:pPr>
      <w:r>
        <w:tab/>
        <w:t>(i)</w:t>
      </w:r>
      <w:r>
        <w:tab/>
        <w:t>of the purpose of the search and the powers that may be exercised; and</w:t>
      </w:r>
    </w:p>
    <w:p>
      <w:pPr>
        <w:pStyle w:val="yIndenti0"/>
      </w:pPr>
      <w:r>
        <w:tab/>
        <w:t>(ii)</w:t>
      </w:r>
      <w:r>
        <w:tab/>
        <w:t>that the occupier may refuse to consent to the entry and search or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Subsection"/>
      </w:pPr>
      <w:r>
        <w:tab/>
        <w:t>(3)</w:t>
      </w:r>
      <w:r>
        <w:tab/>
        <w:t>An authorised officer who exercises a power of entry under this section may for the purposes of the investigation do any of the things referred to in clause 5(2)(a) to (e) of Schedule 2 as if a reference to that Schedule included a reference to this section.</w:t>
      </w:r>
    </w:p>
    <w:p>
      <w:pPr>
        <w:pStyle w:val="yFootnotesection"/>
      </w:pPr>
      <w:r>
        <w:tab/>
        <w:t>[Section 200A inserted: No. 18 of 2018 s. 72.]</w:t>
      </w:r>
    </w:p>
    <w:p>
      <w:pPr>
        <w:pStyle w:val="yHeading5"/>
      </w:pPr>
      <w:bookmarkStart w:id="302" w:name="_Toc80611973"/>
      <w:r>
        <w:rPr>
          <w:rStyle w:val="CharSClsNo"/>
        </w:rPr>
        <w:t>201</w:t>
      </w:r>
      <w:r>
        <w:t>.</w:t>
      </w:r>
      <w:r>
        <w:tab/>
        <w:t>Entry to premises with search warrant</w:t>
      </w:r>
      <w:bookmarkEnd w:id="302"/>
    </w:p>
    <w:p>
      <w:pPr>
        <w:pStyle w:val="y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ySubsection"/>
      </w:pPr>
      <w:r>
        <w:tab/>
        <w:t>(2)</w:t>
      </w:r>
      <w:r>
        <w:tab/>
        <w:t xml:space="preserve">An authorised officer under the authority of a search warrant may enter any education and care service premises or any premises where the authorised officer reasonably believes that an approved education and care service is operating if the authorised officer reasonably </w:t>
      </w:r>
      <w:r>
        <w:lastRenderedPageBreak/>
        <w:t>believes that the education and care service is operating in contravention of this Law.</w:t>
      </w:r>
    </w:p>
    <w:p>
      <w:pPr>
        <w:pStyle w:val="ySubsection"/>
      </w:pPr>
      <w:r>
        <w:tab/>
        <w:t>(3)</w:t>
      </w:r>
      <w:r>
        <w:tab/>
        <w:t>An authorised officer under the authority of a search warrant may enter the principal office of the approved provider of the service or any other business office of the approved provider of the service if the authorised officer reasonably believes that documents or other evidence relevant to the possible commission of an offence against this Law are present at those premises.</w:t>
      </w:r>
    </w:p>
    <w:p>
      <w:pPr>
        <w:pStyle w:val="ySubsection"/>
      </w:pPr>
      <w:r>
        <w:tab/>
        <w:t>(4)</w:t>
      </w:r>
      <w:r>
        <w:tab/>
        <w:t>Schedule 2 applies in relation to the issue of the search warrant and the powers of the authorised officer on entry.</w:t>
      </w:r>
    </w:p>
    <w:p>
      <w:pPr>
        <w:pStyle w:val="yFootnotesection"/>
      </w:pPr>
      <w:r>
        <w:tab/>
        <w:t>[Section 201 amended: No. 18 of 2018 s. 73.]</w:t>
      </w:r>
    </w:p>
    <w:p>
      <w:pPr>
        <w:pStyle w:val="yHeading5"/>
      </w:pPr>
      <w:bookmarkStart w:id="303" w:name="_Toc80611974"/>
      <w:r>
        <w:rPr>
          <w:rStyle w:val="CharSClsNo"/>
        </w:rPr>
        <w:t>202</w:t>
      </w:r>
      <w:r>
        <w:t>.</w:t>
      </w:r>
      <w:r>
        <w:tab/>
        <w:t>Seized items</w:t>
      </w:r>
      <w:bookmarkEnd w:id="303"/>
    </w:p>
    <w:p>
      <w:pPr>
        <w:pStyle w:val="ySubsection"/>
      </w:pPr>
      <w:r>
        <w:tab/>
        <w:t>(1)</w:t>
      </w:r>
      <w:r>
        <w:tab/>
        <w:t>If an authorised officer has taken a thing under section 199, 200 or 200A or under a search warrant under section 201, the authorised officer must take reasonable steps to return the thing to the person from whom it was taken if the reason for the taking no longer exists.</w:t>
      </w:r>
    </w:p>
    <w:p>
      <w:pPr>
        <w:pStyle w:val="ySubsection"/>
        <w:keepNext/>
      </w:pPr>
      <w:r>
        <w:tab/>
        <w:t>(2)</w:t>
      </w:r>
      <w:r>
        <w:tab/>
        <w:t>If the thing has not been returned within 60 days after it was taken, the authorised officer must take reasonable steps to return it unless —</w:t>
      </w:r>
    </w:p>
    <w:p>
      <w:pPr>
        <w:pStyle w:val="yIndenta"/>
      </w:pPr>
      <w:r>
        <w:tab/>
        <w:t>(a)</w:t>
      </w:r>
      <w:r>
        <w:tab/>
        <w:t>proceedings have been commenced within the period of 60 days and those proceedings (including any appeal) have not been completed; or</w:t>
      </w:r>
    </w:p>
    <w:p>
      <w:pPr>
        <w:pStyle w:val="yIndenta"/>
      </w:pPr>
      <w:r>
        <w:tab/>
        <w:t>(b)</w:t>
      </w:r>
      <w:r>
        <w:tab/>
        <w:t>a court makes an order under section 203 extending the period the thing can be retained.</w:t>
      </w:r>
    </w:p>
    <w:p>
      <w:pPr>
        <w:pStyle w:val="ySubsection"/>
      </w:pPr>
      <w:r>
        <w:tab/>
        <w:t>(3)</w:t>
      </w:r>
      <w:r>
        <w:tab/>
        <w:t>If an authorised officer has taken a thing under section 199, 200 or 200A or under a search warrant under section 201, the authorised officer must provide the owner of the thing with reasonable access to the thing.</w:t>
      </w:r>
    </w:p>
    <w:p>
      <w:pPr>
        <w:pStyle w:val="yFootnotesection"/>
      </w:pPr>
      <w:r>
        <w:tab/>
        <w:t>[Section 202 amended: No. 18 of 2018 s. 74.]</w:t>
      </w:r>
    </w:p>
    <w:p>
      <w:pPr>
        <w:pStyle w:val="yHeading5"/>
      </w:pPr>
      <w:bookmarkStart w:id="304" w:name="_Toc80611975"/>
      <w:r>
        <w:rPr>
          <w:rStyle w:val="CharSClsNo"/>
        </w:rPr>
        <w:t>203</w:t>
      </w:r>
      <w:r>
        <w:t>.</w:t>
      </w:r>
      <w:r>
        <w:tab/>
        <w:t>Court may extend period</w:t>
      </w:r>
      <w:bookmarkEnd w:id="304"/>
    </w:p>
    <w:p>
      <w:pPr>
        <w:pStyle w:val="ySubsection"/>
      </w:pPr>
      <w:r>
        <w:tab/>
        <w:t>(1)</w:t>
      </w:r>
      <w:r>
        <w:tab/>
        <w:t>An authorised officer may apply to a court within the period of 60 days referred to in section 202 or within a period extended by the court under this section for an extension of the period for which the thing can be held.</w:t>
      </w:r>
    </w:p>
    <w:p>
      <w:pPr>
        <w:pStyle w:val="ySubsection"/>
      </w:pPr>
      <w:r>
        <w:lastRenderedPageBreak/>
        <w:tab/>
        <w:t>(2)</w:t>
      </w:r>
      <w:r>
        <w:tab/>
        <w:t>The court may order the extension if satisfied that retention of the thing is necessary —</w:t>
      </w:r>
    </w:p>
    <w:p>
      <w:pPr>
        <w:pStyle w:val="yIndenta"/>
      </w:pPr>
      <w:r>
        <w:tab/>
        <w:t>(a)</w:t>
      </w:r>
      <w:r>
        <w:tab/>
        <w:t>for the purposes of an investigation into whether an offence has been committed; or</w:t>
      </w:r>
    </w:p>
    <w:p>
      <w:pPr>
        <w:pStyle w:val="yIndenta"/>
      </w:pPr>
      <w:r>
        <w:tab/>
        <w:t>(b)</w:t>
      </w:r>
      <w:r>
        <w:tab/>
        <w:t>to enable evidence of an offence to be obtained for the purposes of a prosecution.</w:t>
      </w:r>
    </w:p>
    <w:p>
      <w:pPr>
        <w:pStyle w:val="ySubsection"/>
      </w:pPr>
      <w:r>
        <w:tab/>
        <w:t>(3)</w:t>
      </w:r>
      <w:r>
        <w:tab/>
        <w:t>The court may adjourn an application to enable notice of the application to be given to any person.</w:t>
      </w:r>
    </w:p>
    <w:p>
      <w:pPr>
        <w:pStyle w:val="yHeading4"/>
      </w:pPr>
      <w:bookmarkStart w:id="305" w:name="_Toc80609161"/>
      <w:bookmarkStart w:id="306" w:name="_Toc80611976"/>
      <w:r>
        <w:t>Division 3</w:t>
      </w:r>
      <w:r>
        <w:rPr>
          <w:b w:val="0"/>
        </w:rPr>
        <w:t xml:space="preserve"> — </w:t>
      </w:r>
      <w:r>
        <w:t>Other powers</w:t>
      </w:r>
      <w:bookmarkEnd w:id="305"/>
      <w:bookmarkEnd w:id="306"/>
    </w:p>
    <w:p>
      <w:pPr>
        <w:pStyle w:val="yHeading5"/>
      </w:pPr>
      <w:bookmarkStart w:id="307" w:name="_Toc80611977"/>
      <w:r>
        <w:rPr>
          <w:rStyle w:val="CharSClsNo"/>
        </w:rPr>
        <w:t>204</w:t>
      </w:r>
      <w:r>
        <w:t>.</w:t>
      </w:r>
      <w:r>
        <w:tab/>
        <w:t>Power to require name and address</w:t>
      </w:r>
      <w:bookmarkEnd w:id="307"/>
    </w:p>
    <w:p>
      <w:pPr>
        <w:pStyle w:val="ySubsection"/>
      </w:pPr>
      <w:r>
        <w:tab/>
        <w:t>(1)</w:t>
      </w:r>
      <w:r>
        <w:tab/>
        <w:t>This section applies if —</w:t>
      </w:r>
    </w:p>
    <w:p>
      <w:pPr>
        <w:pStyle w:val="yIndenta"/>
      </w:pPr>
      <w:r>
        <w:tab/>
        <w:t>(a)</w:t>
      </w:r>
      <w:r>
        <w:tab/>
        <w:t>an authorised officer finds a person committing an offence against this Law or a working with children law; or</w:t>
      </w:r>
    </w:p>
    <w:p>
      <w:pPr>
        <w:pStyle w:val="y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ySubsection"/>
      </w:pPr>
      <w:r>
        <w:tab/>
        <w:t>(2)</w:t>
      </w:r>
      <w:r>
        <w:tab/>
        <w:t>The authorised officer may require the person to state the person’s name and residential address.</w:t>
      </w:r>
    </w:p>
    <w:p>
      <w:pPr>
        <w:pStyle w:val="ySubsection"/>
      </w:pPr>
      <w:r>
        <w:tab/>
        <w:t>(3)</w:t>
      </w:r>
      <w:r>
        <w:tab/>
        <w:t>The authorised officer may require the person to give evidence of the correctness of the stated name or residential address if the officer reasonably suspects the stated name or address to be false.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08" w:name="_Toc80611978"/>
      <w:r>
        <w:rPr>
          <w:rStyle w:val="CharSClsNo"/>
        </w:rPr>
        <w:t>205</w:t>
      </w:r>
      <w:r>
        <w:t>.</w:t>
      </w:r>
      <w:r>
        <w:tab/>
        <w:t>Power to require evidence of age, name and address of person</w:t>
      </w:r>
      <w:bookmarkEnd w:id="308"/>
    </w:p>
    <w:p>
      <w:pPr>
        <w:pStyle w:val="ySubsection"/>
      </w:pPr>
      <w:r>
        <w:tab/>
        <w:t>(1)</w:t>
      </w:r>
      <w:r>
        <w:tab/>
        <w:t>This section applies if —</w:t>
      </w:r>
    </w:p>
    <w:p>
      <w:pPr>
        <w:pStyle w:val="yIndenta"/>
      </w:pPr>
      <w:r>
        <w:tab/>
        <w:t>(a)</w:t>
      </w:r>
      <w:r>
        <w:tab/>
        <w:t>the national regulations require a staff member, a family day care educator or a volunteer to have attained a prescribed minimum age; and</w:t>
      </w:r>
    </w:p>
    <w:p>
      <w:pPr>
        <w:pStyle w:val="yIndenta"/>
        <w:keepNext/>
      </w:pPr>
      <w:r>
        <w:lastRenderedPageBreak/>
        <w:tab/>
        <w:t>(b)</w:t>
      </w:r>
      <w:r>
        <w:tab/>
        <w:t>an authorised officer reasonably suspects that a person —</w:t>
      </w:r>
    </w:p>
    <w:p>
      <w:pPr>
        <w:pStyle w:val="yIndenti0"/>
      </w:pPr>
      <w:r>
        <w:tab/>
        <w:t>(i)</w:t>
      </w:r>
      <w:r>
        <w:tab/>
        <w:t>is employed or engaged as a staff member or a family day care educator by, or is a volunteer at, an education and care service; and</w:t>
      </w:r>
    </w:p>
    <w:p>
      <w:pPr>
        <w:pStyle w:val="yIndenti0"/>
      </w:pPr>
      <w:r>
        <w:tab/>
        <w:t>(ii)</w:t>
      </w:r>
      <w:r>
        <w:tab/>
        <w:t>has not attained that prescribed minimum age.</w:t>
      </w:r>
    </w:p>
    <w:p>
      <w:pPr>
        <w:pStyle w:val="ySubsection"/>
      </w:pPr>
      <w:r>
        <w:tab/>
        <w:t>(2)</w:t>
      </w:r>
      <w:r>
        <w:tab/>
        <w:t>The authorised officer may require the person to state the person’s correct date of birth, whether or not when requiring the person to state the person’s correct name and address.</w:t>
      </w:r>
    </w:p>
    <w:p>
      <w:pPr>
        <w:pStyle w:val="ySubsection"/>
      </w:pPr>
      <w:r>
        <w:tab/>
        <w:t>(3)</w:t>
      </w:r>
      <w:r>
        <w:tab/>
        <w:t>Also, the authorised officer may require the person to provide evidence of the correctness of the stated date of birth —</w:t>
      </w:r>
    </w:p>
    <w:p>
      <w:pPr>
        <w:pStyle w:val="yIndenta"/>
      </w:pPr>
      <w:r>
        <w:tab/>
        <w:t>(a)</w:t>
      </w:r>
      <w:r>
        <w:tab/>
        <w:t>at the time of making the requirement under subsection (2) if, in the circumstances, it would be reasonable to expect the person to be in possession of evidence of the correctness of the stated date of birth; or</w:t>
      </w:r>
    </w:p>
    <w:p>
      <w:pPr>
        <w:pStyle w:val="yIndenta"/>
      </w:pPr>
      <w:r>
        <w:tab/>
        <w:t>(b)</w:t>
      </w:r>
      <w:r>
        <w:tab/>
        <w:t>otherwise, within 14 days of making the requirement under subsection (2).</w:t>
      </w:r>
    </w:p>
    <w:p>
      <w:pPr>
        <w:pStyle w:val="ySubsection"/>
        <w:keepNext/>
      </w:pPr>
      <w:r>
        <w:tab/>
        <w:t>(4)</w:t>
      </w:r>
      <w:r>
        <w:tab/>
        <w:t>The authorised officer may require the person to state the person’s name and residential address if —</w:t>
      </w:r>
    </w:p>
    <w:p>
      <w:pPr>
        <w:pStyle w:val="yIndenta"/>
      </w:pPr>
      <w:r>
        <w:tab/>
        <w:t>(a)</w:t>
      </w:r>
      <w:r>
        <w:tab/>
        <w:t>the person refuses or is unable to comply with a requirement under subsection (2) or (3); or</w:t>
      </w:r>
    </w:p>
    <w:p>
      <w:pPr>
        <w:pStyle w:val="yIndenta"/>
      </w:pPr>
      <w:r>
        <w:tab/>
        <w:t>(b)</w:t>
      </w:r>
      <w:r>
        <w:tab/>
        <w:t>according to the date of birth the person states, or the evidence of the person’s age the person gives, the person has not attained the prescribed minimum age.</w:t>
      </w:r>
    </w:p>
    <w:p>
      <w:pPr>
        <w:pStyle w:val="yHeading5"/>
        <w:spacing w:before="120"/>
      </w:pPr>
      <w:bookmarkStart w:id="309" w:name="_Toc80611979"/>
      <w:r>
        <w:rPr>
          <w:rStyle w:val="CharSClsNo"/>
        </w:rPr>
        <w:t>206</w:t>
      </w:r>
      <w:r>
        <w:t>.</w:t>
      </w:r>
      <w:r>
        <w:tab/>
        <w:t>Power of authorised officers to obtain information documents and evidence</w:t>
      </w:r>
      <w:bookmarkEnd w:id="309"/>
    </w:p>
    <w:p>
      <w:pPr>
        <w:pStyle w:val="ySubsection"/>
        <w:spacing w:before="120"/>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spacing w:before="120"/>
      </w:pPr>
      <w:r>
        <w:lastRenderedPageBreak/>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ySubsection"/>
        <w:spacing w:before="120"/>
      </w:pPr>
      <w:r>
        <w:tab/>
        <w:t>(3)</w:t>
      </w:r>
      <w:r>
        <w:tab/>
        <w:t>The time specified in the notice must not be less than 14 days from the date the notice is issued.</w:t>
      </w:r>
    </w:p>
    <w:p>
      <w:pPr>
        <w:pStyle w:val="ySubsection"/>
        <w:spacing w:before="120"/>
      </w:pPr>
      <w:r>
        <w:tab/>
        <w:t>(4)</w:t>
      </w:r>
      <w:r>
        <w:tab/>
        <w:t>In this section —</w:t>
      </w:r>
    </w:p>
    <w:p>
      <w:pPr>
        <w:pStyle w:val="yDefstart"/>
      </w:pPr>
      <w:r>
        <w:tab/>
      </w:r>
      <w:r>
        <w:rPr>
          <w:rStyle w:val="CharDefText"/>
        </w:rPr>
        <w:t>specified person</w:t>
      </w:r>
      <w:r>
        <w:t xml:space="preserve"> means a person who is or has been —</w:t>
      </w:r>
    </w:p>
    <w:p>
      <w:pPr>
        <w:pStyle w:val="yDefpara"/>
      </w:pPr>
      <w:r>
        <w:tab/>
        <w:t>(a)</w:t>
      </w:r>
      <w:r>
        <w:tab/>
        <w:t>an approved provider, a nominated supervisor or a staff member of, or a volunteer at, an approved education and care service; or</w:t>
      </w:r>
    </w:p>
    <w:p>
      <w:pPr>
        <w:pStyle w:val="yDefpara"/>
      </w:pPr>
      <w:r>
        <w:tab/>
        <w:t>(b)</w:t>
      </w:r>
      <w:r>
        <w:tab/>
        <w:t>a family day care educator.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206 amended: No. 18 of 2018 s. 75.]</w:t>
      </w:r>
    </w:p>
    <w:p>
      <w:pPr>
        <w:pStyle w:val="yHeading4"/>
      </w:pPr>
      <w:bookmarkStart w:id="310" w:name="_Toc80609165"/>
      <w:bookmarkStart w:id="311" w:name="_Toc80611980"/>
      <w:r>
        <w:t>Division 4</w:t>
      </w:r>
      <w:r>
        <w:rPr>
          <w:b w:val="0"/>
        </w:rPr>
        <w:t xml:space="preserve"> — </w:t>
      </w:r>
      <w:r>
        <w:t>Offences relating to enforcement</w:t>
      </w:r>
      <w:bookmarkEnd w:id="310"/>
      <w:bookmarkEnd w:id="311"/>
    </w:p>
    <w:p>
      <w:pPr>
        <w:pStyle w:val="yHeading5"/>
      </w:pPr>
      <w:bookmarkStart w:id="312" w:name="_Toc80611981"/>
      <w:r>
        <w:rPr>
          <w:rStyle w:val="CharSClsNo"/>
        </w:rPr>
        <w:t>207</w:t>
      </w:r>
      <w:r>
        <w:t>.</w:t>
      </w:r>
      <w:r>
        <w:tab/>
        <w:t>Offence to obstruct authorised officer</w:t>
      </w:r>
      <w:bookmarkEnd w:id="312"/>
    </w:p>
    <w:p>
      <w:pPr>
        <w:pStyle w:val="ySubsection"/>
      </w:pPr>
      <w:r>
        <w:tab/>
      </w:r>
      <w:r>
        <w:tab/>
        <w:t>A person must not obstruct an authorised officer in exercising his or her powers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313" w:name="_Toc80611982"/>
      <w:r>
        <w:rPr>
          <w:rStyle w:val="CharSClsNo"/>
        </w:rPr>
        <w:t>208</w:t>
      </w:r>
      <w:r>
        <w:t>.</w:t>
      </w:r>
      <w:r>
        <w:tab/>
        <w:t>Offence to fail to assist authorised officer</w:t>
      </w:r>
      <w:bookmarkEnd w:id="313"/>
    </w:p>
    <w:p>
      <w:pPr>
        <w:pStyle w:val="ySubsection"/>
        <w:keepNext/>
      </w:pPr>
      <w:r>
        <w:tab/>
      </w:r>
      <w:r>
        <w:tab/>
        <w:t>A person must not —</w:t>
      </w:r>
    </w:p>
    <w:p>
      <w:pPr>
        <w:pStyle w:val="yIndenta"/>
        <w:keepNext/>
      </w:pPr>
      <w:r>
        <w:tab/>
        <w:t>(a)</w:t>
      </w:r>
      <w:r>
        <w:tab/>
        <w:t>refuse to answer a question lawfully asked by an authorised officer (other than a question asked under section 197(2)(e)); or</w:t>
      </w:r>
    </w:p>
    <w:p>
      <w:pPr>
        <w:pStyle w:val="yIndenta"/>
      </w:pPr>
      <w:r>
        <w:tab/>
        <w:t>(b)</w:t>
      </w:r>
      <w:r>
        <w:tab/>
        <w:t>refuse to provide information or produce a document lawfully required by an authorised officer; or</w:t>
      </w:r>
    </w:p>
    <w:p>
      <w:pPr>
        <w:pStyle w:val="yIndenta"/>
        <w:keepNext/>
      </w:pPr>
      <w:r>
        <w:lastRenderedPageBreak/>
        <w:tab/>
        <w:t>(c)</w:t>
      </w:r>
      <w:r>
        <w:tab/>
        <w:t>fail to comply with a requirement made by an authorised officer under clause 5(2)(f) or (g) of Schedule 2.</w:t>
      </w:r>
    </w:p>
    <w:p>
      <w:pPr>
        <w:pStyle w:val="yPenstart"/>
        <w:keepNex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208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14" w:name="_Toc80611983"/>
      <w:r>
        <w:rPr>
          <w:rStyle w:val="CharSClsNo"/>
        </w:rPr>
        <w:t>209</w:t>
      </w:r>
      <w:r>
        <w:t>.</w:t>
      </w:r>
      <w:r>
        <w:tab/>
        <w:t>Offence to destroy or damage notices or documents</w:t>
      </w:r>
      <w:bookmarkEnd w:id="314"/>
    </w:p>
    <w:p>
      <w:pPr>
        <w:pStyle w:val="ySubsection"/>
      </w:pPr>
      <w:r>
        <w:tab/>
      </w:r>
      <w:r>
        <w:tab/>
        <w:t>A person must not, without lawful authority, destroy or damage any notice or document given or prepared or kept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315" w:name="_Toc80611984"/>
      <w:r>
        <w:rPr>
          <w:rStyle w:val="CharSClsNo"/>
        </w:rPr>
        <w:t>210</w:t>
      </w:r>
      <w:r>
        <w:t>.</w:t>
      </w:r>
      <w:r>
        <w:tab/>
        <w:t>Offence to impersonate authorised officer</w:t>
      </w:r>
      <w:bookmarkEnd w:id="315"/>
    </w:p>
    <w:p>
      <w:pPr>
        <w:pStyle w:val="ySubsection"/>
      </w:pPr>
      <w:r>
        <w:tab/>
      </w:r>
      <w:r>
        <w:tab/>
        <w:t>A person must not impersonate an authorised officer.</w:t>
      </w:r>
    </w:p>
    <w:p>
      <w:pPr>
        <w:pStyle w:val="yPenstart"/>
        <w:tabs>
          <w:tab w:val="left" w:pos="1843"/>
        </w:tabs>
      </w:pPr>
      <w:r>
        <w:tab/>
        <w:t>Penalty:</w:t>
      </w:r>
      <w:r>
        <w:tab/>
        <w:t>$8 000.</w:t>
      </w:r>
    </w:p>
    <w:p>
      <w:pPr>
        <w:pStyle w:val="yHeading5"/>
      </w:pPr>
      <w:bookmarkStart w:id="316" w:name="_Toc80611985"/>
      <w:r>
        <w:rPr>
          <w:rStyle w:val="CharSClsNo"/>
        </w:rPr>
        <w:t>211</w:t>
      </w:r>
      <w:r>
        <w:t>.</w:t>
      </w:r>
      <w:r>
        <w:tab/>
        <w:t>Protection against self-incrimination</w:t>
      </w:r>
      <w:bookmarkEnd w:id="316"/>
    </w:p>
    <w:p>
      <w:pPr>
        <w:pStyle w:val="y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ySubsection"/>
      </w:pPr>
      <w:r>
        <w:tab/>
        <w:t>(2)</w:t>
      </w:r>
      <w:r>
        <w:tab/>
        <w:t>However, subsection (1) does not apply to —</w:t>
      </w:r>
    </w:p>
    <w:p>
      <w:pPr>
        <w:pStyle w:val="yIndenta"/>
      </w:pPr>
      <w:r>
        <w:tab/>
        <w:t>(a)</w:t>
      </w:r>
      <w:r>
        <w:tab/>
        <w:t>the production of a document or part of a document that is required to be kept under this Law; or</w:t>
      </w:r>
    </w:p>
    <w:p>
      <w:pPr>
        <w:pStyle w:val="yIndenta"/>
        <w:keepNext/>
      </w:pPr>
      <w:r>
        <w:tab/>
        <w:t>(b)</w:t>
      </w:r>
      <w:r>
        <w:tab/>
        <w:t>the giving of the individual’s name or address in accordance with this Law; or</w:t>
      </w:r>
    </w:p>
    <w:p>
      <w:pPr>
        <w:pStyle w:val="yIndenta"/>
      </w:pPr>
      <w:r>
        <w:tab/>
        <w:t>(c)</w:t>
      </w:r>
      <w:r>
        <w:tab/>
        <w:t>anything required to be done under section 215 or 216.</w:t>
      </w:r>
    </w:p>
    <w:p>
      <w:pPr>
        <w:pStyle w:val="y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yHeading5"/>
      </w:pPr>
      <w:bookmarkStart w:id="317" w:name="_Toc80611986"/>
      <w:r>
        <w:rPr>
          <w:rStyle w:val="CharSClsNo"/>
        </w:rPr>
        <w:lastRenderedPageBreak/>
        <w:t>212</w:t>
      </w:r>
      <w:r>
        <w:t>.</w:t>
      </w:r>
      <w:r>
        <w:tab/>
        <w:t>Warning to be given</w:t>
      </w:r>
      <w:bookmarkEnd w:id="317"/>
    </w:p>
    <w:p>
      <w:pPr>
        <w:pStyle w:val="ySubsection"/>
      </w:pPr>
      <w:r>
        <w:tab/>
        <w:t>(1)</w:t>
      </w:r>
      <w:r>
        <w:tab/>
        <w:t>Before requiring a person to answer a question or provide information or a document under this Part or Schedule 2, an authorised officer must —</w:t>
      </w:r>
    </w:p>
    <w:p>
      <w:pPr>
        <w:pStyle w:val="yIndenta"/>
      </w:pPr>
      <w:r>
        <w:tab/>
        <w:t>(a)</w:t>
      </w:r>
      <w:r>
        <w:tab/>
        <w:t>identify himself or herself to the person as an authorised officer by producing the officer’s identity card; and</w:t>
      </w:r>
    </w:p>
    <w:p>
      <w:pPr>
        <w:pStyle w:val="yIndenta"/>
      </w:pPr>
      <w:r>
        <w:tab/>
        <w:t>(b)</w:t>
      </w:r>
      <w:r>
        <w:tab/>
        <w:t>warn the person that a failure to comply with the requirement or to answer the question, without reasonable excuse, would constitute an offence; and</w:t>
      </w:r>
    </w:p>
    <w:p>
      <w:pPr>
        <w:pStyle w:val="yIndenta"/>
      </w:pPr>
      <w:r>
        <w:tab/>
        <w:t>(c)</w:t>
      </w:r>
      <w:r>
        <w:tab/>
        <w:t>in the case of an individual, warn the person about the effect of section 211.</w:t>
      </w:r>
    </w:p>
    <w:p>
      <w:pPr>
        <w:pStyle w:val="ySubsection"/>
      </w:pPr>
      <w:r>
        <w:tab/>
        <w:t>(2)</w:t>
      </w:r>
      <w:r>
        <w:tab/>
        <w:t>Nothing in this section prevents an authorised officer from obtaining and using evidence given to the authorised officer voluntarily by any person.</w:t>
      </w:r>
    </w:p>
    <w:p>
      <w:pPr>
        <w:pStyle w:val="ySubsection"/>
      </w:pPr>
      <w:r>
        <w:tab/>
        <w:t>(3)</w:t>
      </w:r>
      <w:r>
        <w:tab/>
        <w:t>This section does not apply to a request made under section 197.</w:t>
      </w:r>
    </w:p>
    <w:p>
      <w:pPr>
        <w:pStyle w:val="yHeading5"/>
      </w:pPr>
      <w:bookmarkStart w:id="318" w:name="_Toc80611987"/>
      <w:r>
        <w:rPr>
          <w:rStyle w:val="CharSClsNo"/>
        </w:rPr>
        <w:t>213</w:t>
      </w:r>
      <w:r>
        <w:t>.</w:t>
      </w:r>
      <w:r>
        <w:tab/>
        <w:t>Occupier’s consent to search</w:t>
      </w:r>
      <w:bookmarkEnd w:id="318"/>
    </w:p>
    <w:p>
      <w:pPr>
        <w:pStyle w:val="ySubsection"/>
      </w:pPr>
      <w:r>
        <w:tab/>
        <w:t>(1)</w:t>
      </w:r>
      <w:r>
        <w:tab/>
        <w:t>An occupier who consents in writing to the entry and inspection of his or her premises under Division 2 must be given a copy of the signed consent immediately.</w:t>
      </w:r>
    </w:p>
    <w:p>
      <w:pPr>
        <w:pStyle w:val="ySubsection"/>
      </w:pPr>
      <w:r>
        <w:tab/>
        <w:t>(2)</w:t>
      </w:r>
      <w:r>
        <w:tab/>
        <w:t>If, in any proceeding, a written consent is not produced to the court, it must be presumed until the contrary is proved that the occupier did not consent to the entry and search.</w:t>
      </w:r>
    </w:p>
    <w:p>
      <w:pPr>
        <w:pStyle w:val="yHeading4"/>
      </w:pPr>
      <w:bookmarkStart w:id="319" w:name="_Toc80609173"/>
      <w:bookmarkStart w:id="320" w:name="_Toc80611988"/>
      <w:r>
        <w:t>Division 5</w:t>
      </w:r>
      <w:r>
        <w:rPr>
          <w:b w:val="0"/>
        </w:rPr>
        <w:t xml:space="preserve"> — </w:t>
      </w:r>
      <w:r>
        <w:t>Powers of Regulatory Authority</w:t>
      </w:r>
      <w:bookmarkEnd w:id="319"/>
      <w:bookmarkEnd w:id="320"/>
    </w:p>
    <w:p>
      <w:pPr>
        <w:pStyle w:val="yHeading5"/>
      </w:pPr>
      <w:bookmarkStart w:id="321" w:name="_Toc80611989"/>
      <w:r>
        <w:rPr>
          <w:rStyle w:val="CharSClsNo"/>
        </w:rPr>
        <w:t>214</w:t>
      </w:r>
      <w:r>
        <w:t>.</w:t>
      </w:r>
      <w:r>
        <w:tab/>
        <w:t>Powers of Regulatory Authority to obtain information for rating purposes</w:t>
      </w:r>
      <w:bookmarkEnd w:id="321"/>
    </w:p>
    <w:p>
      <w:pPr>
        <w:pStyle w:val="ySubsection"/>
      </w:pPr>
      <w:r>
        <w:tab/>
      </w:r>
      <w:r>
        <w:tab/>
        <w:t>The Regulatory Authority may, for the purpose of a rating assessment —</w:t>
      </w:r>
    </w:p>
    <w:p>
      <w:pPr>
        <w:pStyle w:val="yIndenta"/>
      </w:pPr>
      <w:r>
        <w:tab/>
        <w:t>(a)</w:t>
      </w:r>
      <w:r>
        <w:tab/>
        <w:t xml:space="preserve">ask the approved provider of the approved education and care service for any information and documents; and </w:t>
      </w:r>
    </w:p>
    <w:p>
      <w:pPr>
        <w:pStyle w:val="yIndenta"/>
      </w:pPr>
      <w:r>
        <w:tab/>
        <w:t>(b)</w:t>
      </w:r>
      <w:r>
        <w:tab/>
        <w:t>make any inquiries it considers appropriate.</w:t>
      </w:r>
    </w:p>
    <w:p>
      <w:pPr>
        <w:pStyle w:val="yHeading5"/>
      </w:pPr>
      <w:bookmarkStart w:id="322" w:name="_Toc80611990"/>
      <w:r>
        <w:rPr>
          <w:rStyle w:val="CharSClsNo"/>
        </w:rPr>
        <w:lastRenderedPageBreak/>
        <w:t>215</w:t>
      </w:r>
      <w:r>
        <w:t>.</w:t>
      </w:r>
      <w:r>
        <w:tab/>
        <w:t>Power of Regulatory Authority to obtain information, documents and evidence by notice</w:t>
      </w:r>
      <w:bookmarkEnd w:id="322"/>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by written notice, require a person —</w:t>
      </w:r>
    </w:p>
    <w:p>
      <w:pPr>
        <w:pStyle w:val="yIndenta"/>
      </w:pPr>
      <w:r>
        <w:tab/>
        <w:t>(a)</w:t>
      </w:r>
      <w:r>
        <w:tab/>
        <w:t>to provide to the Regulatory Authority, in writing signed by that person or, if the person is not an individual, by a competent officer of that person, within the time and in the manner specified in the notice, any relevant information that is specified in the notice; or</w:t>
      </w:r>
    </w:p>
    <w:p>
      <w:pPr>
        <w:pStyle w:val="yIndenta"/>
      </w:pPr>
      <w:r>
        <w:tab/>
        <w:t>(b)</w:t>
      </w:r>
      <w:r>
        <w:tab/>
        <w:t>to produce to the Regulatory Authority, or to a person specified in the notice acting on the Regulatory Authority’s behalf, in accordance with the notice, any relevant document referred to in the notice; or</w:t>
      </w:r>
    </w:p>
    <w:p>
      <w:pPr>
        <w:pStyle w:val="y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ySubsection"/>
      </w:pPr>
      <w:r>
        <w:tab/>
        <w:t>(3)</w:t>
      </w:r>
      <w:r>
        <w:tab/>
        <w:t>The notice must —</w:t>
      </w:r>
    </w:p>
    <w:p>
      <w:pPr>
        <w:pStyle w:val="yIndenta"/>
      </w:pPr>
      <w:r>
        <w:tab/>
        <w:t>(a)</w:t>
      </w:r>
      <w:r>
        <w:tab/>
        <w:t>warn the person that failure or refusal to comply with the notice would constitute an offence; and</w:t>
      </w:r>
    </w:p>
    <w:p>
      <w:pPr>
        <w:pStyle w:val="yIndenta"/>
      </w:pPr>
      <w:r>
        <w:tab/>
        <w:t>(b)</w:t>
      </w:r>
      <w:r>
        <w:tab/>
        <w:t>warn the person about the effect of sections 217, 218 and 219.</w:t>
      </w:r>
    </w:p>
    <w:p>
      <w:pPr>
        <w:pStyle w:val="y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y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23" w:name="_Toc80611991"/>
      <w:r>
        <w:rPr>
          <w:rStyle w:val="CharSClsNo"/>
        </w:rPr>
        <w:lastRenderedPageBreak/>
        <w:t>216</w:t>
      </w:r>
      <w:r>
        <w:t>.</w:t>
      </w:r>
      <w:r>
        <w:tab/>
        <w:t>Power of Regulatory Authority to obtain information, documents and evidence at education and care service</w:t>
      </w:r>
      <w:bookmarkEnd w:id="323"/>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require a person at an education and care service —</w:t>
      </w:r>
    </w:p>
    <w:p>
      <w:pPr>
        <w:pStyle w:val="yIndenta"/>
      </w:pPr>
      <w:r>
        <w:tab/>
        <w:t>(a)</w:t>
      </w:r>
      <w:r>
        <w:tab/>
        <w:t>to provide the Regulatory Authority, or a person acting on the Regulatory Authority’s behalf, with any specified information that is relevant to the suspected offence; or</w:t>
      </w:r>
    </w:p>
    <w:p>
      <w:pPr>
        <w:pStyle w:val="yIndenta"/>
      </w:pPr>
      <w:r>
        <w:tab/>
        <w:t>(b)</w:t>
      </w:r>
      <w:r>
        <w:tab/>
        <w:t>to produce to the Regulatory Authority, or to a person acting on the Regulatory Authority’s behalf, any specified document that is relevant to the suspected offence.</w:t>
      </w:r>
    </w:p>
    <w:p>
      <w:pPr>
        <w:pStyle w:val="ySubsection"/>
      </w:pPr>
      <w:r>
        <w:tab/>
        <w:t>(3)</w:t>
      </w:r>
      <w:r>
        <w:tab/>
        <w:t>The Regulatory Authority must —</w:t>
      </w:r>
    </w:p>
    <w:p>
      <w:pPr>
        <w:pStyle w:val="yIndenta"/>
      </w:pPr>
      <w:r>
        <w:tab/>
        <w:t>(a)</w:t>
      </w:r>
      <w:r>
        <w:tab/>
        <w:t>warn the person that failure or refusal to comply with the requirement would constitute an offence; and</w:t>
      </w:r>
    </w:p>
    <w:p>
      <w:pPr>
        <w:pStyle w:val="yIndenta"/>
      </w:pPr>
      <w:r>
        <w:tab/>
        <w:t>(b)</w:t>
      </w:r>
      <w:r>
        <w:tab/>
        <w:t>warn the person about the effect of sections 217, 218 and 219.</w:t>
      </w:r>
    </w:p>
    <w:p>
      <w:pPr>
        <w:pStyle w:val="ySubsection"/>
      </w:pPr>
      <w:r>
        <w:tab/>
        <w:t>(4)</w:t>
      </w:r>
      <w:r>
        <w:tab/>
        <w:t>The Regulatory Authority must not require a person to remain at the education and care service more than a reasonable time for the purposes of providing information or producing documents under subsection (2).</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spacing w:before="120"/>
      </w:pPr>
      <w:bookmarkStart w:id="324" w:name="_Toc80611992"/>
      <w:r>
        <w:rPr>
          <w:rStyle w:val="CharSClsNo"/>
        </w:rPr>
        <w:t>217</w:t>
      </w:r>
      <w:r>
        <w:t>.</w:t>
      </w:r>
      <w:r>
        <w:tab/>
        <w:t>Offence to fail to comply with notice or requirement</w:t>
      </w:r>
      <w:bookmarkEnd w:id="324"/>
    </w:p>
    <w:p>
      <w:pPr>
        <w:pStyle w:val="ySubsection"/>
      </w:pPr>
      <w:r>
        <w:tab/>
      </w:r>
      <w:r>
        <w:tab/>
        <w:t>A person must not refuse or fail to comply with a requirement under section 215 or 216 to the extent that the person is capable of complying with that requirement.</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spacing w:before="240"/>
      </w:pPr>
      <w:bookmarkStart w:id="325" w:name="_Toc80611993"/>
      <w:r>
        <w:rPr>
          <w:rStyle w:val="CharSClsNo"/>
        </w:rPr>
        <w:t>218</w:t>
      </w:r>
      <w:r>
        <w:t>.</w:t>
      </w:r>
      <w:r>
        <w:tab/>
        <w:t>Offence to hinder or obstruct Regulatory Authority</w:t>
      </w:r>
      <w:bookmarkEnd w:id="325"/>
    </w:p>
    <w:p>
      <w:pPr>
        <w:pStyle w:val="ySubsection"/>
      </w:pPr>
      <w:r>
        <w:tab/>
      </w:r>
      <w:r>
        <w:tab/>
        <w:t>A person must not obstruct or hinder the Regulatory Authority in exercising a power under section 215 or 216.</w:t>
      </w:r>
    </w:p>
    <w:p>
      <w:pPr>
        <w:pStyle w:val="yPenstart"/>
        <w:tabs>
          <w:tab w:val="left" w:pos="1843"/>
        </w:tabs>
      </w:pPr>
      <w:r>
        <w:tab/>
        <w:t>Penalty:</w:t>
      </w:r>
      <w:r>
        <w:tab/>
        <w:t>$8 000, in the case of an individual.</w:t>
      </w:r>
    </w:p>
    <w:p>
      <w:pPr>
        <w:pStyle w:val="yPenstart"/>
        <w:tabs>
          <w:tab w:val="clear" w:pos="879"/>
          <w:tab w:val="left" w:pos="1843"/>
        </w:tabs>
      </w:pPr>
      <w:r>
        <w:lastRenderedPageBreak/>
        <w:tab/>
      </w:r>
      <w:r>
        <w:tab/>
        <w:t>$40 000, in any other case.</w:t>
      </w:r>
    </w:p>
    <w:p>
      <w:pPr>
        <w:pStyle w:val="yHeading5"/>
      </w:pPr>
      <w:bookmarkStart w:id="326" w:name="_Toc80611994"/>
      <w:r>
        <w:rPr>
          <w:rStyle w:val="CharSClsNo"/>
        </w:rPr>
        <w:t>219</w:t>
      </w:r>
      <w:r>
        <w:t>.</w:t>
      </w:r>
      <w:r>
        <w:tab/>
        <w:t>Self-incrimination not an excuse</w:t>
      </w:r>
      <w:bookmarkEnd w:id="326"/>
    </w:p>
    <w:p>
      <w:pPr>
        <w:pStyle w:val="ySubsection"/>
      </w:pPr>
      <w:r>
        <w:tab/>
        <w:t>(1)</w:t>
      </w:r>
      <w:r>
        <w:tab/>
        <w:t>A person is not excused from complying with a notice or requirement under section 215 or 216 on the ground that complying with the notice or requirement may result in information being provided that might tend to incriminate the person.</w:t>
      </w:r>
    </w:p>
    <w:p>
      <w:pPr>
        <w:pStyle w:val="y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ySubsection"/>
      </w:pPr>
      <w:r>
        <w:tab/>
        <w:t>(3)</w:t>
      </w:r>
      <w:r>
        <w:tab/>
        <w:t xml:space="preserve">Despite subsection (2), any information obtained from a document or documents required to be kept under this Law, or required under section 215(2)(b) or 216(2)(b), that is produced by a person is admissible in evidence against the person in </w:t>
      </w:r>
      <w:r>
        <w:rPr>
          <w:szCs w:val="22"/>
        </w:rPr>
        <w:t>disciplinary proceedings or in</w:t>
      </w:r>
      <w:r>
        <w:t xml:space="preserve"> criminal proceedings under this Law.</w:t>
      </w:r>
    </w:p>
    <w:p>
      <w:pPr>
        <w:pStyle w:val="ySubsection"/>
        <w:keepNext/>
      </w:pPr>
      <w:r>
        <w:tab/>
        <w:t>(4)</w:t>
      </w:r>
      <w:r>
        <w:tab/>
        <w:t>In this section —</w:t>
      </w:r>
    </w:p>
    <w:p>
      <w:pPr>
        <w:pStyle w:val="yDefstart"/>
        <w:keepNext/>
      </w:pPr>
      <w:r>
        <w:tab/>
      </w:r>
      <w:r>
        <w:rPr>
          <w:rStyle w:val="CharDefText"/>
        </w:rPr>
        <w:t>disclosed information</w:t>
      </w:r>
      <w:r>
        <w:t xml:space="preserve"> means —</w:t>
      </w:r>
    </w:p>
    <w:p>
      <w:pPr>
        <w:pStyle w:val="yDefpara"/>
      </w:pPr>
      <w:r>
        <w:tab/>
        <w:t>(a)</w:t>
      </w:r>
      <w:r>
        <w:tab/>
        <w:t>the answer by an individual to any question asked under section 215 or 216; or</w:t>
      </w:r>
    </w:p>
    <w:p>
      <w:pPr>
        <w:pStyle w:val="yDefpara"/>
      </w:pPr>
      <w:r>
        <w:tab/>
        <w:t>(b)</w:t>
      </w:r>
      <w:r>
        <w:tab/>
        <w:t>the provision by an individual of any information in compliance with section 215 or 216; or</w:t>
      </w:r>
    </w:p>
    <w:p>
      <w:pPr>
        <w:pStyle w:val="yDefpara"/>
        <w:keepNext/>
        <w:keepLines/>
        <w:rPr>
          <w:i/>
        </w:rPr>
      </w:pPr>
      <w:r>
        <w:tab/>
      </w:r>
      <w:r>
        <w:rPr>
          <w:i/>
        </w:rPr>
        <w:t>[(c)</w:t>
      </w:r>
      <w:r>
        <w:rPr>
          <w:i/>
        </w:rPr>
        <w:tab/>
        <w:t>this national law provision does not apply as a law of WA.]</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3"/>
      </w:pPr>
      <w:bookmarkStart w:id="327" w:name="_Toc80609180"/>
      <w:bookmarkStart w:id="328" w:name="_Toc80611995"/>
      <w:r>
        <w:rPr>
          <w:rStyle w:val="CharSDivNo"/>
        </w:rPr>
        <w:t>Part 10</w:t>
      </w:r>
      <w:r>
        <w:t xml:space="preserve"> — </w:t>
      </w:r>
      <w:r>
        <w:rPr>
          <w:rStyle w:val="CharSDivText"/>
        </w:rPr>
        <w:t>Ministerial Council</w:t>
      </w:r>
      <w:bookmarkEnd w:id="327"/>
      <w:bookmarkEnd w:id="328"/>
    </w:p>
    <w:p>
      <w:pPr>
        <w:pStyle w:val="yHeading5"/>
      </w:pPr>
      <w:bookmarkStart w:id="329" w:name="_Toc80611996"/>
      <w:r>
        <w:rPr>
          <w:rStyle w:val="CharSClsNo"/>
        </w:rPr>
        <w:t>220</w:t>
      </w:r>
      <w:r>
        <w:t>.</w:t>
      </w:r>
      <w:r>
        <w:tab/>
        <w:t>Functions of Ministerial Council</w:t>
      </w:r>
      <w:bookmarkEnd w:id="329"/>
    </w:p>
    <w:p>
      <w:pPr>
        <w:pStyle w:val="ySubsection"/>
      </w:pPr>
      <w:r>
        <w:tab/>
        <w:t>(1)</w:t>
      </w:r>
      <w:r>
        <w:tab/>
        <w:t>The Ministerial Council has the following functions under this Law —</w:t>
      </w:r>
    </w:p>
    <w:p>
      <w:pPr>
        <w:pStyle w:val="yIndenta"/>
      </w:pPr>
      <w:r>
        <w:tab/>
        <w:t>(a)</w:t>
      </w:r>
      <w:r>
        <w:tab/>
        <w:t>to oversee the implementation and administration of the National Quality Framework;</w:t>
      </w:r>
    </w:p>
    <w:p>
      <w:pPr>
        <w:pStyle w:val="yIndenta"/>
      </w:pPr>
      <w:r>
        <w:tab/>
        <w:t>(b)</w:t>
      </w:r>
      <w:r>
        <w:tab/>
        <w:t>to promote uniformity in the application and enforcement of the National Quality Framework;</w:t>
      </w:r>
    </w:p>
    <w:p>
      <w:pPr>
        <w:pStyle w:val="yIndenta"/>
      </w:pPr>
      <w:r>
        <w:lastRenderedPageBreak/>
        <w:tab/>
        <w:t>(c)</w:t>
      </w:r>
      <w:r>
        <w:tab/>
        <w:t>to review and approve the National Quality Standard and set specific standards for education and care services and classes of education and care services;</w:t>
      </w:r>
    </w:p>
    <w:p>
      <w:pPr>
        <w:pStyle w:val="yIndenta"/>
      </w:pPr>
      <w:r>
        <w:tab/>
        <w:t>(d)</w:t>
      </w:r>
      <w:r>
        <w:tab/>
        <w:t>to review and approve the rating level system to be used in rating education and care services;</w:t>
      </w:r>
    </w:p>
    <w:p>
      <w:pPr>
        <w:pStyle w:val="yIndenta"/>
      </w:pPr>
      <w:r>
        <w:tab/>
        <w:t>(e)</w:t>
      </w:r>
      <w:r>
        <w:tab/>
        <w:t>to review and approve the fee structure under this Law;</w:t>
      </w:r>
    </w:p>
    <w:p>
      <w:pPr>
        <w:pStyle w:val="yIndenta"/>
      </w:pPr>
      <w:r>
        <w:tab/>
        <w:t>(f)</w:t>
      </w:r>
      <w:r>
        <w:tab/>
        <w:t>to review and approve new learning frameworks for the purposes of this Law;</w:t>
      </w:r>
    </w:p>
    <w:p>
      <w:pPr>
        <w:pStyle w:val="yIndenta"/>
      </w:pPr>
      <w:r>
        <w:tab/>
        <w:t>(g)</w:t>
      </w:r>
      <w:r>
        <w:tab/>
        <w:t>to monitor the implementation and operation of, and recommend or approve amendments to, this Law;</w:t>
      </w:r>
    </w:p>
    <w:p>
      <w:pPr>
        <w:pStyle w:val="yIndenta"/>
      </w:pPr>
      <w:r>
        <w:tab/>
        <w:t>(h)</w:t>
      </w:r>
      <w:r>
        <w:tab/>
        <w:t xml:space="preserve">to monitor the implementation and operation of the national regulations; </w:t>
      </w:r>
    </w:p>
    <w:p>
      <w:pPr>
        <w:pStyle w:val="yIndenta"/>
      </w:pPr>
      <w:r>
        <w:tab/>
        <w:t>(i)</w:t>
      </w:r>
      <w:r>
        <w:tab/>
        <w:t>to review the education and care services to which this Law applies and recommend, or amend the national regulations to provide for, the inclusion of new classes of education and care services under this Law;</w:t>
      </w:r>
    </w:p>
    <w:p>
      <w:pPr>
        <w:pStyle w:val="yIndenta"/>
      </w:pPr>
      <w:r>
        <w:tab/>
        <w:t>(j)</w:t>
      </w:r>
      <w:r>
        <w:tab/>
        <w:t>to appoint the members of the Board;</w:t>
      </w:r>
    </w:p>
    <w:p>
      <w:pPr>
        <w:pStyle w:val="yIndenta"/>
      </w:pPr>
      <w:r>
        <w:tab/>
        <w:t>(k)</w:t>
      </w:r>
      <w:r>
        <w:tab/>
        <w:t xml:space="preserve">to monitor and review the performance of the National Authority; </w:t>
      </w:r>
    </w:p>
    <w:p>
      <w:pPr>
        <w:pStyle w:val="yIndenta"/>
      </w:pPr>
      <w:r>
        <w:tab/>
        <w:t>(l)</w:t>
      </w:r>
      <w:r>
        <w:tab/>
        <w:t>any other functions given to the Ministerial Council by or under this Law.</w:t>
      </w:r>
    </w:p>
    <w:p>
      <w:pPr>
        <w:pStyle w:val="ySubsection"/>
      </w:pPr>
      <w:r>
        <w:tab/>
        <w:t>(2)</w:t>
      </w:r>
      <w:r>
        <w:tab/>
        <w:t>The Ministerial Council must have regard to the objectives and guiding principles of the National Quality Framework in carrying out its functions.</w:t>
      </w:r>
    </w:p>
    <w:p>
      <w:pPr>
        <w:pStyle w:val="yHeading5"/>
      </w:pPr>
      <w:bookmarkStart w:id="330" w:name="_Toc80611997"/>
      <w:r>
        <w:rPr>
          <w:rStyle w:val="CharSClsNo"/>
        </w:rPr>
        <w:t>221</w:t>
      </w:r>
      <w:r>
        <w:t>.</w:t>
      </w:r>
      <w:r>
        <w:tab/>
        <w:t>Powers of Ministerial Council</w:t>
      </w:r>
      <w:bookmarkEnd w:id="330"/>
    </w:p>
    <w:p>
      <w:pPr>
        <w:pStyle w:val="ySubsection"/>
      </w:pPr>
      <w:r>
        <w:tab/>
      </w:r>
      <w:r>
        <w:tab/>
        <w:t>The Ministerial Council may —</w:t>
      </w:r>
    </w:p>
    <w:p>
      <w:pPr>
        <w:pStyle w:val="yIndenta"/>
      </w:pPr>
      <w:r>
        <w:tab/>
        <w:t>(a)</w:t>
      </w:r>
      <w:r>
        <w:tab/>
        <w:t>make recommendations to the Board in relation to the exercise of the National Authority’s functions under this Law; and</w:t>
      </w:r>
    </w:p>
    <w:p>
      <w:pPr>
        <w:pStyle w:val="yIndenta"/>
      </w:pPr>
      <w:r>
        <w:tab/>
        <w:t>(b)</w:t>
      </w:r>
      <w:r>
        <w:tab/>
        <w:t>refer any matter to the Board for consideration and advice; and</w:t>
      </w:r>
    </w:p>
    <w:p>
      <w:pPr>
        <w:pStyle w:val="yIndenta"/>
        <w:rPr>
          <w:i/>
        </w:rPr>
      </w:pPr>
      <w:r>
        <w:tab/>
      </w:r>
      <w:r>
        <w:rPr>
          <w:i/>
        </w:rPr>
        <w:t>[(c)</w:t>
      </w:r>
      <w:r>
        <w:rPr>
          <w:i/>
        </w:rPr>
        <w:tab/>
        <w:t>this national law provision does not apply as a law of WA.]</w:t>
      </w:r>
    </w:p>
    <w:p>
      <w:pPr>
        <w:pStyle w:val="yIndenta"/>
        <w:keepNext/>
      </w:pPr>
      <w:r>
        <w:lastRenderedPageBreak/>
        <w:tab/>
        <w:t>(d)</w:t>
      </w:r>
      <w:r>
        <w:tab/>
        <w:t>do anything necessary or convenient to be done in carrying out its functions.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221 of the national law as set out in the Schedule to </w:t>
      </w:r>
      <w:r>
        <w:rPr>
          <w:rFonts w:ascii="Arial" w:hAnsi="Arial" w:cs="Arial"/>
          <w:i/>
          <w:sz w:val="18"/>
          <w:szCs w:val="18"/>
        </w:rPr>
        <w:t>the Education and Care Services National Law Act 2010</w:t>
      </w:r>
      <w:r>
        <w:rPr>
          <w:rFonts w:ascii="Arial" w:hAnsi="Arial" w:cs="Arial"/>
          <w:sz w:val="18"/>
          <w:szCs w:val="18"/>
        </w:rPr>
        <w:t xml:space="preserve"> (Victoria).</w:t>
      </w:r>
    </w:p>
    <w:p>
      <w:pPr>
        <w:pStyle w:val="yHeading5"/>
      </w:pPr>
      <w:bookmarkStart w:id="331" w:name="_Toc80611998"/>
      <w:r>
        <w:rPr>
          <w:rStyle w:val="CharSClsNo"/>
        </w:rPr>
        <w:t>222</w:t>
      </w:r>
      <w:r>
        <w:t>.</w:t>
      </w:r>
      <w:r>
        <w:tab/>
        <w:t>Directions</w:t>
      </w:r>
      <w:bookmarkEnd w:id="331"/>
    </w:p>
    <w:p>
      <w:pPr>
        <w:pStyle w:val="ySubsection"/>
      </w:pPr>
      <w:r>
        <w:tab/>
        <w:t>(1)</w:t>
      </w:r>
      <w:r>
        <w:tab/>
        <w:t>The Ministerial Council may give directions to the Board in relation to the carrying out of the National Authority’s functions under this Law, including the following —</w:t>
      </w:r>
    </w:p>
    <w:p>
      <w:pPr>
        <w:pStyle w:val="yIndenta"/>
      </w:pPr>
      <w:r>
        <w:tab/>
        <w:t>(a)</w:t>
      </w:r>
      <w:r>
        <w:tab/>
        <w:t>reporting and accountability to the Ministerial Council and Regulatory Authorities;</w:t>
      </w:r>
    </w:p>
    <w:p>
      <w:pPr>
        <w:pStyle w:val="yIndenta"/>
      </w:pPr>
      <w:r>
        <w:tab/>
        <w:t>(b)</w:t>
      </w:r>
      <w:r>
        <w:tab/>
        <w:t>the application of the National Quality Framework;</w:t>
      </w:r>
    </w:p>
    <w:p>
      <w:pPr>
        <w:pStyle w:val="yIndenta"/>
      </w:pPr>
      <w:r>
        <w:tab/>
        <w:t>(c)</w:t>
      </w:r>
      <w:r>
        <w:tab/>
        <w:t>the rating level system to be used in rating education and care services;</w:t>
      </w:r>
    </w:p>
    <w:p>
      <w:pPr>
        <w:pStyle w:val="yIndenta"/>
      </w:pPr>
      <w:r>
        <w:tab/>
        <w:t>(d)</w:t>
      </w:r>
      <w:r>
        <w:tab/>
        <w:t>the collection and use of information.</w:t>
      </w:r>
    </w:p>
    <w:p>
      <w:pPr>
        <w:pStyle w:val="ySubsection"/>
      </w:pPr>
      <w:r>
        <w:tab/>
        <w:t>(2)</w:t>
      </w:r>
      <w:r>
        <w:tab/>
        <w:t>The Ministerial Council may give directions to a Regulatory Authority with respect to the administration of the National Quality Framework.</w:t>
      </w:r>
    </w:p>
    <w:p>
      <w:pPr>
        <w:pStyle w:val="ySubsection"/>
      </w:pPr>
      <w:r>
        <w:tab/>
        <w:t>(3)</w:t>
      </w:r>
      <w:r>
        <w:tab/>
        <w:t>A direction under this section cannot be about —</w:t>
      </w:r>
    </w:p>
    <w:p>
      <w:pPr>
        <w:pStyle w:val="yIndenta"/>
      </w:pPr>
      <w:r>
        <w:tab/>
        <w:t>(a)</w:t>
      </w:r>
      <w:r>
        <w:tab/>
        <w:t>a particular person or education and care service; or</w:t>
      </w:r>
    </w:p>
    <w:p>
      <w:pPr>
        <w:pStyle w:val="yIndenta"/>
      </w:pPr>
      <w:r>
        <w:tab/>
        <w:t>(b)</w:t>
      </w:r>
      <w:r>
        <w:tab/>
        <w:t>a particular application, approval, notification, assessment or proceeding; or</w:t>
      </w:r>
    </w:p>
    <w:p>
      <w:pPr>
        <w:pStyle w:val="yIndenta"/>
      </w:pPr>
      <w:r>
        <w:tab/>
        <w:t>(c)</w:t>
      </w:r>
      <w:r>
        <w:tab/>
        <w:t>the determination of a rating for a particular education and care service.</w:t>
      </w:r>
    </w:p>
    <w:p>
      <w:pPr>
        <w:pStyle w:val="ySubsection"/>
      </w:pPr>
      <w:r>
        <w:tab/>
        <w:t>(4)</w:t>
      </w:r>
      <w:r>
        <w:tab/>
        <w:t>A direction must be in writing.</w:t>
      </w:r>
    </w:p>
    <w:p>
      <w:pPr>
        <w:pStyle w:val="ySubsection"/>
      </w:pPr>
      <w:r>
        <w:tab/>
        <w:t>(5)</w:t>
      </w:r>
      <w:r>
        <w:tab/>
        <w:t>A direction must not be inconsistent with this Law.</w:t>
      </w:r>
    </w:p>
    <w:p>
      <w:pPr>
        <w:pStyle w:val="ySubsection"/>
      </w:pPr>
      <w:r>
        <w:tab/>
        <w:t>(6)</w:t>
      </w:r>
      <w:r>
        <w:tab/>
        <w:t>A direction is not a legislative instrument or an instrument of a legislative character.</w:t>
      </w:r>
    </w:p>
    <w:p>
      <w:pPr>
        <w:pStyle w:val="ySubsection"/>
      </w:pPr>
      <w:r>
        <w:tab/>
        <w:t>(7)</w:t>
      </w:r>
      <w:r>
        <w:tab/>
        <w:t>A direction to the Board under this section must be given to the Chairperson of the Board.</w:t>
      </w:r>
    </w:p>
    <w:p>
      <w:pPr>
        <w:pStyle w:val="ySubsection"/>
      </w:pPr>
      <w:r>
        <w:lastRenderedPageBreak/>
        <w:tab/>
        <w:t>(8)</w:t>
      </w:r>
      <w:r>
        <w:tab/>
        <w:t>The Board or a Regulatory Authority must comply with a direction given to the Board or the Authority by the Ministerial Council under this section.</w:t>
      </w:r>
    </w:p>
    <w:p>
      <w:pPr>
        <w:pStyle w:val="yHeading5"/>
      </w:pPr>
      <w:bookmarkStart w:id="332" w:name="_Toc80611999"/>
      <w:r>
        <w:rPr>
          <w:rStyle w:val="CharSClsNo"/>
        </w:rPr>
        <w:t>223</w:t>
      </w:r>
      <w:r>
        <w:t>.</w:t>
      </w:r>
      <w:r>
        <w:tab/>
        <w:t>How Ministerial Council exercises powers</w:t>
      </w:r>
      <w:bookmarkEnd w:id="332"/>
    </w:p>
    <w:p>
      <w:pPr>
        <w:pStyle w:val="ySubsection"/>
      </w:pPr>
      <w:r>
        <w:tab/>
        <w:t>(1)</w:t>
      </w:r>
      <w:r>
        <w:tab/>
        <w:t>The Ministerial Council is to give a direction for the purposes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3"/>
      </w:pPr>
      <w:bookmarkStart w:id="333" w:name="_Toc80609185"/>
      <w:bookmarkStart w:id="334" w:name="_Toc80612000"/>
      <w:r>
        <w:rPr>
          <w:rStyle w:val="CharSDivNo"/>
        </w:rPr>
        <w:t>Part 11</w:t>
      </w:r>
      <w:r>
        <w:t xml:space="preserve"> — </w:t>
      </w:r>
      <w:r>
        <w:rPr>
          <w:rStyle w:val="CharSDivText"/>
        </w:rPr>
        <w:t>Australian Children’s Education and Care Quality Authority</w:t>
      </w:r>
      <w:bookmarkEnd w:id="333"/>
      <w:bookmarkEnd w:id="334"/>
    </w:p>
    <w:p>
      <w:pPr>
        <w:pStyle w:val="yHeading4"/>
      </w:pPr>
      <w:bookmarkStart w:id="335" w:name="_Toc80609186"/>
      <w:bookmarkStart w:id="336" w:name="_Toc80612001"/>
      <w:r>
        <w:t>Division 1</w:t>
      </w:r>
      <w:r>
        <w:rPr>
          <w:b w:val="0"/>
        </w:rPr>
        <w:t xml:space="preserve"> — </w:t>
      </w:r>
      <w:r>
        <w:t>The National Authority</w:t>
      </w:r>
      <w:bookmarkEnd w:id="335"/>
      <w:bookmarkEnd w:id="336"/>
    </w:p>
    <w:p>
      <w:pPr>
        <w:pStyle w:val="yHeading5"/>
      </w:pPr>
      <w:bookmarkStart w:id="337" w:name="_Toc80612002"/>
      <w:r>
        <w:rPr>
          <w:rStyle w:val="CharSClsNo"/>
        </w:rPr>
        <w:t>224</w:t>
      </w:r>
      <w:r>
        <w:t>.</w:t>
      </w:r>
      <w:r>
        <w:tab/>
        <w:t>National Authority</w:t>
      </w:r>
      <w:bookmarkEnd w:id="337"/>
    </w:p>
    <w:p>
      <w:pPr>
        <w:pStyle w:val="ySubsection"/>
      </w:pPr>
      <w:r>
        <w:tab/>
        <w:t>(1)</w:t>
      </w:r>
      <w:r>
        <w:tab/>
        <w:t>The Australian Children’s Education and Care Quality Authority is established.</w:t>
      </w:r>
    </w:p>
    <w:p>
      <w:pPr>
        <w:pStyle w:val="ySubsection"/>
      </w:pPr>
      <w:r>
        <w:tab/>
        <w:t>(2)</w:t>
      </w:r>
      <w:r>
        <w:tab/>
        <w:t>The National Authority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Authority represents the State.</w:t>
      </w:r>
    </w:p>
    <w:p>
      <w:pPr>
        <w:pStyle w:val="yHeading5"/>
      </w:pPr>
      <w:bookmarkStart w:id="338" w:name="_Toc80612003"/>
      <w:r>
        <w:rPr>
          <w:rStyle w:val="CharSClsNo"/>
        </w:rPr>
        <w:t>225</w:t>
      </w:r>
      <w:r>
        <w:t>.</w:t>
      </w:r>
      <w:r>
        <w:tab/>
        <w:t>Functions of National Authority</w:t>
      </w:r>
      <w:bookmarkEnd w:id="338"/>
    </w:p>
    <w:p>
      <w:pPr>
        <w:pStyle w:val="ySubsection"/>
      </w:pPr>
      <w:r>
        <w:tab/>
        <w:t>(1)</w:t>
      </w:r>
      <w:r>
        <w:tab/>
        <w:t>The functions of the National Authority are as follows —</w:t>
      </w:r>
    </w:p>
    <w:p>
      <w:pPr>
        <w:pStyle w:val="yIndenta"/>
      </w:pPr>
      <w:r>
        <w:tab/>
        <w:t>(a)</w:t>
      </w:r>
      <w:r>
        <w:tab/>
        <w:t>to guide the implementation and administration of the National Quality Framework and to monitor and promote consistency in its implementation and administration;</w:t>
      </w:r>
    </w:p>
    <w:p>
      <w:pPr>
        <w:pStyle w:val="yIndenta"/>
      </w:pPr>
      <w:r>
        <w:tab/>
        <w:t>(b)</w:t>
      </w:r>
      <w:r>
        <w:tab/>
        <w:t>to report to and advise the Ministerial Council on the National Quality Framework;</w:t>
      </w:r>
    </w:p>
    <w:p>
      <w:pPr>
        <w:pStyle w:val="yIndenta"/>
        <w:keepNext/>
      </w:pPr>
      <w:r>
        <w:lastRenderedPageBreak/>
        <w:tab/>
        <w:t>(c)</w:t>
      </w:r>
      <w:r>
        <w:tab/>
        <w:t>to report to the Regulatory Authorities and the relevant Commonwealth Department in relation to the following —</w:t>
      </w:r>
    </w:p>
    <w:p>
      <w:pPr>
        <w:pStyle w:val="yIndenti0"/>
      </w:pPr>
      <w:r>
        <w:tab/>
        <w:t>(i)</w:t>
      </w:r>
      <w:r>
        <w:tab/>
        <w:t>the collection of information under this Law;</w:t>
      </w:r>
    </w:p>
    <w:p>
      <w:pPr>
        <w:pStyle w:val="yIndenti0"/>
      </w:pPr>
      <w:r>
        <w:tab/>
        <w:t>(ii)</w:t>
      </w:r>
      <w:r>
        <w:tab/>
        <w:t>the evaluation of the National Quality Framework;</w:t>
      </w:r>
    </w:p>
    <w:p>
      <w:pPr>
        <w:pStyle w:val="yIndenta"/>
      </w:pPr>
      <w:r>
        <w:tab/>
        <w:t>(d)</w:t>
      </w:r>
      <w:r>
        <w:tab/>
        <w:t>to establish consistent, effective and efficient procedures for the operation of the National Quality Framework;</w:t>
      </w:r>
    </w:p>
    <w:p>
      <w:pPr>
        <w:pStyle w:val="yIndenta"/>
      </w:pPr>
      <w:r>
        <w:tab/>
        <w:t>(e)</w:t>
      </w:r>
      <w:r>
        <w:tab/>
        <w:t>to determine the arrangements for national auditing for the purposes of this Law;</w:t>
      </w:r>
    </w:p>
    <w:p>
      <w:pPr>
        <w:pStyle w:val="yIndenta"/>
      </w:pPr>
      <w:r>
        <w:tab/>
        <w:t>(f)</w:t>
      </w:r>
      <w:r>
        <w:tab/>
        <w:t>to keep national information on the assessment, rating and regulation of education and care services;</w:t>
      </w:r>
    </w:p>
    <w:p>
      <w:pPr>
        <w:pStyle w:val="yIndenta"/>
      </w:pPr>
      <w:r>
        <w:tab/>
        <w:t>(g)</w:t>
      </w:r>
      <w:r>
        <w:tab/>
        <w:t>to establish and maintain national registers of approved providers and approved education and care services and to publish those registers;</w:t>
      </w:r>
    </w:p>
    <w:p>
      <w:pPr>
        <w:pStyle w:val="yIndenta"/>
      </w:pPr>
      <w:r>
        <w:tab/>
        <w:t>(h)</w:t>
      </w:r>
      <w:r>
        <w:tab/>
        <w:t>to promote and foster continuous quality improvement by approved education and care services;</w:t>
      </w:r>
    </w:p>
    <w:p>
      <w:pPr>
        <w:pStyle w:val="yIndenta"/>
      </w:pPr>
      <w:r>
        <w:tab/>
        <w:t>(i)</w:t>
      </w:r>
      <w:r>
        <w:tab/>
        <w:t>to publish, monitor and review ratings of approved education and care services;</w:t>
      </w:r>
    </w:p>
    <w:p>
      <w:pPr>
        <w:pStyle w:val="yIndenta"/>
      </w:pPr>
      <w:r>
        <w:tab/>
        <w:t>(j)</w:t>
      </w:r>
      <w:r>
        <w:tab/>
        <w:t>to make determinations with respect to the highest level of rating for approved education and care services;</w:t>
      </w:r>
    </w:p>
    <w:p>
      <w:pPr>
        <w:pStyle w:val="yIndenta"/>
      </w:pPr>
      <w:r>
        <w:tab/>
        <w:t>(k)</w:t>
      </w:r>
      <w:r>
        <w:tab/>
        <w:t>in conjunction with the Regulatory Authorities, to educate and inform education and care services and the community about the National Quality Framework;</w:t>
      </w:r>
    </w:p>
    <w:p>
      <w:pPr>
        <w:pStyle w:val="yIndenta"/>
      </w:pPr>
      <w:r>
        <w:tab/>
        <w:t>(l)</w:t>
      </w:r>
      <w:r>
        <w:tab/>
        <w:t>to publish guides and resources —</w:t>
      </w:r>
    </w:p>
    <w:p>
      <w:pPr>
        <w:pStyle w:val="yIndenti0"/>
      </w:pPr>
      <w:r>
        <w:tab/>
        <w:t>(i)</w:t>
      </w:r>
      <w:r>
        <w:tab/>
        <w:t>to support parents, family members  and the community in understanding quality in relation to education and care services; and</w:t>
      </w:r>
    </w:p>
    <w:p>
      <w:pPr>
        <w:pStyle w:val="yIndenti0"/>
      </w:pPr>
      <w:r>
        <w:tab/>
        <w:t>(ii)</w:t>
      </w:r>
      <w:r>
        <w:tab/>
        <w:t>to support the education and care services sector in understanding the National Quality Framework;</w:t>
      </w:r>
    </w:p>
    <w:p>
      <w:pPr>
        <w:pStyle w:val="yIndenta"/>
      </w:pPr>
      <w:r>
        <w:tab/>
        <w:t>(m)</w:t>
      </w:r>
      <w:r>
        <w:tab/>
        <w:t>to publish information about the implementation and administration of the National Quality Framework and its effect on developmental and educational outcomes for children;</w:t>
      </w:r>
    </w:p>
    <w:p>
      <w:pPr>
        <w:pStyle w:val="yIndenta"/>
      </w:pPr>
      <w:r>
        <w:tab/>
        <w:t>(n)</w:t>
      </w:r>
      <w:r>
        <w:tab/>
        <w:t>to publish practice notes and guidelines for the application of this Law;</w:t>
      </w:r>
    </w:p>
    <w:p>
      <w:pPr>
        <w:pStyle w:val="yIndenta"/>
      </w:pPr>
      <w:r>
        <w:tab/>
        <w:t>(o)</w:t>
      </w:r>
      <w:r>
        <w:tab/>
        <w:t>to provide support and training for staff of Regulatory Authorities;</w:t>
      </w:r>
    </w:p>
    <w:p>
      <w:pPr>
        <w:pStyle w:val="yIndenta"/>
      </w:pPr>
      <w:r>
        <w:lastRenderedPageBreak/>
        <w:tab/>
        <w:t>(p)</w:t>
      </w:r>
      <w:r>
        <w:tab/>
        <w:t xml:space="preserve">to determine the qualifications required to be held by educators, including the assessment of equivalent qualifications; </w:t>
      </w:r>
    </w:p>
    <w:p>
      <w:pPr>
        <w:pStyle w:val="yIndenta"/>
      </w:pPr>
      <w:r>
        <w:tab/>
        <w:t>(q)</w:t>
      </w:r>
      <w:r>
        <w:tab/>
        <w:t>any other function given to the National Authority by or under this Law.</w:t>
      </w:r>
    </w:p>
    <w:p>
      <w:pPr>
        <w:pStyle w:val="ySubsection"/>
      </w:pPr>
      <w:r>
        <w:tab/>
        <w:t>(2)</w:t>
      </w:r>
      <w:r>
        <w:tab/>
        <w:t>In carrying out its functions, the National Authority must ensure that the regulatory burden on education and care services is minimised as far as possible.</w:t>
      </w:r>
    </w:p>
    <w:p>
      <w:pPr>
        <w:pStyle w:val="ySubsection"/>
        <w:keepNext/>
      </w:pPr>
      <w:r>
        <w:tab/>
        <w:t>(3)</w:t>
      </w:r>
      <w:r>
        <w:tab/>
        <w:t>In carrying out its functions, the National Authority must have regard to the objectives and guiding principles of the National Quality Framework.</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225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225 amended: No. 18 of 2018 s. 76.]</w:t>
      </w:r>
    </w:p>
    <w:p>
      <w:pPr>
        <w:pStyle w:val="yHeading5"/>
      </w:pPr>
      <w:bookmarkStart w:id="339" w:name="_Toc80612004"/>
      <w:r>
        <w:rPr>
          <w:rStyle w:val="CharSClsNo"/>
        </w:rPr>
        <w:t>226</w:t>
      </w:r>
      <w:r>
        <w:t>.</w:t>
      </w:r>
      <w:r>
        <w:tab/>
        <w:t>National Authority may advise and seek guidance of Ministerial Council</w:t>
      </w:r>
      <w:bookmarkEnd w:id="339"/>
    </w:p>
    <w:p>
      <w:pPr>
        <w:pStyle w:val="ySubsection"/>
      </w:pPr>
      <w:r>
        <w:tab/>
      </w:r>
      <w:r>
        <w:tab/>
        <w:t>The National Authority may provide advice to and seek the guidance of the Ministerial Council if the National Authority considers it necessary in carrying out its functions under this Law.</w:t>
      </w:r>
    </w:p>
    <w:p>
      <w:pPr>
        <w:pStyle w:val="yHeading5"/>
      </w:pPr>
      <w:bookmarkStart w:id="340" w:name="_Toc80612005"/>
      <w:r>
        <w:rPr>
          <w:rStyle w:val="CharSClsNo"/>
        </w:rPr>
        <w:t>227</w:t>
      </w:r>
      <w:r>
        <w:t>.</w:t>
      </w:r>
      <w:r>
        <w:tab/>
        <w:t>Powers of National Authority</w:t>
      </w:r>
      <w:bookmarkEnd w:id="340"/>
    </w:p>
    <w:p>
      <w:pPr>
        <w:pStyle w:val="ySubsection"/>
      </w:pPr>
      <w:r>
        <w:tab/>
        <w:t>(1)</w:t>
      </w:r>
      <w:r>
        <w:tab/>
        <w:t>The National Authority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borrow and invest money; and</w:t>
      </w:r>
    </w:p>
    <w:p>
      <w:pPr>
        <w:pStyle w:val="yIndenta"/>
      </w:pPr>
      <w:r>
        <w:tab/>
        <w:t>(d)</w:t>
      </w:r>
      <w:r>
        <w:tab/>
        <w:t>develop and supply resources and consultancy services to the education and care sector on a commercial basis; and</w:t>
      </w:r>
    </w:p>
    <w:p>
      <w:pPr>
        <w:pStyle w:val="yIndenta"/>
      </w:pPr>
      <w:r>
        <w:tab/>
        <w:t>(e)</w:t>
      </w:r>
      <w:r>
        <w:tab/>
        <w:t>do anything necessary or convenient to be done in carrying out its functions.</w:t>
      </w:r>
    </w:p>
    <w:p>
      <w:pPr>
        <w:pStyle w:val="ySubsection"/>
      </w:pPr>
      <w:r>
        <w:tab/>
        <w:t>(2)</w:t>
      </w:r>
      <w:r>
        <w:tab/>
        <w:t>Without limiting subsection (1), the National Authority may —</w:t>
      </w:r>
    </w:p>
    <w:p>
      <w:pPr>
        <w:pStyle w:val="yIndenta"/>
      </w:pPr>
      <w:r>
        <w:lastRenderedPageBreak/>
        <w:tab/>
        <w:t>(a)</w:t>
      </w:r>
      <w: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pPr>
        <w:pStyle w:val="y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270, which provides for the National Authority to publish information about approved providers.</w:t>
      </w:r>
    </w:p>
    <w:p>
      <w:pPr>
        <w:pStyle w:val="y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yIndenta"/>
      </w:pPr>
      <w:r>
        <w:tab/>
        <w:t>(c)</w:t>
      </w:r>
      <w:r>
        <w:tab/>
        <w:t>collect, waive, reduce, defer and refund fees and enter into agreements in relation to fees in accordance with the national regulations; and</w:t>
      </w:r>
    </w:p>
    <w:p>
      <w:pPr>
        <w:pStyle w:val="yIndenta"/>
      </w:pPr>
      <w:r>
        <w:tab/>
        <w:t>(d)</w:t>
      </w:r>
      <w:r>
        <w:tab/>
        <w:t>enter into agreements in relation to fees and funding with the Regulatory Authorities; and</w:t>
      </w:r>
    </w:p>
    <w:p>
      <w:pPr>
        <w:pStyle w:val="yIndenta"/>
      </w:pPr>
      <w:r>
        <w:tab/>
        <w:t>(e)</w:t>
      </w:r>
      <w:r>
        <w:tab/>
        <w:t>undertake research and evaluation activities for the purpose of its functions under this Law.</w:t>
      </w:r>
    </w:p>
    <w:p>
      <w:pPr>
        <w:pStyle w:val="yHeading5"/>
      </w:pPr>
      <w:bookmarkStart w:id="341" w:name="_Toc80612006"/>
      <w:r>
        <w:rPr>
          <w:rStyle w:val="CharSClsNo"/>
        </w:rPr>
        <w:t>228</w:t>
      </w:r>
      <w:r>
        <w:t>.</w:t>
      </w:r>
      <w:r>
        <w:tab/>
        <w:t>Co</w:t>
      </w:r>
      <w:r>
        <w:noBreakHyphen/>
        <w:t>operation with participating jurisdictions and Commonwealth</w:t>
      </w:r>
      <w:bookmarkEnd w:id="341"/>
    </w:p>
    <w:p>
      <w:pPr>
        <w:pStyle w:val="y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yIndenta"/>
      </w:pPr>
      <w:r>
        <w:tab/>
        <w:t>(a)</w:t>
      </w:r>
      <w:r>
        <w:tab/>
        <w:t>a government agency of a participating jurisdiction or of the Commonwealth; or</w:t>
      </w:r>
    </w:p>
    <w:p>
      <w:pPr>
        <w:pStyle w:val="yIndenta"/>
      </w:pPr>
      <w:r>
        <w:tab/>
        <w:t>(b)</w:t>
      </w:r>
      <w:r>
        <w:tab/>
        <w:t>an educational body or other body established by or under a law of a participating jurisdiction or the Commonwealth; or</w:t>
      </w:r>
    </w:p>
    <w:p>
      <w:pPr>
        <w:pStyle w:val="yIndenta"/>
      </w:pPr>
      <w:r>
        <w:tab/>
        <w:t>(c)</w:t>
      </w:r>
      <w:r>
        <w:tab/>
        <w:t>a prescribed body or body in a prescribed class of bodies.</w:t>
      </w:r>
    </w:p>
    <w:p>
      <w:pPr>
        <w:pStyle w:val="ySubsection"/>
      </w:pPr>
      <w:r>
        <w:tab/>
        <w:t>(2)</w:t>
      </w:r>
      <w:r>
        <w:tab/>
        <w:t>In particular, the National Authority may —</w:t>
      </w:r>
    </w:p>
    <w:p>
      <w:pPr>
        <w:pStyle w:val="yIndenta"/>
      </w:pPr>
      <w:r>
        <w:tab/>
        <w:t>(a)</w:t>
      </w:r>
      <w:r>
        <w:tab/>
        <w:t>ask a person or body referred to in subsection (1) for information that the Authority requires to carry out its functions under this Law; and</w:t>
      </w:r>
    </w:p>
    <w:p>
      <w:pPr>
        <w:pStyle w:val="yIndenta"/>
      </w:pPr>
      <w:r>
        <w:tab/>
        <w:t>(b)</w:t>
      </w:r>
      <w:r>
        <w:tab/>
        <w:t>use the information to carry out its functions under this Law.</w:t>
      </w:r>
    </w:p>
    <w:p>
      <w:pPr>
        <w:pStyle w:val="ySubsection"/>
      </w:pPr>
      <w:r>
        <w:lastRenderedPageBreak/>
        <w:tab/>
        <w:t>(3)</w:t>
      </w:r>
      <w:r>
        <w:tab/>
        <w:t>A person or body referred to in subsection (1) that receives a request for information from the National Authority is authorised to give the information to the National Authority.</w:t>
      </w:r>
    </w:p>
    <w:p>
      <w:pPr>
        <w:pStyle w:val="yHeading5"/>
      </w:pPr>
      <w:bookmarkStart w:id="342" w:name="_Toc80612007"/>
      <w:r>
        <w:rPr>
          <w:rStyle w:val="CharSClsNo"/>
        </w:rPr>
        <w:t>229</w:t>
      </w:r>
      <w:r>
        <w:t>.</w:t>
      </w:r>
      <w:r>
        <w:tab/>
        <w:t>National audit functions</w:t>
      </w:r>
      <w:bookmarkEnd w:id="342"/>
    </w:p>
    <w:p>
      <w:pPr>
        <w:pStyle w:val="ySubsection"/>
      </w:pPr>
      <w:r>
        <w:tab/>
        <w:t>(1)</w:t>
      </w:r>
      <w:r>
        <w:tab/>
        <w:t>The National Authority is to undertake national audits of the administration of the National Quality Framework and —</w:t>
      </w:r>
    </w:p>
    <w:p>
      <w:pPr>
        <w:pStyle w:val="yIndenta"/>
      </w:pPr>
      <w:r>
        <w:tab/>
        <w:t>(a)</w:t>
      </w:r>
      <w:r>
        <w:tab/>
        <w:t>review the findings of the national audit processes; and</w:t>
      </w:r>
    </w:p>
    <w:p>
      <w:pPr>
        <w:pStyle w:val="yIndenta"/>
      </w:pPr>
      <w:r>
        <w:tab/>
        <w:t>(b)</w:t>
      </w:r>
      <w:r>
        <w:tab/>
        <w:t>evaluate trends in the administration of the National Quality Framework across participating jurisdictions; and</w:t>
      </w:r>
    </w:p>
    <w:p>
      <w:pPr>
        <w:pStyle w:val="yIndenta"/>
      </w:pPr>
      <w:r>
        <w:tab/>
        <w:t>(c)</w:t>
      </w:r>
      <w:r>
        <w:tab/>
        <w:t>advise the Regulatory Authorities about the outcomes of the national audit processes and its evaluations; and</w:t>
      </w:r>
    </w:p>
    <w:p>
      <w:pPr>
        <w:pStyle w:val="yIndenta"/>
      </w:pPr>
      <w:r>
        <w:tab/>
        <w:t>(d)</w:t>
      </w:r>
      <w:r>
        <w:tab/>
        <w:t>report to the Ministerial Council on the outcomes of the national audit and evaluation processes.</w:t>
      </w:r>
    </w:p>
    <w:p>
      <w:pPr>
        <w:pStyle w:val="ySubsection"/>
      </w:pPr>
      <w:r>
        <w:tab/>
        <w:t>(2)</w:t>
      </w:r>
      <w:r>
        <w:tab/>
        <w:t>The audits are to be undertaken at the intervals, and by the means, determined by the National Authority.</w:t>
      </w:r>
    </w:p>
    <w:p>
      <w:pPr>
        <w:pStyle w:val="yHeading4"/>
      </w:pPr>
      <w:bookmarkStart w:id="343" w:name="_Toc80609193"/>
      <w:bookmarkStart w:id="344" w:name="_Toc80612008"/>
      <w:r>
        <w:t>Division 2</w:t>
      </w:r>
      <w:r>
        <w:rPr>
          <w:b w:val="0"/>
        </w:rPr>
        <w:t xml:space="preserve"> — </w:t>
      </w:r>
      <w:r>
        <w:t>The Board of the National Authority</w:t>
      </w:r>
      <w:bookmarkEnd w:id="343"/>
      <w:bookmarkEnd w:id="344"/>
    </w:p>
    <w:p>
      <w:pPr>
        <w:pStyle w:val="yHeading4"/>
      </w:pPr>
      <w:bookmarkStart w:id="345" w:name="_Toc80609194"/>
      <w:bookmarkStart w:id="346" w:name="_Toc80612009"/>
      <w:r>
        <w:t>Subdivision 1 — Establishment and responsibilities</w:t>
      </w:r>
      <w:bookmarkEnd w:id="345"/>
      <w:bookmarkEnd w:id="346"/>
    </w:p>
    <w:p>
      <w:pPr>
        <w:pStyle w:val="yHeading5"/>
      </w:pPr>
      <w:bookmarkStart w:id="347" w:name="_Toc80612010"/>
      <w:r>
        <w:rPr>
          <w:rStyle w:val="CharSClsNo"/>
        </w:rPr>
        <w:t>230</w:t>
      </w:r>
      <w:r>
        <w:t>.</w:t>
      </w:r>
      <w:r>
        <w:tab/>
        <w:t>National Authority Board</w:t>
      </w:r>
      <w:bookmarkEnd w:id="347"/>
    </w:p>
    <w:p>
      <w:pPr>
        <w:pStyle w:val="ySubsection"/>
      </w:pPr>
      <w:r>
        <w:tab/>
      </w:r>
      <w:r>
        <w:tab/>
        <w:t>The National Authority has a governing body known as the Australian Children’s Education and Care Quality Authority Board.</w:t>
      </w:r>
    </w:p>
    <w:p>
      <w:pPr>
        <w:pStyle w:val="yHeading5"/>
      </w:pPr>
      <w:bookmarkStart w:id="348" w:name="_Toc80612011"/>
      <w:r>
        <w:rPr>
          <w:rStyle w:val="CharSClsNo"/>
        </w:rPr>
        <w:t>231</w:t>
      </w:r>
      <w:r>
        <w:t>.</w:t>
      </w:r>
      <w:r>
        <w:tab/>
        <w:t>Responsibilities of Board</w:t>
      </w:r>
      <w:bookmarkEnd w:id="348"/>
    </w:p>
    <w:p>
      <w:pPr>
        <w:pStyle w:val="ySubsection"/>
      </w:pPr>
      <w:r>
        <w:tab/>
        <w:t>(1)</w:t>
      </w:r>
      <w:r>
        <w:tab/>
        <w:t>The affairs of the National Authority are to be controlled by the Board.</w:t>
      </w:r>
    </w:p>
    <w:p>
      <w:pPr>
        <w:pStyle w:val="ySubsection"/>
      </w:pPr>
      <w:r>
        <w:tab/>
        <w:t>(2)</w:t>
      </w:r>
      <w:r>
        <w:tab/>
        <w:t>The Board has all the powers and duties and all the functions of the National Authority.</w:t>
      </w:r>
    </w:p>
    <w:p>
      <w:pPr>
        <w:pStyle w:val="ySubsection"/>
      </w:pPr>
      <w:r>
        <w:tab/>
        <w:t>(3)</w:t>
      </w:r>
      <w:r>
        <w:tab/>
        <w:t>All acts and things done in the name of, or on behalf of, the National Authority by or with the authority of the Board are taken to have been done by the National Authority.</w:t>
      </w:r>
    </w:p>
    <w:p>
      <w:pPr>
        <w:pStyle w:val="ySubsection"/>
      </w:pPr>
      <w:r>
        <w:lastRenderedPageBreak/>
        <w:tab/>
        <w:t>(4)</w:t>
      </w:r>
      <w:r>
        <w:tab/>
        <w:t>The Board must ensure that the National Authority carries out its functions and duties and exercises its powers in a proper, effective and efficient way.</w:t>
      </w:r>
    </w:p>
    <w:p>
      <w:pPr>
        <w:pStyle w:val="ySubsection"/>
      </w:pPr>
      <w:r>
        <w:tab/>
        <w:t>(5)</w:t>
      </w:r>
      <w:r>
        <w:tab/>
        <w:t>The Board has any other functions given to it under this Law.</w:t>
      </w:r>
    </w:p>
    <w:p>
      <w:pPr>
        <w:pStyle w:val="ySubsection"/>
      </w:pPr>
      <w:r>
        <w:tab/>
        <w:t>(6)</w:t>
      </w:r>
      <w:r>
        <w:tab/>
        <w:t>Any report to the Ministerial Council under this Law is to be made by or through the Board.</w:t>
      </w:r>
    </w:p>
    <w:p>
      <w:pPr>
        <w:pStyle w:val="ySubsection"/>
      </w:pPr>
      <w:r>
        <w:tab/>
        <w:t>(7)</w:t>
      </w:r>
      <w:r>
        <w:tab/>
        <w:t>The Board must act in accordance with any directions given to the National Authority by the Ministerial Council under section 222.</w:t>
      </w:r>
    </w:p>
    <w:p>
      <w:pPr>
        <w:pStyle w:val="ySubsection"/>
      </w:pPr>
      <w:r>
        <w:tab/>
        <w:t>(8)</w:t>
      </w:r>
      <w:r>
        <w:tab/>
        <w:t>The Board must work collaboratively with the Regulatory Authorities and the relevant Commonwealth Department to support and promote the National Quality Framework.</w:t>
      </w:r>
    </w:p>
    <w:p>
      <w:pPr>
        <w:pStyle w:val="yHeading5"/>
      </w:pPr>
      <w:bookmarkStart w:id="349" w:name="_Toc80612012"/>
      <w:r>
        <w:rPr>
          <w:rStyle w:val="CharSClsNo"/>
        </w:rPr>
        <w:t>232</w:t>
      </w:r>
      <w:r>
        <w:t>.</w:t>
      </w:r>
      <w:r>
        <w:tab/>
        <w:t>Membership of Board</w:t>
      </w:r>
      <w:bookmarkEnd w:id="349"/>
    </w:p>
    <w:p>
      <w:pPr>
        <w:pStyle w:val="ySubsection"/>
      </w:pPr>
      <w:r>
        <w:tab/>
        <w:t>(1)</w:t>
      </w:r>
      <w:r>
        <w:tab/>
        <w:t>The Board consists of up to 13 members appointed by consensus of the Ministerial Council.</w:t>
      </w:r>
    </w:p>
    <w:p>
      <w:pPr>
        <w:pStyle w:val="ySubsection"/>
      </w:pPr>
      <w:r>
        <w:tab/>
        <w:t>(2)</w:t>
      </w:r>
      <w:r>
        <w:tab/>
        <w:t>The Ministerial Council must appoint by consensus one person to be the Chairperson of the Board.</w:t>
      </w:r>
    </w:p>
    <w:p>
      <w:pPr>
        <w:pStyle w:val="ySubsection"/>
      </w:pPr>
      <w:r>
        <w:tab/>
        <w:t>(3)</w:t>
      </w:r>
      <w:r>
        <w:tab/>
        <w:t>One member is to be appointed for each State and Territory from 2 persons nominated by each State or Territory Minister on the Ministerial Council.</w:t>
      </w:r>
    </w:p>
    <w:p>
      <w:pPr>
        <w:pStyle w:val="ySubsection"/>
      </w:pPr>
      <w:r>
        <w:tab/>
        <w:t>(4)</w:t>
      </w:r>
      <w:r>
        <w:tab/>
        <w:t>The Commonwealth Minister may nominate up to 8 persons for appointment to the Board.</w:t>
      </w:r>
    </w:p>
    <w:p>
      <w:pPr>
        <w:pStyle w:val="ySubsection"/>
      </w:pPr>
      <w:r>
        <w:tab/>
        <w:t>(5)</w:t>
      </w:r>
      <w:r>
        <w:tab/>
        <w:t>Four of the persons nominated under subsection (4) must be appointed to the Board.</w:t>
      </w:r>
    </w:p>
    <w:p>
      <w:pPr>
        <w:pStyle w:val="ySubsection"/>
      </w:pPr>
      <w:r>
        <w:tab/>
        <w:t>(6)</w:t>
      </w:r>
      <w:r>
        <w:tab/>
        <w:t>The Ministerial Council must appoint by consensus one of the members referred to in subsection (3) or (5) to be the Deputy Chairperson of the Board.</w:t>
      </w:r>
    </w:p>
    <w:p>
      <w:pPr>
        <w:pStyle w:val="ySubsection"/>
      </w:pPr>
      <w:r>
        <w:tab/>
        <w:t>(7)</w:t>
      </w:r>
      <w:r>
        <w:tab/>
        <w:t>The members appointed to the Board must have professional skills and expertise in one or more of the following areas —</w:t>
      </w:r>
    </w:p>
    <w:p>
      <w:pPr>
        <w:pStyle w:val="yIndenta"/>
      </w:pPr>
      <w:r>
        <w:tab/>
        <w:t>(a)</w:t>
      </w:r>
      <w:r>
        <w:tab/>
        <w:t>assessment of quality in education and care services or other relevant services;</w:t>
      </w:r>
    </w:p>
    <w:p>
      <w:pPr>
        <w:pStyle w:val="yIndenta"/>
      </w:pPr>
      <w:r>
        <w:tab/>
        <w:t>(b)</w:t>
      </w:r>
      <w:r>
        <w:tab/>
        <w:t>early childhood development;</w:t>
      </w:r>
    </w:p>
    <w:p>
      <w:pPr>
        <w:pStyle w:val="yIndenta"/>
      </w:pPr>
      <w:r>
        <w:tab/>
        <w:t>(c)</w:t>
      </w:r>
      <w:r>
        <w:tab/>
        <w:t>labour market and workforce participation and development;</w:t>
      </w:r>
    </w:p>
    <w:p>
      <w:pPr>
        <w:pStyle w:val="yIndenta"/>
      </w:pPr>
      <w:r>
        <w:lastRenderedPageBreak/>
        <w:tab/>
        <w:t>(d)</w:t>
      </w:r>
      <w:r>
        <w:tab/>
        <w:t>best practice regulation;</w:t>
      </w:r>
    </w:p>
    <w:p>
      <w:pPr>
        <w:pStyle w:val="yIndenta"/>
      </w:pPr>
      <w:r>
        <w:tab/>
        <w:t>(e)</w:t>
      </w:r>
      <w:r>
        <w:tab/>
        <w:t>financial management and corporate governance;</w:t>
      </w:r>
    </w:p>
    <w:p>
      <w:pPr>
        <w:pStyle w:val="yIndenta"/>
      </w:pPr>
      <w:r>
        <w:tab/>
        <w:t>(f)</w:t>
      </w:r>
      <w:r>
        <w:tab/>
        <w:t>research, evaluation and performance;</w:t>
      </w:r>
    </w:p>
    <w:p>
      <w:pPr>
        <w:pStyle w:val="yIndenta"/>
      </w:pPr>
      <w:r>
        <w:tab/>
        <w:t>(g)</w:t>
      </w:r>
      <w:r>
        <w:tab/>
        <w:t>any other areas of skill determined by the Ministerial Council.</w:t>
      </w:r>
    </w:p>
    <w:p>
      <w:pPr>
        <w:pStyle w:val="ySubsection"/>
      </w:pPr>
      <w:r>
        <w:tab/>
        <w:t>(8)</w:t>
      </w:r>
      <w:r>
        <w:tab/>
        <w:t>In appointing members of the Board, the Ministerial Council must have regard to the need for the Board to have an appropriate balance of skills and expertise among its members.</w:t>
      </w:r>
    </w:p>
    <w:p>
      <w:pPr>
        <w:pStyle w:val="yHeading4"/>
      </w:pPr>
      <w:bookmarkStart w:id="350" w:name="_Toc80609198"/>
      <w:bookmarkStart w:id="351" w:name="_Toc80612013"/>
      <w:r>
        <w:t>Subdivision 2 — Members</w:t>
      </w:r>
      <w:bookmarkEnd w:id="350"/>
      <w:bookmarkEnd w:id="351"/>
    </w:p>
    <w:p>
      <w:pPr>
        <w:pStyle w:val="yHeading5"/>
      </w:pPr>
      <w:bookmarkStart w:id="352" w:name="_Toc80612014"/>
      <w:r>
        <w:rPr>
          <w:rStyle w:val="CharSClsNo"/>
        </w:rPr>
        <w:t>233</w:t>
      </w:r>
      <w:r>
        <w:t>.</w:t>
      </w:r>
      <w:r>
        <w:tab/>
        <w:t>Terms of office of members</w:t>
      </w:r>
      <w:bookmarkEnd w:id="352"/>
    </w:p>
    <w:p>
      <w:pPr>
        <w:pStyle w:val="ySubsection"/>
      </w:pPr>
      <w:r>
        <w:tab/>
        <w:t>(1)</w:t>
      </w:r>
      <w:r>
        <w:tab/>
        <w:t>Subject to this Subdivision, members of the Board hold office on the terms and conditions determined by the Ministerial Council.</w:t>
      </w:r>
    </w:p>
    <w:p>
      <w:pPr>
        <w:pStyle w:val="ySubsection"/>
      </w:pPr>
      <w:r>
        <w:tab/>
        <w:t>(2)</w:t>
      </w:r>
      <w:r>
        <w:tab/>
        <w:t>Subject to this Subdivision, a member of the Board holds office for a period, being not more than 3 years, specified in the member’s appointment.</w:t>
      </w:r>
    </w:p>
    <w:p>
      <w:pPr>
        <w:pStyle w:val="ySubsection"/>
      </w:pPr>
      <w:r>
        <w:tab/>
        <w:t>(3)</w:t>
      </w:r>
      <w:r>
        <w:tab/>
        <w:t>A member may be reappointed for a further period of not more than 3 years.</w:t>
      </w:r>
    </w:p>
    <w:p>
      <w:pPr>
        <w:pStyle w:val="ySubsection"/>
      </w:pPr>
      <w:r>
        <w:tab/>
        <w:t>(4)</w:t>
      </w:r>
      <w:r>
        <w:tab/>
        <w:t>The maximum consecutive period of appointment of a member is 2 terms.</w:t>
      </w:r>
    </w:p>
    <w:p>
      <w:pPr>
        <w:pStyle w:val="yHeading5"/>
      </w:pPr>
      <w:bookmarkStart w:id="353" w:name="_Toc80612015"/>
      <w:r>
        <w:rPr>
          <w:rStyle w:val="CharSClsNo"/>
        </w:rPr>
        <w:t>234</w:t>
      </w:r>
      <w:r>
        <w:t>.</w:t>
      </w:r>
      <w:r>
        <w:tab/>
        <w:t>Remuneration</w:t>
      </w:r>
      <w:bookmarkEnd w:id="353"/>
    </w:p>
    <w:p>
      <w:pPr>
        <w:pStyle w:val="ySubsection"/>
      </w:pPr>
      <w:r>
        <w:tab/>
      </w:r>
      <w:r>
        <w:tab/>
        <w:t>The remuneration and allowances (if any) to be paid to members of the Board are to be determined from time to time by the Ministerial Council.</w:t>
      </w:r>
    </w:p>
    <w:p>
      <w:pPr>
        <w:pStyle w:val="yHeading5"/>
      </w:pPr>
      <w:bookmarkStart w:id="354" w:name="_Toc80612016"/>
      <w:r>
        <w:rPr>
          <w:rStyle w:val="CharSClsNo"/>
        </w:rPr>
        <w:t>235</w:t>
      </w:r>
      <w:r>
        <w:t>.</w:t>
      </w:r>
      <w:r>
        <w:tab/>
        <w:t>Vacancy in the office of member</w:t>
      </w:r>
      <w:bookmarkEnd w:id="354"/>
    </w:p>
    <w:p>
      <w:pPr>
        <w:pStyle w:val="ySubsection"/>
      </w:pPr>
      <w:r>
        <w:tab/>
        <w:t>(1)</w:t>
      </w:r>
      <w:r>
        <w:tab/>
        <w:t>The office of a member of the Board becomes vacant if the member —</w:t>
      </w:r>
    </w:p>
    <w:p>
      <w:pPr>
        <w:pStyle w:val="yIndenta"/>
      </w:pPr>
      <w:r>
        <w:tab/>
        <w:t>(a)</w:t>
      </w:r>
      <w:r>
        <w:tab/>
        <w:t>completes a term of office; or</w:t>
      </w:r>
    </w:p>
    <w:p>
      <w:pPr>
        <w:pStyle w:val="yIndenta"/>
      </w:pPr>
      <w:r>
        <w:tab/>
        <w:t>(b)</w:t>
      </w:r>
      <w:r>
        <w:tab/>
        <w:t>resigns the office by instrument addressed to the Chairperson of the Board; or</w:t>
      </w:r>
    </w:p>
    <w:p>
      <w:pPr>
        <w:pStyle w:val="yIndenta"/>
      </w:pPr>
      <w:r>
        <w:tab/>
        <w:t>(c)</w:t>
      </w:r>
      <w:r>
        <w:tab/>
        <w:t>is removed from office by the Ministerial Council under this section; or</w:t>
      </w:r>
    </w:p>
    <w:p>
      <w:pPr>
        <w:pStyle w:val="yIndenta"/>
      </w:pPr>
      <w:r>
        <w:lastRenderedPageBreak/>
        <w:tab/>
        <w:t>(d)</w:t>
      </w:r>
      <w:r>
        <w:tab/>
        <w:t>in the case of the Chairperson of the Board, is absent, without leave first being granted by the Chairperson of the Ministerial Council, from 3 or more consecutive meetings of the Board; or</w:t>
      </w:r>
    </w:p>
    <w:p>
      <w:pPr>
        <w:pStyle w:val="y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yIndenta"/>
      </w:pPr>
      <w:r>
        <w:tab/>
        <w:t>(f)</w:t>
      </w:r>
      <w:r>
        <w:tab/>
        <w:t>dies.</w:t>
      </w:r>
    </w:p>
    <w:p>
      <w:pPr>
        <w:pStyle w:val="ySubsection"/>
      </w:pPr>
      <w:r>
        <w:tab/>
        <w:t>(2)</w:t>
      </w:r>
      <w:r>
        <w:tab/>
        <w:t>The Chairperson of the Ministerial Council may remove a member of the Board from office if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(c)</w:t>
      </w:r>
      <w:r>
        <w:tab/>
        <w:t>the Board recommends the removal of the member, on the basis that the member has engaged in misconduct or has failed, or is unable, to properly carry out the member’s functions as a member.</w:t>
      </w:r>
    </w:p>
    <w:p>
      <w:pPr>
        <w:pStyle w:val="ySubsection"/>
      </w:pPr>
      <w:r>
        <w:tab/>
        <w:t>(3)</w:t>
      </w:r>
      <w:r>
        <w:tab/>
        <w:t>The Chairperson of the Board may resign by written notice addressed to the Chairperson of the Ministerial Council.</w:t>
      </w:r>
    </w:p>
    <w:p>
      <w:pPr>
        <w:pStyle w:val="y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ySubsection"/>
      </w:pPr>
      <w:r>
        <w:tab/>
        <w:t>(5)</w:t>
      </w:r>
      <w:r>
        <w:tab/>
        <w:t>If the office of a member of the Board becomes vacant, the Chairperson of the Board must notify the Chairperson of the Ministerial Council of the vacancy.</w:t>
      </w:r>
    </w:p>
    <w:p>
      <w:pPr>
        <w:pStyle w:val="ySubsection"/>
      </w:pPr>
      <w:r>
        <w:tab/>
        <w:t>(6)</w:t>
      </w:r>
      <w:r>
        <w:tab/>
        <w:t>If the office of the Chairperson of the Board becomes vacant, the Deputy Chairperson of the Board must notify the Chairperson of the Ministerial Council of the vacancy.</w:t>
      </w:r>
    </w:p>
    <w:p>
      <w:pPr>
        <w:pStyle w:val="yHeading5"/>
      </w:pPr>
      <w:bookmarkStart w:id="355" w:name="_Toc80612017"/>
      <w:r>
        <w:rPr>
          <w:rStyle w:val="CharSClsNo"/>
        </w:rPr>
        <w:lastRenderedPageBreak/>
        <w:t>236</w:t>
      </w:r>
      <w:r>
        <w:t>.</w:t>
      </w:r>
      <w:r>
        <w:tab/>
        <w:t>Acting positions</w:t>
      </w:r>
      <w:bookmarkEnd w:id="355"/>
    </w:p>
    <w:p>
      <w:pPr>
        <w:pStyle w:val="ySubsection"/>
      </w:pPr>
      <w:r>
        <w:tab/>
        <w:t>(1)</w:t>
      </w:r>
      <w:r>
        <w:tab/>
        <w:t>The Deputy Chairperson of the Board is to act as the Chairperson of the Board —</w:t>
      </w:r>
    </w:p>
    <w:p>
      <w:pPr>
        <w:pStyle w:val="yIndenta"/>
      </w:pPr>
      <w:r>
        <w:tab/>
        <w:t>(a)</w:t>
      </w:r>
      <w:r>
        <w:tab/>
        <w:t>during a vacancy in the office of Chairperson; or</w:t>
      </w:r>
    </w:p>
    <w:p>
      <w:pPr>
        <w:pStyle w:val="yIndenta"/>
      </w:pPr>
      <w:r>
        <w:tab/>
        <w:t>(b)</w:t>
      </w:r>
      <w:r>
        <w:tab/>
        <w:t>during any period that the Chairperson —</w:t>
      </w:r>
    </w:p>
    <w:p>
      <w:pPr>
        <w:pStyle w:val="yIndenti0"/>
      </w:pPr>
      <w:r>
        <w:tab/>
        <w:t>(i)</w:t>
      </w:r>
      <w:r>
        <w:tab/>
        <w:t>is absent from duty; or</w:t>
      </w:r>
    </w:p>
    <w:p>
      <w:pPr>
        <w:pStyle w:val="yIndenti0"/>
      </w:pPr>
      <w:r>
        <w:tab/>
        <w:t>(ii)</w:t>
      </w:r>
      <w:r>
        <w:tab/>
        <w:t>is, for any reason, unable to carry out the duties of that office.</w:t>
      </w:r>
    </w:p>
    <w:p>
      <w:pPr>
        <w:pStyle w:val="ySubsection"/>
      </w:pPr>
      <w:r>
        <w:tab/>
        <w:t>(2)</w:t>
      </w:r>
      <w:r>
        <w:tab/>
        <w:t>While the Deputy Chairperson of the Board is acting in the office of Chairperson —</w:t>
      </w:r>
    </w:p>
    <w:p>
      <w:pPr>
        <w:pStyle w:val="yIndenta"/>
      </w:pPr>
      <w:r>
        <w:tab/>
        <w:t>(a)</w:t>
      </w:r>
      <w:r>
        <w:tab/>
        <w:t>he or she has all the powers and functions of the Chairperson; and</w:t>
      </w:r>
    </w:p>
    <w:p>
      <w:pPr>
        <w:pStyle w:val="yIndenta"/>
      </w:pPr>
      <w:r>
        <w:tab/>
        <w:t>(b)</w:t>
      </w:r>
      <w:r>
        <w:tab/>
        <w:t>this Law and other laws apply to the Deputy Chairperson as if he or she were Chairperson.</w:t>
      </w:r>
    </w:p>
    <w:p>
      <w:pPr>
        <w:pStyle w:val="y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ySubsection"/>
      </w:pPr>
      <w:r>
        <w:tab/>
        <w:t>(4)</w:t>
      </w:r>
      <w:r>
        <w:tab/>
        <w:t>The Ministerial Council may, by consensus, appoint a member of the Board to be the Deputy Chairperson of the Board —</w:t>
      </w:r>
    </w:p>
    <w:p>
      <w:pPr>
        <w:pStyle w:val="yIndenta"/>
      </w:pPr>
      <w:r>
        <w:tab/>
        <w:t>(a)</w:t>
      </w:r>
      <w:r>
        <w:tab/>
        <w:t>during a vacancy in the office of Deputy Chairperson; or</w:t>
      </w:r>
    </w:p>
    <w:p>
      <w:pPr>
        <w:pStyle w:val="yIndenta"/>
      </w:pPr>
      <w:r>
        <w:tab/>
        <w:t>(b)</w:t>
      </w:r>
      <w:r>
        <w:tab/>
        <w:t>during any period that the Deputy Chairperson —</w:t>
      </w:r>
    </w:p>
    <w:p>
      <w:pPr>
        <w:pStyle w:val="yIndenti0"/>
      </w:pPr>
      <w:r>
        <w:tab/>
        <w:t>(i)</w:t>
      </w:r>
      <w:r>
        <w:tab/>
        <w:t>is acting as the Chairperson; or</w:t>
      </w:r>
    </w:p>
    <w:p>
      <w:pPr>
        <w:pStyle w:val="yIndenti0"/>
      </w:pPr>
      <w:r>
        <w:tab/>
        <w:t>(ii)</w:t>
      </w:r>
      <w:r>
        <w:tab/>
        <w:t>is absent from duty; or</w:t>
      </w:r>
    </w:p>
    <w:p>
      <w:pPr>
        <w:pStyle w:val="yIndenti0"/>
      </w:pPr>
      <w:r>
        <w:tab/>
        <w:t>(iii)</w:t>
      </w:r>
      <w:r>
        <w:tab/>
        <w:t>is, for any reason, unable to carry out the duties of that office.</w:t>
      </w:r>
    </w:p>
    <w:p>
      <w:pPr>
        <w:pStyle w:val="y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yHeading5"/>
      </w:pPr>
      <w:bookmarkStart w:id="356" w:name="_Toc80612018"/>
      <w:r>
        <w:rPr>
          <w:rStyle w:val="CharSClsNo"/>
        </w:rPr>
        <w:lastRenderedPageBreak/>
        <w:t>237</w:t>
      </w:r>
      <w:r>
        <w:t>.</w:t>
      </w:r>
      <w:r>
        <w:tab/>
        <w:t>Leave of absence</w:t>
      </w:r>
      <w:bookmarkEnd w:id="356"/>
    </w:p>
    <w:p>
      <w:pPr>
        <w:pStyle w:val="ySubsection"/>
      </w:pPr>
      <w:r>
        <w:tab/>
        <w:t>(1)</w:t>
      </w:r>
      <w:r>
        <w:tab/>
        <w:t>The Chairperson of the Ministerial Council may grant the Chairperson of the Board a leave of absence on the terms and conditions determined by the Chairperson of the Ministerial Council.</w:t>
      </w:r>
    </w:p>
    <w:p>
      <w:pPr>
        <w:pStyle w:val="ySubsection"/>
      </w:pPr>
      <w:r>
        <w:tab/>
        <w:t>(2)</w:t>
      </w:r>
      <w:r>
        <w:tab/>
        <w:t>The Chairperson of the Board may grant leave of absence to any other member of the Board on the terms and conditions determined by the Chairperson of the Board.</w:t>
      </w:r>
    </w:p>
    <w:p>
      <w:pPr>
        <w:pStyle w:val="ySubsection"/>
      </w:pPr>
      <w:r>
        <w:tab/>
        <w:t>(3)</w:t>
      </w:r>
      <w:r>
        <w:tab/>
        <w:t>The Chairperson of the Board must notify the Chairperson of the Ministerial Council if the Chairperson of the Board grants to a member a leave of absence of more than 6 months.</w:t>
      </w:r>
    </w:p>
    <w:p>
      <w:pPr>
        <w:pStyle w:val="y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yHeading5"/>
      </w:pPr>
      <w:bookmarkStart w:id="357" w:name="_Toc80612019"/>
      <w:r>
        <w:rPr>
          <w:rStyle w:val="CharSClsNo"/>
        </w:rPr>
        <w:t>238</w:t>
      </w:r>
      <w:r>
        <w:t>.</w:t>
      </w:r>
      <w:r>
        <w:tab/>
        <w:t>Disclosure of conflict of interest</w:t>
      </w:r>
      <w:bookmarkEnd w:id="357"/>
    </w:p>
    <w:p>
      <w:pPr>
        <w:pStyle w:val="ySubsection"/>
      </w:pPr>
      <w:r>
        <w:tab/>
        <w:t>(1)</w:t>
      </w:r>
      <w:r>
        <w:tab/>
        <w:t>If —</w:t>
      </w:r>
    </w:p>
    <w:p>
      <w:pPr>
        <w:pStyle w:val="yIndenta"/>
      </w:pPr>
      <w:r>
        <w:tab/>
        <w:t>(a)</w:t>
      </w:r>
      <w:r>
        <w:tab/>
        <w:t>a member of the Board has a direct or indirect pecuniary or other interest in a matter being considered or about to be considered at a meeting of the Board; and</w:t>
      </w:r>
    </w:p>
    <w:p>
      <w:pPr>
        <w:pStyle w:val="yIndenta"/>
      </w:pPr>
      <w:r>
        <w:tab/>
        <w:t>(b)</w:t>
      </w:r>
      <w:r>
        <w:tab/>
        <w:t>the interest appears to raise a conflict with the proper performance of the member’s duties in relation to the consideration of the matter —</w:t>
      </w:r>
    </w:p>
    <w:p>
      <w:pPr>
        <w:pStyle w:val="ySubsection"/>
      </w:pPr>
      <w:r>
        <w:tab/>
      </w:r>
      <w:r>
        <w:tab/>
        <w:t>the member must, as soon as possible after the relevant facts have come to the member’s knowledge, disclose the nature of the interest at a meeting of the Board.</w:t>
      </w:r>
    </w:p>
    <w:p>
      <w:pPr>
        <w:pStyle w:val="ySubsection"/>
      </w:pPr>
      <w:r>
        <w:tab/>
        <w:t>(2)</w:t>
      </w:r>
      <w:r>
        <w:tab/>
        <w:t>Particulars of any disclosure made under subsection (1) must be recorded by the Board.</w:t>
      </w:r>
    </w:p>
    <w:p>
      <w:pPr>
        <w:pStyle w:val="ySubsection"/>
      </w:pPr>
      <w:r>
        <w:tab/>
        <w:t>(3)</w:t>
      </w:r>
      <w:r>
        <w:tab/>
        <w:t>After a member has disclosed the nature of an interest in any matter, the member must not, unless the Ministerial Council or the Board otherwise determines —</w:t>
      </w:r>
    </w:p>
    <w:p>
      <w:pPr>
        <w:pStyle w:val="yIndenta"/>
      </w:pPr>
      <w:r>
        <w:tab/>
        <w:t>(a)</w:t>
      </w:r>
      <w:r>
        <w:tab/>
        <w:t>be present during any deliberation of the Board with respect to the matter; or</w:t>
      </w:r>
    </w:p>
    <w:p>
      <w:pPr>
        <w:pStyle w:val="yIndenta"/>
      </w:pPr>
      <w:r>
        <w:lastRenderedPageBreak/>
        <w:tab/>
        <w:t>(b)</w:t>
      </w:r>
      <w:r>
        <w:tab/>
        <w:t>take part in any decision of the Board with respect to the matter; or</w:t>
      </w:r>
    </w:p>
    <w:p>
      <w:pPr>
        <w:pStyle w:val="yIndenta"/>
      </w:pPr>
      <w:r>
        <w:tab/>
        <w:t>(c)</w:t>
      </w:r>
      <w:r>
        <w:tab/>
        <w:t>be provided with any written material in relation to the matter.</w:t>
      </w:r>
    </w:p>
    <w:p>
      <w:pPr>
        <w:pStyle w:val="ySubsection"/>
      </w:pPr>
      <w:r>
        <w:tab/>
        <w:t>(4)</w:t>
      </w:r>
      <w:r>
        <w:tab/>
        <w:t>For the purposes of the making of a determination by the Board under subsection (3), a member who has a direct or indirect pecuniary or other interest in a matter to which the disclosure relates must not —</w:t>
      </w:r>
    </w:p>
    <w:p>
      <w:pPr>
        <w:pStyle w:val="yIndenta"/>
      </w:pPr>
      <w:r>
        <w:tab/>
        <w:t>(a)</w:t>
      </w:r>
      <w:r>
        <w:tab/>
        <w:t>be present during any deliberation of the Board for the purpose of making the determination; or</w:t>
      </w:r>
    </w:p>
    <w:p>
      <w:pPr>
        <w:pStyle w:val="yIndenta"/>
      </w:pPr>
      <w:r>
        <w:tab/>
        <w:t>(b)</w:t>
      </w:r>
      <w:r>
        <w:tab/>
        <w:t>take part in the making of the determination by the Board.</w:t>
      </w:r>
    </w:p>
    <w:p>
      <w:pPr>
        <w:pStyle w:val="ySubsection"/>
      </w:pPr>
      <w:r>
        <w:tab/>
        <w:t>(5)</w:t>
      </w:r>
      <w:r>
        <w:tab/>
        <w:t>A contravention of this section does not invalidate any decision of the Board.</w:t>
      </w:r>
    </w:p>
    <w:p>
      <w:pPr>
        <w:pStyle w:val="yHeading4"/>
      </w:pPr>
      <w:bookmarkStart w:id="358" w:name="_Toc80609205"/>
      <w:bookmarkStart w:id="359" w:name="_Toc80612020"/>
      <w:r>
        <w:t>Subdivision 3 — Procedure of Board</w:t>
      </w:r>
      <w:bookmarkEnd w:id="358"/>
      <w:bookmarkEnd w:id="359"/>
    </w:p>
    <w:p>
      <w:pPr>
        <w:pStyle w:val="yHeading5"/>
      </w:pPr>
      <w:bookmarkStart w:id="360" w:name="_Toc80612021"/>
      <w:r>
        <w:rPr>
          <w:rStyle w:val="CharSClsNo"/>
        </w:rPr>
        <w:t>239</w:t>
      </w:r>
      <w:r>
        <w:t>.</w:t>
      </w:r>
      <w:r>
        <w:tab/>
        <w:t>General procedure</w:t>
      </w:r>
      <w:bookmarkEnd w:id="360"/>
    </w:p>
    <w:p>
      <w:pPr>
        <w:pStyle w:val="ySubsection"/>
      </w:pPr>
      <w:r>
        <w:tab/>
        <w:t>(1)</w:t>
      </w:r>
      <w:r>
        <w:tab/>
        <w:t>The Board must hold such meetings as are necessary for it to perform its functions.</w:t>
      </w:r>
    </w:p>
    <w:p>
      <w:pPr>
        <w:pStyle w:val="ySubsection"/>
      </w:pPr>
      <w:r>
        <w:tab/>
        <w:t>(2)</w:t>
      </w:r>
      <w:r>
        <w:tab/>
        <w:t>Subject to this Law, the procedure for the calling of meetings of the Board and for the conduct of business at those meetings is to be as determined by the Board.</w:t>
      </w:r>
    </w:p>
    <w:p>
      <w:pPr>
        <w:pStyle w:val="ySubsection"/>
      </w:pPr>
      <w:r>
        <w:tab/>
        <w:t>(3)</w:t>
      </w:r>
      <w:r>
        <w:tab/>
        <w:t>The Chairperson of the Board may convene any meetings of the Board that are, in his or her opinion, necessary for the efficient performance of the functions of the Board.</w:t>
      </w:r>
    </w:p>
    <w:p>
      <w:pPr>
        <w:pStyle w:val="ySubsection"/>
      </w:pPr>
      <w:r>
        <w:tab/>
        <w:t>(4)</w:t>
      </w:r>
      <w:r>
        <w:tab/>
        <w:t>The Chairperson of the Board must convene a meeting of the Board at the written request of the Ministerial Council.</w:t>
      </w:r>
    </w:p>
    <w:p>
      <w:pPr>
        <w:pStyle w:val="ySubsection"/>
      </w:pPr>
      <w:r>
        <w:tab/>
        <w:t>(5)</w:t>
      </w:r>
      <w:r>
        <w:tab/>
        <w:t>The Board must keep minutes of its meetings.</w:t>
      </w:r>
    </w:p>
    <w:p>
      <w:pPr>
        <w:pStyle w:val="yHeading5"/>
      </w:pPr>
      <w:bookmarkStart w:id="361" w:name="_Toc80612022"/>
      <w:r>
        <w:rPr>
          <w:rStyle w:val="CharSClsNo"/>
        </w:rPr>
        <w:t>240</w:t>
      </w:r>
      <w:r>
        <w:t>.</w:t>
      </w:r>
      <w:r>
        <w:tab/>
        <w:t>Quorum</w:t>
      </w:r>
      <w:bookmarkEnd w:id="361"/>
    </w:p>
    <w:p>
      <w:pPr>
        <w:pStyle w:val="ySubsection"/>
      </w:pPr>
      <w:r>
        <w:tab/>
      </w:r>
      <w:r>
        <w:tab/>
        <w:t>The quorum for a meeting of the Board is 9 members of whom —</w:t>
      </w:r>
    </w:p>
    <w:p>
      <w:pPr>
        <w:pStyle w:val="yIndenta"/>
      </w:pPr>
      <w:r>
        <w:tab/>
        <w:t>(a)</w:t>
      </w:r>
      <w:r>
        <w:tab/>
        <w:t>one must be the Chairperson or Deputy Chairperson; and</w:t>
      </w:r>
    </w:p>
    <w:p>
      <w:pPr>
        <w:pStyle w:val="yIndenta"/>
      </w:pPr>
      <w:r>
        <w:tab/>
        <w:t>(b)</w:t>
      </w:r>
      <w:r>
        <w:tab/>
        <w:t>five must be members appointed on the nomination of State and Territory Ministers; and</w:t>
      </w:r>
    </w:p>
    <w:p>
      <w:pPr>
        <w:pStyle w:val="yIndenta"/>
      </w:pPr>
      <w:r>
        <w:lastRenderedPageBreak/>
        <w:tab/>
        <w:t>(c)</w:t>
      </w:r>
      <w:r>
        <w:tab/>
        <w:t>one may be a member appointed on the nomination of the Commonwealth Minister.</w:t>
      </w:r>
    </w:p>
    <w:p>
      <w:pPr>
        <w:pStyle w:val="yHeading5"/>
      </w:pPr>
      <w:bookmarkStart w:id="362" w:name="_Toc80612023"/>
      <w:r>
        <w:rPr>
          <w:rStyle w:val="CharSClsNo"/>
        </w:rPr>
        <w:t>241</w:t>
      </w:r>
      <w:r>
        <w:t>.</w:t>
      </w:r>
      <w:r>
        <w:tab/>
        <w:t>Chief executive officer may attend meetings of the Board</w:t>
      </w:r>
      <w:bookmarkEnd w:id="362"/>
    </w:p>
    <w:p>
      <w:pPr>
        <w:pStyle w:val="ySubsection"/>
      </w:pPr>
      <w:r>
        <w:tab/>
        <w:t>(1)</w:t>
      </w:r>
      <w:r>
        <w:tab/>
        <w:t>The chief executive officer of the National Authority, subject to the policies and procedures of the Board, may attend meetings of the Board and participate in its deliberations but —</w:t>
      </w:r>
    </w:p>
    <w:p>
      <w:pPr>
        <w:pStyle w:val="yIndenta"/>
      </w:pPr>
      <w:r>
        <w:tab/>
        <w:t>(a)</w:t>
      </w:r>
      <w:r>
        <w:tab/>
        <w:t>is not a member of the Board; and</w:t>
      </w:r>
    </w:p>
    <w:p>
      <w:pPr>
        <w:pStyle w:val="yIndenta"/>
      </w:pPr>
      <w:r>
        <w:tab/>
        <w:t>(b)</w:t>
      </w:r>
      <w:r>
        <w:tab/>
        <w:t>is not entitled to vote at a meeting of the Board.</w:t>
      </w:r>
    </w:p>
    <w:p>
      <w:pPr>
        <w:pStyle w:val="ySubsection"/>
      </w:pPr>
      <w:r>
        <w:tab/>
        <w:t>(2)</w:t>
      </w:r>
      <w:r>
        <w:tab/>
        <w:t>Section 238 applies to the chief executive officer in relation to attendance at meetings of the Board as if the chief executive officer were a member of the Board.</w:t>
      </w:r>
    </w:p>
    <w:p>
      <w:pPr>
        <w:pStyle w:val="yHeading5"/>
      </w:pPr>
      <w:bookmarkStart w:id="363" w:name="_Toc80612024"/>
      <w:r>
        <w:rPr>
          <w:rStyle w:val="CharSClsNo"/>
        </w:rPr>
        <w:t>242</w:t>
      </w:r>
      <w:r>
        <w:t>.</w:t>
      </w:r>
      <w:r>
        <w:tab/>
        <w:t>Presiding member</w:t>
      </w:r>
      <w:bookmarkEnd w:id="363"/>
    </w:p>
    <w:p>
      <w:pPr>
        <w:pStyle w:val="ySubsection"/>
      </w:pPr>
      <w:r>
        <w:tab/>
      </w:r>
      <w:r>
        <w:tab/>
        <w:t>The Chairperson (or, in the absence of the Chairperson, the Deputy Chairperson) is to preside at a meeting of the Board.</w:t>
      </w:r>
    </w:p>
    <w:p>
      <w:pPr>
        <w:pStyle w:val="yHeading5"/>
      </w:pPr>
      <w:bookmarkStart w:id="364" w:name="_Toc80612025"/>
      <w:r>
        <w:rPr>
          <w:rStyle w:val="CharSClsNo"/>
        </w:rPr>
        <w:t>243</w:t>
      </w:r>
      <w:r>
        <w:t>.</w:t>
      </w:r>
      <w:r>
        <w:tab/>
        <w:t>Voting</w:t>
      </w:r>
      <w:bookmarkEnd w:id="364"/>
    </w:p>
    <w:p>
      <w:pPr>
        <w:pStyle w:val="ySubsection"/>
      </w:pPr>
      <w:r>
        <w:tab/>
        <w:t>(1)</w:t>
      </w:r>
      <w:r>
        <w:tab/>
        <w:t>At a meeting of the Board each member will have a deliberative vote.</w:t>
      </w:r>
    </w:p>
    <w:p>
      <w:pPr>
        <w:pStyle w:val="ySubsection"/>
      </w:pPr>
      <w:r>
        <w:tab/>
        <w:t>(2)</w:t>
      </w:r>
      <w:r>
        <w:tab/>
        <w:t>A decision supported by a majority of the votes cast at the meeting of the Board at which a quorum is present is the decision of the Board.</w:t>
      </w:r>
    </w:p>
    <w:p>
      <w:pPr>
        <w:pStyle w:val="ySubsection"/>
      </w:pPr>
      <w:r>
        <w:tab/>
        <w:t>(3)</w:t>
      </w:r>
      <w:r>
        <w:tab/>
        <w:t>In the event of an equality of votes the Chairperson (or the Deputy Chairperson if the Chairperson is not present), will have a second or casting vote.</w:t>
      </w:r>
    </w:p>
    <w:p>
      <w:pPr>
        <w:pStyle w:val="ySubsection"/>
      </w:pPr>
      <w:r>
        <w:tab/>
        <w:t>(4)</w:t>
      </w:r>
      <w:r>
        <w:tab/>
        <w:t>The Board must keep a record of all decisions made at a meeting.</w:t>
      </w:r>
    </w:p>
    <w:p>
      <w:pPr>
        <w:pStyle w:val="y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yHeading5"/>
      </w:pPr>
      <w:bookmarkStart w:id="365" w:name="_Toc80612026"/>
      <w:r>
        <w:rPr>
          <w:rStyle w:val="CharSClsNo"/>
        </w:rPr>
        <w:t>244</w:t>
      </w:r>
      <w:r>
        <w:t>.</w:t>
      </w:r>
      <w:r>
        <w:tab/>
        <w:t>Defects in appointment of members</w:t>
      </w:r>
      <w:bookmarkEnd w:id="365"/>
    </w:p>
    <w:p>
      <w:pPr>
        <w:pStyle w:val="ySubsection"/>
      </w:pPr>
      <w:r>
        <w:tab/>
      </w:r>
      <w:r>
        <w:tab/>
        <w:t>A decision of the Board is not invalidated by any defect or irregularity in the appointment of any member (or acting member) of the Board.</w:t>
      </w:r>
    </w:p>
    <w:p>
      <w:pPr>
        <w:pStyle w:val="yHeading5"/>
      </w:pPr>
      <w:bookmarkStart w:id="366" w:name="_Toc80612027"/>
      <w:r>
        <w:rPr>
          <w:rStyle w:val="CharSClsNo"/>
        </w:rPr>
        <w:lastRenderedPageBreak/>
        <w:t>245</w:t>
      </w:r>
      <w:r>
        <w:t>.</w:t>
      </w:r>
      <w:r>
        <w:tab/>
        <w:t>Transaction of business by alternative means</w:t>
      </w:r>
      <w:bookmarkEnd w:id="366"/>
    </w:p>
    <w:p>
      <w:pPr>
        <w:pStyle w:val="y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y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For the purposes of —</w:t>
      </w:r>
    </w:p>
    <w:p>
      <w:pPr>
        <w:pStyle w:val="yIndenta"/>
      </w:pPr>
      <w:r>
        <w:tab/>
        <w:t>(a)</w:t>
      </w:r>
      <w:r>
        <w:tab/>
        <w:t>the approval of a resolution under subsection (1); or</w:t>
      </w:r>
    </w:p>
    <w:p>
      <w:pPr>
        <w:pStyle w:val="yIndenta"/>
      </w:pPr>
      <w:r>
        <w:tab/>
        <w:t>(b)</w:t>
      </w:r>
      <w:r>
        <w:tab/>
        <w:t>a meeting held in accordance with subsection (2),</w:t>
      </w:r>
    </w:p>
    <w:p>
      <w:pPr>
        <w:pStyle w:val="ySubsection"/>
      </w:pPr>
      <w:r>
        <w:tab/>
      </w:r>
      <w:r>
        <w:tab/>
        <w:t>the Chairperson and each member have the same voting rights as they have at an ordinary meeting of the Board.</w:t>
      </w:r>
    </w:p>
    <w:p>
      <w:pPr>
        <w:pStyle w:val="ySubsection"/>
      </w:pPr>
      <w:r>
        <w:tab/>
        <w:t>(4)</w:t>
      </w:r>
      <w:r>
        <w:tab/>
        <w:t>Papers may be circulated among the members for the purposes of subsection (1) by facsimile, email or other transmission of the information in the papers concerned.</w:t>
      </w:r>
    </w:p>
    <w:p>
      <w:pPr>
        <w:pStyle w:val="yHeading5"/>
      </w:pPr>
      <w:bookmarkStart w:id="367" w:name="_Toc80612028"/>
      <w:r>
        <w:rPr>
          <w:rStyle w:val="CharSClsNo"/>
        </w:rPr>
        <w:t>246</w:t>
      </w:r>
      <w:r>
        <w:t>.</w:t>
      </w:r>
      <w:r>
        <w:tab/>
        <w:t>Delegation by Board</w:t>
      </w:r>
      <w:bookmarkEnd w:id="367"/>
    </w:p>
    <w:p>
      <w:pPr>
        <w:pStyle w:val="ySubsection"/>
      </w:pPr>
      <w:r>
        <w:tab/>
        <w:t>(1)</w:t>
      </w:r>
      <w:r>
        <w:tab/>
        <w:t>The Board may, in writing, delegate any of its functions, powers or duties to —</w:t>
      </w:r>
    </w:p>
    <w:p>
      <w:pPr>
        <w:pStyle w:val="yIndenta"/>
      </w:pPr>
      <w:r>
        <w:tab/>
        <w:t>(a)</w:t>
      </w:r>
      <w:r>
        <w:tab/>
        <w:t>a Regulatory Authority; or</w:t>
      </w:r>
    </w:p>
    <w:p>
      <w:pPr>
        <w:pStyle w:val="yIndenta"/>
      </w:pPr>
      <w:r>
        <w:tab/>
        <w:t>(b)</w:t>
      </w:r>
      <w:r>
        <w:tab/>
        <w:t>the chief executive of an entity or the head of a government department of a participating jurisdiction nominated by the member of the Ministerial Council who represents that jurisdiction; or</w:t>
      </w:r>
    </w:p>
    <w:p>
      <w:pPr>
        <w:pStyle w:val="yIndenta"/>
      </w:pPr>
      <w:r>
        <w:tab/>
        <w:t>(c)</w:t>
      </w:r>
      <w:r>
        <w:tab/>
        <w:t>the chief executive officer of the National Authority; or</w:t>
      </w:r>
    </w:p>
    <w:p>
      <w:pPr>
        <w:pStyle w:val="yIndenta"/>
      </w:pPr>
      <w:r>
        <w:tab/>
        <w:t>(d)</w:t>
      </w:r>
      <w:r>
        <w:tab/>
        <w:t>a committee established by the Board; or</w:t>
      </w:r>
    </w:p>
    <w:p>
      <w:pPr>
        <w:pStyle w:val="yIndenta"/>
      </w:pPr>
      <w:r>
        <w:tab/>
        <w:t>(e)</w:t>
      </w:r>
      <w:r>
        <w:tab/>
        <w:t>any other entity with the approval of the Ministerial Council.</w:t>
      </w:r>
    </w:p>
    <w:p>
      <w:pPr>
        <w:pStyle w:val="ySubsection"/>
        <w:spacing w:before="120"/>
      </w:pPr>
      <w:r>
        <w:tab/>
        <w:t>(2)</w:t>
      </w:r>
      <w:r>
        <w:tab/>
        <w:t xml:space="preserve">Subject to the delegation under subsection (1), a chief executive of an entity or head of a government department may subdelegate a </w:t>
      </w:r>
      <w:r>
        <w:lastRenderedPageBreak/>
        <w:t>delegated function, power or duty to a member of staff of the entity or department.</w:t>
      </w:r>
    </w:p>
    <w:p>
      <w:pPr>
        <w:pStyle w:val="ySubsection"/>
        <w:spacing w:before="120"/>
      </w:pPr>
      <w:r>
        <w:tab/>
        <w:t>(3)</w:t>
      </w:r>
      <w:r>
        <w:tab/>
        <w:t>The chief executive officer of the National Authority may subdelegate a delegated power, function or duty to a member of the staff of the National Authority.</w:t>
      </w:r>
    </w:p>
    <w:p>
      <w:pPr>
        <w:pStyle w:val="yHeading5"/>
      </w:pPr>
      <w:bookmarkStart w:id="368" w:name="_Toc80612029"/>
      <w:r>
        <w:rPr>
          <w:rStyle w:val="CharSClsNo"/>
        </w:rPr>
        <w:t>247</w:t>
      </w:r>
      <w:r>
        <w:t>.</w:t>
      </w:r>
      <w:r>
        <w:tab/>
        <w:t>Committees</w:t>
      </w:r>
      <w:bookmarkEnd w:id="368"/>
    </w:p>
    <w:p>
      <w:pPr>
        <w:pStyle w:val="ySubsection"/>
        <w:spacing w:before="120"/>
      </w:pPr>
      <w:r>
        <w:tab/>
        <w:t>(1)</w:t>
      </w:r>
      <w:r>
        <w:tab/>
        <w:t>The Board may establish committees to assist it in carrying out its functions.</w:t>
      </w:r>
    </w:p>
    <w:p>
      <w:pPr>
        <w:pStyle w:val="ySubsection"/>
        <w:spacing w:before="120"/>
      </w:pPr>
      <w:r>
        <w:tab/>
        <w:t>(2)</w:t>
      </w:r>
      <w:r>
        <w:tab/>
        <w:t>The Board must determine —</w:t>
      </w:r>
    </w:p>
    <w:p>
      <w:pPr>
        <w:pStyle w:val="yIndenta"/>
      </w:pPr>
      <w:r>
        <w:tab/>
        <w:t>(a)</w:t>
      </w:r>
      <w:r>
        <w:tab/>
        <w:t>the membership and functions of a committee; and</w:t>
      </w:r>
    </w:p>
    <w:p>
      <w:pPr>
        <w:pStyle w:val="yIndenta"/>
      </w:pPr>
      <w:r>
        <w:tab/>
        <w:t>(b)</w:t>
      </w:r>
      <w:r>
        <w:tab/>
        <w:t>the procedure at or in relation to meetings of the committee including —</w:t>
      </w:r>
    </w:p>
    <w:p>
      <w:pPr>
        <w:pStyle w:val="yIndenti0"/>
      </w:pPr>
      <w:r>
        <w:tab/>
        <w:t>(i)</w:t>
      </w:r>
      <w:r>
        <w:tab/>
        <w:t>the convening of meetings; and</w:t>
      </w:r>
    </w:p>
    <w:p>
      <w:pPr>
        <w:pStyle w:val="yIndenti0"/>
      </w:pPr>
      <w:r>
        <w:tab/>
        <w:t>(ii)</w:t>
      </w:r>
      <w:r>
        <w:tab/>
        <w:t>the quorum for meetings; and</w:t>
      </w:r>
    </w:p>
    <w:p>
      <w:pPr>
        <w:pStyle w:val="yIndenti0"/>
      </w:pPr>
      <w:r>
        <w:tab/>
        <w:t>(iii)</w:t>
      </w:r>
      <w:r>
        <w:tab/>
        <w:t>the selection of a committee member to be the chairperson of the committee; and</w:t>
      </w:r>
    </w:p>
    <w:p>
      <w:pPr>
        <w:pStyle w:val="yIndenti0"/>
      </w:pPr>
      <w:r>
        <w:tab/>
        <w:t>(iv)</w:t>
      </w:r>
      <w:r>
        <w:tab/>
        <w:t>the manner in which questions arising at meetings of the committee are to be decided; and</w:t>
      </w:r>
    </w:p>
    <w:p>
      <w:pPr>
        <w:pStyle w:val="yIndenta"/>
      </w:pPr>
      <w:r>
        <w:tab/>
        <w:t>(c)</w:t>
      </w:r>
      <w:r>
        <w:tab/>
        <w:t>the procedures for reporting to the Board.</w:t>
      </w:r>
    </w:p>
    <w:p>
      <w:pPr>
        <w:pStyle w:val="ySubsection"/>
        <w:spacing w:before="120"/>
      </w:pPr>
      <w:r>
        <w:tab/>
        <w:t>(3)</w:t>
      </w:r>
      <w:r>
        <w:tab/>
        <w:t>A committee must give the Board any reports, documents and information relating to the committee’s functions and activities that the Board requests.</w:t>
      </w:r>
    </w:p>
    <w:p>
      <w:pPr>
        <w:pStyle w:val="ySubsection"/>
        <w:spacing w:before="120"/>
      </w:pPr>
      <w:r>
        <w:tab/>
        <w:t>(4)</w:t>
      </w:r>
      <w:r>
        <w:tab/>
        <w:t>The Board must report to the Ministerial Council on any committees it establishes.</w:t>
      </w:r>
    </w:p>
    <w:p>
      <w:pPr>
        <w:pStyle w:val="yHeading4"/>
      </w:pPr>
      <w:bookmarkStart w:id="369" w:name="_Toc80609215"/>
      <w:bookmarkStart w:id="370" w:name="_Toc80612030"/>
      <w:r>
        <w:t>Subdivision 4 — Chief executive officer of the National Authority</w:t>
      </w:r>
      <w:bookmarkEnd w:id="369"/>
      <w:bookmarkEnd w:id="370"/>
    </w:p>
    <w:p>
      <w:pPr>
        <w:pStyle w:val="yHeading5"/>
      </w:pPr>
      <w:bookmarkStart w:id="371" w:name="_Toc80612031"/>
      <w:r>
        <w:rPr>
          <w:rStyle w:val="CharSClsNo"/>
        </w:rPr>
        <w:t>248</w:t>
      </w:r>
      <w:r>
        <w:t>.</w:t>
      </w:r>
      <w:r>
        <w:tab/>
        <w:t>Chief executive officer</w:t>
      </w:r>
      <w:bookmarkEnd w:id="371"/>
    </w:p>
    <w:p>
      <w:pPr>
        <w:pStyle w:val="ySubsection"/>
      </w:pPr>
      <w:r>
        <w:tab/>
        <w:t>(1)</w:t>
      </w:r>
      <w:r>
        <w:tab/>
        <w:t>Subject to this section, the Chairperson of the Board is to appoint a person as chief executive officer of the National Authority.</w:t>
      </w:r>
    </w:p>
    <w:p>
      <w:pPr>
        <w:pStyle w:val="ySubsection"/>
      </w:pPr>
      <w:r>
        <w:tab/>
        <w:t>(2)</w:t>
      </w:r>
      <w:r>
        <w:tab/>
        <w:t>The appointment may only be made after the Ministerial Council has first endorsed the appointment on the recommendation of the Board.</w:t>
      </w:r>
    </w:p>
    <w:p>
      <w:pPr>
        <w:pStyle w:val="yHeading5"/>
      </w:pPr>
      <w:bookmarkStart w:id="372" w:name="_Toc80612032"/>
      <w:r>
        <w:rPr>
          <w:rStyle w:val="CharSClsNo"/>
        </w:rPr>
        <w:lastRenderedPageBreak/>
        <w:t>249</w:t>
      </w:r>
      <w:r>
        <w:t>.</w:t>
      </w:r>
      <w:r>
        <w:tab/>
        <w:t>Functions of chief executive officer</w:t>
      </w:r>
      <w:bookmarkEnd w:id="372"/>
    </w:p>
    <w:p>
      <w:pPr>
        <w:pStyle w:val="ySubsection"/>
      </w:pPr>
      <w:r>
        <w:tab/>
        <w:t>(1)</w:t>
      </w:r>
      <w:r>
        <w:tab/>
        <w:t>The chief executive officer is responsible for the day</w:t>
      </w:r>
      <w:r>
        <w:noBreakHyphen/>
        <w:t>to</w:t>
      </w:r>
      <w:r>
        <w:noBreakHyphen/>
        <w:t>day management of the affairs of the National Authority.</w:t>
      </w:r>
    </w:p>
    <w:p>
      <w:pPr>
        <w:pStyle w:val="ySubsection"/>
      </w:pPr>
      <w:r>
        <w:tab/>
        <w:t>(2)</w:t>
      </w:r>
      <w:r>
        <w:tab/>
        <w:t>The chief executive officer has any other functions given to him or her or delegated to him or her under this Law.</w:t>
      </w:r>
    </w:p>
    <w:p>
      <w:pPr>
        <w:pStyle w:val="ySubsection"/>
      </w:pPr>
      <w:r>
        <w:tab/>
        <w:t>(3)</w:t>
      </w:r>
      <w:r>
        <w:tab/>
        <w:t>Subject to this Law, the chief executive officer must comply with the directions and policies of the Board in carrying out his or her functions.</w:t>
      </w:r>
    </w:p>
    <w:p>
      <w:pPr>
        <w:pStyle w:val="ySubsection"/>
      </w:pPr>
      <w:r>
        <w:tab/>
        <w:t>(4)</w:t>
      </w:r>
      <w:r>
        <w:tab/>
        <w:t>The chief executive officer is to report to the Board.</w:t>
      </w:r>
    </w:p>
    <w:p>
      <w:pPr>
        <w:pStyle w:val="ySubsection"/>
      </w:pPr>
      <w:r>
        <w:tab/>
        <w:t>(5)</w:t>
      </w:r>
      <w:r>
        <w:tab/>
        <w:t>The chief executive officer must manage the affairs of the National Authority in a way that —</w:t>
      </w:r>
    </w:p>
    <w:p>
      <w:pPr>
        <w:pStyle w:val="yIndenta"/>
      </w:pPr>
      <w:r>
        <w:tab/>
        <w:t>(a)</w:t>
      </w:r>
      <w:r>
        <w:tab/>
        <w:t>promotes the effective use of the resources of the National Authority; and</w:t>
      </w:r>
    </w:p>
    <w:p>
      <w:pPr>
        <w:pStyle w:val="yIndenta"/>
      </w:pPr>
      <w:r>
        <w:tab/>
        <w:t>(b)</w:t>
      </w:r>
      <w:r>
        <w:tab/>
        <w:t>is consistent with this Law.</w:t>
      </w:r>
    </w:p>
    <w:p>
      <w:pPr>
        <w:pStyle w:val="ySubsection"/>
      </w:pPr>
      <w:r>
        <w:tab/>
        <w:t>(6)</w:t>
      </w:r>
      <w:r>
        <w:tab/>
        <w:t>The chief executive officer must work collaboratively with the Regulatory Authorities and the relevant Commonwealth Department to support and promote the National Quality Framework.</w:t>
      </w:r>
    </w:p>
    <w:p>
      <w:pPr>
        <w:pStyle w:val="yFootnotesection"/>
      </w:pPr>
      <w:r>
        <w:tab/>
        <w:t>[Section 249 amended: No. 18 of 2018 s. 77.]</w:t>
      </w:r>
    </w:p>
    <w:p>
      <w:pPr>
        <w:pStyle w:val="yHeading5"/>
      </w:pPr>
      <w:bookmarkStart w:id="373" w:name="_Toc80612033"/>
      <w:r>
        <w:rPr>
          <w:rStyle w:val="CharSClsNo"/>
        </w:rPr>
        <w:t>250</w:t>
      </w:r>
      <w:r>
        <w:t>.</w:t>
      </w:r>
      <w:r>
        <w:tab/>
        <w:t>Terms and conditions of appointment</w:t>
      </w:r>
      <w:bookmarkEnd w:id="373"/>
    </w:p>
    <w:p>
      <w:pPr>
        <w:pStyle w:val="ySubsection"/>
      </w:pPr>
      <w:r>
        <w:tab/>
        <w:t>(1)</w:t>
      </w:r>
      <w:r>
        <w:tab/>
        <w:t>The chief executive officer of the National Authority is to be appointed for a period, not more than 3 years, specified in the officer’s appointment, but is eligible for reappointment.</w:t>
      </w:r>
    </w:p>
    <w:p>
      <w:pPr>
        <w:pStyle w:val="ySubsection"/>
      </w:pPr>
      <w:r>
        <w:tab/>
        <w:t>(2)</w:t>
      </w:r>
      <w:r>
        <w:tab/>
        <w:t>A member of the Board cannot be appointed as chief executive officer.</w:t>
      </w:r>
    </w:p>
    <w:p>
      <w:pPr>
        <w:pStyle w:val="ySubsection"/>
      </w:pPr>
      <w:r>
        <w:tab/>
        <w:t>(3)</w:t>
      </w:r>
      <w:r>
        <w:tab/>
        <w:t>Subject to this Law, the chief executive officer holds office subject to any terms and conditions that are decided by the Board.</w:t>
      </w:r>
    </w:p>
    <w:p>
      <w:pPr>
        <w:pStyle w:val="ySubsection"/>
      </w:pPr>
      <w:r>
        <w:tab/>
        <w:t>(4)</w:t>
      </w:r>
      <w:r>
        <w:tab/>
        <w:t>The chief executive officer must not engage in paid employment outside the duties of his or her office without the approval of the Chairperson of the Board.</w:t>
      </w:r>
    </w:p>
    <w:p>
      <w:pPr>
        <w:pStyle w:val="ySubsection"/>
      </w:pPr>
      <w:r>
        <w:tab/>
        <w:t>(5)</w:t>
      </w:r>
      <w:r>
        <w:tab/>
        <w:t>The Chairperson of the Board must notify the Chairperson of the Ministerial Council of any approval given under subsection (4).</w:t>
      </w:r>
    </w:p>
    <w:p>
      <w:pPr>
        <w:pStyle w:val="ySubsection"/>
      </w:pPr>
      <w:r>
        <w:lastRenderedPageBreak/>
        <w:tab/>
        <w:t>(6)</w:t>
      </w:r>
      <w:r>
        <w:tab/>
        <w:t>The chief executive officer of the National Authority is taken, while holding that office, to be a member of the staff of the National Authority.</w:t>
      </w:r>
    </w:p>
    <w:p>
      <w:pPr>
        <w:pStyle w:val="yHeading5"/>
      </w:pPr>
      <w:bookmarkStart w:id="374" w:name="_Toc80612034"/>
      <w:r>
        <w:rPr>
          <w:rStyle w:val="CharSClsNo"/>
        </w:rPr>
        <w:t>251</w:t>
      </w:r>
      <w:r>
        <w:t>.</w:t>
      </w:r>
      <w:r>
        <w:tab/>
        <w:t>Remuneration</w:t>
      </w:r>
      <w:bookmarkEnd w:id="374"/>
    </w:p>
    <w:p>
      <w:pPr>
        <w:pStyle w:val="ySubsection"/>
      </w:pPr>
      <w:r>
        <w:tab/>
      </w:r>
      <w:r>
        <w:tab/>
        <w:t>The chief executive officer is to be paid the remuneration and allowances decided by the Board.</w:t>
      </w:r>
    </w:p>
    <w:p>
      <w:pPr>
        <w:pStyle w:val="yHeading5"/>
        <w:spacing w:before="160"/>
      </w:pPr>
      <w:bookmarkStart w:id="375" w:name="_Toc80612035"/>
      <w:r>
        <w:rPr>
          <w:rStyle w:val="CharSClsNo"/>
        </w:rPr>
        <w:t>252</w:t>
      </w:r>
      <w:r>
        <w:t>.</w:t>
      </w:r>
      <w:r>
        <w:tab/>
        <w:t>Vacancy in office</w:t>
      </w:r>
      <w:bookmarkEnd w:id="375"/>
    </w:p>
    <w:p>
      <w:pPr>
        <w:pStyle w:val="ySubsection"/>
      </w:pPr>
      <w:r>
        <w:tab/>
      </w:r>
      <w:r>
        <w:tab/>
        <w:t>The office of the chief executive officer of the National Authority becomes vacant if —</w:t>
      </w:r>
    </w:p>
    <w:p>
      <w:pPr>
        <w:pStyle w:val="yIndenta"/>
      </w:pPr>
      <w:r>
        <w:tab/>
        <w:t>(a)</w:t>
      </w:r>
      <w:r>
        <w:tab/>
        <w:t>the chief executive officer resigns from office by written notice addressed to the Chairperson of the Board; or</w:t>
      </w:r>
    </w:p>
    <w:p>
      <w:pPr>
        <w:pStyle w:val="yIndenta"/>
      </w:pPr>
      <w:r>
        <w:tab/>
        <w:t>(b)</w:t>
      </w:r>
      <w:r>
        <w:tab/>
        <w:t>the appointment of the chief executive officer is terminated by the Board under this Law; or</w:t>
      </w:r>
    </w:p>
    <w:p>
      <w:pPr>
        <w:pStyle w:val="yIndenta"/>
      </w:pPr>
      <w:r>
        <w:tab/>
        <w:t>(c)</w:t>
      </w:r>
      <w:r>
        <w:tab/>
        <w:t>the chief executive officer dies.</w:t>
      </w:r>
    </w:p>
    <w:p>
      <w:pPr>
        <w:pStyle w:val="yHeading5"/>
      </w:pPr>
      <w:bookmarkStart w:id="376" w:name="_Toc80612036"/>
      <w:r>
        <w:rPr>
          <w:rStyle w:val="CharSClsNo"/>
        </w:rPr>
        <w:t>253</w:t>
      </w:r>
      <w:r>
        <w:t>.</w:t>
      </w:r>
      <w:r>
        <w:tab/>
        <w:t>Resignation</w:t>
      </w:r>
      <w:bookmarkEnd w:id="376"/>
    </w:p>
    <w:p>
      <w:pPr>
        <w:pStyle w:val="ySubsection"/>
      </w:pPr>
      <w:r>
        <w:tab/>
        <w:t>(1)</w:t>
      </w:r>
      <w:r>
        <w:tab/>
        <w:t>The chief executive officer may resign the office by written notice addressed to the Chairperson of the Board.</w:t>
      </w:r>
    </w:p>
    <w:p>
      <w:pPr>
        <w:pStyle w:val="ySubsection"/>
      </w:pPr>
      <w:r>
        <w:tab/>
        <w:t>(2)</w:t>
      </w:r>
      <w:r>
        <w:tab/>
        <w:t>The resignation takes effect on the day that it is received by the Chairperson of the Board or a later day specified in the notice of resignation.</w:t>
      </w:r>
    </w:p>
    <w:p>
      <w:pPr>
        <w:pStyle w:val="ySubsection"/>
      </w:pPr>
      <w:r>
        <w:tab/>
        <w:t>(3)</w:t>
      </w:r>
      <w:r>
        <w:tab/>
        <w:t>The Chairperson of the Board must notify the Ministerial Council of that resignation.</w:t>
      </w:r>
    </w:p>
    <w:p>
      <w:pPr>
        <w:pStyle w:val="yHeading5"/>
      </w:pPr>
      <w:bookmarkStart w:id="377" w:name="_Toc80612037"/>
      <w:r>
        <w:rPr>
          <w:rStyle w:val="CharSClsNo"/>
        </w:rPr>
        <w:t>254</w:t>
      </w:r>
      <w:r>
        <w:t>.</w:t>
      </w:r>
      <w:r>
        <w:tab/>
        <w:t>Termination of appointment</w:t>
      </w:r>
      <w:bookmarkEnd w:id="377"/>
    </w:p>
    <w:p>
      <w:pPr>
        <w:pStyle w:val="ySubsection"/>
      </w:pPr>
      <w:r>
        <w:tab/>
        <w:t>(1)</w:t>
      </w:r>
      <w:r>
        <w:tab/>
        <w:t>The Board may terminate the appointment of the chief executive officer —</w:t>
      </w:r>
    </w:p>
    <w:p>
      <w:pPr>
        <w:pStyle w:val="yIndenta"/>
      </w:pPr>
      <w:r>
        <w:tab/>
        <w:t>(a)</w:t>
      </w:r>
      <w:r>
        <w:tab/>
        <w:t>for misconduct or for physical or mental incapacity that significantly impacts on the ability of the chief executive officer to perform the role; or</w:t>
      </w:r>
    </w:p>
    <w:p>
      <w:pPr>
        <w:pStyle w:val="yIndenta"/>
      </w:pPr>
      <w:r>
        <w:tab/>
        <w:t>(b)</w:t>
      </w:r>
      <w:r>
        <w:tab/>
        <w:t>if the Board is satisfied that the performance of the chief executive officer has been unsatisfactory; or</w:t>
      </w:r>
    </w:p>
    <w:p>
      <w:pPr>
        <w:pStyle w:val="yIndenta"/>
      </w:pPr>
      <w:r>
        <w:lastRenderedPageBreak/>
        <w:tab/>
        <w:t>(c)</w:t>
      </w:r>
      <w:r>
        <w:tab/>
        <w:t>if the chief executive officer engages in paid employment outside the duties of his or her office without the approval of the Chairperson of the Board; or</w:t>
      </w:r>
    </w:p>
    <w:p>
      <w:pPr>
        <w:pStyle w:val="y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ySubsection"/>
        <w:keepNext/>
      </w:pPr>
      <w:r>
        <w:tab/>
        <w:t>(2)</w:t>
      </w:r>
      <w:r>
        <w:tab/>
        <w:t>The Board must terminate the appointment of the chief executive officer if the chief executive officer —</w:t>
      </w:r>
    </w:p>
    <w:p>
      <w:pPr>
        <w:pStyle w:val="y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yIndenta"/>
      </w:pPr>
      <w:r>
        <w:tab/>
        <w:t>(b)</w:t>
      </w:r>
      <w:r>
        <w:tab/>
        <w:t>is absent, except on a leave of absence approved by the Chairperson of the Board, for 14 consecutive days or for 28 days in any period of 12 months; or</w:t>
      </w:r>
    </w:p>
    <w:p>
      <w:pPr>
        <w:pStyle w:val="yIndenta"/>
      </w:pPr>
      <w:r>
        <w:tab/>
        <w:t>(c)</w:t>
      </w:r>
      <w:r>
        <w:tab/>
        <w:t>fails, without reasonable excuse, to comply with section 256.</w:t>
      </w:r>
    </w:p>
    <w:p>
      <w:pPr>
        <w:pStyle w:val="ySubsection"/>
      </w:pPr>
      <w:r>
        <w:tab/>
        <w:t>(3)</w:t>
      </w:r>
      <w:r>
        <w:tab/>
        <w:t>The Chairperson of the Board must notify the Chairperson of the Ministerial Council of the termination of the appointment of the chief executive officer.</w:t>
      </w:r>
    </w:p>
    <w:p>
      <w:pPr>
        <w:pStyle w:val="yHeading5"/>
      </w:pPr>
      <w:bookmarkStart w:id="378" w:name="_Toc80612038"/>
      <w:r>
        <w:rPr>
          <w:rStyle w:val="CharSClsNo"/>
        </w:rPr>
        <w:t>255</w:t>
      </w:r>
      <w:r>
        <w:t>.</w:t>
      </w:r>
      <w:r>
        <w:tab/>
        <w:t>Acting chief executive officer</w:t>
      </w:r>
      <w:bookmarkEnd w:id="378"/>
    </w:p>
    <w:p>
      <w:pPr>
        <w:pStyle w:val="ySubsection"/>
      </w:pPr>
      <w:r>
        <w:tab/>
        <w:t>(1)</w:t>
      </w:r>
      <w:r>
        <w:tab/>
        <w:t>The Board may appoint a person to act as the chief executive officer —</w:t>
      </w:r>
    </w:p>
    <w:p>
      <w:pPr>
        <w:pStyle w:val="yIndenta"/>
      </w:pPr>
      <w:r>
        <w:tab/>
        <w:t>(a)</w:t>
      </w:r>
      <w:r>
        <w:tab/>
        <w:t>during any vacancy in the office of chief executive officer; or</w:t>
      </w:r>
    </w:p>
    <w:p>
      <w:pPr>
        <w:pStyle w:val="yIndenta"/>
      </w:pPr>
      <w:r>
        <w:tab/>
        <w:t>(b)</w:t>
      </w:r>
      <w:r>
        <w:tab/>
        <w:t>during any period that the chief executive officer —</w:t>
      </w:r>
    </w:p>
    <w:p>
      <w:pPr>
        <w:pStyle w:val="yIndenti0"/>
      </w:pPr>
      <w:r>
        <w:tab/>
        <w:t>(i)</w:t>
      </w:r>
      <w:r>
        <w:tab/>
        <w:t>is absent from duty; or</w:t>
      </w:r>
    </w:p>
    <w:p>
      <w:pPr>
        <w:pStyle w:val="yIndenti0"/>
      </w:pPr>
      <w:r>
        <w:tab/>
        <w:t>(ii)</w:t>
      </w:r>
      <w:r>
        <w:tab/>
        <w:t>is, for any reason, unable to perform the duties of that office.</w:t>
      </w:r>
    </w:p>
    <w:p>
      <w:pPr>
        <w:pStyle w:val="ySubsection"/>
      </w:pPr>
      <w:r>
        <w:tab/>
        <w:t>(2)</w:t>
      </w:r>
      <w:r>
        <w:tab/>
        <w:t>The period of the acting appointment must not exceed 6 months.</w:t>
      </w:r>
    </w:p>
    <w:p>
      <w:pPr>
        <w:pStyle w:val="yHeading5"/>
      </w:pPr>
      <w:bookmarkStart w:id="379" w:name="_Toc80612039"/>
      <w:r>
        <w:rPr>
          <w:rStyle w:val="CharSClsNo"/>
        </w:rPr>
        <w:t>256</w:t>
      </w:r>
      <w:r>
        <w:t>.</w:t>
      </w:r>
      <w:r>
        <w:tab/>
        <w:t>Disclosure of interests</w:t>
      </w:r>
      <w:bookmarkEnd w:id="379"/>
    </w:p>
    <w:p>
      <w:pPr>
        <w:pStyle w:val="ySubsection"/>
      </w:pPr>
      <w:r>
        <w:tab/>
      </w:r>
      <w:r>
        <w:tab/>
        <w:t xml:space="preserve">The chief executive officer must give written notice to the Chairperson of the Board as soon as possible of any direct or indirect </w:t>
      </w:r>
      <w:r>
        <w:lastRenderedPageBreak/>
        <w:t>personal or pecuniary interest that the chief executive officer has, or acquires, or may acquire, that conflicts or could conflict with the proper carrying out of the chief executive officer’s functions.</w:t>
      </w:r>
    </w:p>
    <w:p>
      <w:pPr>
        <w:pStyle w:val="yHeading4"/>
      </w:pPr>
      <w:bookmarkStart w:id="380" w:name="_Toc80609225"/>
      <w:bookmarkStart w:id="381" w:name="_Toc80612040"/>
      <w:r>
        <w:t>Subdivision 5 — Staff, consultants and contractors</w:t>
      </w:r>
      <w:bookmarkEnd w:id="380"/>
      <w:bookmarkEnd w:id="381"/>
    </w:p>
    <w:p>
      <w:pPr>
        <w:pStyle w:val="yHeading5"/>
      </w:pPr>
      <w:bookmarkStart w:id="382" w:name="_Toc80612041"/>
      <w:r>
        <w:rPr>
          <w:rStyle w:val="CharSClsNo"/>
        </w:rPr>
        <w:t>257</w:t>
      </w:r>
      <w:r>
        <w:t>.</w:t>
      </w:r>
      <w:r>
        <w:tab/>
        <w:t>Staff of National Authority</w:t>
      </w:r>
      <w:bookmarkEnd w:id="382"/>
    </w:p>
    <w:p>
      <w:pPr>
        <w:pStyle w:val="ySubsection"/>
      </w:pPr>
      <w:r>
        <w:tab/>
        <w:t>(1)</w:t>
      </w:r>
      <w:r>
        <w:tab/>
        <w:t>The National Authority may, for the purpose of carrying out its functions, employ staff.</w:t>
      </w:r>
    </w:p>
    <w:p>
      <w:pPr>
        <w:pStyle w:val="ySubsection"/>
      </w:pPr>
      <w:r>
        <w:tab/>
        <w:t>(2)</w:t>
      </w:r>
      <w:r>
        <w:tab/>
        <w:t>The staff of the National Authority are to be employed on the terms and conditions determined by the National Authority from time to time.</w:t>
      </w:r>
    </w:p>
    <w:p>
      <w:pPr>
        <w:pStyle w:val="ySubsection"/>
      </w:pPr>
      <w:r>
        <w:tab/>
        <w:t>(3)</w:t>
      </w:r>
      <w:r>
        <w:tab/>
        <w:t>Subsection (2) is subject to any relevant industrial award or agreement that applies to the staff.</w:t>
      </w:r>
    </w:p>
    <w:p>
      <w:pPr>
        <w:pStyle w:val="yHeading5"/>
      </w:pPr>
      <w:bookmarkStart w:id="383" w:name="_Toc80612042"/>
      <w:r>
        <w:rPr>
          <w:rStyle w:val="CharSClsNo"/>
        </w:rPr>
        <w:t>258</w:t>
      </w:r>
      <w:r>
        <w:t>.</w:t>
      </w:r>
      <w:r>
        <w:tab/>
        <w:t>Staff seconded to National Authority</w:t>
      </w:r>
      <w:bookmarkEnd w:id="383"/>
    </w:p>
    <w:p>
      <w:pPr>
        <w:pStyle w:val="ySubsection"/>
      </w:pPr>
      <w:r>
        <w:tab/>
      </w:r>
      <w:r>
        <w:tab/>
        <w:t>The National Authority may, in consultation with the relevant Regulatory Authority or the relevant Commonwealth Department, make arrangements for the secondment of staff.</w:t>
      </w:r>
    </w:p>
    <w:p>
      <w:pPr>
        <w:pStyle w:val="yHeading5"/>
      </w:pPr>
      <w:bookmarkStart w:id="384" w:name="_Toc80612043"/>
      <w:r>
        <w:rPr>
          <w:rStyle w:val="CharSClsNo"/>
        </w:rPr>
        <w:t>259</w:t>
      </w:r>
      <w:r>
        <w:t>.</w:t>
      </w:r>
      <w:r>
        <w:tab/>
        <w:t>Consultants and contractors</w:t>
      </w:r>
      <w:bookmarkEnd w:id="384"/>
    </w:p>
    <w:p>
      <w:pPr>
        <w:pStyle w:val="ySubsection"/>
      </w:pPr>
      <w:r>
        <w:tab/>
        <w:t>(1)</w:t>
      </w:r>
      <w:r>
        <w:tab/>
        <w:t>The National Authority may engage persons with suitable qualifications and experience as consultants or contractors.</w:t>
      </w:r>
    </w:p>
    <w:p>
      <w:pPr>
        <w:pStyle w:val="ySubsection"/>
      </w:pPr>
      <w:r>
        <w:tab/>
        <w:t>(2)</w:t>
      </w:r>
      <w:r>
        <w:tab/>
        <w:t>The terms and conditions of engagement of consultants or contractors are as decided by the National Authority from time to time.</w:t>
      </w:r>
    </w:p>
    <w:p>
      <w:pPr>
        <w:pStyle w:val="yHeading3"/>
      </w:pPr>
      <w:bookmarkStart w:id="385" w:name="_Toc80609229"/>
      <w:bookmarkStart w:id="386" w:name="_Toc80612044"/>
      <w:r>
        <w:rPr>
          <w:rStyle w:val="CharSDivNo"/>
        </w:rPr>
        <w:t>Part 12</w:t>
      </w:r>
      <w:r>
        <w:t xml:space="preserve"> — </w:t>
      </w:r>
      <w:r>
        <w:rPr>
          <w:rStyle w:val="CharSDivText"/>
        </w:rPr>
        <w:t>Regulatory Authority</w:t>
      </w:r>
      <w:bookmarkEnd w:id="385"/>
      <w:bookmarkEnd w:id="386"/>
    </w:p>
    <w:p>
      <w:pPr>
        <w:pStyle w:val="yHeading5"/>
      </w:pPr>
      <w:bookmarkStart w:id="387" w:name="_Toc80612045"/>
      <w:r>
        <w:rPr>
          <w:rStyle w:val="CharSClsNo"/>
        </w:rPr>
        <w:t>260</w:t>
      </w:r>
      <w:r>
        <w:t>.</w:t>
      </w:r>
      <w:r>
        <w:tab/>
        <w:t>Functions of Regulatory Authority</w:t>
      </w:r>
      <w:bookmarkEnd w:id="387"/>
    </w:p>
    <w:p>
      <w:pPr>
        <w:pStyle w:val="ySubsection"/>
      </w:pPr>
      <w:r>
        <w:tab/>
      </w:r>
      <w:r>
        <w:tab/>
        <w:t>The Regulatory Authority has the following functions under this Law in relation to this jurisdiction —</w:t>
      </w:r>
    </w:p>
    <w:p>
      <w:pPr>
        <w:pStyle w:val="yIndenta"/>
      </w:pPr>
      <w:r>
        <w:tab/>
        <w:t>(a)</w:t>
      </w:r>
      <w:r>
        <w:tab/>
        <w:t>to administer the National Quality Framework;</w:t>
      </w:r>
    </w:p>
    <w:p>
      <w:pPr>
        <w:pStyle w:val="yIndenta"/>
      </w:pPr>
      <w:r>
        <w:tab/>
        <w:t>(b)</w:t>
      </w:r>
      <w:r>
        <w:tab/>
        <w:t>to assess approved education and care services against the National Quality Standard and the national regulations and determine the ratings of those services;</w:t>
      </w:r>
    </w:p>
    <w:p>
      <w:pPr>
        <w:pStyle w:val="yIndenta"/>
      </w:pPr>
      <w:r>
        <w:tab/>
        <w:t>(c)</w:t>
      </w:r>
      <w:r>
        <w:tab/>
        <w:t>to monitor and enforce compliance with this Law;</w:t>
      </w:r>
    </w:p>
    <w:p>
      <w:pPr>
        <w:pStyle w:val="yIndenta"/>
      </w:pPr>
      <w:r>
        <w:lastRenderedPageBreak/>
        <w:tab/>
        <w:t>(d)</w:t>
      </w:r>
      <w:r>
        <w:tab/>
        <w:t>to receive and investigate complaints arising under this Law;</w:t>
      </w:r>
    </w:p>
    <w:p>
      <w:pPr>
        <w:pStyle w:val="yIndenta"/>
      </w:pPr>
      <w:r>
        <w:tab/>
        <w:t>(e)</w:t>
      </w:r>
      <w:r>
        <w:tab/>
        <w:t>in conjunction with the National Authority and the relevant Commonwealth Department, to educate and inform education and care services and the community in relation to the National Quality Framework;</w:t>
      </w:r>
    </w:p>
    <w:p>
      <w:pPr>
        <w:pStyle w:val="yIndenta"/>
      </w:pPr>
      <w:r>
        <w:tab/>
        <w:t>(f)</w:t>
      </w:r>
      <w:r>
        <w:tab/>
        <w:t>to work in collaboration with the National Authority to support and promote continuous quality improvements in education and care services;</w:t>
      </w:r>
    </w:p>
    <w:p>
      <w:pPr>
        <w:pStyle w:val="yIndenta"/>
      </w:pPr>
      <w:r>
        <w:tab/>
        <w:t>(g)</w:t>
      </w:r>
      <w:r>
        <w:tab/>
        <w:t>to undertake information collection, review and reporting for the purposes of —</w:t>
      </w:r>
    </w:p>
    <w:p>
      <w:pPr>
        <w:pStyle w:val="yIndenti0"/>
      </w:pPr>
      <w:r>
        <w:tab/>
        <w:t>(i)</w:t>
      </w:r>
      <w:r>
        <w:tab/>
        <w:t>the regulation of education and care services; and</w:t>
      </w:r>
    </w:p>
    <w:p>
      <w:pPr>
        <w:pStyle w:val="yIndenti0"/>
      </w:pPr>
      <w:r>
        <w:tab/>
        <w:t>(ii)</w:t>
      </w:r>
      <w:r>
        <w:tab/>
        <w:t>reporting on the administration of the National Quality Framework; and</w:t>
      </w:r>
    </w:p>
    <w:p>
      <w:pPr>
        <w:pStyle w:val="yIndenti0"/>
      </w:pPr>
      <w:r>
        <w:tab/>
        <w:t>(iii)</w:t>
      </w:r>
      <w:r>
        <w:tab/>
        <w:t>the sharing of information under this Law;</w:t>
      </w:r>
    </w:p>
    <w:p>
      <w:pPr>
        <w:pStyle w:val="yIndenta"/>
      </w:pPr>
      <w:r>
        <w:tab/>
        <w:t>(h)</w:t>
      </w:r>
      <w:r>
        <w:tab/>
        <w:t>any other functions conferred on the Regulatory Authority under this Law.</w:t>
      </w:r>
    </w:p>
    <w:p>
      <w:pPr>
        <w:pStyle w:val="yHeading5"/>
      </w:pPr>
      <w:bookmarkStart w:id="388" w:name="_Toc80612046"/>
      <w:r>
        <w:rPr>
          <w:rStyle w:val="CharSClsNo"/>
        </w:rPr>
        <w:t>261</w:t>
      </w:r>
      <w:r>
        <w:t>.</w:t>
      </w:r>
      <w:r>
        <w:tab/>
        <w:t>Powers of Regulatory Authority</w:t>
      </w:r>
      <w:bookmarkEnd w:id="388"/>
    </w:p>
    <w:p>
      <w:pPr>
        <w:pStyle w:val="ySubsection"/>
      </w:pPr>
      <w:r>
        <w:tab/>
        <w:t>(1)</w:t>
      </w:r>
      <w:r>
        <w:tab/>
        <w:t>The Regulatory Authority has the power to do all things that are necessary or convenient to be done for, or in connection with, or that are incidental to the carrying out of its functions under this Law.</w:t>
      </w:r>
    </w:p>
    <w:p>
      <w:pPr>
        <w:pStyle w:val="ySubsection"/>
      </w:pPr>
      <w:r>
        <w:tab/>
        <w:t>(2)</w:t>
      </w:r>
      <w:r>
        <w:tab/>
        <w:t>Without limiting subsection (1), the Regulatory Authority has the following powers under this Law in relation to this jurisdiction —</w:t>
      </w:r>
    </w:p>
    <w:p>
      <w:pPr>
        <w:pStyle w:val="y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yIndenta"/>
        <w:keepLines/>
      </w:pPr>
      <w:r>
        <w:tab/>
        <w:t>(b)</w:t>
      </w:r>
      <w:r>
        <w:tab/>
        <w:t xml:space="preserve">subject to the </w:t>
      </w:r>
      <w:r>
        <w:rPr>
          <w:i/>
        </w:rPr>
        <w:t>Privacy Act 1988</w:t>
      </w:r>
      <w:r>
        <w:t xml:space="preserve"> of the Commonwealth, to collect, hold and use information about providers of education and care services, family day care educators and nominated supervisors;</w:t>
      </w:r>
    </w:p>
    <w:p>
      <w:pPr>
        <w:pStyle w:val="yIndenta"/>
      </w:pPr>
      <w:r>
        <w:tab/>
        <w:t>(c)</w:t>
      </w:r>
      <w:r>
        <w:tab/>
        <w:t>to maintain and publish registers of approved providers and approved education and care services;</w:t>
      </w:r>
    </w:p>
    <w:p>
      <w:pPr>
        <w:pStyle w:val="yIndenta"/>
      </w:pPr>
      <w:r>
        <w:lastRenderedPageBreak/>
        <w:tab/>
        <w:t>(d)</w:t>
      </w:r>
      <w:r>
        <w:tab/>
        <w:t>to publish information about the National Quality Framework, including ratings and prescribed information about compliance with this Law;</w:t>
      </w:r>
    </w:p>
    <w:p>
      <w:pPr>
        <w:pStyle w:val="yIndenta"/>
      </w:pPr>
      <w:r>
        <w:tab/>
        <w:t>(e)</w:t>
      </w:r>
      <w:r>
        <w:tab/>
        <w:t>to collect, waive, reduce, defer and refund fees (including late payment fees) and enter into agreements in relation to fees;</w:t>
      </w:r>
    </w:p>
    <w:p>
      <w:pPr>
        <w:pStyle w:val="yIndenta"/>
      </w:pPr>
      <w:r>
        <w:tab/>
        <w:t>(f)</w:t>
      </w:r>
      <w:r>
        <w:tab/>
        <w:t>to enter into agreements relating to fees and funding with the National Authority;</w:t>
      </w:r>
    </w:p>
    <w:p>
      <w:pPr>
        <w:pStyle w:val="yIndenta"/>
      </w:pPr>
      <w:r>
        <w:tab/>
        <w:t>(g)</w:t>
      </w:r>
      <w:r>
        <w:tab/>
        <w:t>to exercise any other powers conferred on it by this Law.</w:t>
      </w:r>
    </w:p>
    <w:p>
      <w:pPr>
        <w:pStyle w:val="yFootnotesection"/>
      </w:pPr>
      <w:r>
        <w:tab/>
        <w:t>[Section 261 amended: No. 18 of 2018 s. 78.]</w:t>
      </w:r>
    </w:p>
    <w:p>
      <w:pPr>
        <w:pStyle w:val="yHeading5"/>
      </w:pPr>
      <w:bookmarkStart w:id="389" w:name="_Toc80612047"/>
      <w:r>
        <w:rPr>
          <w:rStyle w:val="CharSClsNo"/>
        </w:rPr>
        <w:t>262</w:t>
      </w:r>
      <w:r>
        <w:t>.</w:t>
      </w:r>
      <w:r>
        <w:tab/>
        <w:t>Delegations</w:t>
      </w:r>
      <w:bookmarkEnd w:id="389"/>
    </w:p>
    <w:p>
      <w:pPr>
        <w:pStyle w:val="ySubsection"/>
      </w:pPr>
      <w:r>
        <w:tab/>
        <w:t>(1)</w:t>
      </w:r>
      <w:r>
        <w:tab/>
        <w:t>The Regulatory Authority may in writing delegate any of its functions and powers under this Law (other than this power of delegation) to —</w:t>
      </w:r>
    </w:p>
    <w:p>
      <w:pPr>
        <w:pStyle w:val="yIndenta"/>
      </w:pPr>
      <w:r>
        <w:tab/>
        <w:t>(a)</w:t>
      </w:r>
      <w:r>
        <w:tab/>
        <w:t>any person employed under a public sector law of this jurisdiction; or</w:t>
      </w:r>
    </w:p>
    <w:p>
      <w:pPr>
        <w:pStyle w:val="yIndenta"/>
      </w:pPr>
      <w:r>
        <w:tab/>
        <w:t>(b)</w:t>
      </w:r>
      <w:r>
        <w:tab/>
        <w:t>a prescribed person or a person in a prescribed class of persons.</w:t>
      </w:r>
    </w:p>
    <w:p>
      <w:pPr>
        <w:pStyle w:val="y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yHeading3"/>
      </w:pPr>
      <w:bookmarkStart w:id="390" w:name="_Toc80609233"/>
      <w:bookmarkStart w:id="391" w:name="_Toc80612048"/>
      <w:r>
        <w:rPr>
          <w:rStyle w:val="CharSDivNo"/>
        </w:rPr>
        <w:t>Part 13</w:t>
      </w:r>
      <w:r>
        <w:t xml:space="preserve"> — </w:t>
      </w:r>
      <w:r>
        <w:rPr>
          <w:rStyle w:val="CharSDivText"/>
        </w:rPr>
        <w:t>Information, records and privacy</w:t>
      </w:r>
      <w:bookmarkEnd w:id="390"/>
      <w:bookmarkEnd w:id="391"/>
    </w:p>
    <w:p>
      <w:pPr>
        <w:pStyle w:val="yHeading4"/>
      </w:pPr>
      <w:bookmarkStart w:id="392" w:name="_Toc80609234"/>
      <w:bookmarkStart w:id="393" w:name="_Toc80612049"/>
      <w:r>
        <w:t>Division 1</w:t>
      </w:r>
      <w:r>
        <w:rPr>
          <w:b w:val="0"/>
        </w:rPr>
        <w:t xml:space="preserve"> — </w:t>
      </w:r>
      <w:r>
        <w:t>Privacy</w:t>
      </w:r>
      <w:bookmarkEnd w:id="392"/>
      <w:bookmarkEnd w:id="393"/>
    </w:p>
    <w:p>
      <w:pPr>
        <w:pStyle w:val="yHeading5"/>
      </w:pPr>
      <w:bookmarkStart w:id="394" w:name="_Toc80612050"/>
      <w:r>
        <w:rPr>
          <w:rStyle w:val="CharSClsNo"/>
        </w:rPr>
        <w:t>263</w:t>
      </w:r>
      <w:r>
        <w:t>.</w:t>
      </w:r>
      <w:r>
        <w:tab/>
        <w:t>Application of Commonwealth Privacy Act</w:t>
      </w:r>
      <w:bookmarkEnd w:id="394"/>
    </w:p>
    <w:p>
      <w:pPr>
        <w:pStyle w:val="ySubsection"/>
      </w:pPr>
      <w:r>
        <w:tab/>
        <w:t>(1)</w:t>
      </w:r>
      <w:r>
        <w:tab/>
        <w:t>The Privacy Act applies as a law of a participating jurisdiction for the purposes of the National Quality Framework.</w:t>
      </w:r>
    </w:p>
    <w:p>
      <w:pPr>
        <w:pStyle w:val="ySubsection"/>
        <w:keepNext/>
      </w:pPr>
      <w:r>
        <w:tab/>
        <w:t>(2)</w:t>
      </w:r>
      <w:r>
        <w:tab/>
        <w:t>For the purposes of subsection (1), the Privacy Act applies —</w:t>
      </w:r>
    </w:p>
    <w:p>
      <w:pPr>
        <w:pStyle w:val="yIndenta"/>
        <w:keepNext/>
      </w:pPr>
      <w:r>
        <w:tab/>
        <w:t>(a)</w:t>
      </w:r>
      <w:r>
        <w:tab/>
        <w:t>as if a reference to the Office of the Privacy Commissioner were a reference to the Office of the National Education and Care Services Privacy Commissioner; and</w:t>
      </w:r>
    </w:p>
    <w:p>
      <w:pPr>
        <w:pStyle w:val="yIndenta"/>
      </w:pPr>
      <w:r>
        <w:tab/>
        <w:t>(b)</w:t>
      </w:r>
      <w:r>
        <w:tab/>
        <w:t>as if a reference to the Privacy Commissioner were a reference to the National Education and Care Services Privacy Commissioner; and</w:t>
      </w:r>
    </w:p>
    <w:p>
      <w:pPr>
        <w:pStyle w:val="yIndenta"/>
      </w:pPr>
      <w:r>
        <w:lastRenderedPageBreak/>
        <w:tab/>
        <w:t>(c)</w:t>
      </w:r>
      <w:r>
        <w:tab/>
        <w:t>with any other modifications made by the national regulations.</w:t>
      </w:r>
    </w:p>
    <w:p>
      <w:pPr>
        <w:pStyle w:val="ySubsection"/>
      </w:pPr>
      <w:r>
        <w:tab/>
        <w:t>(3)</w:t>
      </w:r>
      <w:r>
        <w:tab/>
        <w:t>Without limiting subsection (2)(c), the national regulations may —</w:t>
      </w:r>
    </w:p>
    <w:p>
      <w:pPr>
        <w:pStyle w:val="yIndenta"/>
      </w:pPr>
      <w:r>
        <w:tab/>
        <w:t>(a)</w:t>
      </w:r>
      <w:r>
        <w:tab/>
        <w:t>provide that the Privacy Act applies under subsection (1) as if a provision of the Privacy Act specified in the national regulations were omitted; or</w:t>
      </w:r>
    </w:p>
    <w:p>
      <w:pPr>
        <w:pStyle w:val="yIndenta"/>
      </w:pPr>
      <w:r>
        <w:tab/>
        <w:t>(b)</w:t>
      </w:r>
      <w:r>
        <w:tab/>
        <w:t>provide that the Privacy Act applies under subsection (1) as if an amendment to the Privacy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Privacy Act</w:t>
      </w:r>
      <w:r>
        <w:t xml:space="preserve"> means the </w:t>
      </w:r>
      <w:r>
        <w:rPr>
          <w:i/>
        </w:rPr>
        <w:t>Privacy Act 1988</w:t>
      </w:r>
      <w:r>
        <w:t xml:space="preserve"> of the Commonwealth, as in force from time to time.</w:t>
      </w:r>
    </w:p>
    <w:p>
      <w:pPr>
        <w:pStyle w:val="yHeading4"/>
        <w:spacing w:before="180"/>
      </w:pPr>
      <w:bookmarkStart w:id="395" w:name="_Toc80609236"/>
      <w:bookmarkStart w:id="396" w:name="_Toc80612051"/>
      <w:r>
        <w:t>Division 2</w:t>
      </w:r>
      <w:r>
        <w:rPr>
          <w:b w:val="0"/>
        </w:rPr>
        <w:t xml:space="preserve"> — </w:t>
      </w:r>
      <w:r>
        <w:t>Application of Commonwealth FOI Act</w:t>
      </w:r>
      <w:bookmarkEnd w:id="395"/>
      <w:bookmarkEnd w:id="396"/>
    </w:p>
    <w:p>
      <w:pPr>
        <w:pStyle w:val="yHeading5"/>
        <w:spacing w:before="180"/>
      </w:pPr>
      <w:bookmarkStart w:id="397" w:name="_Toc80612052"/>
      <w:r>
        <w:rPr>
          <w:rStyle w:val="CharSClsNo"/>
        </w:rPr>
        <w:t>264</w:t>
      </w:r>
      <w:r>
        <w:t>.</w:t>
      </w:r>
      <w:r>
        <w:tab/>
        <w:t>Application of Commonwealth FOI Act</w:t>
      </w:r>
      <w:bookmarkEnd w:id="397"/>
    </w:p>
    <w:p>
      <w:pPr>
        <w:pStyle w:val="ySubsection"/>
      </w:pPr>
      <w:r>
        <w:tab/>
        <w:t>(1)</w:t>
      </w:r>
      <w:r>
        <w:tab/>
        <w:t>The FOI Act applies as a law of a participating jurisdiction for the purposes of the National Quality Framework.</w:t>
      </w:r>
    </w:p>
    <w:p>
      <w:pPr>
        <w:pStyle w:val="ySubsection"/>
      </w:pPr>
      <w:r>
        <w:tab/>
        <w:t>(2)</w:t>
      </w:r>
      <w:r>
        <w:tab/>
        <w:t>For the purposes of subsection (1), the FOI Act applies —</w:t>
      </w:r>
    </w:p>
    <w:p>
      <w:pPr>
        <w:pStyle w:val="yIndenta"/>
      </w:pPr>
      <w:r>
        <w:tab/>
        <w:t>(a)</w:t>
      </w:r>
      <w:r>
        <w:tab/>
        <w:t>as if a reference to the Office of the Freedom of Information Commissioner were a reference to the Office of the National Education and Care Services Freedom of Information Commissioner; and</w:t>
      </w:r>
    </w:p>
    <w:p>
      <w:pPr>
        <w:pStyle w:val="yIndenta"/>
      </w:pPr>
      <w:r>
        <w:tab/>
        <w:t>(b)</w:t>
      </w:r>
      <w:r>
        <w:tab/>
        <w:t>as if a reference to the Freedom of Information Commissioner were a reference to the National Education and Care Services Freedom of Information Commissioner; and</w:t>
      </w:r>
    </w:p>
    <w:p>
      <w:pPr>
        <w:pStyle w:val="yIndenta"/>
      </w:pPr>
      <w:r>
        <w:tab/>
        <w:t>(c)</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FOI Act applies under subsection (1) as if a provision of the FOI Act specified in the national regulations were omitted; or</w:t>
      </w:r>
    </w:p>
    <w:p>
      <w:pPr>
        <w:pStyle w:val="yIndenta"/>
      </w:pPr>
      <w:r>
        <w:lastRenderedPageBreak/>
        <w:tab/>
        <w:t>(b)</w:t>
      </w:r>
      <w:r>
        <w:tab/>
        <w:t>provide that the FOI Act applies under subsection (1) as if an amendment to the FOI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FOI Act</w:t>
      </w:r>
      <w:r>
        <w:t xml:space="preserve"> means the </w:t>
      </w:r>
      <w:r>
        <w:rPr>
          <w:i/>
        </w:rPr>
        <w:t>Freedom of Information Act 1982</w:t>
      </w:r>
      <w:r>
        <w:t xml:space="preserve"> of the Commonwealth, as in force from time to time.</w:t>
      </w:r>
    </w:p>
    <w:p>
      <w:pPr>
        <w:pStyle w:val="yHeading4"/>
      </w:pPr>
      <w:bookmarkStart w:id="398" w:name="_Toc80609238"/>
      <w:bookmarkStart w:id="399" w:name="_Toc80612053"/>
      <w:r>
        <w:t>Division 3</w:t>
      </w:r>
      <w:r>
        <w:rPr>
          <w:b w:val="0"/>
        </w:rPr>
        <w:t xml:space="preserve"> — </w:t>
      </w:r>
      <w:r>
        <w:t>Application of New South Wales State Records Act</w:t>
      </w:r>
      <w:bookmarkEnd w:id="398"/>
      <w:bookmarkEnd w:id="399"/>
    </w:p>
    <w:p>
      <w:pPr>
        <w:pStyle w:val="yHeading5"/>
      </w:pPr>
      <w:bookmarkStart w:id="400" w:name="_Toc80612054"/>
      <w:r>
        <w:rPr>
          <w:rStyle w:val="CharSClsNo"/>
        </w:rPr>
        <w:t>265</w:t>
      </w:r>
      <w:r>
        <w:t>.</w:t>
      </w:r>
      <w:r>
        <w:tab/>
        <w:t>Application of State Records Act</w:t>
      </w:r>
      <w:bookmarkEnd w:id="400"/>
    </w:p>
    <w:p>
      <w:pPr>
        <w:pStyle w:val="ySubsection"/>
      </w:pPr>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ySubsection"/>
      </w:pPr>
      <w:r>
        <w:tab/>
        <w:t>(2)</w:t>
      </w:r>
      <w:r>
        <w:tab/>
        <w:t>The national regulations may modify the State Records Act for the purposes of this Law.</w:t>
      </w:r>
    </w:p>
    <w:p>
      <w:pPr>
        <w:pStyle w:val="ySubsection"/>
      </w:pPr>
      <w:r>
        <w:tab/>
        <w:t>(3)</w:t>
      </w:r>
      <w:r>
        <w:tab/>
        <w:t>Without limiting subsection (2), the national regulations may —</w:t>
      </w:r>
    </w:p>
    <w:p>
      <w:pPr>
        <w:pStyle w:val="yIndenta"/>
      </w:pPr>
      <w:r>
        <w:tab/>
        <w:t>(a)</w:t>
      </w:r>
      <w:r>
        <w:tab/>
        <w:t>provide that the State Records Act applies under subsection (1) as if a provision of the State Records Act specified in the national regulations were omitted; or</w:t>
      </w:r>
    </w:p>
    <w:p>
      <w:pPr>
        <w:pStyle w:val="yIndenta"/>
      </w:pPr>
      <w:r>
        <w:tab/>
        <w:t>(b)</w:t>
      </w:r>
      <w:r>
        <w:tab/>
        <w:t>provide that the State Records Act applies under subsection (1) as if an amendment to the State Records Act made by a law of New South Wales,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State Records Act</w:t>
      </w:r>
      <w:r>
        <w:t xml:space="preserve"> means the </w:t>
      </w:r>
      <w:r>
        <w:rPr>
          <w:i/>
        </w:rPr>
        <w:t>State Records Act 1998</w:t>
      </w:r>
      <w:r>
        <w:t xml:space="preserve"> of New South Wales, as in force from time to time.</w:t>
      </w:r>
    </w:p>
    <w:p>
      <w:pPr>
        <w:pStyle w:val="yHeading4"/>
      </w:pPr>
      <w:bookmarkStart w:id="401" w:name="_Toc80609240"/>
      <w:bookmarkStart w:id="402" w:name="_Toc80612055"/>
      <w:r>
        <w:lastRenderedPageBreak/>
        <w:t>Division 4</w:t>
      </w:r>
      <w:r>
        <w:rPr>
          <w:b w:val="0"/>
        </w:rPr>
        <w:t xml:space="preserve"> — </w:t>
      </w:r>
      <w:r>
        <w:t>Registers</w:t>
      </w:r>
      <w:bookmarkEnd w:id="401"/>
      <w:bookmarkEnd w:id="402"/>
    </w:p>
    <w:p>
      <w:pPr>
        <w:pStyle w:val="yHeading5"/>
      </w:pPr>
      <w:bookmarkStart w:id="403" w:name="_Toc80612056"/>
      <w:r>
        <w:rPr>
          <w:rStyle w:val="CharSClsNo"/>
        </w:rPr>
        <w:t>266</w:t>
      </w:r>
      <w:r>
        <w:t>.</w:t>
      </w:r>
      <w:r>
        <w:tab/>
        <w:t>Register of approved providers</w:t>
      </w:r>
      <w:bookmarkEnd w:id="403"/>
    </w:p>
    <w:p>
      <w:pPr>
        <w:pStyle w:val="ySubsection"/>
      </w:pPr>
      <w:r>
        <w:tab/>
        <w:t>(1)</w:t>
      </w:r>
      <w:r>
        <w:tab/>
        <w:t>The National Authority must keep a register of approved providers.</w:t>
      </w:r>
    </w:p>
    <w:p>
      <w:pPr>
        <w:pStyle w:val="ySubsection"/>
      </w:pPr>
      <w:r>
        <w:tab/>
        <w:t>(2)</w:t>
      </w:r>
      <w:r>
        <w:tab/>
        <w:t>The register must contain —</w:t>
      </w:r>
    </w:p>
    <w:p>
      <w:pPr>
        <w:pStyle w:val="yIndenta"/>
      </w:pPr>
      <w:r>
        <w:tab/>
        <w:t>(a)</w:t>
      </w:r>
      <w:r>
        <w:tab/>
        <w:t>the name of each approved provider; and</w:t>
      </w:r>
    </w:p>
    <w:p>
      <w:pPr>
        <w:pStyle w:val="yIndenta"/>
      </w:pPr>
      <w:r>
        <w:tab/>
        <w:t>(b)</w:t>
      </w:r>
      <w:r>
        <w:tab/>
        <w:t>any other prescribed information.</w:t>
      </w:r>
    </w:p>
    <w:p>
      <w:pPr>
        <w:pStyle w:val="ySubsection"/>
      </w:pPr>
      <w:r>
        <w:tab/>
        <w:t>(3)</w:t>
      </w:r>
      <w:r>
        <w:tab/>
        <w:t>The register of approved providers may be inspected at the office of the National Authority during normal office hours without charge.</w:t>
      </w:r>
    </w:p>
    <w:p>
      <w:pPr>
        <w:pStyle w:val="ySubsection"/>
      </w:pPr>
      <w:r>
        <w:tab/>
        <w:t>(4)</w:t>
      </w:r>
      <w:r>
        <w:tab/>
        <w:t>A person may obtain a copy of, or extract from, the register of approved providers on payment of the prescribed fee.</w:t>
      </w:r>
    </w:p>
    <w:p>
      <w:pPr>
        <w:pStyle w:val="yHeading5"/>
      </w:pPr>
      <w:bookmarkStart w:id="404" w:name="_Toc80612057"/>
      <w:r>
        <w:rPr>
          <w:rStyle w:val="CharSClsNo"/>
        </w:rPr>
        <w:t>267</w:t>
      </w:r>
      <w:r>
        <w:t>.</w:t>
      </w:r>
      <w:r>
        <w:tab/>
        <w:t>Register of education and care services</w:t>
      </w:r>
      <w:bookmarkEnd w:id="404"/>
    </w:p>
    <w:p>
      <w:pPr>
        <w:pStyle w:val="ySubsection"/>
      </w:pPr>
      <w:r>
        <w:tab/>
        <w:t>(1)</w:t>
      </w:r>
      <w:r>
        <w:tab/>
        <w:t>The Regulatory Authority must keep a register of approved education and care services operating in the participating jurisdiction.</w:t>
      </w:r>
    </w:p>
    <w:p>
      <w:pPr>
        <w:pStyle w:val="ySubsection"/>
      </w:pPr>
      <w:r>
        <w:tab/>
        <w:t>(2)</w:t>
      </w:r>
      <w:r>
        <w:tab/>
        <w:t>The register of approved education and care services must contain the following information —</w:t>
      </w:r>
    </w:p>
    <w:p>
      <w:pPr>
        <w:pStyle w:val="yIndenta"/>
      </w:pPr>
      <w:r>
        <w:tab/>
        <w:t>(a)</w:t>
      </w:r>
      <w:r>
        <w:tab/>
        <w:t>the name of each service;</w:t>
      </w:r>
    </w:p>
    <w:p>
      <w:pPr>
        <w:pStyle w:val="yIndenta"/>
      </w:pPr>
      <w:r>
        <w:tab/>
        <w:t>(b)</w:t>
      </w:r>
      <w:r>
        <w:tab/>
        <w:t>the name of the approved provider of each service;</w:t>
      </w:r>
    </w:p>
    <w:p>
      <w:pPr>
        <w:pStyle w:val="yIndenta"/>
      </w:pPr>
      <w:r>
        <w:tab/>
        <w:t>(c)</w:t>
      </w:r>
      <w:r>
        <w:tab/>
        <w:t>except in the case of a family day care service, the address of each education and care service premises;</w:t>
      </w:r>
    </w:p>
    <w:p>
      <w:pPr>
        <w:pStyle w:val="yIndenta"/>
      </w:pPr>
      <w:r>
        <w:tab/>
        <w:t>(d)</w:t>
      </w:r>
      <w:r>
        <w:tab/>
        <w:t>in the case of an approved family day care service, the address of the principal office of the service;</w:t>
      </w:r>
    </w:p>
    <w:p>
      <w:pPr>
        <w:pStyle w:val="yIndenta"/>
        <w:keepNext/>
      </w:pPr>
      <w:r>
        <w:tab/>
        <w:t>(e)</w:t>
      </w:r>
      <w:r>
        <w:tab/>
        <w:t>the rating levels for each service;</w:t>
      </w:r>
    </w:p>
    <w:p>
      <w:pPr>
        <w:pStyle w:val="yIndenta"/>
      </w:pPr>
      <w:r>
        <w:tab/>
        <w:t>(f)</w:t>
      </w:r>
      <w:r>
        <w:tab/>
        <w:t>any other prescribed information.</w:t>
      </w:r>
    </w:p>
    <w:p>
      <w:pPr>
        <w:pStyle w:val="ySubsection"/>
      </w:pPr>
      <w:r>
        <w:tab/>
        <w:t>(3)</w:t>
      </w:r>
      <w:r>
        <w:tab/>
        <w:t>The register of approved education and care services may be inspected at the office of the Regulatory Authority during normal office hours without charge.</w:t>
      </w:r>
    </w:p>
    <w:p>
      <w:pPr>
        <w:pStyle w:val="ySubsection"/>
      </w:pPr>
      <w:r>
        <w:tab/>
        <w:t>(4)</w:t>
      </w:r>
      <w:r>
        <w:tab/>
        <w:t>A person may obtain a copy of, or extract from, the register of approved education and care services on payment of the prescribed fee.</w:t>
      </w:r>
    </w:p>
    <w:p>
      <w:pPr>
        <w:pStyle w:val="ySubsection"/>
      </w:pPr>
      <w:r>
        <w:tab/>
        <w:t>(5)</w:t>
      </w:r>
      <w:r>
        <w:tab/>
        <w:t xml:space="preserve">The Regulatory Authority must provide a copy of the register of approved education and care services (as updated from time to time) </w:t>
      </w:r>
      <w:r>
        <w:lastRenderedPageBreak/>
        <w:t>to the National Authority and the relevant Commonwealth Department.</w:t>
      </w:r>
    </w:p>
    <w:p>
      <w:pPr>
        <w:pStyle w:val="yEdnotesection"/>
      </w:pPr>
      <w:r>
        <w:t>[</w:t>
      </w:r>
      <w:r>
        <w:rPr>
          <w:b/>
        </w:rPr>
        <w:t>268.</w:t>
      </w:r>
      <w:r>
        <w:tab/>
        <w:t>Deleted: No. 18 of 2018 s. 79.]</w:t>
      </w:r>
    </w:p>
    <w:p>
      <w:pPr>
        <w:pStyle w:val="yHeading5"/>
      </w:pPr>
      <w:bookmarkStart w:id="405" w:name="_Toc80612058"/>
      <w:r>
        <w:rPr>
          <w:rStyle w:val="CharSClsNo"/>
        </w:rPr>
        <w:t>269</w:t>
      </w:r>
      <w:r>
        <w:t>.</w:t>
      </w:r>
      <w:r>
        <w:tab/>
        <w:t>Register of family day care educators, co</w:t>
      </w:r>
      <w:r>
        <w:noBreakHyphen/>
        <w:t>ordinators and assistants</w:t>
      </w:r>
      <w:bookmarkEnd w:id="405"/>
    </w:p>
    <w:p>
      <w:pPr>
        <w:pStyle w:val="ySubsection"/>
      </w:pPr>
      <w:r>
        <w:tab/>
        <w:t>(1)</w:t>
      </w:r>
      <w:r>
        <w:tab/>
        <w:t xml:space="preserve">The approved provider of a family day care service must keep a register at the principal office of the service that contains the prescribed information in respect of the following persons — </w:t>
      </w:r>
    </w:p>
    <w:p>
      <w:pPr>
        <w:pStyle w:val="yIndenta"/>
      </w:pPr>
      <w:r>
        <w:tab/>
        <w:t>(a)</w:t>
      </w:r>
      <w:r>
        <w:tab/>
        <w:t>each family day care educator engaged by or registered with the service;</w:t>
      </w:r>
    </w:p>
    <w:p>
      <w:pPr>
        <w:pStyle w:val="yIndenta"/>
      </w:pPr>
      <w:r>
        <w:tab/>
        <w:t>(b)</w:t>
      </w:r>
      <w:r>
        <w:tab/>
        <w:t>each family day care co</w:t>
      </w:r>
      <w:r>
        <w:noBreakHyphen/>
        <w:t>ordinator employed or engaged by the service;</w:t>
      </w:r>
    </w:p>
    <w:p>
      <w:pPr>
        <w:pStyle w:val="yIndenta"/>
      </w:pPr>
      <w:r>
        <w:tab/>
        <w:t>(c)</w:t>
      </w:r>
      <w:r>
        <w:tab/>
        <w:t>each family day care educator assistant engaged by or registered with the service.</w:t>
      </w:r>
    </w:p>
    <w:p>
      <w:pPr>
        <w:pStyle w:val="yPenstart"/>
        <w:tabs>
          <w:tab w:val="left" w:pos="1843"/>
        </w:tabs>
      </w:pPr>
      <w:r>
        <w:tab/>
        <w:t>Penalty:</w:t>
      </w:r>
      <w:r>
        <w:tab/>
        <w:t>$4 000, in the case of an individual.</w:t>
      </w:r>
    </w:p>
    <w:p>
      <w:pPr>
        <w:pStyle w:val="yPenstart"/>
        <w:tabs>
          <w:tab w:val="left" w:pos="1843"/>
        </w:tabs>
      </w:pPr>
      <w:r>
        <w:tab/>
      </w:r>
      <w:r>
        <w:tab/>
      </w:r>
      <w:r>
        <w:tab/>
        <w:t>$20 000, in any other case.</w:t>
      </w:r>
    </w:p>
    <w:p>
      <w:pPr>
        <w:pStyle w:val="ySubsection"/>
      </w:pPr>
      <w:r>
        <w:tab/>
        <w:t>(2)</w:t>
      </w:r>
      <w:r>
        <w:tab/>
        <w:t>The approved provider must take reasonable steps to ensure that the information contained in the register is accurate.</w:t>
      </w:r>
    </w:p>
    <w:p>
      <w:pPr>
        <w:pStyle w:val="yPenstart"/>
        <w:tabs>
          <w:tab w:val="left" w:pos="1843"/>
        </w:tabs>
      </w:pPr>
      <w:r>
        <w:tab/>
        <w:t>Penalty: $2 000.</w:t>
      </w:r>
    </w:p>
    <w:p>
      <w:pPr>
        <w:pStyle w:val="ySubsection"/>
      </w:pPr>
      <w:r>
        <w:tab/>
        <w:t>(3)</w:t>
      </w:r>
      <w:r>
        <w:tab/>
        <w:t>The approved provider must provide any information on the register and any changes to the information on the register to the Regulatory Authority on request within 24 hours of the Regulatory Authority’s request.</w:t>
      </w:r>
    </w:p>
    <w:p>
      <w:pPr>
        <w:pStyle w:val="yPenstart"/>
        <w:keepLines/>
        <w:tabs>
          <w:tab w:val="left" w:pos="1843"/>
        </w:tabs>
      </w:pPr>
      <w:r>
        <w:tab/>
        <w:t>Penalty:</w:t>
      </w:r>
      <w:r>
        <w:tab/>
        <w:t>$4 000, in the case of an individual.</w:t>
      </w:r>
    </w:p>
    <w:p>
      <w:pPr>
        <w:pStyle w:val="yPenstart"/>
        <w:keepLines/>
        <w:tabs>
          <w:tab w:val="left" w:pos="1843"/>
        </w:tabs>
      </w:pPr>
      <w:r>
        <w:tab/>
      </w:r>
      <w:r>
        <w:tab/>
      </w:r>
      <w:r>
        <w:tab/>
        <w:t>$20 000, in any other case.</w:t>
      </w:r>
    </w:p>
    <w:p>
      <w:pPr>
        <w:pStyle w:val="yFootnotesection"/>
      </w:pPr>
      <w:r>
        <w:tab/>
        <w:t>[Section 269 inserted: No. 18 of 2018 s. 80.]</w:t>
      </w:r>
    </w:p>
    <w:p>
      <w:pPr>
        <w:pStyle w:val="yHeading4"/>
      </w:pPr>
      <w:bookmarkStart w:id="406" w:name="_Toc80609244"/>
      <w:bookmarkStart w:id="407" w:name="_Toc80612059"/>
      <w:r>
        <w:t>Division 5</w:t>
      </w:r>
      <w:r>
        <w:rPr>
          <w:b w:val="0"/>
        </w:rPr>
        <w:t xml:space="preserve"> — </w:t>
      </w:r>
      <w:r>
        <w:t>Publication of information</w:t>
      </w:r>
      <w:bookmarkEnd w:id="406"/>
      <w:bookmarkEnd w:id="407"/>
    </w:p>
    <w:p>
      <w:pPr>
        <w:pStyle w:val="yHeading5"/>
      </w:pPr>
      <w:bookmarkStart w:id="408" w:name="_Toc80612060"/>
      <w:r>
        <w:rPr>
          <w:rStyle w:val="CharSClsNo"/>
        </w:rPr>
        <w:t>270</w:t>
      </w:r>
      <w:r>
        <w:t>.</w:t>
      </w:r>
      <w:r>
        <w:tab/>
        <w:t>Publication of information</w:t>
      </w:r>
      <w:bookmarkEnd w:id="408"/>
    </w:p>
    <w:p>
      <w:pPr>
        <w:pStyle w:val="ySubsection"/>
      </w:pPr>
      <w:r>
        <w:tab/>
        <w:t>(1)</w:t>
      </w:r>
      <w:r>
        <w:tab/>
        <w:t>The National Authority and the Regulatory Authority may publish the following information about approved providers, approved education and care services and nominated supervisors —</w:t>
      </w:r>
    </w:p>
    <w:p>
      <w:pPr>
        <w:pStyle w:val="yIndenta"/>
      </w:pPr>
      <w:r>
        <w:lastRenderedPageBreak/>
        <w:tab/>
        <w:t>(a)</w:t>
      </w:r>
      <w:r>
        <w:tab/>
        <w:t>the name of each provider, service or supervisor;</w:t>
      </w:r>
    </w:p>
    <w:p>
      <w:pPr>
        <w:pStyle w:val="yIndenta"/>
      </w:pPr>
      <w:r>
        <w:tab/>
        <w:t>(b)</w:t>
      </w:r>
      <w:r>
        <w:tab/>
        <w:t>except in the case of approved family day care services, the address of each education and care service premises;</w:t>
      </w:r>
    </w:p>
    <w:p>
      <w:pPr>
        <w:pStyle w:val="yIndenta"/>
      </w:pPr>
      <w:r>
        <w:tab/>
        <w:t>(c)</w:t>
      </w:r>
      <w:r>
        <w:tab/>
        <w:t>in the case of approved family day care services, the address of the principal office of each service;</w:t>
      </w:r>
    </w:p>
    <w:p>
      <w:pPr>
        <w:pStyle w:val="yIndenta"/>
      </w:pPr>
      <w:r>
        <w:tab/>
        <w:t>(d)</w:t>
      </w:r>
      <w:r>
        <w:tab/>
        <w:t>the rating levels of each approved education and care service;</w:t>
      </w:r>
    </w:p>
    <w:p>
      <w:pPr>
        <w:pStyle w:val="yIndenta"/>
      </w:pPr>
      <w:r>
        <w:tab/>
        <w:t>(e)</w:t>
      </w:r>
      <w:r>
        <w:tab/>
        <w:t>other prescribed information in respect of approved education and care services.</w:t>
      </w:r>
    </w:p>
    <w:p>
      <w:pPr>
        <w:pStyle w:val="ySubsection"/>
      </w:pPr>
      <w:r>
        <w:tab/>
        <w:t>(2)</w:t>
      </w:r>
      <w:r>
        <w:tab/>
        <w:t>The National Authority —</w:t>
      </w:r>
    </w:p>
    <w:p>
      <w:pPr>
        <w:pStyle w:val="yIndenta"/>
      </w:pPr>
      <w:r>
        <w:tab/>
        <w:t>(a)</w:t>
      </w:r>
      <w:r>
        <w:tab/>
        <w:t>must publish on its website the register of approved providers; and</w:t>
      </w:r>
    </w:p>
    <w:p>
      <w:pPr>
        <w:pStyle w:val="yIndenta"/>
      </w:pPr>
      <w:r>
        <w:tab/>
        <w:t>(b)</w:t>
      </w:r>
      <w:r>
        <w:tab/>
        <w:t>may publish on its website the register of approved education and care services as kept by a Regulatory Authority.</w:t>
      </w:r>
    </w:p>
    <w:p>
      <w:pPr>
        <w:pStyle w:val="ySubsection"/>
      </w:pPr>
      <w:r>
        <w:tab/>
        <w:t>(3)</w:t>
      </w:r>
      <w:r>
        <w:tab/>
        <w:t>The Regulatory Authority must publish on its website the register of approved education and care services kept by the Regulatory Authority.</w:t>
      </w:r>
    </w:p>
    <w:p>
      <w:pPr>
        <w:pStyle w:val="ySubsection"/>
      </w:pPr>
      <w:r>
        <w:tab/>
        <w:t>(4)</w:t>
      </w:r>
      <w:r>
        <w:tab/>
        <w:t>The relevant Commonwealth Department is authorised to publish the register of approved education and care services on a website kept by that department.</w:t>
      </w:r>
    </w:p>
    <w:p>
      <w:pPr>
        <w:pStyle w:val="ySubsection"/>
      </w:pPr>
      <w:r>
        <w:tab/>
        <w:t>(5)</w:t>
      </w:r>
      <w:r>
        <w:tab/>
        <w:t>The Regulatory Authority may publish the prescribed information about —</w:t>
      </w:r>
    </w:p>
    <w:p>
      <w:pPr>
        <w:pStyle w:val="yIndenta"/>
      </w:pPr>
      <w:r>
        <w:tab/>
        <w:t>(a)</w:t>
      </w:r>
      <w:r>
        <w:tab/>
        <w:t>enforcement actions taken under this Law, including information about compliance notices, prosecutions, enforceable undertakings, suspension or cancellation of approvals; and</w:t>
      </w:r>
    </w:p>
    <w:p>
      <w:pPr>
        <w:pStyle w:val="yIndenta"/>
      </w:pPr>
      <w:r>
        <w:tab/>
        <w:t>(b)</w:t>
      </w:r>
      <w:r>
        <w:tab/>
        <w:t>any prescribed matters.</w:t>
      </w:r>
    </w:p>
    <w:p>
      <w:pPr>
        <w:pStyle w:val="ySubsection"/>
      </w:pPr>
      <w:r>
        <w:tab/>
        <w:t>(6)</w:t>
      </w:r>
      <w:r>
        <w:tab/>
        <w:t>Information published under this section must not include information that could identify or lead to the identification of an individual other than —</w:t>
      </w:r>
    </w:p>
    <w:p>
      <w:pPr>
        <w:pStyle w:val="yIndenta"/>
      </w:pPr>
      <w:r>
        <w:tab/>
        <w:t>(a)</w:t>
      </w:r>
      <w:r>
        <w:tab/>
        <w:t>an approved provider or nominated supervisor; or</w:t>
      </w:r>
    </w:p>
    <w:p>
      <w:pPr>
        <w:pStyle w:val="yIndenta"/>
      </w:pPr>
      <w:r>
        <w:tab/>
        <w:t>(b)</w:t>
      </w:r>
      <w:r>
        <w:tab/>
        <w:t>a person who is being prosecuted for an offence against this Law; or</w:t>
      </w:r>
    </w:p>
    <w:p>
      <w:pPr>
        <w:pStyle w:val="yIndenta"/>
      </w:pPr>
      <w:r>
        <w:lastRenderedPageBreak/>
        <w:tab/>
        <w:t>(c)</w:t>
      </w:r>
      <w:r>
        <w:tab/>
        <w:t>if the Regulatory Authority is satisfied that it is in the public interest to do so, a person with management or control of an education and care service; or</w:t>
      </w:r>
    </w:p>
    <w:p>
      <w:pPr>
        <w:pStyle w:val="yIndenta"/>
        <w:keepNext/>
      </w:pPr>
      <w:r>
        <w:tab/>
        <w:t>(d)</w:t>
      </w:r>
      <w:r>
        <w:tab/>
        <w:t>a person against whom disciplinary action has been taken.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270 amended: No. 18 of 2018 s. 81.]</w:t>
      </w:r>
    </w:p>
    <w:p>
      <w:pPr>
        <w:pStyle w:val="yHeading4"/>
      </w:pPr>
      <w:bookmarkStart w:id="409" w:name="_Toc80609246"/>
      <w:bookmarkStart w:id="410" w:name="_Toc80612061"/>
      <w:r>
        <w:t>Division 6</w:t>
      </w:r>
      <w:r>
        <w:rPr>
          <w:b w:val="0"/>
        </w:rPr>
        <w:t xml:space="preserve"> — </w:t>
      </w:r>
      <w:r>
        <w:t>Disclosure of information</w:t>
      </w:r>
      <w:bookmarkEnd w:id="409"/>
      <w:bookmarkEnd w:id="410"/>
    </w:p>
    <w:p>
      <w:pPr>
        <w:pStyle w:val="yHeading5"/>
      </w:pPr>
      <w:bookmarkStart w:id="411" w:name="_Toc80612062"/>
      <w:r>
        <w:rPr>
          <w:rStyle w:val="CharSClsNo"/>
        </w:rPr>
        <w:t>271</w:t>
      </w:r>
      <w:r>
        <w:t>.</w:t>
      </w:r>
      <w:r>
        <w:tab/>
        <w:t>Disclosure of information to other authorities</w:t>
      </w:r>
      <w:bookmarkEnd w:id="411"/>
    </w:p>
    <w:p>
      <w:pPr>
        <w:pStyle w:val="ySubsection"/>
      </w:pPr>
      <w:r>
        <w:tab/>
        <w:t>(1)</w:t>
      </w:r>
      <w:r>
        <w:tab/>
        <w:t xml:space="preserve">The National Authority may disclose information in respect of an education and care service for a purpose listed in subsection (4), to — </w:t>
      </w:r>
    </w:p>
    <w:p>
      <w:pPr>
        <w:pStyle w:val="yIndenta"/>
      </w:pPr>
      <w:r>
        <w:tab/>
        <w:t>(a)</w:t>
      </w:r>
      <w:r>
        <w:tab/>
        <w:t>a relevant Commonwealth Government Department; or</w:t>
      </w:r>
    </w:p>
    <w:p>
      <w:pPr>
        <w:pStyle w:val="yIndenta"/>
      </w:pPr>
      <w:r>
        <w:tab/>
        <w:t>(b)</w:t>
      </w:r>
      <w:r>
        <w:tab/>
        <w:t xml:space="preserve">any State or Territory Government Department; or </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 participating jurisdiction.</w:t>
      </w:r>
    </w:p>
    <w:p>
      <w:pPr>
        <w:pStyle w:val="ySubsection"/>
      </w:pPr>
      <w:r>
        <w:tab/>
        <w:t>(2)</w:t>
      </w:r>
      <w:r>
        <w:tab/>
        <w:t>The Regulatory Authority may disclose information in respect of an education and care service for a purpose listed in subsection (4), to —</w:t>
      </w:r>
    </w:p>
    <w:p>
      <w:pPr>
        <w:pStyle w:val="yIndenta"/>
      </w:pPr>
      <w:r>
        <w:tab/>
        <w:t>(a)</w:t>
      </w:r>
      <w:r>
        <w:tab/>
        <w:t>a relevant Commonwealth Government Department; or</w:t>
      </w:r>
    </w:p>
    <w:p>
      <w:pPr>
        <w:pStyle w:val="yIndenta"/>
      </w:pPr>
      <w:r>
        <w:tab/>
        <w:t>(b)</w:t>
      </w:r>
      <w:r>
        <w:tab/>
        <w:t>any State or Territory Government Department; or</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another participating jurisdiction.</w:t>
      </w:r>
    </w:p>
    <w:p>
      <w:pPr>
        <w:pStyle w:val="ySubsection"/>
      </w:pPr>
      <w:r>
        <w:tab/>
        <w:t>(3)</w:t>
      </w:r>
      <w:r>
        <w:tab/>
        <w:t>The National Authority, the Regulatory Authority and any Government Department, public authority or local authority may disclose information to each other in respect of an education and care service for a purpose listed in subsection (4).</w:t>
      </w:r>
    </w:p>
    <w:p>
      <w:pPr>
        <w:pStyle w:val="ySubsection"/>
      </w:pPr>
      <w:r>
        <w:tab/>
        <w:t>(4)</w:t>
      </w:r>
      <w:r>
        <w:tab/>
        <w:t>The purposes for disclosure of information under this section are —</w:t>
      </w:r>
    </w:p>
    <w:p>
      <w:pPr>
        <w:pStyle w:val="yIndenta"/>
      </w:pPr>
      <w:r>
        <w:tab/>
        <w:t>(a)</w:t>
      </w:r>
      <w:r>
        <w:tab/>
        <w:t>the disclosure is reasonably necessary to promote the objectives of the national education and care services quality framework; or</w:t>
      </w:r>
    </w:p>
    <w:p>
      <w:pPr>
        <w:pStyle w:val="yIndenta"/>
      </w:pPr>
      <w:r>
        <w:lastRenderedPageBreak/>
        <w:tab/>
        <w:t>(b)</w:t>
      </w:r>
      <w:r>
        <w:tab/>
        <w:t>the disclosure is for the purposes of enabling or assisting the other entity to perform or exercise any of its functions or powers under this Law; or</w:t>
      </w:r>
    </w:p>
    <w:p>
      <w:pPr>
        <w:pStyle w:val="yIndenta"/>
      </w:pPr>
      <w:r>
        <w:tab/>
        <w:t>(c)</w:t>
      </w:r>
      <w:r>
        <w:tab/>
        <w:t>the disclosure is for the purposes of research or the development of National, State or Territory policy with respect to education and care services; or</w:t>
      </w:r>
    </w:p>
    <w:p>
      <w:pPr>
        <w:pStyle w:val="yIndenta"/>
      </w:pPr>
      <w:r>
        <w:tab/>
        <w:t>(d)</w:t>
      </w:r>
      <w:r>
        <w:tab/>
        <w:t>the disclosure is for a purpose relating to the funding of education and care services; or</w:t>
      </w:r>
    </w:p>
    <w:p>
      <w:pPr>
        <w:pStyle w:val="yIndenta"/>
      </w:pPr>
      <w:r>
        <w:tab/>
        <w:t>(e)</w:t>
      </w:r>
      <w:r>
        <w:tab/>
        <w:t>the disclosure is for a purpose relating to the payment of benefits or allowances to persons using education and care services, provided the disclosure of information is not otherwise prohibited by law.</w:t>
      </w:r>
    </w:p>
    <w:p>
      <w:pPr>
        <w:pStyle w:val="ySubsection"/>
      </w:pPr>
      <w:r>
        <w:tab/>
        <w:t>(5)</w:t>
      </w:r>
      <w:r>
        <w:tab/>
        <w:t>The Regulatory Authority must disclose to the Regulatory Authorities of other participating jurisdictions the suspension or cancellation of a working with children check, working with children card or teacher registration of a nominated supervisor of which it is notified under this Law.</w:t>
      </w:r>
    </w:p>
    <w:p>
      <w:pPr>
        <w:pStyle w:val="ySubsection"/>
      </w:pPr>
      <w:r>
        <w:tab/>
        <w:t>(6)</w:t>
      </w:r>
      <w:r>
        <w:tab/>
        <w:t>The Regulatory Authority may disclose to the head of the government department responsible for the administration of a working with children law, any prohibition notice given under this Law as applying in any participating jurisdiction in respect of the person.</w:t>
      </w:r>
    </w:p>
    <w:p>
      <w:pPr>
        <w:pStyle w:val="ySubsection"/>
      </w:pPr>
      <w:r>
        <w:tab/>
        <w:t>(7)</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ySubsection"/>
      </w:pPr>
      <w:r>
        <w:tab/>
        <w:t>(8)</w:t>
      </w:r>
      <w:r>
        <w:tab/>
        <w:t>Information disclosed under this section for the purpose of research or the development of National, State or Territory policy with respect to education and care services must not include information that could identify or lead to the identification of an individual other than —</w:t>
      </w:r>
    </w:p>
    <w:p>
      <w:pPr>
        <w:pStyle w:val="yIndenta"/>
      </w:pPr>
      <w:r>
        <w:tab/>
        <w:t>(a)</w:t>
      </w:r>
      <w:r>
        <w:tab/>
        <w:t>an approved provider or a nominated supervisor; or</w:t>
      </w:r>
    </w:p>
    <w:p>
      <w:pPr>
        <w:pStyle w:val="yIndenta"/>
      </w:pPr>
      <w:r>
        <w:lastRenderedPageBreak/>
        <w:tab/>
        <w:t>(b)</w:t>
      </w:r>
      <w:r>
        <w:tab/>
        <w:t>a family day care educator who has been suspended from providing education and care to children as part of a family day care service; or</w:t>
      </w:r>
    </w:p>
    <w:p>
      <w:pPr>
        <w:pStyle w:val="yIndenta"/>
      </w:pPr>
      <w:r>
        <w:tab/>
        <w:t>(c)</w:t>
      </w:r>
      <w:r>
        <w:tab/>
        <w:t>a person to whom a prohibition notice applies; or</w:t>
      </w:r>
    </w:p>
    <w:p>
      <w:pPr>
        <w:pStyle w:val="yIndenta"/>
      </w:pPr>
      <w:r>
        <w:tab/>
        <w:t>(d)</w:t>
      </w:r>
      <w:r>
        <w:tab/>
        <w:t>a person who is being prosecuted for an offence against this Law.</w:t>
      </w:r>
    </w:p>
    <w:p>
      <w:pPr>
        <w:pStyle w:val="yFootnotesection"/>
      </w:pPr>
      <w:r>
        <w:tab/>
        <w:t>[Section 271 inserted: No. 18 of 2018 s. 82.]</w:t>
      </w:r>
    </w:p>
    <w:p>
      <w:pPr>
        <w:pStyle w:val="yHeading5"/>
      </w:pPr>
      <w:bookmarkStart w:id="412" w:name="_Toc80612063"/>
      <w:r>
        <w:rPr>
          <w:rStyle w:val="CharSClsNo"/>
        </w:rPr>
        <w:t>272</w:t>
      </w:r>
      <w:r>
        <w:t>.</w:t>
      </w:r>
      <w:r>
        <w:tab/>
        <w:t>Disclosure of information to education and care services</w:t>
      </w:r>
      <w:bookmarkEnd w:id="412"/>
    </w:p>
    <w:p>
      <w:pPr>
        <w:pStyle w:val="ySubsection"/>
      </w:pPr>
      <w:r>
        <w:tab/>
        <w:t>(1)</w:t>
      </w:r>
      <w:r>
        <w:tab/>
        <w:t>At the request of an approved provider, the National Authority or the Regulatory Authority may disclose the following information to the provider, if the National Authority or Regulatory Authority considers on reasonable grounds that the provider requires the information to comply with the provider’s obligations under this Law —</w:t>
      </w:r>
    </w:p>
    <w:p>
      <w:pPr>
        <w:pStyle w:val="yIndenta"/>
      </w:pPr>
      <w:r>
        <w:tab/>
        <w:t>(a)</w:t>
      </w:r>
      <w:r>
        <w:tab/>
        <w:t>whether a person named in the request is subject to a prohibition notice given under section 182;</w:t>
      </w:r>
    </w:p>
    <w:p>
      <w:pPr>
        <w:pStyle w:val="yIndenta"/>
      </w:pPr>
      <w:r>
        <w:tab/>
        <w:t>(b)</w:t>
      </w:r>
      <w:r>
        <w:tab/>
        <w:t>whether a family day care educator named in the request has been suspended from providing education and care to children as part of a family day care service under section 178.</w:t>
      </w:r>
    </w:p>
    <w:p>
      <w:pPr>
        <w:pStyle w:val="ySubsection"/>
      </w:pPr>
      <w:r>
        <w:tab/>
        <w:t>(2)</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yFootnotesection"/>
      </w:pPr>
      <w:r>
        <w:tab/>
        <w:t>[Section 272 inserted: No. 18 of 2018 s. 82.]</w:t>
      </w:r>
    </w:p>
    <w:p>
      <w:pPr>
        <w:pStyle w:val="yHeading5"/>
      </w:pPr>
      <w:bookmarkStart w:id="413" w:name="_Toc80612064"/>
      <w:r>
        <w:rPr>
          <w:rStyle w:val="CharSClsNo"/>
        </w:rPr>
        <w:t>273</w:t>
      </w:r>
      <w:r>
        <w:t>.</w:t>
      </w:r>
      <w:r>
        <w:tab/>
        <w:t>Duty of confidentiality</w:t>
      </w:r>
      <w:bookmarkEnd w:id="413"/>
    </w:p>
    <w:p>
      <w:pPr>
        <w:pStyle w:val="ySubsection"/>
      </w:pPr>
      <w:r>
        <w:tab/>
        <w:t>(1)</w:t>
      </w:r>
      <w:r>
        <w:tab/>
        <w:t>An individual who is, or who has been, a person exercising functions under this Law must not disclose to another person protected information.</w:t>
      </w:r>
    </w:p>
    <w:p>
      <w:pPr>
        <w:pStyle w:val="yPenstart"/>
        <w:tabs>
          <w:tab w:val="left" w:pos="1843"/>
        </w:tabs>
      </w:pPr>
      <w:r>
        <w:tab/>
        <w:t>Penalty:</w:t>
      </w:r>
      <w:r>
        <w:tab/>
        <w:t>$5 000.</w:t>
      </w:r>
    </w:p>
    <w:p>
      <w:pPr>
        <w:pStyle w:val="ySubsection"/>
      </w:pPr>
      <w:r>
        <w:lastRenderedPageBreak/>
        <w:tab/>
        <w:t>(2)</w:t>
      </w:r>
      <w:r>
        <w:tab/>
        <w:t>However, subsection (1) does not apply if —</w:t>
      </w:r>
    </w:p>
    <w:p>
      <w:pPr>
        <w:pStyle w:val="yIndenta"/>
      </w:pPr>
      <w:r>
        <w:tab/>
        <w:t>(a)</w:t>
      </w:r>
      <w:r>
        <w:tab/>
        <w:t>the information is disclosed in the exercise of a function under, or for the purposes of, or in accordance with, this Law; or</w:t>
      </w:r>
    </w:p>
    <w:p>
      <w:pPr>
        <w:pStyle w:val="yIndenta"/>
      </w:pPr>
      <w:r>
        <w:tab/>
        <w:t>(b)</w:t>
      </w:r>
      <w:r>
        <w:tab/>
        <w:t>the disclosure is authorised or required by any law of a participating jurisdiction, or is otherwise required or permitted by law; or</w:t>
      </w:r>
    </w:p>
    <w:p>
      <w:pPr>
        <w:pStyle w:val="yIndenta"/>
      </w:pPr>
      <w:r>
        <w:tab/>
        <w:t>(c)</w:t>
      </w:r>
      <w:r>
        <w:tab/>
        <w:t>the disclosure is with the agreement of the person to whom the information relates; or</w:t>
      </w:r>
    </w:p>
    <w:p>
      <w:pPr>
        <w:pStyle w:val="yIndenta"/>
      </w:pPr>
      <w:r>
        <w:tab/>
        <w:t>(d)</w:t>
      </w:r>
      <w:r>
        <w:tab/>
        <w:t>the information relates to proceedings before a court or tribunal and the proceedings are or were open to the public; or</w:t>
      </w:r>
    </w:p>
    <w:p>
      <w:pPr>
        <w:pStyle w:val="yIndenta"/>
      </w:pPr>
      <w:r>
        <w:tab/>
        <w:t>(e)</w:t>
      </w:r>
      <w:r>
        <w:tab/>
        <w:t>the information is, or has been accessible to the public, including because it was published for the purposes of, or in accordance with, this Law; or</w:t>
      </w:r>
    </w:p>
    <w:p>
      <w:pPr>
        <w:pStyle w:val="yIndenta"/>
      </w:pPr>
      <w:r>
        <w:tab/>
        <w:t>(f)</w:t>
      </w:r>
      <w:r>
        <w:tab/>
        <w:t>the disclosure is otherwise authorised by the Ministerial Council.</w:t>
      </w:r>
    </w:p>
    <w:p>
      <w:pPr>
        <w:pStyle w:val="ySubsection"/>
      </w:pPr>
      <w:r>
        <w:tab/>
        <w:t>(3)</w:t>
      </w:r>
      <w:r>
        <w:tab/>
        <w:t>In this section —</w:t>
      </w:r>
    </w:p>
    <w:p>
      <w:pPr>
        <w:pStyle w:val="yDefstart"/>
      </w:pPr>
      <w:r>
        <w:tab/>
      </w:r>
      <w:r>
        <w:rPr>
          <w:rStyle w:val="CharDefText"/>
        </w:rPr>
        <w:t>protected information</w:t>
      </w:r>
      <w:r>
        <w:t xml:space="preserve"> means information —</w:t>
      </w:r>
    </w:p>
    <w:p>
      <w:pPr>
        <w:pStyle w:val="yDefpara"/>
      </w:pPr>
      <w:r>
        <w:tab/>
        <w:t>(a)</w:t>
      </w:r>
      <w:r>
        <w:tab/>
        <w:t>that is personal to a particular individual and that identifies or could lead to the identification of the individual; and</w:t>
      </w:r>
    </w:p>
    <w:p>
      <w:pPr>
        <w:pStyle w:val="yDefpara"/>
      </w:pPr>
      <w:r>
        <w:tab/>
        <w:t>(b)</w:t>
      </w:r>
      <w:r>
        <w:tab/>
        <w:t>that comes to a person’s knowledge in the course of, or because of, the person exercising functions under this Law.</w:t>
      </w:r>
    </w:p>
    <w:p>
      <w:pPr>
        <w:pStyle w:val="yHeading3"/>
        <w:pageBreakBefore/>
        <w:spacing w:before="0"/>
      </w:pPr>
      <w:bookmarkStart w:id="414" w:name="_Toc80609250"/>
      <w:bookmarkStart w:id="415" w:name="_Toc80612065"/>
      <w:r>
        <w:rPr>
          <w:rStyle w:val="CharSDivNo"/>
        </w:rPr>
        <w:lastRenderedPageBreak/>
        <w:t>Part 14</w:t>
      </w:r>
      <w:r>
        <w:t xml:space="preserve"> — </w:t>
      </w:r>
      <w:r>
        <w:rPr>
          <w:rStyle w:val="CharSDivText"/>
        </w:rPr>
        <w:t>Miscellaneous</w:t>
      </w:r>
      <w:bookmarkEnd w:id="414"/>
      <w:bookmarkEnd w:id="415"/>
    </w:p>
    <w:p>
      <w:pPr>
        <w:pStyle w:val="yHeading4"/>
      </w:pPr>
      <w:bookmarkStart w:id="416" w:name="_Toc80609251"/>
      <w:bookmarkStart w:id="417" w:name="_Toc80612066"/>
      <w:r>
        <w:t>Division 1</w:t>
      </w:r>
      <w:r>
        <w:rPr>
          <w:b w:val="0"/>
        </w:rPr>
        <w:t xml:space="preserve"> — </w:t>
      </w:r>
      <w:r>
        <w:t>Finance</w:t>
      </w:r>
      <w:bookmarkEnd w:id="416"/>
      <w:bookmarkEnd w:id="417"/>
    </w:p>
    <w:p>
      <w:pPr>
        <w:pStyle w:val="yHeading5"/>
      </w:pPr>
      <w:bookmarkStart w:id="418" w:name="_Toc80612067"/>
      <w:r>
        <w:rPr>
          <w:rStyle w:val="CharSClsNo"/>
        </w:rPr>
        <w:t>274</w:t>
      </w:r>
      <w:r>
        <w:t>.</w:t>
      </w:r>
      <w:r>
        <w:tab/>
        <w:t>Australian Children’s Education and Care Quality Authority Fund</w:t>
      </w:r>
      <w:bookmarkEnd w:id="418"/>
    </w:p>
    <w:p>
      <w:pPr>
        <w:pStyle w:val="ySubsection"/>
      </w:pPr>
      <w:r>
        <w:tab/>
        <w:t>(1)</w:t>
      </w:r>
      <w:r>
        <w:tab/>
        <w:t>The Australian Children’s Education and Care Quality Authority Fund is established.</w:t>
      </w:r>
    </w:p>
    <w:p>
      <w:pPr>
        <w:pStyle w:val="ySubsection"/>
      </w:pPr>
      <w:r>
        <w:tab/>
        <w:t>(2)</w:t>
      </w:r>
      <w:r>
        <w:tab/>
        <w:t>The Authority Fund is a fund to be administered by the National Authority.</w:t>
      </w:r>
    </w:p>
    <w:p>
      <w:pPr>
        <w:pStyle w:val="ySubsection"/>
      </w:pPr>
      <w:r>
        <w:tab/>
        <w:t>(3)</w:t>
      </w:r>
      <w:r>
        <w:tab/>
        <w:t>The National Authority may establish accounts with any financial institution for money in the Authority Fund.</w:t>
      </w:r>
    </w:p>
    <w:p>
      <w:pPr>
        <w:pStyle w:val="ySubsection"/>
      </w:pPr>
      <w:r>
        <w:tab/>
        <w:t>(4)</w:t>
      </w:r>
      <w:r>
        <w:tab/>
        <w:t>The Authority Fund does not form part of the consolidated fund or consolidated account of a participating jurisdiction or the Commonwealth.</w:t>
      </w:r>
    </w:p>
    <w:p>
      <w:pPr>
        <w:pStyle w:val="yHeading5"/>
      </w:pPr>
      <w:bookmarkStart w:id="419" w:name="_Toc80612068"/>
      <w:r>
        <w:rPr>
          <w:rStyle w:val="CharSClsNo"/>
        </w:rPr>
        <w:t>275</w:t>
      </w:r>
      <w:r>
        <w:t>.</w:t>
      </w:r>
      <w:r>
        <w:tab/>
        <w:t>Payments into Authority Fund</w:t>
      </w:r>
      <w:bookmarkEnd w:id="419"/>
    </w:p>
    <w:p>
      <w:pPr>
        <w:pStyle w:val="ySubsection"/>
      </w:pPr>
      <w:r>
        <w:tab/>
      </w:r>
      <w:r>
        <w:tab/>
        <w:t>There is payable into the Authority Fund —</w:t>
      </w:r>
    </w:p>
    <w:p>
      <w:pPr>
        <w:pStyle w:val="yIndenta"/>
      </w:pPr>
      <w:r>
        <w:tab/>
        <w:t>(a)</w:t>
      </w:r>
      <w:r>
        <w:tab/>
        <w:t>all money provided by a participating jurisdiction or the Commonwealth for the purposes of the Fund; and</w:t>
      </w:r>
    </w:p>
    <w:p>
      <w:pPr>
        <w:pStyle w:val="yIndenta"/>
      </w:pPr>
      <w:r>
        <w:tab/>
        <w:t>(b)</w:t>
      </w:r>
      <w:r>
        <w:tab/>
        <w:t>the proceeds of the investment of money in the Fund; and</w:t>
      </w:r>
    </w:p>
    <w:p>
      <w:pPr>
        <w:pStyle w:val="yIndenta"/>
      </w:pPr>
      <w:r>
        <w:tab/>
        <w:t>(c)</w:t>
      </w:r>
      <w:r>
        <w:tab/>
        <w:t>all grants, gifts and donations made to the National Authority, but subject to any trusts declared in relation to the grants, gifts or donations; and</w:t>
      </w:r>
    </w:p>
    <w:p>
      <w:pPr>
        <w:pStyle w:val="yIndenta"/>
      </w:pPr>
      <w:r>
        <w:tab/>
        <w:t>(d)</w:t>
      </w:r>
      <w:r>
        <w:tab/>
        <w:t>all money directed or authorised to be paid into the Fund by or under this Law, any law of a participating jurisdiction or any law of the Commonwealth; and</w:t>
      </w:r>
    </w:p>
    <w:p>
      <w:pPr>
        <w:pStyle w:val="yIndenta"/>
      </w:pPr>
      <w:r>
        <w:tab/>
        <w:t>(e)</w:t>
      </w:r>
      <w:r>
        <w:tab/>
        <w:t>any other money and property prescribed by the national regulations; and</w:t>
      </w:r>
    </w:p>
    <w:p>
      <w:pPr>
        <w:pStyle w:val="yIndenta"/>
      </w:pPr>
      <w:r>
        <w:tab/>
        <w:t>(f)</w:t>
      </w:r>
      <w:r>
        <w:tab/>
        <w:t>any other money or property received by the National Authority in connection with the exercise of its functions.</w:t>
      </w:r>
    </w:p>
    <w:p>
      <w:pPr>
        <w:pStyle w:val="yHeading5"/>
      </w:pPr>
      <w:bookmarkStart w:id="420" w:name="_Toc80612069"/>
      <w:r>
        <w:rPr>
          <w:rStyle w:val="CharSClsNo"/>
        </w:rPr>
        <w:lastRenderedPageBreak/>
        <w:t>276</w:t>
      </w:r>
      <w:r>
        <w:t>.</w:t>
      </w:r>
      <w:r>
        <w:tab/>
        <w:t>Payments out of Authority Fund</w:t>
      </w:r>
      <w:bookmarkEnd w:id="420"/>
    </w:p>
    <w:p>
      <w:pPr>
        <w:pStyle w:val="ySubsection"/>
        <w:keepNext/>
      </w:pPr>
      <w:r>
        <w:tab/>
      </w:r>
      <w:r>
        <w:tab/>
        <w:t>Payments may be made from the Authority Fund for the purpose of —</w:t>
      </w:r>
    </w:p>
    <w:p>
      <w:pPr>
        <w:pStyle w:val="y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yIndenta"/>
      </w:pPr>
      <w:r>
        <w:tab/>
        <w:t>(b)</w:t>
      </w:r>
      <w:r>
        <w:tab/>
        <w:t>paying any remuneration or allowances payable under this Law by the National Authority; and</w:t>
      </w:r>
    </w:p>
    <w:p>
      <w:pPr>
        <w:pStyle w:val="yIndenta"/>
      </w:pPr>
      <w:r>
        <w:tab/>
        <w:t>(c)</w:t>
      </w:r>
      <w:r>
        <w:tab/>
        <w:t>allocating, transferring or reimbursing money to a participating jurisdiction in accordance with the national regulations; and</w:t>
      </w:r>
    </w:p>
    <w:p>
      <w:pPr>
        <w:pStyle w:val="yIndenta"/>
      </w:pPr>
      <w:r>
        <w:tab/>
        <w:t>(d)</w:t>
      </w:r>
      <w:r>
        <w:tab/>
        <w:t>any other payments recommended by the National Authority and approved by the Ministerial Council.</w:t>
      </w:r>
    </w:p>
    <w:p>
      <w:pPr>
        <w:pStyle w:val="yHeading5"/>
      </w:pPr>
      <w:bookmarkStart w:id="421" w:name="_Toc80612070"/>
      <w:r>
        <w:rPr>
          <w:rStyle w:val="CharSClsNo"/>
        </w:rPr>
        <w:t>277</w:t>
      </w:r>
      <w:r>
        <w:t>.</w:t>
      </w:r>
      <w:r>
        <w:tab/>
        <w:t>Investment of money in Authority Fund</w:t>
      </w:r>
      <w:bookmarkEnd w:id="421"/>
    </w:p>
    <w:p>
      <w:pPr>
        <w:pStyle w:val="ySubsection"/>
      </w:pPr>
      <w:r>
        <w:tab/>
      </w:r>
      <w:r>
        <w:tab/>
        <w:t>The National Authority may invest money in the Authority Fund in accordance with the national regulations.</w:t>
      </w:r>
    </w:p>
    <w:p>
      <w:pPr>
        <w:pStyle w:val="yHeading5"/>
      </w:pPr>
      <w:bookmarkStart w:id="422" w:name="_Toc80612071"/>
      <w:r>
        <w:rPr>
          <w:rStyle w:val="CharSClsNo"/>
        </w:rPr>
        <w:t>278</w:t>
      </w:r>
      <w:r>
        <w:t>.</w:t>
      </w:r>
      <w:r>
        <w:tab/>
        <w:t>Financial management duties of National Authority</w:t>
      </w:r>
      <w:bookmarkEnd w:id="422"/>
    </w:p>
    <w:p>
      <w:pPr>
        <w:pStyle w:val="ySubsection"/>
      </w:pPr>
      <w:r>
        <w:tab/>
      </w:r>
      <w:r>
        <w:tab/>
        <w:t>The National Authority must —</w:t>
      </w:r>
    </w:p>
    <w:p>
      <w:pPr>
        <w:pStyle w:val="yIndenta"/>
      </w:pPr>
      <w:r>
        <w:tab/>
        <w:t>(a)</w:t>
      </w:r>
      <w:r>
        <w:tab/>
        <w:t>ensure that its operations are carried out efficiently, effectively and economically; and</w:t>
      </w:r>
    </w:p>
    <w:p>
      <w:pPr>
        <w:pStyle w:val="yIndenta"/>
      </w:pPr>
      <w:r>
        <w:tab/>
        <w:t>(b)</w:t>
      </w:r>
      <w:r>
        <w:tab/>
        <w:t>keep proper books and records in relation to the Authority Fund; and</w:t>
      </w:r>
    </w:p>
    <w:p>
      <w:pPr>
        <w:pStyle w:val="yIndenta"/>
      </w:pPr>
      <w:r>
        <w:tab/>
        <w:t>(c)</w:t>
      </w:r>
      <w:r>
        <w:tab/>
        <w:t>ensure that expenditure is made from the Authority Fund for lawful purposes only and, as far as possible, reasonable value is obtained for money expended from the Fund; and</w:t>
      </w:r>
    </w:p>
    <w:p>
      <w:pPr>
        <w:pStyle w:val="yIndenta"/>
      </w:pPr>
      <w:r>
        <w:tab/>
        <w:t>(d)</w:t>
      </w:r>
      <w:r>
        <w:tab/>
        <w:t>ensure that its procedures, including internal control procedures, afford adequate safeguards with respect to —</w:t>
      </w:r>
    </w:p>
    <w:p>
      <w:pPr>
        <w:pStyle w:val="yIndenti0"/>
      </w:pPr>
      <w:r>
        <w:tab/>
        <w:t>(i)</w:t>
      </w:r>
      <w:r>
        <w:tab/>
        <w:t>the correctness, regularity and propriety of payments made from the Authority Fund; and</w:t>
      </w:r>
    </w:p>
    <w:p>
      <w:pPr>
        <w:pStyle w:val="yIndenti0"/>
      </w:pPr>
      <w:r>
        <w:tab/>
        <w:t>(ii)</w:t>
      </w:r>
      <w:r>
        <w:tab/>
        <w:t>receiving and accounting for payments made to the Authority Fund; and</w:t>
      </w:r>
    </w:p>
    <w:p>
      <w:pPr>
        <w:pStyle w:val="yIndenti0"/>
      </w:pPr>
      <w:r>
        <w:tab/>
        <w:t>(iii)</w:t>
      </w:r>
      <w:r>
        <w:tab/>
        <w:t>prevention of fraud or mistake; and</w:t>
      </w:r>
    </w:p>
    <w:p>
      <w:pPr>
        <w:pStyle w:val="yIndenta"/>
      </w:pPr>
      <w:r>
        <w:lastRenderedPageBreak/>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Authority in relation to the Authority Fund, if directed to do so by the Ministerial Council.</w:t>
      </w:r>
    </w:p>
    <w:p>
      <w:pPr>
        <w:pStyle w:val="yHeading4"/>
      </w:pPr>
      <w:bookmarkStart w:id="423" w:name="_Toc80609257"/>
      <w:bookmarkStart w:id="424" w:name="_Toc80612072"/>
      <w:r>
        <w:t>Division 2</w:t>
      </w:r>
      <w:r>
        <w:rPr>
          <w:b w:val="0"/>
        </w:rPr>
        <w:t xml:space="preserve"> — </w:t>
      </w:r>
      <w:r>
        <w:t>Reporting</w:t>
      </w:r>
      <w:bookmarkEnd w:id="423"/>
      <w:bookmarkEnd w:id="424"/>
    </w:p>
    <w:p>
      <w:pPr>
        <w:pStyle w:val="yHeading5"/>
      </w:pPr>
      <w:bookmarkStart w:id="425" w:name="_Toc80612073"/>
      <w:r>
        <w:rPr>
          <w:rStyle w:val="CharSClsNo"/>
        </w:rPr>
        <w:t>279</w:t>
      </w:r>
      <w:r>
        <w:t>.</w:t>
      </w:r>
      <w:r>
        <w:tab/>
        <w:t>Annual report</w:t>
      </w:r>
      <w:bookmarkEnd w:id="425"/>
    </w:p>
    <w:p>
      <w:pPr>
        <w:pStyle w:val="ySubsection"/>
      </w:pPr>
      <w:r>
        <w:tab/>
        <w:t>(1)</w:t>
      </w:r>
      <w:r>
        <w:tab/>
        <w:t>The Board must, within 4 months after the end of each financial year, submit an annual report of the National Authority for the financial year to the Ministerial Council.</w:t>
      </w:r>
    </w:p>
    <w:p>
      <w:pPr>
        <w:pStyle w:val="ySubsection"/>
      </w:pPr>
      <w:r>
        <w:tab/>
        <w:t>(2)</w:t>
      </w:r>
      <w:r>
        <w:tab/>
        <w:t>The annual report must include —</w:t>
      </w:r>
    </w:p>
    <w:p>
      <w:pPr>
        <w:pStyle w:val="yIndenta"/>
      </w:pPr>
      <w:r>
        <w:tab/>
        <w:t>(a)</w:t>
      </w:r>
      <w:r>
        <w:tab/>
        <w:t>an audited financial statement for the period to which the report relates; and</w:t>
      </w:r>
    </w:p>
    <w:p>
      <w:pPr>
        <w:pStyle w:val="yIndenta"/>
      </w:pPr>
      <w:r>
        <w:tab/>
        <w:t>(b)</w:t>
      </w:r>
      <w:r>
        <w:tab/>
        <w:t>a report about the National Authority’s performance of its functions under this Law during the period to which the annual report relates; and</w:t>
      </w:r>
    </w:p>
    <w:p>
      <w:pPr>
        <w:pStyle w:val="yIndenta"/>
      </w:pPr>
      <w:r>
        <w:tab/>
        <w:t>(c)</w:t>
      </w:r>
      <w:r>
        <w:tab/>
        <w:t>an assessment of the implementation and administration of the National Quality Framework; and</w:t>
      </w:r>
    </w:p>
    <w:p>
      <w:pPr>
        <w:pStyle w:val="yIndenta"/>
      </w:pPr>
      <w:r>
        <w:tab/>
        <w:t>(d)</w:t>
      </w:r>
      <w:r>
        <w:tab/>
        <w:t>all directions given to the National Authority by the Ministerial Council and the Authority’s response; and</w:t>
      </w:r>
    </w:p>
    <w:p>
      <w:pPr>
        <w:pStyle w:val="yIndenta"/>
      </w:pPr>
      <w:r>
        <w:tab/>
        <w:t>(e)</w:t>
      </w:r>
      <w:r>
        <w:tab/>
        <w:t>all directions given to the Regulatory Authorities by the Ministerial Council and the Regulatory Authorities’ responses; and</w:t>
      </w:r>
    </w:p>
    <w:p>
      <w:pPr>
        <w:pStyle w:val="yIndenta"/>
      </w:pPr>
      <w:r>
        <w:tab/>
        <w:t>(f)</w:t>
      </w:r>
      <w:r>
        <w:tab/>
        <w:t>a report on any committees established by the Board; and</w:t>
      </w:r>
    </w:p>
    <w:p>
      <w:pPr>
        <w:pStyle w:val="yIndenta"/>
      </w:pPr>
      <w:r>
        <w:tab/>
        <w:t>(g)</w:t>
      </w:r>
      <w:r>
        <w:tab/>
        <w:t>any other matter determined by the Ministerial Council.</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lastRenderedPageBreak/>
        <w:tab/>
        <w:t>(5)</w:t>
      </w:r>
      <w:r>
        <w:tab/>
        <w:t>The Ministerial Council may extend, or further extend, the period for submission of an annual report to the Council by a total period of up to 3 months.</w:t>
      </w:r>
    </w:p>
    <w:p>
      <w:pPr>
        <w:pStyle w:val="ySubsection"/>
      </w:pPr>
      <w:r>
        <w:tab/>
        <w:t>(6)</w:t>
      </w:r>
      <w:r>
        <w:tab/>
        <w:t>In this section —</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 the Commonwealth; or</w:t>
      </w:r>
    </w:p>
    <w:p>
      <w:pPr>
        <w:pStyle w:val="yDefpara"/>
      </w:pPr>
      <w:r>
        <w:tab/>
        <w:t>(b)</w:t>
      </w:r>
      <w:r>
        <w:tab/>
        <w:t>an auditor employed, appointed or otherwise engaged by an Auditor</w:t>
      </w:r>
      <w:r>
        <w:noBreakHyphen/>
        <w:t>General of a participating jurisdiction or the Commonwealth.</w:t>
      </w:r>
    </w:p>
    <w:p>
      <w:pPr>
        <w:pStyle w:val="yHeading5"/>
      </w:pPr>
      <w:bookmarkStart w:id="426" w:name="_Toc80612074"/>
      <w:r>
        <w:rPr>
          <w:rStyle w:val="CharSClsNo"/>
        </w:rPr>
        <w:t>280</w:t>
      </w:r>
      <w:r>
        <w:t>.</w:t>
      </w:r>
      <w:r>
        <w:tab/>
        <w:t>Tabling and publication of annual report</w:t>
      </w:r>
      <w:bookmarkEnd w:id="426"/>
    </w:p>
    <w:p>
      <w:pPr>
        <w:pStyle w:val="y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ySubsection"/>
      </w:pPr>
      <w:r>
        <w:tab/>
        <w:t>(2)</w:t>
      </w:r>
      <w:r>
        <w:tab/>
        <w:t>As soon as practicable after the annual report has been tabled in the Parliament determined under subsection (1), the National Authority must publish a copy of the report on its website.</w:t>
      </w:r>
    </w:p>
    <w:p>
      <w:pPr>
        <w:pStyle w:val="yHeading5"/>
      </w:pPr>
      <w:bookmarkStart w:id="427" w:name="_Toc80612075"/>
      <w:r>
        <w:rPr>
          <w:rStyle w:val="CharSClsNo"/>
        </w:rPr>
        <w:t>281</w:t>
      </w:r>
      <w:r>
        <w:t>.</w:t>
      </w:r>
      <w:r>
        <w:tab/>
        <w:t>Other reporting</w:t>
      </w:r>
      <w:bookmarkEnd w:id="427"/>
      <w:r>
        <w:t xml:space="preserve"> </w:t>
      </w:r>
    </w:p>
    <w:p>
      <w:pPr>
        <w:pStyle w:val="ySubsection"/>
      </w:pPr>
      <w:r>
        <w:tab/>
        <w:t>(1)</w:t>
      </w:r>
      <w:r>
        <w:tab/>
        <w:t>The National Authority may make any reports to the Ministerial Council that it considers necessary in the performance of its functions.</w:t>
      </w:r>
    </w:p>
    <w:p>
      <w:pPr>
        <w:pStyle w:val="ySubsection"/>
      </w:pPr>
      <w:r>
        <w:tab/>
        <w:t>(2)</w:t>
      </w:r>
      <w:r>
        <w:tab/>
        <w:t>The Chairperson of the Board must provide to the Ministerial Council any other reports and documents and information relating to the operations of the National Authority that the Ministerial Council requires.</w:t>
      </w:r>
    </w:p>
    <w:p>
      <w:pPr>
        <w:pStyle w:val="y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ySubsection"/>
      </w:pPr>
      <w:r>
        <w:tab/>
        <w:t>(4)</w:t>
      </w:r>
      <w:r>
        <w:tab/>
        <w:t>The reports, documents and information referred to in subsection (2) must be provided within the time set by the Ministerial Council.</w:t>
      </w:r>
    </w:p>
    <w:p>
      <w:pPr>
        <w:pStyle w:val="yHeading4"/>
      </w:pPr>
      <w:bookmarkStart w:id="428" w:name="_Toc80609261"/>
      <w:bookmarkStart w:id="429" w:name="_Toc80612076"/>
      <w:r>
        <w:lastRenderedPageBreak/>
        <w:t>Division 3</w:t>
      </w:r>
      <w:r>
        <w:rPr>
          <w:b w:val="0"/>
        </w:rPr>
        <w:t xml:space="preserve"> — </w:t>
      </w:r>
      <w:r>
        <w:t>Application of Commonwealth Ombudsman Act</w:t>
      </w:r>
      <w:bookmarkEnd w:id="428"/>
      <w:bookmarkEnd w:id="429"/>
    </w:p>
    <w:p>
      <w:pPr>
        <w:pStyle w:val="yHeading5"/>
      </w:pPr>
      <w:bookmarkStart w:id="430" w:name="_Toc80612077"/>
      <w:r>
        <w:rPr>
          <w:rStyle w:val="CharSClsNo"/>
        </w:rPr>
        <w:t>282</w:t>
      </w:r>
      <w:r>
        <w:t>.</w:t>
      </w:r>
      <w:r>
        <w:tab/>
        <w:t>Application of Commonwealth Ombudsman Act</w:t>
      </w:r>
      <w:bookmarkEnd w:id="430"/>
    </w:p>
    <w:p>
      <w:pPr>
        <w:pStyle w:val="ySubsection"/>
      </w:pPr>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ySubsection"/>
      </w:pPr>
      <w:r>
        <w:tab/>
        <w:t>(2)</w:t>
      </w:r>
      <w:r>
        <w:tab/>
        <w:t>For the purposes of subsection (1), the Ombudsman Act applies —</w:t>
      </w:r>
    </w:p>
    <w:p>
      <w:pPr>
        <w:pStyle w:val="yIndenta"/>
      </w:pPr>
      <w:r>
        <w:tab/>
        <w:t>(a)</w:t>
      </w:r>
      <w:r>
        <w:tab/>
        <w:t>as if a reference to the Commonwealth Ombudsman were a reference to the Education and Care Services Ombudsman; and</w:t>
      </w:r>
    </w:p>
    <w:p>
      <w:pPr>
        <w:pStyle w:val="yIndenta"/>
      </w:pPr>
      <w:r>
        <w:tab/>
        <w:t>(b)</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Ombudsman Act</w:t>
      </w:r>
      <w:r>
        <w:t xml:space="preserve"> means the </w:t>
      </w:r>
      <w:r>
        <w:rPr>
          <w:i/>
        </w:rPr>
        <w:t>Ombudsman Act 1976</w:t>
      </w:r>
      <w:r>
        <w:t xml:space="preserve"> of the Commonwealth, as in force from time to time.</w:t>
      </w:r>
    </w:p>
    <w:p>
      <w:pPr>
        <w:pStyle w:val="yHeading4"/>
      </w:pPr>
      <w:bookmarkStart w:id="431" w:name="_Toc80609263"/>
      <w:bookmarkStart w:id="432" w:name="_Toc80612078"/>
      <w:r>
        <w:t>Division 4</w:t>
      </w:r>
      <w:r>
        <w:rPr>
          <w:b w:val="0"/>
        </w:rPr>
        <w:t xml:space="preserve"> — </w:t>
      </w:r>
      <w:r>
        <w:t>Legal proceedings</w:t>
      </w:r>
      <w:bookmarkEnd w:id="431"/>
      <w:bookmarkEnd w:id="432"/>
    </w:p>
    <w:p>
      <w:pPr>
        <w:pStyle w:val="yHeading5"/>
      </w:pPr>
      <w:bookmarkStart w:id="433" w:name="_Toc80612079"/>
      <w:r>
        <w:rPr>
          <w:rStyle w:val="CharSClsNo"/>
        </w:rPr>
        <w:t>283</w:t>
      </w:r>
      <w:r>
        <w:t>.</w:t>
      </w:r>
      <w:r>
        <w:tab/>
        <w:t>Who may bring proceedings for an offence?</w:t>
      </w:r>
      <w:bookmarkEnd w:id="433"/>
    </w:p>
    <w:p>
      <w:pPr>
        <w:pStyle w:val="ySubsection"/>
      </w:pPr>
      <w:r>
        <w:tab/>
        <w:t>(1)</w:t>
      </w:r>
      <w:r>
        <w:tab/>
        <w:t>The following persons may bring proceedings for an offence under this Law —</w:t>
      </w:r>
    </w:p>
    <w:p>
      <w:pPr>
        <w:pStyle w:val="yIndenta"/>
      </w:pPr>
      <w:r>
        <w:tab/>
        <w:t>(a)</w:t>
      </w:r>
      <w:r>
        <w:tab/>
        <w:t>the Regulatory Authority;</w:t>
      </w:r>
    </w:p>
    <w:p>
      <w:pPr>
        <w:pStyle w:val="yIndenta"/>
      </w:pPr>
      <w:r>
        <w:tab/>
        <w:t>(b)</w:t>
      </w:r>
      <w:r>
        <w:tab/>
        <w:t xml:space="preserve">a person authorised by the Regulatory Authority; </w:t>
      </w:r>
    </w:p>
    <w:p>
      <w:pPr>
        <w:pStyle w:val="yIndenta"/>
      </w:pPr>
      <w:r>
        <w:tab/>
        <w:t>(c)</w:t>
      </w:r>
      <w:r>
        <w:tab/>
        <w:t>a police officer.</w:t>
      </w:r>
    </w:p>
    <w:p>
      <w:pPr>
        <w:pStyle w:val="ySubsection"/>
      </w:pPr>
      <w:r>
        <w:lastRenderedPageBreak/>
        <w:tab/>
        <w:t>(2)</w:t>
      </w:r>
      <w:r>
        <w:tab/>
        <w:t>In a proceeding for an offence against this Law or the regulations it must be presumed, in the absence of evidence to the contrary, that the person bringing the proceeding was authorised to bring it.</w:t>
      </w:r>
    </w:p>
    <w:p>
      <w:pPr>
        <w:pStyle w:val="yHeading5"/>
      </w:pPr>
      <w:bookmarkStart w:id="434" w:name="_Toc80612080"/>
      <w:r>
        <w:rPr>
          <w:rStyle w:val="CharSClsNo"/>
        </w:rPr>
        <w:t>284</w:t>
      </w:r>
      <w:r>
        <w:t>.</w:t>
      </w:r>
      <w:r>
        <w:tab/>
        <w:t>When proceedings may be brought</w:t>
      </w:r>
      <w:bookmarkEnd w:id="434"/>
    </w:p>
    <w:p>
      <w:pPr>
        <w:pStyle w:val="ySubsection"/>
      </w:pPr>
      <w:r>
        <w:tab/>
      </w:r>
      <w:r>
        <w:tab/>
        <w:t>Subject to section 181(6), proceedings for an offence under this Law must be commenced within 2 years of the date of the alleged offence.</w:t>
      </w:r>
    </w:p>
    <w:p>
      <w:pPr>
        <w:pStyle w:val="yFootnotesection"/>
      </w:pPr>
      <w:r>
        <w:tab/>
        <w:t>[Section 284 amended: No. 18 of 2018 s. 83.]</w:t>
      </w:r>
    </w:p>
    <w:p>
      <w:pPr>
        <w:pStyle w:val="yHeading5"/>
      </w:pPr>
      <w:bookmarkStart w:id="435" w:name="_Toc80612081"/>
      <w:r>
        <w:rPr>
          <w:rStyle w:val="CharSClsNo"/>
        </w:rPr>
        <w:t>285</w:t>
      </w:r>
      <w:r>
        <w:t>.</w:t>
      </w:r>
      <w:r>
        <w:tab/>
        <w:t>Offences by bodies corporate</w:t>
      </w:r>
      <w:bookmarkEnd w:id="435"/>
    </w:p>
    <w:p>
      <w:pPr>
        <w:pStyle w:val="y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ySubsection"/>
      </w:pPr>
      <w:r>
        <w:tab/>
        <w:t>(2)</w:t>
      </w:r>
      <w:r>
        <w:tab/>
        <w:t>The penalty for an offence referred to in this section is the penalty applicable to an individual.</w:t>
      </w:r>
    </w:p>
    <w:p>
      <w:pPr>
        <w:pStyle w:val="yHeading5"/>
      </w:pPr>
      <w:bookmarkStart w:id="436" w:name="_Toc80612082"/>
      <w:r>
        <w:rPr>
          <w:rStyle w:val="CharSClsNo"/>
        </w:rPr>
        <w:t>286</w:t>
      </w:r>
      <w:r>
        <w:t>.</w:t>
      </w:r>
      <w:r>
        <w:tab/>
        <w:t>Application of Law to partnerships and eligible associations and other entities</w:t>
      </w:r>
      <w:bookmarkEnd w:id="436"/>
    </w:p>
    <w:p>
      <w:pPr>
        <w:pStyle w:val="ySubsection"/>
      </w:pPr>
      <w:r>
        <w:tab/>
        <w:t>(1)</w:t>
      </w:r>
      <w:r>
        <w:tab/>
        <w:t>If this Law would otherwise require or permit something to be done by a partnership, the thing may be done by one or more of the partners on behalf of the partnership.</w:t>
      </w:r>
    </w:p>
    <w:p>
      <w:pPr>
        <w:pStyle w:val="ySubsection"/>
      </w:pPr>
      <w:r>
        <w:tab/>
        <w:t>(2)</w:t>
      </w:r>
      <w:r>
        <w:tab/>
        <w:t>If this Law would otherwise require or permit something to be done by an eligible association, the thing may be done by one or more of the members of the executive committee on behalf of the association.</w:t>
      </w:r>
    </w:p>
    <w:p>
      <w:pPr>
        <w:pStyle w:val="ySubsection"/>
      </w:pPr>
      <w:r>
        <w:tab/>
        <w:t>(3)</w:t>
      </w:r>
      <w:r>
        <w:tab/>
        <w:t>If this Law would otherwise require or permit something to be done by a prescribed entity, the thing may be done by one or more of the persons with management or control of the entity on behalf of the entity.</w:t>
      </w:r>
    </w:p>
    <w:p>
      <w:pPr>
        <w:pStyle w:val="ySubsection"/>
      </w:pPr>
      <w:r>
        <w:tab/>
        <w:t>(4)</w:t>
      </w:r>
      <w:r>
        <w:tab/>
        <w:t>An offence against this Law that would otherwise be committed by the partnership is taken to have been committed by each partner who is a person with management or control of the partnership.</w:t>
      </w:r>
    </w:p>
    <w:p>
      <w:pPr>
        <w:pStyle w:val="ySubsection"/>
      </w:pPr>
      <w:r>
        <w:lastRenderedPageBreak/>
        <w:tab/>
        <w:t>(5)</w:t>
      </w:r>
      <w:r>
        <w:tab/>
        <w:t>An offence against this Law that would otherwise be committed by an eligible association is taken to have been committed by each person who is a person with management or control of the association.</w:t>
      </w:r>
    </w:p>
    <w:p>
      <w:pPr>
        <w:pStyle w:val="ySubsection"/>
      </w:pPr>
      <w:r>
        <w:tab/>
        <w:t>(6)</w:t>
      </w:r>
      <w:r>
        <w:tab/>
        <w:t>An offence against this Law that would otherwise be committed by a prescribed entity is taken to have been committed by each person who is a person with management or control of that entity.</w:t>
      </w:r>
    </w:p>
    <w:p>
      <w:pPr>
        <w:pStyle w:val="ySubsection"/>
      </w:pPr>
      <w:r>
        <w:tab/>
        <w:t>(7)</w:t>
      </w:r>
      <w:r>
        <w:tab/>
        <w:t>The penalty for an offence that is taken to be committed under this section is the penalty applicable to an individual.</w:t>
      </w:r>
    </w:p>
    <w:p>
      <w:pPr>
        <w:pStyle w:val="yHeading5"/>
      </w:pPr>
      <w:bookmarkStart w:id="437" w:name="_Toc80612083"/>
      <w:r>
        <w:rPr>
          <w:rStyle w:val="CharSClsNo"/>
        </w:rPr>
        <w:t>287</w:t>
      </w:r>
      <w:r>
        <w:t>.</w:t>
      </w:r>
      <w:r>
        <w:tab/>
        <w:t>Multiple holders of an approval</w:t>
      </w:r>
      <w:bookmarkEnd w:id="437"/>
    </w:p>
    <w:p>
      <w:pPr>
        <w:pStyle w:val="ySubsection"/>
      </w:pPr>
      <w:r>
        <w:tab/>
      </w:r>
      <w:r>
        <w:tab/>
        <w:t>If more than one person holds a provider approval or service approval under this Law each holder of the approval is jointly and severally responsible for compliance with this Law.</w:t>
      </w:r>
    </w:p>
    <w:p>
      <w:pPr>
        <w:pStyle w:val="yHeading5"/>
      </w:pPr>
      <w:bookmarkStart w:id="438" w:name="_Toc80612084"/>
      <w:r>
        <w:rPr>
          <w:rStyle w:val="CharSClsNo"/>
        </w:rPr>
        <w:t>288</w:t>
      </w:r>
      <w:r>
        <w:t>.</w:t>
      </w:r>
      <w:r>
        <w:tab/>
        <w:t>Double jeopardy</w:t>
      </w:r>
      <w:bookmarkEnd w:id="438"/>
    </w:p>
    <w:p>
      <w:pPr>
        <w:pStyle w:val="y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yHeading5"/>
      </w:pPr>
      <w:bookmarkStart w:id="439" w:name="_Toc80612085"/>
      <w:r>
        <w:rPr>
          <w:rStyle w:val="CharSClsNo"/>
        </w:rPr>
        <w:t>289</w:t>
      </w:r>
      <w:r>
        <w:t>.</w:t>
      </w:r>
      <w:r>
        <w:tab/>
        <w:t>Immunity</w:t>
      </w:r>
      <w:bookmarkEnd w:id="439"/>
    </w:p>
    <w:p>
      <w:pPr>
        <w:pStyle w:val="ySubsection"/>
      </w:pPr>
      <w:r>
        <w:tab/>
        <w:t>(1)</w:t>
      </w:r>
      <w:r>
        <w:tab/>
        <w:t>A member of the Board of the National Authority, a committee of the Board or a Ratings Review Panel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(2)</w:t>
      </w:r>
      <w:r>
        <w:tab/>
        <w:t>Any liability resulting from an act or omission that would, but for subsection (1), attach to an individual referred to in that subsection attaches instead to the National Authority.</w:t>
      </w:r>
    </w:p>
    <w:p>
      <w:pPr>
        <w:pStyle w:val="ySubsection"/>
        <w:keepNext/>
      </w:pPr>
      <w:r>
        <w:lastRenderedPageBreak/>
        <w:tab/>
        <w:t>(3)</w:t>
      </w:r>
      <w:r>
        <w:tab/>
        <w:t>The Regulatory Authority (if an individual) or a member of the governing body of the Regulatory Authority is not personally liable for anything done or omitted to be done in good faith —</w:t>
      </w:r>
    </w:p>
    <w:p>
      <w:pPr>
        <w:pStyle w:val="yIndenta"/>
        <w:keepNext/>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(4)</w:t>
      </w:r>
      <w:r>
        <w:tab/>
        <w:t>Any liability resulting from an act or omission that would, but for subsection (3), attach to an individual referred to in that subsection attaches instead to the State.</w:t>
      </w:r>
    </w:p>
    <w:p>
      <w:pPr>
        <w:pStyle w:val="yHeading5"/>
        <w:spacing w:before="120"/>
      </w:pPr>
      <w:bookmarkStart w:id="440" w:name="_Toc80612086"/>
      <w:r>
        <w:rPr>
          <w:rStyle w:val="CharSClsNo"/>
        </w:rPr>
        <w:t>290</w:t>
      </w:r>
      <w:r>
        <w:t>.</w:t>
      </w:r>
      <w:r>
        <w:tab/>
        <w:t>Immunity — education law</w:t>
      </w:r>
      <w:bookmarkEnd w:id="440"/>
    </w:p>
    <w:p>
      <w:pPr>
        <w:pStyle w:val="ySubsection"/>
        <w:spacing w:before="100"/>
      </w:pPr>
      <w:r>
        <w:tab/>
        <w:t>(1)</w:t>
      </w:r>
      <w:r>
        <w:tab/>
        <w:t>This section applies if the Regulatory Authority becomes aware of misconduct by a registered teacher or other person who could be subject to disciplinary action under an education law of a participating jurisdiction.</w:t>
      </w:r>
    </w:p>
    <w:p>
      <w:pPr>
        <w:pStyle w:val="ySubsection"/>
        <w:spacing w:before="100"/>
      </w:pPr>
      <w:r>
        <w:tab/>
        <w:t>(2)</w:t>
      </w:r>
      <w:r>
        <w:tab/>
        <w:t>The Regulatory Authority may refer the matter to the relevant disciplinary body under the education law.</w:t>
      </w:r>
    </w:p>
    <w:p>
      <w:pPr>
        <w:pStyle w:val="ySubsection"/>
        <w:spacing w:before="100"/>
      </w:pPr>
      <w:r>
        <w:tab/>
        <w:t>(3)</w:t>
      </w:r>
      <w:r>
        <w:tab/>
        <w:t>If the Regulatory Authority refers a matter under subsection (2), a prosecution cannot be brought under this Law for an offence in relation to that matter.</w:t>
      </w:r>
    </w:p>
    <w:p>
      <w:pPr>
        <w:pStyle w:val="yHeading5"/>
        <w:spacing w:before="120"/>
      </w:pPr>
      <w:bookmarkStart w:id="441" w:name="_Toc80612087"/>
      <w:r>
        <w:rPr>
          <w:rStyle w:val="CharSClsNo"/>
        </w:rPr>
        <w:t>291</w:t>
      </w:r>
      <w:r>
        <w:t>.</w:t>
      </w:r>
      <w:r>
        <w:tab/>
        <w:t>Infringement offences</w:t>
      </w:r>
      <w:bookmarkEnd w:id="441"/>
    </w:p>
    <w:p>
      <w:pPr>
        <w:pStyle w:val="ySubsection"/>
        <w:spacing w:before="100"/>
      </w:pPr>
      <w:r>
        <w:tab/>
        <w:t>(1)</w:t>
      </w:r>
      <w:r>
        <w:tab/>
        <w:t>An authorised officer or other person authorised by the Regulatory Authority may serve an infringement notice on a person for a contravention of —</w:t>
      </w:r>
    </w:p>
    <w:p>
      <w:pPr>
        <w:pStyle w:val="yIndenta"/>
      </w:pPr>
      <w:r>
        <w:tab/>
        <w:t>(a)</w:t>
      </w:r>
      <w:r>
        <w:tab/>
        <w:t>section 172, 173, 176 or 269; or</w:t>
      </w:r>
    </w:p>
    <w:p>
      <w:pPr>
        <w:pStyle w:val="yIndenta"/>
      </w:pPr>
      <w:r>
        <w:tab/>
        <w:t>(b)</w:t>
      </w:r>
      <w:r>
        <w:tab/>
        <w:t>offences against the national regulations that are prescribed for the purposes of this section.</w:t>
      </w:r>
    </w:p>
    <w:p>
      <w:pPr>
        <w:pStyle w:val="ySubsection"/>
        <w:spacing w:before="100"/>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ySubsection"/>
        <w:spacing w:before="100"/>
      </w:pPr>
      <w:r>
        <w:tab/>
        <w:t>(3)</w:t>
      </w:r>
      <w:r>
        <w:tab/>
        <w:t>An infringement notice must be in the form prescribed or contain the information prescribed by the infringements law of this jurisdiction.</w:t>
      </w:r>
    </w:p>
    <w:p>
      <w:pPr>
        <w:pStyle w:val="ySubsection"/>
        <w:spacing w:before="100"/>
      </w:pPr>
      <w:r>
        <w:lastRenderedPageBreak/>
        <w:tab/>
        <w:t>(4)</w:t>
      </w:r>
      <w:r>
        <w:tab/>
        <w:t xml:space="preserve">Subject to this section, the infringements law of this jurisdiction applies to infringement notices served under this section in this jurisdiction and for that purpose — </w:t>
      </w:r>
    </w:p>
    <w:p>
      <w:pPr>
        <w:pStyle w:val="yIndenta"/>
      </w:pPr>
      <w:r>
        <w:tab/>
        <w:t>(a)</w:t>
      </w:r>
      <w:r>
        <w:tab/>
        <w:t>this law is taken to be a prescribed Act under Part 2 of the infringements law; and</w:t>
      </w:r>
    </w:p>
    <w:p>
      <w:pPr>
        <w:pStyle w:val="yIndenta"/>
      </w:pPr>
      <w:r>
        <w:tab/>
        <w:t>(b)</w:t>
      </w:r>
      <w:r>
        <w:tab/>
        <w:t>an offence against a provision referred to in subsection (1)(a) or prescribed under subsection (1)(b) is taken to be an offence prescribed under section 5(1) of the infringements law; and</w:t>
      </w:r>
    </w:p>
    <w:p>
      <w:pPr>
        <w:pStyle w:val="yIndenta"/>
      </w:pPr>
      <w:r>
        <w:tab/>
        <w:t>(c)</w:t>
      </w:r>
      <w:r>
        <w:tab/>
        <w:t>the infringement penalty referred to in subsection (2) for an offence is taken to be the modified penalty prescribed under the infringements law for that offence; and</w:t>
      </w:r>
    </w:p>
    <w:p>
      <w:pPr>
        <w:pStyle w:val="yIndenta"/>
      </w:pPr>
      <w:r>
        <w:tab/>
        <w:t>(d)</w:t>
      </w:r>
      <w:r>
        <w:tab/>
        <w:t>the matters to be prescribed under section 6 of the infringements law are to be prescribed in the national regulations.</w:t>
      </w:r>
    </w:p>
    <w:p>
      <w:pPr>
        <w:pStyle w:val="ySubsection"/>
      </w:pPr>
      <w:r>
        <w:tab/>
        <w:t>(5)</w:t>
      </w:r>
      <w:r>
        <w:tab/>
        <w:t>The payment of an infringement penalty expiates the offence and is not to be considered in —</w:t>
      </w:r>
    </w:p>
    <w:p>
      <w:pPr>
        <w:pStyle w:val="yIndenta"/>
      </w:pPr>
      <w:r>
        <w:tab/>
        <w:t>(a)</w:t>
      </w:r>
      <w:r>
        <w:tab/>
        <w:t>assessing whether a person is a fit and proper person to be involved in the provision of, or to be a supervisor of, an education and care service; or</w:t>
      </w:r>
    </w:p>
    <w:p>
      <w:pPr>
        <w:pStyle w:val="yIndenta"/>
        <w:keepNext/>
      </w:pPr>
      <w:r>
        <w:tab/>
        <w:t>(b)</w:t>
      </w:r>
      <w:r>
        <w:tab/>
        <w:t>assessing an approved education and care service under Part 5.</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291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291 amended: No. 18 of 2018 s. 84.]</w:t>
      </w:r>
    </w:p>
    <w:p>
      <w:pPr>
        <w:pStyle w:val="yHeading5"/>
      </w:pPr>
      <w:bookmarkStart w:id="442" w:name="_Toc80612088"/>
      <w:r>
        <w:rPr>
          <w:rStyle w:val="CharSClsNo"/>
        </w:rPr>
        <w:t>292</w:t>
      </w:r>
      <w:r>
        <w:t>.</w:t>
      </w:r>
      <w:r>
        <w:tab/>
        <w:t>Evidentiary certificates</w:t>
      </w:r>
      <w:bookmarkEnd w:id="442"/>
    </w:p>
    <w:p>
      <w:pPr>
        <w:pStyle w:val="ySubsection"/>
      </w:pPr>
      <w:r>
        <w:tab/>
      </w:r>
      <w:r>
        <w:tab/>
        <w:t>A certificate purporting to be signed by the chief executive officer of the National Authority or by a Regulatory Authority and stating any of the following matters is prima facie evidence of the matter —</w:t>
      </w:r>
    </w:p>
    <w:p>
      <w:pPr>
        <w:pStyle w:val="yIndenta"/>
      </w:pPr>
      <w:r>
        <w:tab/>
        <w:t>(a)</w:t>
      </w:r>
      <w:r>
        <w:tab/>
        <w:t>a stated document is one of the following things made, given, issued or kept under this Law —</w:t>
      </w:r>
    </w:p>
    <w:p>
      <w:pPr>
        <w:pStyle w:val="yIndenti0"/>
      </w:pPr>
      <w:r>
        <w:tab/>
        <w:t>(i)</w:t>
      </w:r>
      <w:r>
        <w:tab/>
        <w:t>an appointment, approval or decision;</w:t>
      </w:r>
    </w:p>
    <w:p>
      <w:pPr>
        <w:pStyle w:val="yIndenti0"/>
      </w:pPr>
      <w:r>
        <w:tab/>
        <w:t>(ii)</w:t>
      </w:r>
      <w:r>
        <w:tab/>
        <w:t>a notice, direction or requirement;</w:t>
      </w:r>
    </w:p>
    <w:p>
      <w:pPr>
        <w:pStyle w:val="yEdnotepara"/>
      </w:pPr>
      <w:r>
        <w:tab/>
      </w:r>
      <w:r>
        <w:tab/>
        <w:t>[(iii)</w:t>
      </w:r>
      <w:r>
        <w:tab/>
        <w:t>deleted]</w:t>
      </w:r>
    </w:p>
    <w:p>
      <w:pPr>
        <w:pStyle w:val="yIndenti0"/>
      </w:pPr>
      <w:r>
        <w:lastRenderedPageBreak/>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an approved provider;</w:t>
      </w:r>
    </w:p>
    <w:p>
      <w:pPr>
        <w:pStyle w:val="yIndenta"/>
      </w:pPr>
      <w:r>
        <w:tab/>
        <w:t>(e)</w:t>
      </w:r>
      <w:r>
        <w:tab/>
        <w:t>on a stated day, or during a stated period, an education and care service was or was not an approved education and care service;</w:t>
      </w:r>
    </w:p>
    <w:p>
      <w:pPr>
        <w:pStyle w:val="yIndenta"/>
      </w:pPr>
      <w:r>
        <w:tab/>
        <w:t>(f)</w:t>
      </w:r>
      <w:r>
        <w:tab/>
        <w:t>on a stated day, or during a stated period, an approval was or was not subject to a stated condition;</w:t>
      </w:r>
    </w:p>
    <w:p>
      <w:pPr>
        <w:pStyle w:val="yIndenta"/>
      </w:pPr>
      <w:r>
        <w:tab/>
        <w:t>(g)</w:t>
      </w:r>
      <w:r>
        <w:tab/>
        <w:t>on a stated day, an approval was suspended or cancelled;</w:t>
      </w:r>
    </w:p>
    <w:p>
      <w:pPr>
        <w:pStyle w:val="yIndenta"/>
      </w:pPr>
      <w:r>
        <w:tab/>
        <w:t>(h)</w:t>
      </w:r>
      <w:r>
        <w:tab/>
        <w:t>on a stated day, or during a stated period, an appointment as authorised officer was, or was not, in force for a stated person;</w:t>
      </w:r>
    </w:p>
    <w:p>
      <w:pPr>
        <w:pStyle w:val="yIndenta"/>
      </w:pPr>
      <w:r>
        <w:tab/>
        <w:t>(i)</w:t>
      </w:r>
      <w:r>
        <w:tab/>
        <w:t>on a stated day, a stated person was given a stated notice or direction under this Law;</w:t>
      </w:r>
    </w:p>
    <w:p>
      <w:pPr>
        <w:pStyle w:val="yIndenta"/>
      </w:pPr>
      <w:r>
        <w:tab/>
        <w:t>(j)</w:t>
      </w:r>
      <w:r>
        <w:tab/>
        <w:t>on a stated day, a stated requirement was made of a stated person.</w:t>
      </w:r>
    </w:p>
    <w:p>
      <w:pPr>
        <w:pStyle w:val="yFootnotesection"/>
      </w:pPr>
      <w:r>
        <w:tab/>
        <w:t>[Section 292 amended: No. 18 of 2018 s. 85.]</w:t>
      </w:r>
    </w:p>
    <w:p>
      <w:pPr>
        <w:pStyle w:val="yHeading4"/>
      </w:pPr>
      <w:bookmarkStart w:id="443" w:name="_Toc80609274"/>
      <w:bookmarkStart w:id="444" w:name="_Toc80612089"/>
      <w:r>
        <w:t>Division 5</w:t>
      </w:r>
      <w:r>
        <w:rPr>
          <w:b w:val="0"/>
        </w:rPr>
        <w:t xml:space="preserve"> — </w:t>
      </w:r>
      <w:r>
        <w:t>Service of notices</w:t>
      </w:r>
      <w:bookmarkEnd w:id="443"/>
      <w:bookmarkEnd w:id="444"/>
    </w:p>
    <w:p>
      <w:pPr>
        <w:pStyle w:val="yHeading5"/>
      </w:pPr>
      <w:bookmarkStart w:id="445" w:name="_Toc80612090"/>
      <w:r>
        <w:rPr>
          <w:rStyle w:val="CharSClsNo"/>
        </w:rPr>
        <w:t>293</w:t>
      </w:r>
      <w:r>
        <w:t>.</w:t>
      </w:r>
      <w:r>
        <w:tab/>
        <w:t>Service of notices</w:t>
      </w:r>
      <w:bookmarkEnd w:id="445"/>
    </w:p>
    <w:p>
      <w:pPr>
        <w:pStyle w:val="ySubsection"/>
      </w:pPr>
      <w:r>
        <w:tab/>
        <w:t>(1)</w:t>
      </w:r>
      <w:r>
        <w:tab/>
        <w:t>If this Law requires or permits a notice to be served on a person, the notice may be served —</w:t>
      </w:r>
    </w:p>
    <w:p>
      <w:pPr>
        <w:pStyle w:val="yIndenta"/>
      </w:pPr>
      <w:r>
        <w:tab/>
        <w:t>(a)</w:t>
      </w:r>
      <w:r>
        <w:tab/>
        <w:t>on an individual by —</w:t>
      </w:r>
    </w:p>
    <w:p>
      <w:pPr>
        <w:pStyle w:val="yIndenti0"/>
      </w:pPr>
      <w:r>
        <w:tab/>
        <w:t>(i)</w:t>
      </w:r>
      <w:r>
        <w:tab/>
        <w:t>delivering it to the individual personally; or</w:t>
      </w:r>
    </w:p>
    <w:p>
      <w:pPr>
        <w:pStyle w:val="yIndenti0"/>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yIndenti0"/>
        <w:spacing w:before="60"/>
      </w:pPr>
      <w:r>
        <w:lastRenderedPageBreak/>
        <w:tab/>
        <w:t>(iii)</w:t>
      </w:r>
      <w:r>
        <w:tab/>
        <w:t>sending it by facsimile transmission to a facsimile number notified to the sender by the individual as an address at which service of notices under this Law will be accepted; or</w:t>
      </w:r>
    </w:p>
    <w:p>
      <w:pPr>
        <w:pStyle w:val="yIndenti0"/>
        <w:spacing w:before="60"/>
      </w:pPr>
      <w:r>
        <w:tab/>
        <w:t>(iv)</w:t>
      </w:r>
      <w:r>
        <w:tab/>
        <w:t xml:space="preserve">sending it by email to an internet address notified to the sender by the individual as an address at which service of notices under this Law will be accepted; </w:t>
      </w:r>
      <w:r>
        <w:tab/>
        <w:t>or</w:t>
      </w:r>
    </w:p>
    <w:p>
      <w:pPr>
        <w:pStyle w:val="yIndenta"/>
        <w:spacing w:before="60"/>
      </w:pPr>
      <w:r>
        <w:tab/>
        <w:t>(b)</w:t>
      </w:r>
      <w:r>
        <w:tab/>
        <w:t>on a person other than an individual by —</w:t>
      </w:r>
    </w:p>
    <w:p>
      <w:pPr>
        <w:pStyle w:val="yIndenti0"/>
        <w:spacing w:before="60"/>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yIndenti0"/>
        <w:spacing w:before="60"/>
      </w:pPr>
      <w:r>
        <w:tab/>
        <w:t>(ii)</w:t>
      </w:r>
      <w:r>
        <w:tab/>
        <w:t>sending it by facsimile transmission to a facsimile number notified to the sender by the person as an address at which service of notices under this Law will be accepted; or</w:t>
      </w:r>
    </w:p>
    <w:p>
      <w:pPr>
        <w:pStyle w:val="yIndenti0"/>
        <w:spacing w:before="60"/>
      </w:pPr>
      <w:r>
        <w:tab/>
        <w:t>(iii)</w:t>
      </w:r>
      <w:r>
        <w:tab/>
        <w:t>sending it by email to an internet address notified to the sender by the person as an address at which service of notices under this Law will be accepted.</w:t>
      </w:r>
    </w:p>
    <w:p>
      <w:pPr>
        <w:pStyle w:val="ySubsection"/>
        <w:spacing w:before="120"/>
      </w:pPr>
      <w:r>
        <w:tab/>
        <w:t>(2)</w:t>
      </w:r>
      <w:r>
        <w:tab/>
        <w:t>Subsection (1) applies whether the word “deliver”, “give”, “notify”, “send” or “serve” or another expression is used.</w:t>
      </w:r>
    </w:p>
    <w:p>
      <w:pPr>
        <w:pStyle w:val="ySubsection"/>
        <w:spacing w:before="120"/>
      </w:pPr>
      <w:r>
        <w:tab/>
        <w:t>(3)</w:t>
      </w:r>
      <w:r>
        <w:tab/>
        <w:t>Subsection (1) does not affect the power of a court or tribunal to authorise service of a notice otherwise than as provided in that subsection.</w:t>
      </w:r>
    </w:p>
    <w:p>
      <w:pPr>
        <w:pStyle w:val="yHeading5"/>
        <w:spacing w:before="180"/>
      </w:pPr>
      <w:bookmarkStart w:id="446" w:name="_Toc80612091"/>
      <w:r>
        <w:rPr>
          <w:rStyle w:val="CharSClsNo"/>
        </w:rPr>
        <w:t>294</w:t>
      </w:r>
      <w:r>
        <w:t>.</w:t>
      </w:r>
      <w:r>
        <w:tab/>
        <w:t>Service by post</w:t>
      </w:r>
      <w:bookmarkEnd w:id="446"/>
    </w:p>
    <w:p>
      <w:pPr>
        <w:pStyle w:val="ySubsection"/>
        <w:spacing w:before="120"/>
      </w:pPr>
      <w:r>
        <w:tab/>
      </w:r>
      <w:r>
        <w:tab/>
        <w:t>If a notice authorised or required to be served (whether the word “deliver”, “give”, “notify”, “send” or “serve” or another expression is used) on a person is served by post, service of the notice —</w:t>
      </w:r>
    </w:p>
    <w:p>
      <w:pPr>
        <w:pStyle w:val="yIndenta"/>
        <w:spacing w:before="60"/>
      </w:pPr>
      <w:r>
        <w:tab/>
        <w:t>(a)</w:t>
      </w:r>
      <w:r>
        <w:tab/>
        <w:t>may be effected by properly addressing, prepaying and posting a letter containing the document; and</w:t>
      </w:r>
    </w:p>
    <w:p>
      <w:pPr>
        <w:pStyle w:val="yIndenta"/>
        <w:spacing w:before="60"/>
      </w:pPr>
      <w:r>
        <w:tab/>
        <w:t>(b)</w:t>
      </w:r>
      <w:r>
        <w:tab/>
        <w:t>in Australia or in an external Territory — is, unless evidence sufficient to raise doubt is adduced to the contrary, taken to have been effected on the fourth day after the letter was posted; and</w:t>
      </w:r>
    </w:p>
    <w:p>
      <w:pPr>
        <w:pStyle w:val="yIndenta"/>
      </w:pPr>
      <w:r>
        <w:lastRenderedPageBreak/>
        <w:tab/>
        <w:t>(c)</w:t>
      </w:r>
      <w:r>
        <w:tab/>
        <w:t>in another place — is, unless evidence sufficient to raise doubt is adduced to the contrary, taken to have been effected at the time when the letter would have been delivered in the ordinary course of the post.</w:t>
      </w:r>
    </w:p>
    <w:p>
      <w:pPr>
        <w:pStyle w:val="yHeading4"/>
      </w:pPr>
      <w:bookmarkStart w:id="447" w:name="_Toc80609277"/>
      <w:bookmarkStart w:id="448" w:name="_Toc80612092"/>
      <w:r>
        <w:t>Division 6</w:t>
      </w:r>
      <w:r>
        <w:rPr>
          <w:b w:val="0"/>
        </w:rPr>
        <w:t xml:space="preserve"> — </w:t>
      </w:r>
      <w:r>
        <w:t>False or misleading information</w:t>
      </w:r>
      <w:bookmarkEnd w:id="447"/>
      <w:bookmarkEnd w:id="448"/>
    </w:p>
    <w:p>
      <w:pPr>
        <w:pStyle w:val="yHeading5"/>
      </w:pPr>
      <w:bookmarkStart w:id="449" w:name="_Toc80612093"/>
      <w:r>
        <w:rPr>
          <w:rStyle w:val="CharSClsNo"/>
        </w:rPr>
        <w:t>295</w:t>
      </w:r>
      <w:r>
        <w:t>.</w:t>
      </w:r>
      <w:r>
        <w:tab/>
        <w:t>False or misleading information or documents</w:t>
      </w:r>
      <w:bookmarkEnd w:id="449"/>
    </w:p>
    <w:p>
      <w:pPr>
        <w:pStyle w:val="ySubsection"/>
      </w:pPr>
      <w:r>
        <w:tab/>
        <w:t>(1)</w:t>
      </w:r>
      <w:r>
        <w:tab/>
        <w:t>A person must not give the Regulatory Authority or an authorised officer under this Law any information or document that the person knows is false or misleading in a material particular.</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in respect of the giving of a document, if the person when giving the document —</w:t>
      </w:r>
    </w:p>
    <w:p>
      <w:pPr>
        <w:pStyle w:val="yIndenta"/>
      </w:pPr>
      <w:r>
        <w:tab/>
        <w:t>(a)</w:t>
      </w:r>
      <w:r>
        <w:tab/>
        <w:t>informs the Regulatory Authority or authorised officer, to the best of the person’s ability, how it is false or misleading; and</w:t>
      </w:r>
    </w:p>
    <w:p>
      <w:pPr>
        <w:pStyle w:val="yIndenta"/>
      </w:pPr>
      <w:r>
        <w:tab/>
        <w:t>(b)</w:t>
      </w:r>
      <w:r>
        <w:tab/>
        <w:t>gives the correct information to the Regulatory Authority or authorised officer if the person has, or can reasonably obtain, the correct information.</w:t>
      </w:r>
    </w:p>
    <w:p>
      <w:pPr>
        <w:pStyle w:val="yHeading4"/>
      </w:pPr>
      <w:bookmarkStart w:id="450" w:name="_Toc80609279"/>
      <w:bookmarkStart w:id="451" w:name="_Toc80612094"/>
      <w:r>
        <w:t>Division 7</w:t>
      </w:r>
      <w:r>
        <w:rPr>
          <w:b w:val="0"/>
        </w:rPr>
        <w:t xml:space="preserve"> — </w:t>
      </w:r>
      <w:r>
        <w:t>Protection from reprisal</w:t>
      </w:r>
      <w:bookmarkEnd w:id="450"/>
      <w:bookmarkEnd w:id="451"/>
    </w:p>
    <w:p>
      <w:pPr>
        <w:pStyle w:val="yHeading5"/>
      </w:pPr>
      <w:bookmarkStart w:id="452" w:name="_Toc80612095"/>
      <w:r>
        <w:rPr>
          <w:rStyle w:val="CharSClsNo"/>
        </w:rPr>
        <w:t>296</w:t>
      </w:r>
      <w:r>
        <w:t>.</w:t>
      </w:r>
      <w:r>
        <w:tab/>
        <w:t>Definitions</w:t>
      </w:r>
      <w:bookmarkEnd w:id="452"/>
    </w:p>
    <w:p>
      <w:pPr>
        <w:pStyle w:val="ySubsection"/>
      </w:pPr>
      <w:r>
        <w:tab/>
      </w:r>
      <w:r>
        <w:tab/>
        <w:t>In this Division —</w:t>
      </w:r>
    </w:p>
    <w:p>
      <w:pPr>
        <w:pStyle w:val="yDefstart"/>
      </w:pPr>
      <w:r>
        <w:tab/>
      </w:r>
      <w:r>
        <w:rPr>
          <w:rStyle w:val="CharDefText"/>
        </w:rPr>
        <w:t>protected disclosure</w:t>
      </w:r>
      <w:r>
        <w:t xml:space="preserve"> means a disclosure of information or provision of documents to the Regulatory Authority —</w:t>
      </w:r>
    </w:p>
    <w:p>
      <w:pPr>
        <w:pStyle w:val="yDefpara"/>
      </w:pPr>
      <w:r>
        <w:tab/>
        <w:t>(a)</w:t>
      </w:r>
      <w:r>
        <w:tab/>
        <w:t>pursuant to a request under this Law; or</w:t>
      </w:r>
    </w:p>
    <w:p>
      <w:pPr>
        <w:pStyle w:val="yDefpara"/>
      </w:pPr>
      <w:r>
        <w:tab/>
        <w:t>(b)</w:t>
      </w:r>
      <w:r>
        <w:tab/>
        <w:t>where the person making the disclosure has a reasonable belief that —</w:t>
      </w:r>
    </w:p>
    <w:p>
      <w:pPr>
        <w:pStyle w:val="yDefsubpara"/>
      </w:pPr>
      <w:r>
        <w:tab/>
        <w:t>(i)</w:t>
      </w:r>
      <w:r>
        <w:tab/>
        <w:t>an offence against this Law has been or is being committed; or</w:t>
      </w:r>
    </w:p>
    <w:p>
      <w:pPr>
        <w:pStyle w:val="yDefsubpara"/>
      </w:pPr>
      <w:r>
        <w:tab/>
        <w:t>(ii)</w:t>
      </w:r>
      <w:r>
        <w:tab/>
        <w:t>the safety, health or wellbeing of a child or children being educated and cared for by an education and care service is at risk;</w:t>
      </w:r>
    </w:p>
    <w:p>
      <w:pPr>
        <w:pStyle w:val="yDefstart"/>
      </w:pPr>
      <w:r>
        <w:lastRenderedPageBreak/>
        <w:tab/>
      </w:r>
      <w:r>
        <w:rPr>
          <w:rStyle w:val="CharDefText"/>
        </w:rPr>
        <w:t>serious detrimental action</w:t>
      </w:r>
      <w:r>
        <w:t xml:space="preserve"> includes dismissal, involuntary transfer, loss of promotion and demotion.</w:t>
      </w:r>
    </w:p>
    <w:p>
      <w:pPr>
        <w:pStyle w:val="yHeading5"/>
      </w:pPr>
      <w:bookmarkStart w:id="453" w:name="_Toc80612096"/>
      <w:r>
        <w:rPr>
          <w:rStyle w:val="CharSClsNo"/>
        </w:rPr>
        <w:t>297</w:t>
      </w:r>
      <w:r>
        <w:t>.</w:t>
      </w:r>
      <w:r>
        <w:tab/>
        <w:t>Protection from reprisal</w:t>
      </w:r>
      <w:bookmarkEnd w:id="453"/>
    </w:p>
    <w:p>
      <w:pPr>
        <w:pStyle w:val="ySubsection"/>
      </w:pPr>
      <w:r>
        <w:tab/>
        <w:t>(1)</w:t>
      </w:r>
      <w:r>
        <w:tab/>
        <w:t>A person must not take serious detrimental action against a person in reprisal for a protected disclosure.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person takes serious detrimental action in reprisal for a protected disclosure if —</w:t>
      </w:r>
    </w:p>
    <w:p>
      <w:pPr>
        <w:pStyle w:val="yIndenta"/>
      </w:pPr>
      <w:r>
        <w:tab/>
        <w:t>(a)</w:t>
      </w:r>
      <w:r>
        <w:tab/>
        <w:t>the person takes or threatens to take the action because —</w:t>
      </w:r>
    </w:p>
    <w:p>
      <w:pPr>
        <w:pStyle w:val="yIndenti0"/>
      </w:pPr>
      <w:r>
        <w:tab/>
        <w:t>(i)</w:t>
      </w:r>
      <w:r>
        <w:tab/>
        <w:t>a person has made, or intends to make, a protected disclosure; or</w:t>
      </w:r>
    </w:p>
    <w:p>
      <w:pPr>
        <w:pStyle w:val="yIndenti0"/>
      </w:pPr>
      <w:r>
        <w:tab/>
        <w:t>(ii)</w:t>
      </w:r>
      <w:r>
        <w:tab/>
        <w:t>the person believes that a person has made or intends to make the protected disclosure; or</w:t>
      </w:r>
    </w:p>
    <w:p>
      <w:pPr>
        <w:pStyle w:val="yIndenta"/>
      </w:pPr>
      <w:r>
        <w:tab/>
        <w:t>(b)</w:t>
      </w:r>
      <w:r>
        <w:tab/>
        <w:t>the person incites or permits another person to take or threaten to take the action for either of those reasons.</w:t>
      </w:r>
    </w:p>
    <w:p>
      <w:pPr>
        <w:pStyle w:val="y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yHeading5"/>
      </w:pPr>
      <w:bookmarkStart w:id="454" w:name="_Toc80612097"/>
      <w:r>
        <w:rPr>
          <w:rStyle w:val="CharSClsNo"/>
        </w:rPr>
        <w:t>298</w:t>
      </w:r>
      <w:r>
        <w:t>.</w:t>
      </w:r>
      <w:r>
        <w:tab/>
        <w:t>Proceedings for damages for reprisal</w:t>
      </w:r>
      <w:bookmarkEnd w:id="454"/>
    </w:p>
    <w:p>
      <w:pPr>
        <w:pStyle w:val="ySubsection"/>
      </w:pPr>
      <w:r>
        <w:tab/>
        <w:t>(1)</w:t>
      </w:r>
      <w:r>
        <w:tab/>
        <w:t>A person who takes serious detrimental action against a person in reprisal for a protected disclosure is liable in damages to that person.</w:t>
      </w:r>
    </w:p>
    <w:p>
      <w:pPr>
        <w:pStyle w:val="ySubsection"/>
      </w:pPr>
      <w:r>
        <w:tab/>
        <w:t>(2)</w:t>
      </w:r>
      <w:r>
        <w:tab/>
        <w:t>The damages may be recovered in proceedings as for a tort in any court of competent jurisdiction.</w:t>
      </w:r>
    </w:p>
    <w:p>
      <w:pPr>
        <w:pStyle w:val="ySubsection"/>
      </w:pPr>
      <w:r>
        <w:tab/>
        <w:t>(3)</w:t>
      </w:r>
      <w:r>
        <w:tab/>
        <w:t>Any remedy that may be granted by a court with respect to a tort, including exemplary damages, may be granted by a court in proceedings under this section.</w:t>
      </w:r>
    </w:p>
    <w:p>
      <w:pPr>
        <w:pStyle w:val="ySubsection"/>
      </w:pPr>
      <w:r>
        <w:tab/>
        <w:t>(4)</w:t>
      </w:r>
      <w:r>
        <w:tab/>
        <w:t>The right of a person to bring proceedings for damages does not affect any other right or remedy available to the person arising from the serious detrimental action.</w:t>
      </w:r>
    </w:p>
    <w:p>
      <w:pPr>
        <w:pStyle w:val="yHeading5"/>
      </w:pPr>
      <w:bookmarkStart w:id="455" w:name="_Toc80612098"/>
      <w:r>
        <w:rPr>
          <w:rStyle w:val="CharSClsNo"/>
        </w:rPr>
        <w:lastRenderedPageBreak/>
        <w:t>299</w:t>
      </w:r>
      <w:r>
        <w:t>.</w:t>
      </w:r>
      <w:r>
        <w:tab/>
        <w:t>Application for injunction or order</w:t>
      </w:r>
      <w:bookmarkEnd w:id="455"/>
    </w:p>
    <w:p>
      <w:pPr>
        <w:pStyle w:val="ySubsection"/>
      </w:pPr>
      <w:r>
        <w:tab/>
      </w:r>
      <w:r>
        <w:tab/>
        <w:t>A person who believes that serious detrimental action has been taken or may be taken against him or her in reprisal for a protected disclosure may apply to the superior court for —</w:t>
      </w:r>
    </w:p>
    <w:p>
      <w:pPr>
        <w:pStyle w:val="yIndenta"/>
      </w:pPr>
      <w:r>
        <w:tab/>
        <w:t>(a)</w:t>
      </w:r>
      <w:r>
        <w:tab/>
        <w:t>an order requiring the person who has taken the serious detrimental action to remedy that action; or</w:t>
      </w:r>
    </w:p>
    <w:p>
      <w:pPr>
        <w:pStyle w:val="yIndenta"/>
      </w:pPr>
      <w:r>
        <w:tab/>
        <w:t>(b)</w:t>
      </w:r>
      <w:r>
        <w:tab/>
        <w:t>an injunction.</w:t>
      </w:r>
    </w:p>
    <w:p>
      <w:pPr>
        <w:pStyle w:val="yHeading5"/>
      </w:pPr>
      <w:bookmarkStart w:id="456" w:name="_Toc80612099"/>
      <w:r>
        <w:rPr>
          <w:rStyle w:val="CharSClsNo"/>
        </w:rPr>
        <w:t>300</w:t>
      </w:r>
      <w:r>
        <w:t>.</w:t>
      </w:r>
      <w:r>
        <w:tab/>
        <w:t>Injunction or order</w:t>
      </w:r>
      <w:bookmarkEnd w:id="456"/>
    </w:p>
    <w:p>
      <w:pPr>
        <w:pStyle w:val="ySubsection"/>
      </w:pPr>
      <w:r>
        <w:tab/>
        <w:t>(1)</w:t>
      </w:r>
      <w:r>
        <w:tab/>
        <w:t>If, on receipt of an application under section 299, the superior court is satisfied that a person has taken or intends to take serious detrimental action against a person in reprisal for a protected disclosure, the court may —</w:t>
      </w:r>
    </w:p>
    <w:p>
      <w:pPr>
        <w:pStyle w:val="yIndenta"/>
      </w:pPr>
      <w:r>
        <w:tab/>
        <w:t>(a)</w:t>
      </w:r>
      <w:r>
        <w:tab/>
        <w:t>order the person who took the serious detrimental action to remedy that action; or</w:t>
      </w:r>
    </w:p>
    <w:p>
      <w:pPr>
        <w:pStyle w:val="yIndenta"/>
      </w:pPr>
      <w:r>
        <w:tab/>
        <w:t>(b)</w:t>
      </w:r>
      <w:r>
        <w:tab/>
        <w:t>grant an injunction in any terms the court considers appropriate.</w:t>
      </w:r>
    </w:p>
    <w:p>
      <w:pPr>
        <w:pStyle w:val="ySubsection"/>
      </w:pPr>
      <w:r>
        <w:tab/>
        <w:t>(2)</w:t>
      </w:r>
      <w:r>
        <w:tab/>
        <w:t>The superior court, pending the final determination of an application under section 299, may —</w:t>
      </w:r>
    </w:p>
    <w:p>
      <w:pPr>
        <w:pStyle w:val="yIndenta"/>
      </w:pPr>
      <w:r>
        <w:tab/>
        <w:t>(a)</w:t>
      </w:r>
      <w:r>
        <w:tab/>
        <w:t>make an interim order in the terms of subsection (1)(a); or</w:t>
      </w:r>
    </w:p>
    <w:p>
      <w:pPr>
        <w:pStyle w:val="yIndenta"/>
      </w:pPr>
      <w:r>
        <w:tab/>
        <w:t>(b)</w:t>
      </w:r>
      <w:r>
        <w:tab/>
        <w:t>grant an interim injunction.</w:t>
      </w:r>
    </w:p>
    <w:p>
      <w:pPr>
        <w:pStyle w:val="yHeading4"/>
      </w:pPr>
      <w:bookmarkStart w:id="457" w:name="_Toc80609285"/>
      <w:bookmarkStart w:id="458" w:name="_Toc80612100"/>
      <w:r>
        <w:t>Division 8</w:t>
      </w:r>
      <w:r>
        <w:rPr>
          <w:b w:val="0"/>
        </w:rPr>
        <w:t xml:space="preserve"> — </w:t>
      </w:r>
      <w:r>
        <w:t>National regulations</w:t>
      </w:r>
      <w:bookmarkEnd w:id="457"/>
      <w:bookmarkEnd w:id="458"/>
    </w:p>
    <w:p>
      <w:pPr>
        <w:pStyle w:val="yHeading5"/>
      </w:pPr>
      <w:bookmarkStart w:id="459" w:name="_Toc80612101"/>
      <w:r>
        <w:rPr>
          <w:rStyle w:val="CharSClsNo"/>
        </w:rPr>
        <w:t>301</w:t>
      </w:r>
      <w:r>
        <w:t>.</w:t>
      </w:r>
      <w:r>
        <w:tab/>
        <w:t>National regulations</w:t>
      </w:r>
      <w:bookmarkEnd w:id="459"/>
    </w:p>
    <w:p>
      <w:pPr>
        <w:pStyle w:val="ySubsection"/>
      </w:pPr>
      <w:r>
        <w:tab/>
        <w:t>(1)</w:t>
      </w:r>
      <w:r>
        <w:tab/>
        <w:t>The Governor may make regulations for the purposes of this Law.</w:t>
      </w:r>
    </w:p>
    <w:p>
      <w:pPr>
        <w:pStyle w:val="ySubsection"/>
      </w:pPr>
      <w:r>
        <w:tab/>
        <w:t>(2)</w:t>
      </w:r>
      <w:r>
        <w:tab/>
        <w:t>The national regulations may provide for any matter that is required or permitted to be prescribed or necessary or convenient to be prescribed for carrying out or giving effect to this Law.</w:t>
      </w:r>
    </w:p>
    <w:p>
      <w:pPr>
        <w:pStyle w:val="ySubsection"/>
      </w:pPr>
      <w:r>
        <w:tab/>
        <w:t>(3)</w:t>
      </w:r>
      <w:r>
        <w:tab/>
        <w:t>Without limiting subsection (1), the national regulations may provide for the following —</w:t>
      </w:r>
    </w:p>
    <w:p>
      <w:pPr>
        <w:pStyle w:val="yIndenta"/>
      </w:pPr>
      <w:r>
        <w:tab/>
        <w:t>(a)</w:t>
      </w:r>
      <w:r>
        <w:tab/>
        <w:t>fees (including application fees and annual fees) for approvals and other things done under this Law;</w:t>
      </w:r>
    </w:p>
    <w:p>
      <w:pPr>
        <w:pStyle w:val="yIndenta"/>
      </w:pPr>
      <w:r>
        <w:tab/>
        <w:t>(b)</w:t>
      </w:r>
      <w:r>
        <w:tab/>
        <w:t>the indexation of fees;</w:t>
      </w:r>
    </w:p>
    <w:p>
      <w:pPr>
        <w:pStyle w:val="yIndenta"/>
      </w:pPr>
      <w:r>
        <w:lastRenderedPageBreak/>
        <w:tab/>
        <w:t>(c)</w:t>
      </w:r>
      <w:r>
        <w:tab/>
        <w:t>standards for education and care services;</w:t>
      </w:r>
    </w:p>
    <w:p>
      <w:pPr>
        <w:pStyle w:val="yIndenta"/>
      </w:pPr>
      <w:r>
        <w:tab/>
        <w:t>(d)</w:t>
      </w:r>
      <w:r>
        <w:tab/>
        <w:t>requirements for educational programs, including the quality of those programs and their development, documentation and delivery;</w:t>
      </w:r>
    </w:p>
    <w:p>
      <w:pPr>
        <w:pStyle w:val="yIndenta"/>
      </w:pPr>
      <w:r>
        <w:tab/>
        <w:t>(e)</w:t>
      </w:r>
      <w:r>
        <w:tab/>
        <w:t>requirements and standards to be complied with for the safety, health and wellbeing of children being educated and cared for by an education and care service;</w:t>
      </w:r>
    </w:p>
    <w:p>
      <w:pPr>
        <w:pStyle w:val="y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yIndenta"/>
      </w:pPr>
      <w:r>
        <w:tab/>
        <w:t>(g)</w:t>
      </w:r>
      <w:r>
        <w:tab/>
        <w:t>requirements and standards about the premises to be used to provide an education and care service including siting, design, layout, space, security and entitlement to occupy;</w:t>
      </w:r>
    </w:p>
    <w:p>
      <w:pPr>
        <w:pStyle w:val="y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yIndenta"/>
      </w:pPr>
      <w:r>
        <w:tab/>
        <w:t>(i)</w:t>
      </w:r>
      <w:r>
        <w:tab/>
        <w:t>requirements and standards about educators’ relationships with children, interactions and behaviour guidance and inclusion policies and practice for education and care services;</w:t>
      </w:r>
    </w:p>
    <w:p>
      <w:pPr>
        <w:pStyle w:val="y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y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yIndenta"/>
      </w:pPr>
      <w:r>
        <w:lastRenderedPageBreak/>
        <w:tab/>
        <w:t>(l)</w:t>
      </w:r>
      <w:r>
        <w:tab/>
        <w:t>the records, policies and procedures to be kept by approved providers and family day care educators including enrolment and attendance information;</w:t>
      </w:r>
    </w:p>
    <w:p>
      <w:pPr>
        <w:pStyle w:val="yIndenta"/>
      </w:pPr>
      <w:r>
        <w:tab/>
        <w:t>(m)</w:t>
      </w:r>
      <w:r>
        <w:tab/>
        <w:t>requirements and standards about first aid and management of children’s medical conditions including —</w:t>
      </w:r>
    </w:p>
    <w:p>
      <w:pPr>
        <w:pStyle w:val="yIndenti0"/>
      </w:pPr>
      <w:r>
        <w:tab/>
        <w:t>(i)</w:t>
      </w:r>
      <w:r>
        <w:tab/>
        <w:t>the training of educators and staff members; and</w:t>
      </w:r>
    </w:p>
    <w:p>
      <w:pPr>
        <w:pStyle w:val="yIndenti0"/>
      </w:pPr>
      <w:r>
        <w:tab/>
        <w:t>(ii)</w:t>
      </w:r>
      <w:r>
        <w:tab/>
        <w:t>plans, policies and procedures used to manage medical conditions and first aid; and</w:t>
      </w:r>
    </w:p>
    <w:p>
      <w:pPr>
        <w:pStyle w:val="yIndenti0"/>
      </w:pPr>
      <w:r>
        <w:tab/>
        <w:t>(iii)</w:t>
      </w:r>
      <w:r>
        <w:tab/>
        <w:t>the keeping and storage of first aid kits and medications;</w:t>
      </w:r>
    </w:p>
    <w:p>
      <w:pPr>
        <w:pStyle w:val="yIndenta"/>
      </w:pPr>
      <w:r>
        <w:tab/>
        <w:t>(n)</w:t>
      </w:r>
      <w:r>
        <w:tab/>
        <w:t>information required to be submitted for applications made under this Law;</w:t>
      </w:r>
    </w:p>
    <w:p>
      <w:pPr>
        <w:pStyle w:val="yIndenta"/>
      </w:pPr>
      <w:r>
        <w:tab/>
        <w:t>(o)</w:t>
      </w:r>
      <w:r>
        <w:tab/>
        <w:t>requirements and standards for the provision and display of information by approved providers;</w:t>
      </w:r>
    </w:p>
    <w:p>
      <w:pPr>
        <w:pStyle w:val="yIndenta"/>
      </w:pPr>
      <w:r>
        <w:tab/>
        <w:t>(p)</w:t>
      </w:r>
      <w:r>
        <w:tab/>
        <w:t>the publication of information about enforcement actions taken under this Law, including notice and review of proposals to publish information;</w:t>
      </w:r>
    </w:p>
    <w:p>
      <w:pPr>
        <w:pStyle w:val="yIndenta"/>
      </w:pPr>
      <w:r>
        <w:tab/>
        <w:t>(q)</w:t>
      </w:r>
      <w:r>
        <w:tab/>
        <w:t>matters relating to the application of this Law to partnerships, eligible associations or prescribed entities;</w:t>
      </w:r>
    </w:p>
    <w:p>
      <w:pPr>
        <w:pStyle w:val="yIndenta"/>
      </w:pPr>
      <w:r>
        <w:tab/>
        <w:t>(r)</w:t>
      </w:r>
      <w:r>
        <w:tab/>
        <w:t>requirements relating to the receipt and payment and distribution of fees and monetary penalties payable under this Law.</w:t>
      </w:r>
    </w:p>
    <w:p>
      <w:pPr>
        <w:pStyle w:val="ySubsection"/>
      </w:pPr>
      <w:r>
        <w:tab/>
        <w:t>(4)</w:t>
      </w:r>
      <w:r>
        <w:tab/>
        <w:t>The national regulations —</w:t>
      </w:r>
    </w:p>
    <w:p>
      <w:pPr>
        <w:pStyle w:val="yIndenta"/>
      </w:pPr>
      <w:r>
        <w:tab/>
        <w:t>(a)</w:t>
      </w:r>
      <w:r>
        <w:tab/>
        <w:t>may be of a general or limited application; and</w:t>
      </w:r>
    </w:p>
    <w:p>
      <w:pPr>
        <w:pStyle w:val="yIndenta"/>
      </w:pPr>
      <w:r>
        <w:tab/>
        <w:t>(b)</w:t>
      </w:r>
      <w:r>
        <w:tab/>
        <w:t>may differ according to differences in time, place (including jurisdiction) or circumstances; and</w:t>
      </w:r>
    </w:p>
    <w:p>
      <w:pPr>
        <w:pStyle w:val="yIndenta"/>
      </w:pPr>
      <w:r>
        <w:tab/>
        <w:t>(c)</w:t>
      </w:r>
      <w:r>
        <w:tab/>
        <w:t>may differ according to the type or class of education and care service and the ages of children being educated and cared for by a service; and</w:t>
      </w:r>
    </w:p>
    <w:p>
      <w:pPr>
        <w:pStyle w:val="yIndenta"/>
      </w:pPr>
      <w:r>
        <w:tab/>
        <w:t>(d)</w:t>
      </w:r>
      <w:r>
        <w:tab/>
        <w:t>may exempt any education and care service or any type or class of education and care service from complying with all or any of the regulations; and</w:t>
      </w:r>
    </w:p>
    <w:p>
      <w:pPr>
        <w:pStyle w:val="yIndenta"/>
      </w:pPr>
      <w:r>
        <w:tab/>
        <w:t>(e)</w:t>
      </w:r>
      <w:r>
        <w:tab/>
        <w:t>may leave any matter or thing to be from time to time determined, applied, dispensed with or regulated by a Regulatory Authority; and</w:t>
      </w:r>
    </w:p>
    <w:p>
      <w:pPr>
        <w:pStyle w:val="yIndenta"/>
      </w:pPr>
      <w:r>
        <w:lastRenderedPageBreak/>
        <w:tab/>
        <w:t>(f)</w:t>
      </w:r>
      <w:r>
        <w:tab/>
        <w:t>may apply, adopt or incorporate by reference any document either —</w:t>
      </w:r>
    </w:p>
    <w:p>
      <w:pPr>
        <w:pStyle w:val="yIndenti0"/>
      </w:pPr>
      <w:r>
        <w:tab/>
        <w:t>(i)</w:t>
      </w:r>
      <w:r>
        <w:tab/>
        <w:t xml:space="preserve">as in force at the date the national regulations come into operation or at any date before then; or </w:t>
      </w:r>
    </w:p>
    <w:p>
      <w:pPr>
        <w:pStyle w:val="yIndenti0"/>
      </w:pPr>
      <w:r>
        <w:tab/>
        <w:t>(ii)</w:t>
      </w:r>
      <w:r>
        <w:tab/>
        <w:t>wholly or in part or as amended by the national regulations; and</w:t>
      </w:r>
    </w:p>
    <w:p>
      <w:pPr>
        <w:pStyle w:val="yIndenta"/>
      </w:pPr>
      <w:r>
        <w:tab/>
        <w:t>(g)</w:t>
      </w:r>
      <w:r>
        <w:tab/>
        <w:t>may impose penalties not exceeding $2000 for offences against the national regulations.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301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301 amended: No. 18 of 2018 s. 86.]</w:t>
      </w:r>
    </w:p>
    <w:p>
      <w:pPr>
        <w:pStyle w:val="yHeading5"/>
      </w:pPr>
      <w:bookmarkStart w:id="460" w:name="_Toc80612102"/>
      <w:r>
        <w:rPr>
          <w:rStyle w:val="CharSClsNo"/>
        </w:rPr>
        <w:t>302</w:t>
      </w:r>
      <w:r>
        <w:t>.</w:t>
      </w:r>
      <w:r>
        <w:tab/>
        <w:t>Publication of national regulations</w:t>
      </w:r>
      <w:bookmarkEnd w:id="460"/>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461" w:name="_Toc80612103"/>
      <w:r>
        <w:rPr>
          <w:rStyle w:val="CharSClsNo"/>
        </w:rPr>
        <w:t>303</w:t>
      </w:r>
      <w:r>
        <w:t>.</w:t>
      </w:r>
      <w:r>
        <w:tab/>
        <w:t>Parliamentary scrutiny of national regulations</w:t>
      </w:r>
      <w:bookmarkEnd w:id="461"/>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462" w:name="_Toc80612104"/>
      <w:r>
        <w:rPr>
          <w:rStyle w:val="CharSClsNo"/>
        </w:rPr>
        <w:t>304</w:t>
      </w:r>
      <w:r>
        <w:t>.</w:t>
      </w:r>
      <w:r>
        <w:tab/>
        <w:t>Effect of disallowance of national regulation</w:t>
      </w:r>
      <w:bookmarkEnd w:id="462"/>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3"/>
      </w:pPr>
      <w:bookmarkStart w:id="463" w:name="_Toc80609290"/>
      <w:bookmarkStart w:id="464" w:name="_Toc80612105"/>
      <w:r>
        <w:rPr>
          <w:rStyle w:val="CharSDivNo"/>
        </w:rPr>
        <w:t>Part 15</w:t>
      </w:r>
      <w:r>
        <w:t xml:space="preserve"> — </w:t>
      </w:r>
      <w:r>
        <w:rPr>
          <w:rStyle w:val="CharSDivText"/>
        </w:rPr>
        <w:t>Transitional provisions</w:t>
      </w:r>
      <w:bookmarkEnd w:id="463"/>
      <w:bookmarkEnd w:id="464"/>
    </w:p>
    <w:p>
      <w:pPr>
        <w:pStyle w:val="yHeading4"/>
      </w:pPr>
      <w:bookmarkStart w:id="465" w:name="_Toc80609291"/>
      <w:bookmarkStart w:id="466" w:name="_Toc80612106"/>
      <w:r>
        <w:t>Division 1</w:t>
      </w:r>
      <w:r>
        <w:rPr>
          <w:b w:val="0"/>
        </w:rPr>
        <w:t xml:space="preserve"> — </w:t>
      </w:r>
      <w:r>
        <w:t>Introductory</w:t>
      </w:r>
      <w:bookmarkEnd w:id="465"/>
      <w:bookmarkEnd w:id="466"/>
    </w:p>
    <w:p>
      <w:pPr>
        <w:pStyle w:val="yHeading5"/>
      </w:pPr>
      <w:bookmarkStart w:id="467" w:name="_Toc80612107"/>
      <w:r>
        <w:rPr>
          <w:rStyle w:val="CharSClsNo"/>
        </w:rPr>
        <w:t>305</w:t>
      </w:r>
      <w:r>
        <w:t>.</w:t>
      </w:r>
      <w:r>
        <w:tab/>
        <w:t>Definitions</w:t>
      </w:r>
      <w:bookmarkEnd w:id="467"/>
    </w:p>
    <w:p>
      <w:pPr>
        <w:pStyle w:val="ySubsection"/>
      </w:pPr>
      <w:r>
        <w:tab/>
      </w:r>
      <w:r>
        <w:tab/>
        <w:t>In this Part —</w:t>
      </w:r>
    </w:p>
    <w:p>
      <w:pPr>
        <w:pStyle w:val="y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yDefstart"/>
      </w:pPr>
      <w:r>
        <w:lastRenderedPageBreak/>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y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y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y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y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y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yDefstart"/>
      </w:pPr>
      <w:r>
        <w:tab/>
      </w:r>
      <w:r>
        <w:rPr>
          <w:rStyle w:val="CharDefText"/>
        </w:rPr>
        <w:t>declared out of scope service</w:t>
      </w:r>
      <w:r>
        <w:t>, in relation to a participating jurisdiction, means an education and care service —</w:t>
      </w:r>
    </w:p>
    <w:p>
      <w:pPr>
        <w:pStyle w:val="yDefpara"/>
      </w:pPr>
      <w:r>
        <w:tab/>
        <w:t>(a)</w:t>
      </w:r>
      <w:r>
        <w:tab/>
        <w:t>for which a former approval was not required under a former education and care services law; and</w:t>
      </w:r>
    </w:p>
    <w:p>
      <w:pPr>
        <w:pStyle w:val="yDefpara"/>
      </w:pPr>
      <w:r>
        <w:tab/>
        <w:t>(b)</w:t>
      </w:r>
      <w:r>
        <w:tab/>
        <w:t>that is declared by a law of that jurisdiction to be a declared out of scope service for the purposes of this Law;</w:t>
      </w:r>
    </w:p>
    <w:p>
      <w:pPr>
        <w:pStyle w:val="y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yDefstart"/>
        <w:keepNext/>
      </w:pPr>
      <w:r>
        <w:lastRenderedPageBreak/>
        <w:tab/>
      </w:r>
      <w:r>
        <w:rPr>
          <w:rStyle w:val="CharDefText"/>
        </w:rPr>
        <w:t>scheme commencement day</w:t>
      </w:r>
      <w:r>
        <w:t xml:space="preserve"> means the day on which Parts 2, 3 and 4 of this Law commence.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305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305 amended: No. 18 of 2018 s. 87.]</w:t>
      </w:r>
    </w:p>
    <w:p>
      <w:pPr>
        <w:pStyle w:val="yHeading4"/>
      </w:pPr>
      <w:bookmarkStart w:id="468" w:name="_Toc80609293"/>
      <w:bookmarkStart w:id="469" w:name="_Toc80612108"/>
      <w:r>
        <w:t>Division 2</w:t>
      </w:r>
      <w:r>
        <w:rPr>
          <w:b w:val="0"/>
        </w:rPr>
        <w:t xml:space="preserve"> — </w:t>
      </w:r>
      <w:r>
        <w:t>Education and care services</w:t>
      </w:r>
      <w:bookmarkEnd w:id="468"/>
      <w:bookmarkEnd w:id="469"/>
    </w:p>
    <w:p>
      <w:pPr>
        <w:pStyle w:val="yHeading5"/>
      </w:pPr>
      <w:bookmarkStart w:id="470" w:name="_Toc80612109"/>
      <w:r>
        <w:rPr>
          <w:rStyle w:val="CharSClsNo"/>
        </w:rPr>
        <w:t>306</w:t>
      </w:r>
      <w:r>
        <w:t>.</w:t>
      </w:r>
      <w:r>
        <w:tab/>
        <w:t>Approved provider</w:t>
      </w:r>
      <w:bookmarkEnd w:id="470"/>
    </w:p>
    <w:p>
      <w:pPr>
        <w:pStyle w:val="ySubsection"/>
      </w:pPr>
      <w:r>
        <w:tab/>
        <w:t>(1)</w:t>
      </w:r>
      <w:r>
        <w:tab/>
        <w:t>Any person who immediately before the scheme commencement day was a declared approved provider is taken to be an approved provider under this Law.</w:t>
      </w:r>
    </w:p>
    <w:p>
      <w:pPr>
        <w:pStyle w:val="ySubsection"/>
      </w:pPr>
      <w:r>
        <w:tab/>
        <w:t>(2)</w:t>
      </w:r>
      <w:r>
        <w:tab/>
        <w:t>Subsection (1) does not apply if the declared approved provider is a prescribed ineligible person.</w:t>
      </w:r>
    </w:p>
    <w:p>
      <w:pPr>
        <w:pStyle w:val="y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ySubsection"/>
      </w:pPr>
      <w:r>
        <w:tab/>
        <w:t>(4)</w:t>
      </w:r>
      <w:r>
        <w:tab/>
        <w:t>If a declared approved provider is a trust, the trustee or trustees of the trust are taken to be an approved provider under this Law.</w:t>
      </w:r>
    </w:p>
    <w:p>
      <w:pPr>
        <w:pStyle w:val="ySubsection"/>
      </w:pPr>
      <w:r>
        <w:tab/>
        <w:t>(5)</w:t>
      </w:r>
      <w:r>
        <w:tab/>
        <w:t>The trust must, within 30 days after the scheme commencement day, notify the Regulatory Authority of the identity of the trustees of the trust.</w:t>
      </w:r>
    </w:p>
    <w:p>
      <w:pPr>
        <w:pStyle w:val="ySubsection"/>
      </w:pPr>
      <w:r>
        <w:tab/>
        <w:t>(6)</w:t>
      </w:r>
      <w:r>
        <w:tab/>
        <w:t>If a notice is not given under subsection (5) within the required period, each trustee of the trust ceases to be an approved provider under this Law at the end of that period.</w:t>
      </w:r>
    </w:p>
    <w:p>
      <w:pPr>
        <w:pStyle w:val="ySubsection"/>
      </w:pPr>
      <w:r>
        <w:tab/>
        <w:t>(7)</w:t>
      </w:r>
      <w:r>
        <w:tab/>
        <w:t>If a person is taken under this section to be an approved provider, the person is taken to be the holder of a provider approval for the purposes of this Law.</w:t>
      </w:r>
    </w:p>
    <w:p>
      <w:pPr>
        <w:pStyle w:val="y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ySubsection"/>
      </w:pPr>
      <w:r>
        <w:lastRenderedPageBreak/>
        <w:tab/>
        <w:t>(9)</w:t>
      </w:r>
      <w:r>
        <w:tab/>
        <w:t>The Regulatory Authority must, on or before 30 June 2012*, provide each person who is taken under this section to be the holder of a provider approval with a copy of the provider approval setting out the relevant matters in section 20.</w:t>
      </w:r>
    </w:p>
    <w:p>
      <w:pPr>
        <w:pStyle w:val="yFootnotesection"/>
      </w:pPr>
      <w:r>
        <w:tab/>
        <w:t>[*Modified by regulations</w:t>
      </w:r>
      <w:r>
        <w:rPr>
          <w:vertAlign w:val="superscript"/>
        </w:rPr>
        <w:t> 1</w:t>
      </w:r>
      <w:r>
        <w:t xml:space="preserve"> to apply for WA as if amended to read 31 January 2013.]</w:t>
      </w:r>
    </w:p>
    <w:p>
      <w:pPr>
        <w:pStyle w:val="yHeading5"/>
      </w:pPr>
      <w:bookmarkStart w:id="471" w:name="_Toc80612110"/>
      <w:r>
        <w:rPr>
          <w:rStyle w:val="CharSClsNo"/>
        </w:rPr>
        <w:t>307</w:t>
      </w:r>
      <w:r>
        <w:t>.</w:t>
      </w:r>
      <w:r>
        <w:tab/>
        <w:t>Service approvals</w:t>
      </w:r>
      <w:bookmarkEnd w:id="471"/>
    </w:p>
    <w:p>
      <w:pPr>
        <w:pStyle w:val="y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y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ySubsection"/>
      </w:pPr>
      <w:r>
        <w:tab/>
        <w:t>(3)</w:t>
      </w:r>
      <w:r>
        <w:tab/>
        <w:t>Subsections (1) and (2) do not apply if the person is a prescribed ineligible person.</w:t>
      </w:r>
    </w:p>
    <w:p>
      <w:pPr>
        <w:pStyle w:val="ySubsection"/>
      </w:pPr>
      <w:r>
        <w:tab/>
        <w:t>(4)</w:t>
      </w:r>
      <w:r>
        <w:tab/>
        <w:t>If subsection (1) or (2) applies, the declared approved service is taken from the scheme commencement day to be an approved education and care service.</w:t>
      </w:r>
    </w:p>
    <w:p>
      <w:pPr>
        <w:pStyle w:val="y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y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ySubsection"/>
      </w:pPr>
      <w:r>
        <w:tab/>
        <w:t>(7)</w:t>
      </w:r>
      <w:r>
        <w:tab/>
        <w:t>The Regulatory Authority must determine before the expiry of the period of suspension referred to in subsection (6) (other than for a voluntary suspension) whether —</w:t>
      </w:r>
    </w:p>
    <w:p>
      <w:pPr>
        <w:pStyle w:val="yIndenta"/>
      </w:pPr>
      <w:r>
        <w:tab/>
        <w:t>(a)</w:t>
      </w:r>
      <w:r>
        <w:tab/>
        <w:t>the suspension should be cancelled or a further period of suspension should be imposed; or</w:t>
      </w:r>
    </w:p>
    <w:p>
      <w:pPr>
        <w:pStyle w:val="yIndenta"/>
      </w:pPr>
      <w:r>
        <w:lastRenderedPageBreak/>
        <w:tab/>
        <w:t>(b)</w:t>
      </w:r>
      <w:r>
        <w:tab/>
        <w:t>the service approval should be cancelled.</w:t>
      </w:r>
    </w:p>
    <w:p>
      <w:pPr>
        <w:pStyle w:val="ySubsection"/>
      </w:pPr>
      <w:r>
        <w:tab/>
        <w:t>(8)</w:t>
      </w:r>
      <w:r>
        <w:tab/>
        <w:t>Any conditions imposed on the former approval under the former education and care services law are taken to be conditions on the service approval unless the conditions are inconsistent with this Law.</w:t>
      </w:r>
    </w:p>
    <w:p>
      <w:pPr>
        <w:pStyle w:val="ySubsection"/>
      </w:pPr>
      <w:r>
        <w:tab/>
        <w:t>(9)</w:t>
      </w:r>
      <w: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pPr>
        <w:pStyle w:val="yFootnotesection"/>
      </w:pPr>
      <w:r>
        <w:tab/>
        <w:t>[*Modified by regulations </w:t>
      </w:r>
      <w:r>
        <w:rPr>
          <w:vertAlign w:val="superscript"/>
        </w:rPr>
        <w:t>1</w:t>
      </w:r>
      <w:r>
        <w:t xml:space="preserve"> to apply for WA as if amended to read 31 January 2013.]</w:t>
      </w:r>
    </w:p>
    <w:p>
      <w:pPr>
        <w:pStyle w:val="yHeading5"/>
      </w:pPr>
      <w:bookmarkStart w:id="472" w:name="_Toc80612111"/>
      <w:r>
        <w:rPr>
          <w:rStyle w:val="CharSClsNo"/>
        </w:rPr>
        <w:t>308</w:t>
      </w:r>
      <w:r>
        <w:t>.</w:t>
      </w:r>
      <w:r>
        <w:tab/>
        <w:t>Approved family day care venues</w:t>
      </w:r>
      <w:bookmarkEnd w:id="472"/>
    </w:p>
    <w:p>
      <w:pPr>
        <w:pStyle w:val="y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yHeading5"/>
      </w:pPr>
      <w:bookmarkStart w:id="473" w:name="_Toc80612112"/>
      <w:r>
        <w:rPr>
          <w:rStyle w:val="CharSClsNo"/>
        </w:rPr>
        <w:t>309</w:t>
      </w:r>
      <w:r>
        <w:t>.</w:t>
      </w:r>
      <w:r>
        <w:tab/>
        <w:t>Approval of declared out of scope services</w:t>
      </w:r>
      <w:bookmarkEnd w:id="473"/>
    </w:p>
    <w:p>
      <w:pPr>
        <w:pStyle w:val="y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 —</w:t>
      </w:r>
    </w:p>
    <w:p>
      <w:pPr>
        <w:pStyle w:val="yIndenta"/>
      </w:pPr>
      <w:r>
        <w:tab/>
        <w:t>(a)</w:t>
      </w:r>
      <w:r>
        <w:tab/>
        <w:t>to 30 June 2012†, unless paragraph (b) applies; or</w:t>
      </w:r>
    </w:p>
    <w:p>
      <w:pPr>
        <w:pStyle w:val="yIndenta"/>
      </w:pPr>
      <w:r>
        <w:tab/>
        <w:t>(b)</w:t>
      </w:r>
      <w:r>
        <w:tab/>
        <w:t>if the person applies under this Law to the Regulatory Authority for a provider approval and for a service approval and the applications are received by the Regulatory Authority on or before 30 June 2012†, to the date on which those applications are finally determined under this Law.</w:t>
      </w:r>
    </w:p>
    <w:p>
      <w:pPr>
        <w:pStyle w:val="yFootnotesection"/>
      </w:pPr>
      <w:r>
        <w:tab/>
        <w:t>[*Modified by regulations </w:t>
      </w:r>
      <w:r>
        <w:rPr>
          <w:vertAlign w:val="superscript"/>
        </w:rPr>
        <w:t>1</w:t>
      </w:r>
      <w:r>
        <w:rPr>
          <w:i w:val="0"/>
          <w:vertAlign w:val="superscript"/>
        </w:rPr>
        <w:t xml:space="preserve"> </w:t>
      </w:r>
      <w:r>
        <w:t>to apply for WA as if amended to read 1 August 2012.]</w:t>
      </w:r>
    </w:p>
    <w:p>
      <w:pPr>
        <w:pStyle w:val="yFootnotesection"/>
      </w:pPr>
      <w:r>
        <w:tab/>
        <w:t>[†Modified by regulations </w:t>
      </w:r>
      <w:r>
        <w:rPr>
          <w:vertAlign w:val="superscript"/>
        </w:rPr>
        <w:t>1</w:t>
      </w:r>
      <w:r>
        <w:t xml:space="preserve"> to apply for WA as if amended to read 31 January 2013.]</w:t>
      </w:r>
    </w:p>
    <w:p>
      <w:pPr>
        <w:pStyle w:val="yHeading5"/>
      </w:pPr>
      <w:bookmarkStart w:id="474" w:name="_Toc80612113"/>
      <w:r>
        <w:rPr>
          <w:rStyle w:val="CharSClsNo"/>
        </w:rPr>
        <w:lastRenderedPageBreak/>
        <w:t>310</w:t>
      </w:r>
      <w:r>
        <w:t>.</w:t>
      </w:r>
      <w:r>
        <w:tab/>
        <w:t>Application for service waiver or temporary waiver</w:t>
      </w:r>
      <w:bookmarkEnd w:id="474"/>
      <w:r>
        <w:t xml:space="preserve"> </w:t>
      </w:r>
    </w:p>
    <w:p>
      <w:pPr>
        <w:pStyle w:val="ySubsection"/>
      </w:pPr>
      <w:r>
        <w:tab/>
        <w:t>(1)</w:t>
      </w:r>
      <w:r>
        <w:tab/>
        <w:t>This section applies to an education and care service that was exempt under a former education and care services law from a requirement of that law.</w:t>
      </w:r>
    </w:p>
    <w:p>
      <w:pPr>
        <w:pStyle w:val="ySubsection"/>
      </w:pPr>
      <w:r>
        <w:tab/>
        <w:t>(2)</w:t>
      </w:r>
      <w:r>
        <w:tab/>
        <w:t>The education and care service is taken to comply with an equivalent requirement under this Law for the period from and including 1 January 2012* —</w:t>
      </w:r>
    </w:p>
    <w:p>
      <w:pPr>
        <w:pStyle w:val="yIndenta"/>
      </w:pPr>
      <w:r>
        <w:tab/>
        <w:t>(a)</w:t>
      </w:r>
      <w:r>
        <w:tab/>
        <w:t>to 31 March 2012†, unless paragraph (b) applies; or</w:t>
      </w:r>
    </w:p>
    <w:p>
      <w:pPr>
        <w:pStyle w:val="y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 to the date on which the application is finally determined under this Law.</w:t>
      </w:r>
    </w:p>
    <w:p>
      <w:pPr>
        <w:pStyle w:val="yFootnotesection"/>
      </w:pPr>
      <w:r>
        <w:tab/>
        <w:t>[*Modified by regulations </w:t>
      </w:r>
      <w:r>
        <w:rPr>
          <w:vertAlign w:val="superscript"/>
        </w:rPr>
        <w:t>1</w:t>
      </w:r>
      <w:r>
        <w:t xml:space="preserve"> to apply for WA as if amended to read 1 August 2012.]</w:t>
      </w:r>
    </w:p>
    <w:p>
      <w:pPr>
        <w:pStyle w:val="yFootnotesection"/>
      </w:pPr>
      <w:r>
        <w:tab/>
        <w:t>[†Modified by regulations </w:t>
      </w:r>
      <w:r>
        <w:rPr>
          <w:vertAlign w:val="superscript"/>
        </w:rPr>
        <w:t>1</w:t>
      </w:r>
      <w:r>
        <w:t xml:space="preserve"> to apply for WA as if amended to read 1 November 2012.]</w:t>
      </w:r>
    </w:p>
    <w:p>
      <w:pPr>
        <w:pStyle w:val="yHeading5"/>
      </w:pPr>
      <w:bookmarkStart w:id="475" w:name="_Toc80612114"/>
      <w:r>
        <w:rPr>
          <w:rStyle w:val="CharSClsNo"/>
        </w:rPr>
        <w:t>311</w:t>
      </w:r>
      <w:r>
        <w:t>.</w:t>
      </w:r>
      <w:r>
        <w:tab/>
        <w:t>Existing applicants</w:t>
      </w:r>
      <w:bookmarkEnd w:id="475"/>
    </w:p>
    <w:p>
      <w:pPr>
        <w:pStyle w:val="ySubsection"/>
      </w:pPr>
      <w:r>
        <w:tab/>
        <w:t>(1)</w:t>
      </w:r>
      <w:r>
        <w:tab/>
        <w:t>This section applies if a person has made an application for a former approval under a former education and care services law in respect of an education and care service before the scheme commencement day.</w:t>
      </w:r>
    </w:p>
    <w:p>
      <w:pPr>
        <w:pStyle w:val="ySubsection"/>
      </w:pPr>
      <w:r>
        <w:tab/>
        <w:t>(2)</w:t>
      </w:r>
      <w:r>
        <w:tab/>
        <w:t>The applicant is taken to be an applicant for a provider approval and a service approval under this Law.</w:t>
      </w:r>
    </w:p>
    <w:p>
      <w:pPr>
        <w:pStyle w:val="ySubsection"/>
      </w:pPr>
      <w:r>
        <w:tab/>
        <w:t>(3)</w:t>
      </w:r>
      <w:r>
        <w:tab/>
        <w:t>The Regulatory Authority may —</w:t>
      </w:r>
    </w:p>
    <w:p>
      <w:pPr>
        <w:pStyle w:val="yIndenta"/>
      </w:pPr>
      <w:r>
        <w:tab/>
        <w:t>(a)</w:t>
      </w:r>
      <w:r>
        <w:tab/>
        <w:t>ask the applicant for more information; and</w:t>
      </w:r>
    </w:p>
    <w:p>
      <w:pPr>
        <w:pStyle w:val="yIndenta"/>
      </w:pPr>
      <w:r>
        <w:tab/>
        <w:t>(b)</w:t>
      </w:r>
      <w:r>
        <w:tab/>
        <w:t>inspect —</w:t>
      </w:r>
    </w:p>
    <w:p>
      <w:pPr>
        <w:pStyle w:val="yIndenti0"/>
      </w:pPr>
      <w:r>
        <w:tab/>
        <w:t>(i)</w:t>
      </w:r>
      <w:r>
        <w:tab/>
        <w:t>the premises of the service and the offices of the applicant; and</w:t>
      </w:r>
    </w:p>
    <w:p>
      <w:pPr>
        <w:pStyle w:val="yIndenti0"/>
      </w:pPr>
      <w:r>
        <w:tab/>
        <w:t>(ii)</w:t>
      </w:r>
      <w:r>
        <w:tab/>
        <w:t>any documents relating to the applicant; and</w:t>
      </w:r>
    </w:p>
    <w:p>
      <w:pPr>
        <w:pStyle w:val="yIndenta"/>
        <w:keepNext/>
      </w:pPr>
      <w:r>
        <w:lastRenderedPageBreak/>
        <w:tab/>
        <w:t>(c)</w:t>
      </w:r>
      <w:r>
        <w:tab/>
        <w:t>exercise any power under section 14 or section 46 in relation to the application.</w:t>
      </w:r>
    </w:p>
    <w:p>
      <w:pPr>
        <w:pStyle w:val="ySubsection"/>
      </w:pPr>
      <w:r>
        <w:tab/>
        <w:t>(4)</w:t>
      </w:r>
      <w:r>
        <w:tab/>
        <w:t>This section does not apply if the applicant is a prescribed ineligible person.</w:t>
      </w:r>
    </w:p>
    <w:p>
      <w:pPr>
        <w:pStyle w:val="yHeading5"/>
      </w:pPr>
      <w:bookmarkStart w:id="476" w:name="_Toc80612115"/>
      <w:r>
        <w:rPr>
          <w:rStyle w:val="CharSClsNo"/>
        </w:rPr>
        <w:t>312</w:t>
      </w:r>
      <w:r>
        <w:t>.</w:t>
      </w:r>
      <w:r>
        <w:tab/>
        <w:t>Existing multiple approvals to merge</w:t>
      </w:r>
      <w:bookmarkEnd w:id="476"/>
    </w:p>
    <w:p>
      <w:pPr>
        <w:pStyle w:val="y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ySubsection"/>
      </w:pPr>
      <w:r>
        <w:tab/>
        <w:t>(2)</w:t>
      </w:r>
      <w:r>
        <w:tab/>
        <w:t>This section does not apply to a former approval for a family day care service.</w:t>
      </w:r>
    </w:p>
    <w:p>
      <w:pPr>
        <w:pStyle w:val="ySubsection"/>
      </w:pPr>
      <w:r>
        <w:tab/>
        <w:t>(3)</w:t>
      </w:r>
      <w:r>
        <w:tab/>
        <w:t>This section does not apply to a former approval to which section 311 applies.</w:t>
      </w:r>
    </w:p>
    <w:p>
      <w:pPr>
        <w:pStyle w:val="yHeading5"/>
      </w:pPr>
      <w:bookmarkStart w:id="477" w:name="_Toc80612116"/>
      <w:r>
        <w:rPr>
          <w:rStyle w:val="CharSClsNo"/>
        </w:rPr>
        <w:t>313</w:t>
      </w:r>
      <w:r>
        <w:t>.</w:t>
      </w:r>
      <w:r>
        <w:tab/>
        <w:t>Display of accreditation and rating</w:t>
      </w:r>
      <w:bookmarkEnd w:id="477"/>
    </w:p>
    <w:p>
      <w:pPr>
        <w:pStyle w:val="ySubsection"/>
      </w:pPr>
      <w:r>
        <w:tab/>
        <w:t>(1)</w:t>
      </w:r>
      <w:r>
        <w:tab/>
        <w:t>This section applies to a declared approved service that is taken under this Part to be an approved education and care service.</w:t>
      </w:r>
    </w:p>
    <w:p>
      <w:pPr>
        <w:pStyle w:val="y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y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yHeading5"/>
      </w:pPr>
      <w:bookmarkStart w:id="478" w:name="_Toc80612117"/>
      <w:r>
        <w:rPr>
          <w:rStyle w:val="CharSClsNo"/>
        </w:rPr>
        <w:t>314</w:t>
      </w:r>
      <w:r>
        <w:t>.</w:t>
      </w:r>
      <w:r>
        <w:tab/>
        <w:t>Effect of non</w:t>
      </w:r>
      <w:r>
        <w:noBreakHyphen/>
        <w:t>compliance in 3 years before scheme commencement day</w:t>
      </w:r>
      <w:bookmarkEnd w:id="478"/>
    </w:p>
    <w:p>
      <w:pPr>
        <w:pStyle w:val="ySubsection"/>
      </w:pPr>
      <w:r>
        <w:tab/>
        <w:t>(1)</w:t>
      </w:r>
      <w:r>
        <w:tab/>
        <w:t>In determining whether to suspend or cancel under Part 2 a provider approval referred to in section 306, the Regulatory Authority —</w:t>
      </w:r>
    </w:p>
    <w:p>
      <w:pPr>
        <w:pStyle w:val="yIndenta"/>
      </w:pPr>
      <w:r>
        <w:tab/>
        <w:t>(a)</w:t>
      </w:r>
      <w:r>
        <w:tab/>
        <w:t>may take into account any non</w:t>
      </w:r>
      <w:r>
        <w:noBreakHyphen/>
        <w:t xml:space="preserve">compliance by the approved provider with a former education and care services law that </w:t>
      </w:r>
      <w:r>
        <w:lastRenderedPageBreak/>
        <w:t>occurred in the period of 3 years immediately preceding the scheme commencement day; but</w:t>
      </w:r>
    </w:p>
    <w:p>
      <w:pPr>
        <w:pStyle w:val="yIndenta"/>
      </w:pPr>
      <w:r>
        <w:tab/>
        <w:t>(b)</w:t>
      </w:r>
      <w:r>
        <w:tab/>
        <w:t>must not suspend or cancel the provider approval solely on the basis of that non</w:t>
      </w:r>
      <w:r>
        <w:noBreakHyphen/>
        <w:t>compliance.</w:t>
      </w:r>
    </w:p>
    <w:p>
      <w:pPr>
        <w:pStyle w:val="ySubsection"/>
      </w:pPr>
      <w:r>
        <w:tab/>
        <w:t>(2)</w:t>
      </w:r>
      <w:r>
        <w:tab/>
        <w:t>In determining whether to suspend or cancel under Part 3 a service approval referred to in section 307(1),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service approval solely on the basis of that non</w:t>
      </w:r>
      <w:r>
        <w:noBreakHyphen/>
        <w:t>compliance.</w:t>
      </w:r>
    </w:p>
    <w:p>
      <w:pPr>
        <w:pStyle w:val="yHeading5"/>
      </w:pPr>
      <w:bookmarkStart w:id="479" w:name="_Toc80612118"/>
      <w:r>
        <w:rPr>
          <w:rStyle w:val="CharSClsNo"/>
        </w:rPr>
        <w:t>315</w:t>
      </w:r>
      <w:r>
        <w:t>.</w:t>
      </w:r>
      <w:r>
        <w:tab/>
        <w:t>Certified supervisors</w:t>
      </w:r>
      <w:bookmarkEnd w:id="479"/>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Section 315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pPr>
      <w:r>
        <w:tab/>
        <w:t>[Section 315 inserted: No. 18 of 2018 s. 88]</w:t>
      </w:r>
    </w:p>
    <w:p>
      <w:pPr>
        <w:pStyle w:val="yHeading5"/>
      </w:pPr>
      <w:bookmarkStart w:id="480" w:name="_Toc80612119"/>
      <w:r>
        <w:rPr>
          <w:rStyle w:val="CharSClsNo"/>
        </w:rPr>
        <w:t>316</w:t>
      </w:r>
      <w:r>
        <w:t>.</w:t>
      </w:r>
      <w:r>
        <w:tab/>
        <w:t>Nominated supervisors</w:t>
      </w:r>
      <w:bookmarkEnd w:id="480"/>
    </w:p>
    <w:p>
      <w:pPr>
        <w:pStyle w:val="ySubsection"/>
      </w:pPr>
      <w:r>
        <w:tab/>
        <w:t>(1)</w:t>
      </w:r>
      <w:r>
        <w:tab/>
        <w:t xml:space="preserve">A person who immediately before the scheme commencement day was a declared nominated supervisor — </w:t>
      </w:r>
    </w:p>
    <w:p>
      <w:pPr>
        <w:pStyle w:val="yIndenta"/>
      </w:pPr>
      <w:r>
        <w:tab/>
        <w:t>(a)</w:t>
      </w:r>
      <w:r>
        <w:tab/>
        <w:t>for a declared approved service that is taken under section 307 to be an approved education and care service; or</w:t>
      </w:r>
    </w:p>
    <w:p>
      <w:pPr>
        <w:pStyle w:val="yIndenta"/>
      </w:pPr>
      <w:r>
        <w:tab/>
        <w:t>(b)</w:t>
      </w:r>
      <w:r>
        <w:tab/>
        <w:t>for a declared out of scope service, the operator of which is taken under section 309 to hold a service approval for the service,</w:t>
      </w:r>
    </w:p>
    <w:p>
      <w:pPr>
        <w:pStyle w:val="ySubsection"/>
      </w:pPr>
      <w:r>
        <w:tab/>
      </w:r>
      <w:r>
        <w:tab/>
        <w:t>is taken to be the nominated supervisor for that approved education and care service.</w:t>
      </w:r>
    </w:p>
    <w:p>
      <w:pPr>
        <w:pStyle w:val="ySubsection"/>
      </w:pPr>
      <w:r>
        <w:tab/>
        <w:t>(2)</w:t>
      </w:r>
      <w:r>
        <w:tab/>
        <w:t>Subsection (1) ceases to apply if —</w:t>
      </w:r>
    </w:p>
    <w:p>
      <w:pPr>
        <w:pStyle w:val="yIndenta"/>
      </w:pPr>
      <w:r>
        <w:tab/>
        <w:t>(a)</w:t>
      </w:r>
      <w:r>
        <w:tab/>
        <w:t>the approved provider does not confirm the nomination within a time specified by the Regulatory Authority after being requested in writing to do so by the Regulatory Authority; or</w:t>
      </w:r>
    </w:p>
    <w:p>
      <w:pPr>
        <w:pStyle w:val="yIndenta"/>
      </w:pPr>
      <w:r>
        <w:lastRenderedPageBreak/>
        <w:tab/>
        <w:t>(b)</w:t>
      </w:r>
      <w:r>
        <w:tab/>
        <w:t>the person advises the Regulatory Authority in writing that the person does not consent to being the nominated supervisor of the education and care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81" w:name="_Toc80612120"/>
      <w:r>
        <w:rPr>
          <w:rStyle w:val="CharSClsNo"/>
        </w:rPr>
        <w:t>317</w:t>
      </w:r>
      <w:r>
        <w:t>.</w:t>
      </w:r>
      <w:r>
        <w:tab/>
        <w:t>Notices and undertakings</w:t>
      </w:r>
      <w:bookmarkEnd w:id="481"/>
    </w:p>
    <w:p>
      <w:pPr>
        <w:pStyle w:val="y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y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yHeading5"/>
      </w:pPr>
      <w:bookmarkStart w:id="482" w:name="_Toc80612121"/>
      <w:r>
        <w:rPr>
          <w:rStyle w:val="CharSClsNo"/>
        </w:rPr>
        <w:t>318</w:t>
      </w:r>
      <w:r>
        <w:t>.</w:t>
      </w:r>
      <w:r>
        <w:tab/>
        <w:t>Offences</w:t>
      </w:r>
      <w:bookmarkEnd w:id="482"/>
    </w:p>
    <w:p>
      <w:pPr>
        <w:pStyle w:val="ySubsection"/>
      </w:pPr>
      <w:r>
        <w:tab/>
      </w:r>
      <w:r>
        <w:tab/>
        <w:t>The Regulatory Authority may bring or continue a prosecution for any offence under a former education and care services law in relation to a service that is taken to be an education and care service.</w:t>
      </w:r>
    </w:p>
    <w:p>
      <w:pPr>
        <w:pStyle w:val="yHeading4"/>
      </w:pPr>
      <w:bookmarkStart w:id="483" w:name="_Toc80609307"/>
      <w:bookmarkStart w:id="484" w:name="_Toc80612122"/>
      <w:r>
        <w:t>Division 3</w:t>
      </w:r>
      <w:r>
        <w:rPr>
          <w:b w:val="0"/>
        </w:rPr>
        <w:t xml:space="preserve"> — </w:t>
      </w:r>
      <w:r>
        <w:t>National Authority</w:t>
      </w:r>
      <w:bookmarkEnd w:id="483"/>
      <w:bookmarkEnd w:id="484"/>
    </w:p>
    <w:p>
      <w:pPr>
        <w:pStyle w:val="yHeading5"/>
      </w:pPr>
      <w:bookmarkStart w:id="485" w:name="_Toc80612123"/>
      <w:r>
        <w:rPr>
          <w:rStyle w:val="CharSClsNo"/>
        </w:rPr>
        <w:t>319</w:t>
      </w:r>
      <w:r>
        <w:t>.</w:t>
      </w:r>
      <w:r>
        <w:tab/>
        <w:t>First meeting of National Authority</w:t>
      </w:r>
      <w:bookmarkEnd w:id="485"/>
    </w:p>
    <w:p>
      <w:pPr>
        <w:pStyle w:val="ySubsection"/>
      </w:pPr>
      <w:r>
        <w:tab/>
      </w:r>
      <w:r>
        <w:tab/>
        <w:t>Despite section 239, the Ministerial Council is to convene the first meeting of the Board of the National Authority.</w:t>
      </w:r>
    </w:p>
    <w:p>
      <w:pPr>
        <w:pStyle w:val="yHeading5"/>
      </w:pPr>
      <w:bookmarkStart w:id="486" w:name="_Toc80612124"/>
      <w:r>
        <w:rPr>
          <w:rStyle w:val="CharSClsNo"/>
        </w:rPr>
        <w:t>320</w:t>
      </w:r>
      <w:r>
        <w:t>.</w:t>
      </w:r>
      <w:r>
        <w:tab/>
        <w:t>First chief executive officer of National Authority</w:t>
      </w:r>
      <w:bookmarkEnd w:id="486"/>
    </w:p>
    <w:p>
      <w:pPr>
        <w:pStyle w:val="y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ySubsection"/>
      </w:pPr>
      <w:r>
        <w:tab/>
        <w:t>(2)</w:t>
      </w:r>
      <w:r>
        <w:tab/>
        <w:t>The appointment is to be on the remuneration and other terms and conditions set out in the appointment.</w:t>
      </w:r>
    </w:p>
    <w:p>
      <w:pPr>
        <w:pStyle w:val="ySubsection"/>
      </w:pPr>
      <w:r>
        <w:tab/>
        <w:t>(3)</w:t>
      </w:r>
      <w:r>
        <w:tab/>
        <w:t>Any amount payable to the first chief executive officer under the appointment is payable from the Authority Fund.</w:t>
      </w:r>
    </w:p>
    <w:p>
      <w:pPr>
        <w:pStyle w:val="yHeading5"/>
      </w:pPr>
      <w:bookmarkStart w:id="487" w:name="_Toc80612125"/>
      <w:r>
        <w:rPr>
          <w:rStyle w:val="CharSClsNo"/>
        </w:rPr>
        <w:lastRenderedPageBreak/>
        <w:t>321</w:t>
      </w:r>
      <w:r>
        <w:t>.</w:t>
      </w:r>
      <w:r>
        <w:tab/>
        <w:t>First annual report of National Authority</w:t>
      </w:r>
      <w:bookmarkEnd w:id="487"/>
    </w:p>
    <w:p>
      <w:pPr>
        <w:pStyle w:val="ySubsection"/>
      </w:pPr>
      <w:r>
        <w:tab/>
      </w:r>
      <w:r>
        <w:tab/>
        <w:t>Despite section 279, the first annual report of the National Authority —</w:t>
      </w:r>
    </w:p>
    <w:p>
      <w:pPr>
        <w:pStyle w:val="yIndenta"/>
      </w:pPr>
      <w:r>
        <w:tab/>
        <w:t>(a)</w:t>
      </w:r>
      <w:r>
        <w:tab/>
        <w:t>is to be made within 4 months after the end of the financial year ending 30 June 2012; and</w:t>
      </w:r>
    </w:p>
    <w:p>
      <w:pPr>
        <w:pStyle w:val="yIndenta"/>
      </w:pPr>
      <w:r>
        <w:tab/>
        <w:t>(b)</w:t>
      </w:r>
      <w:r>
        <w:tab/>
        <w:t>is to cover the period from the first meeting of the National Authority until 30 June 2012.</w:t>
      </w:r>
    </w:p>
    <w:p>
      <w:pPr>
        <w:pStyle w:val="yHeading4"/>
      </w:pPr>
      <w:bookmarkStart w:id="488" w:name="_Toc80609311"/>
      <w:bookmarkStart w:id="489" w:name="_Toc80612126"/>
      <w:r>
        <w:t>Division 4</w:t>
      </w:r>
      <w:r>
        <w:rPr>
          <w:b w:val="0"/>
        </w:rPr>
        <w:t xml:space="preserve"> — </w:t>
      </w:r>
      <w:r>
        <w:t>General</w:t>
      </w:r>
      <w:bookmarkEnd w:id="488"/>
      <w:bookmarkEnd w:id="489"/>
    </w:p>
    <w:p>
      <w:pPr>
        <w:pStyle w:val="yHeading5"/>
      </w:pPr>
      <w:bookmarkStart w:id="490" w:name="_Toc80612127"/>
      <w:r>
        <w:rPr>
          <w:rStyle w:val="CharSClsNo"/>
        </w:rPr>
        <w:t>322</w:t>
      </w:r>
      <w:r>
        <w:t>.</w:t>
      </w:r>
      <w:r>
        <w:tab/>
        <w:t>Information retention and sharing</w:t>
      </w:r>
      <w:bookmarkEnd w:id="490"/>
    </w:p>
    <w:p>
      <w:pPr>
        <w:pStyle w:val="y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yIndenta"/>
      </w:pPr>
      <w:r>
        <w:tab/>
        <w:t>(a)</w:t>
      </w:r>
      <w:r>
        <w:tab/>
        <w:t>the licensing or approval of education and care services under the former education and care services law; and</w:t>
      </w:r>
    </w:p>
    <w:p>
      <w:pPr>
        <w:pStyle w:val="yIndenta"/>
      </w:pPr>
      <w:r>
        <w:tab/>
        <w:t>(b)</w:t>
      </w:r>
      <w:r>
        <w:tab/>
        <w:t>the monitoring and enforcement of the former education and care services law in relation to education and care services.</w:t>
      </w:r>
    </w:p>
    <w:p>
      <w:pPr>
        <w:pStyle w:val="ySubsection"/>
        <w:keepNext/>
      </w:pPr>
      <w:r>
        <w:tab/>
        <w:t>(2)</w:t>
      </w:r>
      <w:r>
        <w:tab/>
        <w:t>Information referred to in subsection (1) may be —</w:t>
      </w:r>
    </w:p>
    <w:p>
      <w:pPr>
        <w:pStyle w:val="yIndenta"/>
      </w:pPr>
      <w:r>
        <w:tab/>
        <w:t>(a)</w:t>
      </w:r>
      <w:r>
        <w:tab/>
        <w:t>used for information purposes under this Law; and</w:t>
      </w:r>
    </w:p>
    <w:p>
      <w:pPr>
        <w:pStyle w:val="yIndenta"/>
      </w:pPr>
      <w:r>
        <w:tab/>
        <w:t>(b)</w:t>
      </w:r>
      <w:r>
        <w:tab/>
        <w:t>held by the Regulatory Authority in any form; and</w:t>
      </w:r>
    </w:p>
    <w:p>
      <w:pPr>
        <w:pStyle w:val="yIndenta"/>
      </w:pPr>
      <w:r>
        <w:tab/>
        <w:t>(c)</w:t>
      </w:r>
      <w:r>
        <w:tab/>
        <w:t>made available to the Regulatory Authorities of other participating jurisdictions and the National Authority.</w:t>
      </w:r>
    </w:p>
    <w:p>
      <w:pPr>
        <w:pStyle w:val="ySubsection"/>
      </w:pPr>
      <w:r>
        <w:tab/>
        <w:t>(3)</w:t>
      </w:r>
      <w:r>
        <w:tab/>
        <w:t>A provider of an education and care service existing immediately before the scheme commencement day must, in accordance with the national regulations —</w:t>
      </w:r>
    </w:p>
    <w:p>
      <w:pPr>
        <w:pStyle w:val="yIndenta"/>
      </w:pPr>
      <w:r>
        <w:tab/>
        <w:t>(a)</w:t>
      </w:r>
      <w:r>
        <w:tab/>
        <w:t>continue to keep all documents required under the former education and care services law to be kept in respect of the service; and</w:t>
      </w:r>
    </w:p>
    <w:p>
      <w:pPr>
        <w:pStyle w:val="yIndenta"/>
      </w:pPr>
      <w:r>
        <w:tab/>
        <w:t>(b)</w:t>
      </w:r>
      <w:r>
        <w:tab/>
        <w:t>make those documents available to the Regulatory Authority on request.</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Heading5"/>
      </w:pPr>
      <w:bookmarkStart w:id="491" w:name="_Toc80612128"/>
      <w:r>
        <w:rPr>
          <w:rStyle w:val="CharSClsNo"/>
        </w:rPr>
        <w:lastRenderedPageBreak/>
        <w:t>323</w:t>
      </w:r>
      <w:r>
        <w:t>.</w:t>
      </w:r>
      <w:r>
        <w:tab/>
        <w:t>Approved learning framework</w:t>
      </w:r>
      <w:bookmarkEnd w:id="491"/>
    </w:p>
    <w:p>
      <w:pPr>
        <w:pStyle w:val="ySubsection"/>
      </w:pPr>
      <w:r>
        <w:tab/>
      </w:r>
      <w:r>
        <w:tab/>
        <w:t>A declared approved learning framework is taken to be an approved learning framework under this Law.</w:t>
      </w:r>
    </w:p>
    <w:p>
      <w:pPr>
        <w:pStyle w:val="yHeading5"/>
      </w:pPr>
      <w:bookmarkStart w:id="492" w:name="_Toc80612129"/>
      <w:r>
        <w:rPr>
          <w:rStyle w:val="CharSClsNo"/>
        </w:rPr>
        <w:t>324</w:t>
      </w:r>
      <w:r>
        <w:t>.</w:t>
      </w:r>
      <w:r>
        <w:tab/>
        <w:t>Savings and transitional regulations</w:t>
      </w:r>
      <w:bookmarkEnd w:id="492"/>
    </w:p>
    <w:p>
      <w:pPr>
        <w:pStyle w:val="ySubsection"/>
      </w:pPr>
      <w:r>
        <w:tab/>
        <w:t>(1)</w:t>
      </w:r>
      <w:r>
        <w:tab/>
        <w:t>The national regulations may contain provisions (savings and transitional provisions) of a savings or transitional nature —</w:t>
      </w:r>
    </w:p>
    <w:p>
      <w:pPr>
        <w:pStyle w:val="yIndenta"/>
      </w:pPr>
      <w:r>
        <w:tab/>
        <w:t>(a)</w:t>
      </w:r>
      <w:r>
        <w:tab/>
        <w:t>consequential on the enactment of this Law in a participating jurisdiction; or</w:t>
      </w:r>
    </w:p>
    <w:p>
      <w:pPr>
        <w:pStyle w:val="yIndenta"/>
      </w:pPr>
      <w:r>
        <w:tab/>
        <w:t>(b)</w:t>
      </w:r>
      <w:r>
        <w:tab/>
        <w:t>to otherwise allow or facilitate the change from the operation of a former education and care services law of a participating jurisdiction to the operation of this Law.</w:t>
      </w:r>
    </w:p>
    <w:p>
      <w:pPr>
        <w:pStyle w:val="ySubsection"/>
      </w:pPr>
      <w:r>
        <w:tab/>
        <w:t>(2)</w:t>
      </w:r>
      <w:r>
        <w:tab/>
        <w:t>Savings and transitional regulations may have retrospective operation to a day not earlier than the day on which section 1 of this Law commences.</w:t>
      </w:r>
    </w:p>
    <w:p>
      <w:pPr>
        <w:pStyle w:val="yHeading4"/>
        <w:rPr>
          <w:i/>
        </w:rPr>
      </w:pPr>
      <w:bookmarkStart w:id="493" w:name="_Toc80609315"/>
      <w:bookmarkStart w:id="494" w:name="_Toc80612130"/>
      <w:r>
        <w:t xml:space="preserve">Division 5 — Transitional provisions — </w:t>
      </w:r>
      <w:r>
        <w:rPr>
          <w:i/>
        </w:rPr>
        <w:t>Education and Care Services National Law (WA) Amendment Act 2018</w:t>
      </w:r>
      <w:bookmarkEnd w:id="493"/>
      <w:bookmarkEnd w:id="494"/>
    </w:p>
    <w:p>
      <w:pPr>
        <w:pStyle w:val="yFootnoteheading"/>
      </w:pPr>
      <w:r>
        <w:tab/>
        <w:t>[Heading inserted: No. 18 of 2018 s. 89.]</w:t>
      </w:r>
    </w:p>
    <w:p>
      <w:pPr>
        <w:pStyle w:val="yHeading5"/>
      </w:pPr>
      <w:bookmarkStart w:id="495" w:name="_Toc80612131"/>
      <w:r>
        <w:rPr>
          <w:rStyle w:val="CharSClsNo"/>
        </w:rPr>
        <w:t>325</w:t>
      </w:r>
      <w:r>
        <w:t>.</w:t>
      </w:r>
      <w:r>
        <w:tab/>
        <w:t>Definitions</w:t>
      </w:r>
      <w:bookmarkEnd w:id="495"/>
    </w:p>
    <w:p>
      <w:pPr>
        <w:pStyle w:val="ySubsection"/>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Defstart"/>
      </w:pPr>
      <w:r>
        <w:tab/>
      </w:r>
      <w:r>
        <w:rPr>
          <w:rStyle w:val="CharDefText"/>
        </w:rPr>
        <w:t>repealed</w:t>
      </w:r>
      <w:r>
        <w:t xml:space="preserve">, in relation to a section, means the section as in force before the section was repealed by the 2018 Act. </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325 inserted: No. 18 of 2018 s. 89.]</w:t>
      </w:r>
    </w:p>
    <w:p>
      <w:pPr>
        <w:pStyle w:val="yHeading5"/>
      </w:pPr>
      <w:bookmarkStart w:id="496" w:name="_Toc80612132"/>
      <w:r>
        <w:rPr>
          <w:rStyle w:val="CharSClsNo"/>
        </w:rPr>
        <w:lastRenderedPageBreak/>
        <w:t>326</w:t>
      </w:r>
      <w:r>
        <w:t>.</w:t>
      </w:r>
      <w:r>
        <w:tab/>
        <w:t>Approved family day care venues</w:t>
      </w:r>
      <w:bookmarkEnd w:id="496"/>
    </w:p>
    <w:p>
      <w:pPr>
        <w:pStyle w:val="ySubsection"/>
      </w:pPr>
      <w:r>
        <w:tab/>
        <w:t>(1)</w:t>
      </w:r>
      <w:r>
        <w:tab/>
        <w:t xml:space="preserve">In this section — </w:t>
      </w:r>
    </w:p>
    <w:p>
      <w:pPr>
        <w:pStyle w:val="yDefstart"/>
      </w:pPr>
      <w:r>
        <w:tab/>
      </w:r>
      <w:r>
        <w:rPr>
          <w:rStyle w:val="CharDefText"/>
        </w:rPr>
        <w:t>appointed day</w:t>
      </w:r>
      <w:r>
        <w:t xml:space="preserve"> means the day that is 6 months after the commencement day;</w:t>
      </w:r>
    </w:p>
    <w:p>
      <w:pPr>
        <w:pStyle w:val="yDefstart"/>
      </w:pPr>
      <w:r>
        <w:tab/>
      </w:r>
      <w:r>
        <w:rPr>
          <w:rStyle w:val="CharDefText"/>
        </w:rPr>
        <w:t>formerly approved family day care venue</w:t>
      </w:r>
      <w:r>
        <w:t xml:space="preserve"> means a family day care venue that, immediately before the commencement day, was an approved family day care venue.</w:t>
      </w:r>
    </w:p>
    <w:p>
      <w:pPr>
        <w:pStyle w:val="ySubsection"/>
      </w:pPr>
      <w:r>
        <w:tab/>
        <w:t>(2)</w:t>
      </w:r>
      <w:r>
        <w:tab/>
        <w:t>Subject to subsection (3), a formerly approved family day care venue ceases to be an approved family day care venue on the appointed day unless, before the appointed day the Regulatory Authority, on application by the approved provider under section 54 (as amended by the 2018 Act), approves the venue as a family day care venue.</w:t>
      </w:r>
    </w:p>
    <w:p>
      <w:pPr>
        <w:pStyle w:val="ySubsection"/>
      </w:pPr>
      <w:r>
        <w:tab/>
        <w:t>(3)</w:t>
      </w:r>
      <w:r>
        <w:tab/>
        <w:t>If, before the appointed day, the Regulatory Authority had not determined an application by an approved provider under section 54 (as amended by the 2018 Act) for approval of the venue, the formerly approved family day care venue continues to be an approved family day care venue until the application is determined.</w:t>
      </w:r>
    </w:p>
    <w:p>
      <w:pPr>
        <w:pStyle w:val="ySubsection"/>
      </w:pPr>
      <w:r>
        <w:tab/>
        <w:t>(4)</w:t>
      </w:r>
      <w:r>
        <w:tab/>
        <w:t>Despite section 54(5), the Regulatory Authority must make a decision on an application made under section 54 for approval of a formerly approved family day care venue within 6 months of receiving the application.</w:t>
      </w:r>
    </w:p>
    <w:p>
      <w:pPr>
        <w:pStyle w:val="yFootnotesection"/>
      </w:pPr>
      <w:r>
        <w:tab/>
        <w:t>[Section 326 inserted: No. 18 of 2018 s. 89.]</w:t>
      </w:r>
    </w:p>
    <w:p>
      <w:pPr>
        <w:pStyle w:val="yHeading5"/>
        <w:spacing w:before="180"/>
      </w:pPr>
      <w:bookmarkStart w:id="497" w:name="_Toc80612133"/>
      <w:r>
        <w:rPr>
          <w:rStyle w:val="CharSClsNo"/>
        </w:rPr>
        <w:t>327</w:t>
      </w:r>
      <w:r>
        <w:t>.</w:t>
      </w:r>
      <w:r>
        <w:tab/>
        <w:t>Declared approved family day care venues continue to be approved</w:t>
      </w:r>
      <w:bookmarkEnd w:id="497"/>
    </w:p>
    <w:p>
      <w:pPr>
        <w:pStyle w:val="ySubsection"/>
      </w:pPr>
      <w:r>
        <w:tab/>
      </w:r>
      <w:r>
        <w:tab/>
        <w:t>Despite section 326, a declared approved family day care venue that was taken under section 308 to be an approved family day care venue continues, on and after the commencement day, to be an approved family day care venue for the purposes of this Law.</w:t>
      </w:r>
    </w:p>
    <w:p>
      <w:pPr>
        <w:pStyle w:val="yFootnotesection"/>
      </w:pPr>
      <w:r>
        <w:tab/>
        <w:t>[Section 327 inserted: No. 18 of 2018 s. 89.]</w:t>
      </w:r>
    </w:p>
    <w:p>
      <w:pPr>
        <w:pStyle w:val="yHeading5"/>
        <w:keepNext w:val="0"/>
        <w:keepLines w:val="0"/>
        <w:spacing w:before="180"/>
      </w:pPr>
      <w:bookmarkStart w:id="498" w:name="_Toc80612134"/>
      <w:r>
        <w:rPr>
          <w:rStyle w:val="CharSClsNo"/>
        </w:rPr>
        <w:t>328</w:t>
      </w:r>
      <w:r>
        <w:t>.</w:t>
      </w:r>
      <w:r>
        <w:tab/>
        <w:t>Service approval condition requiring sufficient family day care co</w:t>
      </w:r>
      <w:r>
        <w:noBreakHyphen/>
        <w:t>ordinators</w:t>
      </w:r>
      <w:bookmarkEnd w:id="498"/>
    </w:p>
    <w:p>
      <w:pPr>
        <w:pStyle w:val="ySubsection"/>
        <w:spacing w:before="120"/>
      </w:pPr>
      <w:r>
        <w:tab/>
        <w:t>(1)</w:t>
      </w:r>
      <w:r>
        <w:tab/>
        <w:t xml:space="preserve">In this section — </w:t>
      </w:r>
    </w:p>
    <w:p>
      <w:pPr>
        <w:pStyle w:val="yDefstart"/>
      </w:pPr>
      <w:r>
        <w:tab/>
      </w:r>
      <w:r>
        <w:rPr>
          <w:rStyle w:val="CharDefText"/>
        </w:rPr>
        <w:t>appointed day</w:t>
      </w:r>
      <w:r>
        <w:t xml:space="preserve"> means the day that is 12 months after the commencement day.</w:t>
      </w:r>
    </w:p>
    <w:p>
      <w:pPr>
        <w:pStyle w:val="ySubsection"/>
      </w:pPr>
      <w:r>
        <w:lastRenderedPageBreak/>
        <w:tab/>
        <w:t>(2)</w:t>
      </w:r>
      <w:r>
        <w:tab/>
        <w:t>This section applies to a family day care service if, immediately before the commencement day —</w:t>
      </w:r>
    </w:p>
    <w:p>
      <w:pPr>
        <w:pStyle w:val="yIndenta"/>
      </w:pPr>
      <w:r>
        <w:tab/>
        <w:t>(a)</w:t>
      </w:r>
      <w:r>
        <w:tab/>
        <w:t>the service was an approved family day care service; and</w:t>
      </w:r>
    </w:p>
    <w:p>
      <w:pPr>
        <w:pStyle w:val="yIndenta"/>
      </w:pPr>
      <w:r>
        <w:tab/>
        <w:t>(b)</w:t>
      </w:r>
      <w:r>
        <w:tab/>
        <w:t>the service approval included a condition referred to in section 51(2).</w:t>
      </w:r>
    </w:p>
    <w:p>
      <w:pPr>
        <w:pStyle w:val="ySubsection"/>
      </w:pPr>
      <w:r>
        <w:tab/>
        <w:t>(3)</w:t>
      </w:r>
      <w:r>
        <w:tab/>
        <w:t>Despite the commencement of the 2018 Act, sections 51(2) and 163, as in force immediately before the commencement day, continue to apply to the approved family day care service until the appointed day, unless the Regulatory Authority earlier amends the service approval to impose a condition under section 55A.</w:t>
      </w:r>
    </w:p>
    <w:p>
      <w:pPr>
        <w:pStyle w:val="yFootnotesection"/>
      </w:pPr>
      <w:r>
        <w:tab/>
        <w:t>[Section 328 inserted: No. 18 of 2018 s. 89.]</w:t>
      </w:r>
    </w:p>
    <w:p>
      <w:pPr>
        <w:pStyle w:val="yHeading5"/>
      </w:pPr>
      <w:bookmarkStart w:id="499" w:name="_Toc80612135"/>
      <w:r>
        <w:rPr>
          <w:rStyle w:val="CharSClsNo"/>
        </w:rPr>
        <w:t>329</w:t>
      </w:r>
      <w:r>
        <w:t>.</w:t>
      </w:r>
      <w:r>
        <w:tab/>
        <w:t>Service approval condition requiring minimum number of family day care co</w:t>
      </w:r>
      <w:r>
        <w:noBreakHyphen/>
        <w:t>ordinators</w:t>
      </w:r>
      <w:bookmarkEnd w:id="499"/>
    </w:p>
    <w:p>
      <w:pPr>
        <w:pStyle w:val="ySubsection"/>
      </w:pPr>
      <w:r>
        <w:tab/>
        <w:t>(1)</w:t>
      </w:r>
      <w:r>
        <w:tab/>
        <w:t xml:space="preserve">This section applies to a family day care service if, immediately before the commencement day — </w:t>
      </w:r>
    </w:p>
    <w:p>
      <w:pPr>
        <w:pStyle w:val="yIndenta"/>
      </w:pPr>
      <w:r>
        <w:tab/>
        <w:t>(a)</w:t>
      </w:r>
      <w:r>
        <w:tab/>
        <w:t>the service was an approved family day care service; and</w:t>
      </w:r>
    </w:p>
    <w:p>
      <w:pPr>
        <w:pStyle w:val="yIndenta"/>
      </w:pPr>
      <w:r>
        <w:tab/>
        <w:t>(b)</w:t>
      </w:r>
      <w:r>
        <w:tab/>
        <w:t>the service approval included a condition requiring the service provide a specified minimum number of family day care co</w:t>
      </w:r>
      <w:r>
        <w:noBreakHyphen/>
        <w:t>ordinators.</w:t>
      </w:r>
    </w:p>
    <w:p>
      <w:pPr>
        <w:pStyle w:val="ySubsection"/>
      </w:pPr>
      <w:r>
        <w:tab/>
        <w:t>(2)</w:t>
      </w:r>
      <w:r>
        <w:tab/>
        <w:t>Despite the commencement of the 2018 Act, section 163, as in force immediately before the commencement day, and the condition requiring the service provide a specified minimum number of family day care co</w:t>
      </w:r>
      <w:r>
        <w:noBreakHyphen/>
        <w:t>ordinators continue to apply to the approved family day care service until the condition is amended under section 54 or 55.</w:t>
      </w:r>
    </w:p>
    <w:p>
      <w:pPr>
        <w:pStyle w:val="yFootnotesection"/>
      </w:pPr>
      <w:r>
        <w:tab/>
        <w:t>[Section 329 inserted: No. 18 of 2018 s. 89.]</w:t>
      </w:r>
    </w:p>
    <w:p>
      <w:pPr>
        <w:pStyle w:val="yHeading5"/>
      </w:pPr>
      <w:bookmarkStart w:id="500" w:name="_Toc80612136"/>
      <w:r>
        <w:rPr>
          <w:rStyle w:val="CharSClsNo"/>
        </w:rPr>
        <w:t>330</w:t>
      </w:r>
      <w:r>
        <w:t>.</w:t>
      </w:r>
      <w:r>
        <w:tab/>
        <w:t>Publication of information about certified supervisors</w:t>
      </w:r>
      <w:bookmarkEnd w:id="500"/>
    </w:p>
    <w:p>
      <w:pPr>
        <w:pStyle w:val="ySubsection"/>
        <w:keepNext/>
      </w:pPr>
      <w:r>
        <w:tab/>
        <w:t>(1)</w:t>
      </w:r>
      <w:r>
        <w:tab/>
        <w:t xml:space="preserve">The National Authority may publish information about any enforcement action taken under this Law before the commencement day in relation to any person who was a certified supervisor before that day, including — </w:t>
      </w:r>
    </w:p>
    <w:p>
      <w:pPr>
        <w:pStyle w:val="yIndenta"/>
      </w:pPr>
      <w:r>
        <w:tab/>
        <w:t>(a)</w:t>
      </w:r>
      <w:r>
        <w:tab/>
        <w:t>the prosecution of any offence; and</w:t>
      </w:r>
    </w:p>
    <w:p>
      <w:pPr>
        <w:pStyle w:val="yIndenta"/>
      </w:pPr>
      <w:r>
        <w:tab/>
        <w:t>(b)</w:t>
      </w:r>
      <w:r>
        <w:tab/>
        <w:t>the acceptance of an undertaking; and</w:t>
      </w:r>
    </w:p>
    <w:p>
      <w:pPr>
        <w:pStyle w:val="yIndenta"/>
        <w:keepNext/>
      </w:pPr>
      <w:r>
        <w:lastRenderedPageBreak/>
        <w:tab/>
        <w:t>(c)</w:t>
      </w:r>
      <w:r>
        <w:tab/>
        <w:t xml:space="preserve">the suspension or cancellation of a supervisor certificate. </w:t>
      </w:r>
    </w:p>
    <w:p>
      <w:pPr>
        <w:pStyle w:val="ySubsection"/>
      </w:pPr>
      <w:r>
        <w:tab/>
        <w:t>(2)</w:t>
      </w:r>
      <w:r>
        <w:tab/>
        <w:t>This section expires on 31 December 2022.</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330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 inserted: No. 18 of 2018 s. 89.]</w:t>
      </w:r>
    </w:p>
    <w:p>
      <w:pPr>
        <w:pStyle w:val="yHeading5"/>
      </w:pPr>
      <w:bookmarkStart w:id="501" w:name="_Toc80612137"/>
      <w:r>
        <w:rPr>
          <w:rStyle w:val="CharSClsNo"/>
        </w:rPr>
        <w:t>330A</w:t>
      </w:r>
      <w:r>
        <w:t>.</w:t>
      </w:r>
      <w:r>
        <w:tab/>
        <w:t>Repeal of show cause notice if written notice not given before commencement day</w:t>
      </w:r>
      <w:bookmarkEnd w:id="501"/>
    </w:p>
    <w:p>
      <w:pPr>
        <w:pStyle w:val="ySubsection"/>
      </w:pPr>
      <w:r>
        <w:tab/>
        <w:t>(1)</w:t>
      </w:r>
      <w:r>
        <w:tab/>
        <w:t xml:space="preserve">This section applies if — </w:t>
      </w:r>
    </w:p>
    <w:p>
      <w:pPr>
        <w:pStyle w:val="yIndenta"/>
      </w:pPr>
      <w:r>
        <w:tab/>
        <w:t>(a)</w:t>
      </w:r>
      <w:r>
        <w:tab/>
        <w:t>the Regulatory Authority has given a show cause notice under repealed section 124 to a certified supervisor; but</w:t>
      </w:r>
    </w:p>
    <w:p>
      <w:pPr>
        <w:pStyle w:val="yIndenta"/>
      </w:pPr>
      <w:r>
        <w:tab/>
        <w:t>(b)</w:t>
      </w:r>
      <w:r>
        <w:tab/>
        <w:t>the Regulatory Authority has not given the certified supervisor a written notice under repealed section 127 before the commencement day.</w:t>
      </w:r>
    </w:p>
    <w:p>
      <w:pPr>
        <w:pStyle w:val="ySubsection"/>
        <w:keepNext/>
      </w:pPr>
      <w:r>
        <w:tab/>
        <w:t>(2)</w:t>
      </w:r>
      <w:r>
        <w:tab/>
        <w:t>The show cause notice is taken to have been repealed by the Regulatory Authority on the commencement day.</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330A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330A inserted: No. 18 of 2018 s. 89.]</w:t>
      </w:r>
    </w:p>
    <w:p>
      <w:pPr>
        <w:pStyle w:val="yHeading5"/>
      </w:pPr>
      <w:bookmarkStart w:id="502" w:name="_Toc80612138"/>
      <w:r>
        <w:rPr>
          <w:rStyle w:val="CharSClsNo"/>
        </w:rPr>
        <w:t>330B</w:t>
      </w:r>
      <w:r>
        <w:t>.</w:t>
      </w:r>
      <w:r>
        <w:tab/>
        <w:t>Effect of decisions made before commencement day under repealed section 125</w:t>
      </w:r>
      <w:bookmarkEnd w:id="502"/>
      <w:r>
        <w:t xml:space="preserve"> </w:t>
      </w:r>
    </w:p>
    <w:p>
      <w:pPr>
        <w:pStyle w:val="ySubsection"/>
      </w:pPr>
      <w:r>
        <w:tab/>
        <w:t>(1)</w:t>
      </w:r>
      <w:r>
        <w:tab/>
        <w:t xml:space="preserve">If, before the commencement day, the Regulatory Authority gave a certified supervisor a written notice under repealed section 127 of a decision under repealed section 125 to cancel the supervisor certificate but, immediately before the commencement day, the decision had not taken effect, then — </w:t>
      </w:r>
    </w:p>
    <w:p>
      <w:pPr>
        <w:pStyle w:val="yIndenta"/>
      </w:pPr>
      <w:r>
        <w:tab/>
        <w:t>(a)</w:t>
      </w:r>
      <w:r>
        <w:tab/>
        <w:t xml:space="preserve">the notice becomes, on the commencement day —  </w:t>
      </w:r>
    </w:p>
    <w:p>
      <w:pPr>
        <w:pStyle w:val="yIndenti0"/>
      </w:pPr>
      <w:r>
        <w:tab/>
        <w:t>(i)</w:t>
      </w:r>
      <w:r>
        <w:tab/>
        <w:t>if the certificate was cancelled on the ground set out in repealed section 123(a) — a prohibition notice under section 182(3)(a); or</w:t>
      </w:r>
    </w:p>
    <w:p>
      <w:pPr>
        <w:pStyle w:val="yIndenti0"/>
        <w:keepNext/>
      </w:pPr>
      <w:r>
        <w:lastRenderedPageBreak/>
        <w:tab/>
        <w:t>(ii)</w:t>
      </w:r>
      <w:r>
        <w:tab/>
        <w:t>if the certificate was cancelled on the ground set out in repealed section 123(b) or (c) — a prohibition notice under section 182(1);</w:t>
      </w:r>
    </w:p>
    <w:p>
      <w:pPr>
        <w:pStyle w:val="yIndenta"/>
      </w:pPr>
      <w:r>
        <w:tab/>
      </w:r>
      <w:r>
        <w:tab/>
        <w:t>and</w:t>
      </w:r>
    </w:p>
    <w:p>
      <w:pPr>
        <w:pStyle w:val="yIndenta"/>
      </w:pPr>
      <w:r>
        <w:tab/>
        <w:t>(b)</w:t>
      </w:r>
      <w:r>
        <w:tab/>
        <w:t>the prohibition notice commences to have effect on the commencement day.</w:t>
      </w:r>
    </w:p>
    <w:p>
      <w:pPr>
        <w:pStyle w:val="ySubsection"/>
      </w:pPr>
      <w:r>
        <w:tab/>
        <w:t>(2)</w:t>
      </w:r>
      <w:r>
        <w:tab/>
        <w:t xml:space="preserve">Subsection (3) applies if, before the commencement day — </w:t>
      </w:r>
    </w:p>
    <w:p>
      <w:pPr>
        <w:pStyle w:val="yIndenta"/>
      </w:pPr>
      <w:r>
        <w:tab/>
        <w:t>(a)</w:t>
      </w:r>
      <w:r>
        <w:tab/>
        <w:t>the Regulatory Authority decides to cancel a person’s supervisor certificate under repealed section 125; and</w:t>
      </w:r>
    </w:p>
    <w:p>
      <w:pPr>
        <w:pStyle w:val="yIndenta"/>
      </w:pPr>
      <w:r>
        <w:tab/>
        <w:t>(b)</w:t>
      </w:r>
      <w:r>
        <w:tab/>
        <w:t>the Regulatory Authority gave the person a written notice under repealed section 127 of the decision under repealed section 125 to cancel the supervisor certificate; and</w:t>
      </w:r>
    </w:p>
    <w:p>
      <w:pPr>
        <w:pStyle w:val="yIndenta"/>
      </w:pPr>
      <w:r>
        <w:tab/>
        <w:t>(c)</w:t>
      </w:r>
      <w:r>
        <w:tab/>
        <w:t>the cancellation was in effect under repealed section 127 immediately before the commencement day.</w:t>
      </w:r>
    </w:p>
    <w:p>
      <w:pPr>
        <w:pStyle w:val="ySubsection"/>
        <w:keepNext/>
      </w:pPr>
      <w:r>
        <w:tab/>
        <w:t>(3)</w:t>
      </w:r>
      <w:r>
        <w:tab/>
        <w:t xml:space="preserve">The written notice becomes, on the commencement day — </w:t>
      </w:r>
    </w:p>
    <w:p>
      <w:pPr>
        <w:pStyle w:val="yIndenta"/>
      </w:pPr>
      <w:r>
        <w:tab/>
        <w:t>(a)</w:t>
      </w:r>
      <w:r>
        <w:tab/>
        <w:t>if the supervisor certificate was cancelled under repealed section 123(a) — a prohibition notice under section 182(3)(a); or</w:t>
      </w:r>
    </w:p>
    <w:p>
      <w:pPr>
        <w:pStyle w:val="yIndenta"/>
      </w:pPr>
      <w:r>
        <w:tab/>
        <w:t>(b)</w:t>
      </w:r>
      <w:r>
        <w:tab/>
        <w:t>if the supervisor certificate was cancelled under repealed section 123(b) or (c) — a prohibition notice under section 182(1).</w:t>
      </w:r>
    </w:p>
    <w:p>
      <w:pPr>
        <w:pStyle w:val="ySubsection"/>
      </w:pPr>
      <w:r>
        <w:tab/>
        <w:t>(4)</w:t>
      </w:r>
      <w:r>
        <w:tab/>
        <w:t xml:space="preserve">The Regulatory Authority must — </w:t>
      </w:r>
    </w:p>
    <w:p>
      <w:pPr>
        <w:pStyle w:val="yIndenta"/>
      </w:pPr>
      <w:r>
        <w:tab/>
        <w:t>(a)</w:t>
      </w:r>
      <w:r>
        <w:tab/>
        <w:t>take reasonable steps to locate a person given a notice to which subsection (2)(a) or (b) applies; and</w:t>
      </w:r>
    </w:p>
    <w:p>
      <w:pPr>
        <w:pStyle w:val="yIndenta"/>
      </w:pPr>
      <w:r>
        <w:tab/>
        <w:t>(b)</w:t>
      </w:r>
      <w:r>
        <w:tab/>
        <w:t xml:space="preserve">if the Regulatory Authority is able to locate the person — give the person the information, in writing, that would be required to be given — </w:t>
      </w:r>
    </w:p>
    <w:p>
      <w:pPr>
        <w:pStyle w:val="yIndenti0"/>
      </w:pPr>
      <w:r>
        <w:tab/>
        <w:t>(i)</w:t>
      </w:r>
      <w:r>
        <w:tab/>
        <w:t>if subsection (1)(a)(i) or (3)(a) applies — under section 185(2) and (3), if the notice were a prohibition notice given under section 182(3)(a); and</w:t>
      </w:r>
    </w:p>
    <w:p>
      <w:pPr>
        <w:pStyle w:val="yIndenti0"/>
        <w:keepNext/>
      </w:pPr>
      <w:r>
        <w:lastRenderedPageBreak/>
        <w:tab/>
        <w:t>(ii)</w:t>
      </w:r>
      <w:r>
        <w:tab/>
        <w:t>if subsection (1)(a)(ii) or (3)(b) applies — under section 185(1) and (3), if the notice were a prohibition notice given under section 182(1).</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330B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330B inserted: No. 18 of 2018 s. 89.]</w:t>
      </w:r>
    </w:p>
    <w:p>
      <w:pPr>
        <w:pStyle w:val="yHeading5"/>
      </w:pPr>
      <w:bookmarkStart w:id="503" w:name="_Toc80612139"/>
      <w:r>
        <w:rPr>
          <w:rStyle w:val="CharSClsNo"/>
        </w:rPr>
        <w:t>330C</w:t>
      </w:r>
      <w:r>
        <w:t>.</w:t>
      </w:r>
      <w:r>
        <w:tab/>
        <w:t>Continuation of reviews of decisions relating to supervisor certificates in particular circumstances</w:t>
      </w:r>
      <w:bookmarkEnd w:id="503"/>
    </w:p>
    <w:p>
      <w:pPr>
        <w:pStyle w:val="ySubsection"/>
      </w:pPr>
      <w:r>
        <w:tab/>
        <w:t>(1)</w:t>
      </w:r>
      <w:r>
        <w:tab/>
        <w:t xml:space="preserve">In this section — </w:t>
      </w:r>
    </w:p>
    <w:p>
      <w:pPr>
        <w:pStyle w:val="yDefstart"/>
      </w:pPr>
      <w:r>
        <w:tab/>
      </w:r>
      <w:r>
        <w:rPr>
          <w:rStyle w:val="CharDefText"/>
        </w:rPr>
        <w:t>application period</w:t>
      </w:r>
      <w:r>
        <w:t xml:space="preserve"> means the period within which an application may be made under section 193(2).</w:t>
      </w:r>
    </w:p>
    <w:p>
      <w:pPr>
        <w:pStyle w:val="ySubsection"/>
      </w:pPr>
      <w:r>
        <w:tab/>
        <w:t>(2)</w:t>
      </w:r>
      <w:r>
        <w:tab/>
        <w:t xml:space="preserve">If a relevant tribunal or court was hearing a review of a decision to cancel a supervisor certificate under repealed section 125 and the review had not been finally dealt with before the commencement day, the tribunal or court may continue to hear the review as if the review were a review of a decision to give a prohibition notice. </w:t>
      </w:r>
    </w:p>
    <w:p>
      <w:pPr>
        <w:pStyle w:val="ySubsection"/>
        <w:keepNext/>
      </w:pPr>
      <w:r>
        <w:tab/>
        <w:t>(3)</w:t>
      </w:r>
      <w:r>
        <w:tab/>
        <w:t xml:space="preserve">Subsection (4) applies if — </w:t>
      </w:r>
    </w:p>
    <w:p>
      <w:pPr>
        <w:pStyle w:val="yIndenta"/>
      </w:pPr>
      <w:r>
        <w:tab/>
        <w:t>(a)</w:t>
      </w:r>
      <w:r>
        <w:tab/>
        <w:t xml:space="preserve">the Regulatory Authority decided before the commencement day to cancel a person’s supervisor certificate; and </w:t>
      </w:r>
    </w:p>
    <w:p>
      <w:pPr>
        <w:pStyle w:val="yIndenta"/>
      </w:pPr>
      <w:r>
        <w:tab/>
        <w:t>(b)</w:t>
      </w:r>
      <w:r>
        <w:tab/>
        <w:t>the person had not, before the commencement day, applied to the relevant tribunal or court for a review of the decision under section 193(1); and</w:t>
      </w:r>
    </w:p>
    <w:p>
      <w:pPr>
        <w:pStyle w:val="yIndenta"/>
      </w:pPr>
      <w:r>
        <w:tab/>
        <w:t>(c)</w:t>
      </w:r>
      <w:r>
        <w:tab/>
        <w:t xml:space="preserve">immediately before the commencement day the application period has not ended. </w:t>
      </w:r>
    </w:p>
    <w:p>
      <w:pPr>
        <w:pStyle w:val="ySubsection"/>
      </w:pPr>
      <w:r>
        <w:tab/>
        <w:t>(4)</w:t>
      </w:r>
      <w:r>
        <w:tab/>
        <w:t>The person may, before the application period ends, apply for a review of the Regulatory Authority’s decision as if the decision were a decision to give the person a prohibition notice.</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330C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330C inserted: No. 18 of 2018 s. 89.]</w:t>
      </w:r>
    </w:p>
    <w:p>
      <w:pPr>
        <w:pStyle w:val="yHeading5"/>
      </w:pPr>
      <w:bookmarkStart w:id="504" w:name="_Toc80612140"/>
      <w:r>
        <w:rPr>
          <w:rStyle w:val="CharSClsNo"/>
        </w:rPr>
        <w:lastRenderedPageBreak/>
        <w:t>331</w:t>
      </w:r>
      <w:r>
        <w:t>.</w:t>
      </w:r>
      <w:r>
        <w:tab/>
        <w:t>Evidentiary certificates</w:t>
      </w:r>
      <w:bookmarkEnd w:id="504"/>
    </w:p>
    <w:p>
      <w:pPr>
        <w:pStyle w:val="ySubsection"/>
      </w:pPr>
      <w:r>
        <w:tab/>
        <w:t>(1)</w:t>
      </w:r>
      <w:r>
        <w:tab/>
        <w:t>Despite the amendment of section 292 by the 2018 Act, a Regulatory Authority or the National Authority may continue to certify matters relating to any person who was a certified supervisor before the commencement day as if that section had not been amended.</w:t>
      </w:r>
    </w:p>
    <w:p>
      <w:pPr>
        <w:pStyle w:val="ySubsection"/>
      </w:pPr>
      <w:r>
        <w:tab/>
        <w:t>(2)</w:t>
      </w:r>
      <w:r>
        <w:tab/>
        <w:t>This section expires on 31 December 2022.</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331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rPr>
          <w:rFonts w:ascii="Arial" w:hAnsi="Arial"/>
          <w:sz w:val="18"/>
        </w:rPr>
      </w:pPr>
      <w:r>
        <w:tab/>
        <w:t>[Section 331 inserted: No. 18 of 2018 s. 89.]</w:t>
      </w:r>
    </w:p>
    <w:p>
      <w:pPr>
        <w:pStyle w:val="yHeading4"/>
        <w:rPr>
          <w:i/>
        </w:rPr>
      </w:pPr>
      <w:bookmarkStart w:id="505" w:name="_Toc80609326"/>
      <w:bookmarkStart w:id="506" w:name="_Toc80612141"/>
      <w:r>
        <w:t>Division 6</w:t>
      </w:r>
      <w:r>
        <w:rPr>
          <w:b w:val="0"/>
        </w:rPr>
        <w:t xml:space="preserve"> — </w:t>
      </w:r>
      <w:r>
        <w:t xml:space="preserve">Further transitional provisions — </w:t>
      </w:r>
      <w:r>
        <w:rPr>
          <w:i/>
        </w:rPr>
        <w:t>Education and Care Services National Law (WA) Amendment Act 2018</w:t>
      </w:r>
      <w:bookmarkEnd w:id="505"/>
      <w:bookmarkEnd w:id="506"/>
    </w:p>
    <w:p>
      <w:pPr>
        <w:pStyle w:val="yFootnoteheading"/>
        <w:keepNext/>
      </w:pPr>
      <w:r>
        <w:tab/>
        <w:t>[Heading inserted: No. 18 of 2018 s. 89.]</w:t>
      </w:r>
    </w:p>
    <w:p>
      <w:pPr>
        <w:pStyle w:val="yHeading5"/>
      </w:pPr>
      <w:bookmarkStart w:id="507" w:name="_Toc80612142"/>
      <w:r>
        <w:rPr>
          <w:rStyle w:val="CharSClsNo"/>
        </w:rPr>
        <w:t>332</w:t>
      </w:r>
      <w:r>
        <w:t>.</w:t>
      </w:r>
      <w:r>
        <w:tab/>
        <w:t>Definitions</w:t>
      </w:r>
      <w:bookmarkEnd w:id="507"/>
    </w:p>
    <w:p>
      <w:pPr>
        <w:pStyle w:val="ySubsection"/>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 xml:space="preserve">; </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rPr>
          <w:rFonts w:ascii="Arial" w:hAnsi="Arial"/>
          <w:sz w:val="18"/>
        </w:rPr>
      </w:pPr>
      <w:r>
        <w:tab/>
        <w:t>[Section 332 inserted: No. 18 of 2018 s. 89.]</w:t>
      </w:r>
    </w:p>
    <w:p>
      <w:pPr>
        <w:pStyle w:val="yHeading5"/>
      </w:pPr>
      <w:bookmarkStart w:id="508" w:name="_Toc80612143"/>
      <w:r>
        <w:rPr>
          <w:rStyle w:val="CharSClsNo"/>
        </w:rPr>
        <w:t>333</w:t>
      </w:r>
      <w:r>
        <w:t>.</w:t>
      </w:r>
      <w:r>
        <w:tab/>
        <w:t>Partial assessment and re</w:t>
      </w:r>
      <w:r>
        <w:noBreakHyphen/>
        <w:t>rating</w:t>
      </w:r>
      <w:bookmarkEnd w:id="508"/>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333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rPr>
          <w:rFonts w:ascii="Arial" w:hAnsi="Arial"/>
          <w:sz w:val="18"/>
        </w:rPr>
      </w:pPr>
      <w:r>
        <w:tab/>
        <w:t>[Section 333 inserted: No. 18 of 2018 s. 89.]</w:t>
      </w:r>
    </w:p>
    <w:p>
      <w:pPr>
        <w:pStyle w:val="yHeading5"/>
      </w:pPr>
      <w:bookmarkStart w:id="509" w:name="_Toc80612144"/>
      <w:r>
        <w:rPr>
          <w:rStyle w:val="CharSClsNo"/>
        </w:rPr>
        <w:lastRenderedPageBreak/>
        <w:t>334</w:t>
      </w:r>
      <w:r>
        <w:t>.</w:t>
      </w:r>
      <w:r>
        <w:tab/>
        <w:t>Application for highest rating level made before commencement day</w:t>
      </w:r>
      <w:bookmarkEnd w:id="509"/>
    </w:p>
    <w:p>
      <w:pPr>
        <w:pStyle w:val="ySubsection"/>
      </w:pPr>
      <w:r>
        <w:tab/>
        <w:t>(1)</w:t>
      </w:r>
      <w:r>
        <w:tab/>
        <w:t xml:space="preserve">This section applies if before the commencement day — </w:t>
      </w:r>
    </w:p>
    <w:p>
      <w:pPr>
        <w:pStyle w:val="yIndenta"/>
      </w:pPr>
      <w:r>
        <w:tab/>
        <w:t>(a)</w:t>
      </w:r>
      <w:r>
        <w:tab/>
        <w:t>an approved provider had applied for an education and care service to be assessed for the highest rating level under section 152; and</w:t>
      </w:r>
    </w:p>
    <w:p>
      <w:pPr>
        <w:pStyle w:val="yIndenta"/>
      </w:pPr>
      <w:r>
        <w:tab/>
        <w:t>(b)</w:t>
      </w:r>
      <w:r>
        <w:tab/>
        <w:t>the application had not been determined.</w:t>
      </w:r>
    </w:p>
    <w:p>
      <w:pPr>
        <w:pStyle w:val="ySubsection"/>
      </w:pPr>
      <w:r>
        <w:tab/>
        <w:t>(2)</w:t>
      </w:r>
      <w:r>
        <w:tab/>
        <w:t>Despite its substitution by the 2018 Act, section 152(5), as in force immediately before the commencement day, continues to apply in respect of the application.</w:t>
      </w:r>
    </w:p>
    <w:p>
      <w:pPr>
        <w:pStyle w:val="ySubsection"/>
        <w:keepNext/>
      </w:pPr>
      <w:r>
        <w:tab/>
        <w:t>(3)</w:t>
      </w:r>
      <w:r>
        <w:tab/>
        <w:t xml:space="preserve">Section 153(2) applies for the purposes of the assessment of the approved education and care service, as if a reference — </w:t>
      </w:r>
    </w:p>
    <w:p>
      <w:pPr>
        <w:pStyle w:val="yIndenta"/>
      </w:pPr>
      <w:r>
        <w:tab/>
        <w:t>(a)</w:t>
      </w:r>
      <w:r>
        <w:tab/>
        <w:t>to the criteria published under subsection (1) were a reference to the criteria published under subsection (1) immediately before the commencement day; and</w:t>
      </w:r>
    </w:p>
    <w:p>
      <w:pPr>
        <w:pStyle w:val="yIndenta"/>
      </w:pPr>
      <w:r>
        <w:tab/>
        <w:t>(b)</w:t>
      </w:r>
      <w:r>
        <w:tab/>
        <w:t>to the National Quality Standard and the national regulations were a reference to the National Quality Standard and the national regulations as in force immediately before the commencement day.</w:t>
      </w:r>
    </w:p>
    <w:p>
      <w:pPr>
        <w:pStyle w:val="yFootnotesection"/>
        <w:rPr>
          <w:rFonts w:ascii="Arial" w:hAnsi="Arial"/>
          <w:sz w:val="18"/>
        </w:rPr>
      </w:pPr>
      <w:r>
        <w:tab/>
        <w:t>[Section 334 inserted: No. 18 of 2018 s. 89.]</w:t>
      </w:r>
    </w:p>
    <w:p>
      <w:pPr>
        <w:pStyle w:val="yHeading5"/>
      </w:pPr>
      <w:bookmarkStart w:id="510" w:name="_Toc80612145"/>
      <w:r>
        <w:rPr>
          <w:rStyle w:val="CharSClsNo"/>
        </w:rPr>
        <w:t>335</w:t>
      </w:r>
      <w:r>
        <w:t>.</w:t>
      </w:r>
      <w:r>
        <w:tab/>
        <w:t>Highest rating level awarded before, or on application made before, commencement day</w:t>
      </w:r>
      <w:bookmarkEnd w:id="510"/>
    </w:p>
    <w:p>
      <w:pPr>
        <w:pStyle w:val="ySubsection"/>
      </w:pPr>
      <w:r>
        <w:tab/>
        <w:t>(1)</w:t>
      </w:r>
      <w:r>
        <w:tab/>
        <w:t xml:space="preserve">This section applies in relation to an approved education and care service that was awarded the highest rating level — </w:t>
      </w:r>
    </w:p>
    <w:p>
      <w:pPr>
        <w:pStyle w:val="yIndenta"/>
      </w:pPr>
      <w:r>
        <w:tab/>
        <w:t>(a)</w:t>
      </w:r>
      <w:r>
        <w:tab/>
        <w:t>before the commencement day; or</w:t>
      </w:r>
    </w:p>
    <w:p>
      <w:pPr>
        <w:pStyle w:val="yIndenta"/>
      </w:pPr>
      <w:r>
        <w:tab/>
        <w:t>(b)</w:t>
      </w:r>
      <w:r>
        <w:tab/>
        <w:t>after the commencement day on an application referred to in section 334.</w:t>
      </w:r>
    </w:p>
    <w:p>
      <w:pPr>
        <w:pStyle w:val="ySubsection"/>
      </w:pPr>
      <w:r>
        <w:tab/>
        <w:t>(2)</w:t>
      </w:r>
      <w:r>
        <w:tab/>
        <w:t>Section 153(2) applies for the purposes of a reassessment under section 157 of the approved education and care service, as if a reference —</w:t>
      </w:r>
    </w:p>
    <w:p>
      <w:pPr>
        <w:pStyle w:val="yIndenta"/>
      </w:pPr>
      <w:r>
        <w:tab/>
        <w:t>(a)</w:t>
      </w:r>
      <w:r>
        <w:tab/>
        <w:t>to the criteria published under subsection (1) were a reference to the criteria published under subsection (1) immediately before the commencement day; and</w:t>
      </w:r>
    </w:p>
    <w:p>
      <w:pPr>
        <w:pStyle w:val="yIndenta"/>
      </w:pPr>
      <w:r>
        <w:lastRenderedPageBreak/>
        <w:tab/>
        <w:t>(b)</w:t>
      </w:r>
      <w:r>
        <w:tab/>
        <w:t>to the National Quality Standard and the requirements of the national regulations were a reference to the National Quality Standard and the national regulations as in force immediately before the commencement day.</w:t>
      </w:r>
    </w:p>
    <w:p>
      <w:pPr>
        <w:pStyle w:val="ySubsection"/>
      </w:pPr>
      <w:r>
        <w:tab/>
        <w:t>(3)</w:t>
      </w:r>
      <w:r>
        <w:tab/>
        <w:t xml:space="preserve">Despite its amendment by the 2018 Act, section 158 as in force immediately before the commencement day continues to apply to the revocation of the highest rating level and for the purposes of that section — </w:t>
      </w:r>
    </w:p>
    <w:p>
      <w:pPr>
        <w:pStyle w:val="yIndenta"/>
      </w:pPr>
      <w:r>
        <w:tab/>
        <w:t>(a)</w:t>
      </w:r>
      <w:r>
        <w:tab/>
        <w:t>the criteria to be met are the criteria published under section 153(1) immediately before the commencement day; and</w:t>
      </w:r>
    </w:p>
    <w:p>
      <w:pPr>
        <w:pStyle w:val="yIndenta"/>
      </w:pPr>
      <w:r>
        <w:tab/>
        <w:t>(b)</w:t>
      </w:r>
      <w:r>
        <w:tab/>
        <w:t>the overall rating level is to be determined in accordance with the National Quality Standard as in force immediately before the commencement day.</w:t>
      </w:r>
    </w:p>
    <w:p>
      <w:pPr>
        <w:pStyle w:val="yFootnotesection"/>
        <w:rPr>
          <w:rFonts w:ascii="Arial" w:hAnsi="Arial"/>
          <w:sz w:val="18"/>
        </w:rPr>
      </w:pPr>
      <w:r>
        <w:tab/>
        <w:t>[Section 335 inserted: No. 18 of 2018 s. 89.]</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Heading3"/>
        <w:spacing w:before="0"/>
      </w:pPr>
      <w:bookmarkStart w:id="512" w:name="_Toc80609331"/>
      <w:bookmarkStart w:id="513" w:name="_Toc80612146"/>
      <w:r>
        <w:rPr>
          <w:rStyle w:val="CharSDivNo"/>
        </w:rPr>
        <w:lastRenderedPageBreak/>
        <w:t>Schedule 1</w:t>
      </w:r>
      <w:r>
        <w:t xml:space="preserve"> — </w:t>
      </w:r>
      <w:r>
        <w:rPr>
          <w:rStyle w:val="CharSDivText"/>
        </w:rPr>
        <w:t>Miscellaneous provision relating to interpretation</w:t>
      </w:r>
      <w:bookmarkEnd w:id="512"/>
      <w:bookmarkEnd w:id="513"/>
    </w:p>
    <w:p>
      <w:pPr>
        <w:pStyle w:val="yShoulderClause"/>
      </w:pPr>
      <w:r>
        <w:t>[s. 6]</w:t>
      </w:r>
    </w:p>
    <w:p>
      <w:pPr>
        <w:pStyle w:val="yHeading4"/>
      </w:pPr>
      <w:bookmarkStart w:id="514" w:name="_Toc80609332"/>
      <w:bookmarkStart w:id="515" w:name="_Toc80612147"/>
      <w:r>
        <w:t>Part 1</w:t>
      </w:r>
      <w:r>
        <w:rPr>
          <w:b w:val="0"/>
        </w:rPr>
        <w:t xml:space="preserve"> — </w:t>
      </w:r>
      <w:r>
        <w:t>Preliminary</w:t>
      </w:r>
      <w:bookmarkEnd w:id="514"/>
      <w:bookmarkEnd w:id="515"/>
    </w:p>
    <w:p>
      <w:pPr>
        <w:pStyle w:val="yHeading5"/>
      </w:pPr>
      <w:bookmarkStart w:id="516" w:name="_Toc80612148"/>
      <w:r>
        <w:rPr>
          <w:rStyle w:val="CharSClsNo"/>
        </w:rPr>
        <w:t>1</w:t>
      </w:r>
      <w:r>
        <w:t>.</w:t>
      </w:r>
      <w:r>
        <w:tab/>
        <w:t>Displacement of Schedule by contrary intention</w:t>
      </w:r>
      <w:bookmarkEnd w:id="516"/>
    </w:p>
    <w:p>
      <w:pPr>
        <w:pStyle w:val="ySubsection"/>
      </w:pPr>
      <w:r>
        <w:tab/>
      </w:r>
      <w:r>
        <w:tab/>
        <w:t>The application of this Schedule may be displaced, wholly or partly, by a contrary intention appearing in this Law.</w:t>
      </w:r>
    </w:p>
    <w:p>
      <w:pPr>
        <w:pStyle w:val="yHeading4"/>
      </w:pPr>
      <w:bookmarkStart w:id="517" w:name="_Toc80609334"/>
      <w:bookmarkStart w:id="518" w:name="_Toc80612149"/>
      <w:r>
        <w:t>Part 2</w:t>
      </w:r>
      <w:r>
        <w:rPr>
          <w:b w:val="0"/>
        </w:rPr>
        <w:t xml:space="preserve"> — </w:t>
      </w:r>
      <w:r>
        <w:t>General</w:t>
      </w:r>
      <w:bookmarkEnd w:id="517"/>
      <w:bookmarkEnd w:id="518"/>
    </w:p>
    <w:p>
      <w:pPr>
        <w:pStyle w:val="yHeading5"/>
      </w:pPr>
      <w:bookmarkStart w:id="519" w:name="_Toc80612150"/>
      <w:r>
        <w:rPr>
          <w:rStyle w:val="CharSClsNo"/>
        </w:rPr>
        <w:t>2</w:t>
      </w:r>
      <w:r>
        <w:t>.</w:t>
      </w:r>
      <w:r>
        <w:tab/>
        <w:t>Law to be construed not to exceed legislative power of Legislature</w:t>
      </w:r>
      <w:bookmarkEnd w:id="519"/>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520" w:name="_Toc80612151"/>
      <w:r>
        <w:rPr>
          <w:rStyle w:val="CharSClsNo"/>
        </w:rPr>
        <w:t>3</w:t>
      </w:r>
      <w:r>
        <w:t>.</w:t>
      </w:r>
      <w:r>
        <w:tab/>
        <w:t>Every section to be a substantive enactment</w:t>
      </w:r>
      <w:bookmarkEnd w:id="520"/>
    </w:p>
    <w:p>
      <w:pPr>
        <w:pStyle w:val="ySubsection"/>
      </w:pPr>
      <w:r>
        <w:tab/>
      </w:r>
      <w:r>
        <w:tab/>
        <w:t>Every section of this Law has effect as a substantive enactment without introductory words.</w:t>
      </w:r>
    </w:p>
    <w:p>
      <w:pPr>
        <w:pStyle w:val="yHeading5"/>
      </w:pPr>
      <w:bookmarkStart w:id="521" w:name="_Toc80612152"/>
      <w:r>
        <w:rPr>
          <w:rStyle w:val="CharSClsNo"/>
        </w:rPr>
        <w:t>4</w:t>
      </w:r>
      <w:r>
        <w:t>.</w:t>
      </w:r>
      <w:r>
        <w:tab/>
        <w:t>Material that is, and is not, part of this Law</w:t>
      </w:r>
      <w:bookmarkEnd w:id="521"/>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lastRenderedPageBreak/>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522" w:name="_Toc80612153"/>
      <w:r>
        <w:rPr>
          <w:rStyle w:val="CharSClsNo"/>
        </w:rPr>
        <w:t>5</w:t>
      </w:r>
      <w:r>
        <w:t>.</w:t>
      </w:r>
      <w:r>
        <w:tab/>
        <w:t>References to particular Acts and to enactments</w:t>
      </w:r>
      <w:bookmarkEnd w:id="522"/>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523" w:name="_Toc80612154"/>
      <w:r>
        <w:rPr>
          <w:rStyle w:val="CharSClsNo"/>
        </w:rPr>
        <w:t>6</w:t>
      </w:r>
      <w:r>
        <w:t>.</w:t>
      </w:r>
      <w:r>
        <w:tab/>
        <w:t>References taken to be included in Act or Law citation etc</w:t>
      </w:r>
      <w:bookmarkEnd w:id="523"/>
    </w:p>
    <w:p>
      <w:pPr>
        <w:pStyle w:val="ySubsection"/>
      </w:pPr>
      <w:r>
        <w:tab/>
        <w:t>(1)</w:t>
      </w:r>
      <w:r>
        <w:tab/>
        <w:t>A reference in this Law to an Act includes a reference to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 xml:space="preserve">enacted, and as amended from time to time since its </w:t>
      </w:r>
      <w:r>
        <w:br/>
        <w:t>re</w:t>
      </w:r>
      <w:r>
        <w:noBreakHyphen/>
        <w:t>enactment.</w:t>
      </w:r>
    </w:p>
    <w:p>
      <w:pPr>
        <w:pStyle w:val="ySubsection"/>
        <w:keepNext/>
      </w:pPr>
      <w:r>
        <w:lastRenderedPageBreak/>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524" w:name="_Toc80612155"/>
      <w:r>
        <w:rPr>
          <w:rStyle w:val="CharSClsNo"/>
        </w:rPr>
        <w:t>7</w:t>
      </w:r>
      <w:r>
        <w:t>.</w:t>
      </w:r>
      <w:r>
        <w:tab/>
        <w:t>Interpretation best achieving Law’s purpose</w:t>
      </w:r>
      <w:bookmarkEnd w:id="524"/>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525" w:name="_Toc80612156"/>
      <w:r>
        <w:rPr>
          <w:rStyle w:val="CharSClsNo"/>
        </w:rPr>
        <w:t>8</w:t>
      </w:r>
      <w:r>
        <w:t>.</w:t>
      </w:r>
      <w:r>
        <w:tab/>
        <w:t>Use of extrinsic material in interpretation</w:t>
      </w:r>
      <w:bookmarkEnd w:id="525"/>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 xml:space="preserve">an explanatory note or memorandum relating to the Bill that contained the provision, or any relevant document, that was </w:t>
      </w:r>
      <w:r>
        <w:lastRenderedPageBreak/>
        <w:t>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spacing w:before="0"/>
      </w:pPr>
      <w:bookmarkStart w:id="526" w:name="_Toc80612157"/>
      <w:r>
        <w:rPr>
          <w:rStyle w:val="CharSClsNo"/>
        </w:rPr>
        <w:lastRenderedPageBreak/>
        <w:t>9</w:t>
      </w:r>
      <w:r>
        <w:t>.</w:t>
      </w:r>
      <w:r>
        <w:tab/>
        <w:t>Effect of change of drafting practice and use of examples</w:t>
      </w:r>
      <w:bookmarkEnd w:id="526"/>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spacing w:before="120"/>
      </w:pPr>
      <w:bookmarkStart w:id="527" w:name="_Toc80612158"/>
      <w:r>
        <w:rPr>
          <w:rStyle w:val="CharSClsNo"/>
        </w:rPr>
        <w:t>10</w:t>
      </w:r>
      <w:r>
        <w:t>.</w:t>
      </w:r>
      <w:r>
        <w:tab/>
        <w:t>Use of examples</w:t>
      </w:r>
      <w:bookmarkEnd w:id="527"/>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528" w:name="_Toc80612159"/>
      <w:r>
        <w:rPr>
          <w:rStyle w:val="CharSClsNo"/>
        </w:rPr>
        <w:t>11</w:t>
      </w:r>
      <w:r>
        <w:rPr>
          <w:b w:val="0"/>
        </w:rPr>
        <w:t>.</w:t>
      </w:r>
      <w:r>
        <w:rPr>
          <w:b w:val="0"/>
        </w:rPr>
        <w:tab/>
      </w:r>
      <w:r>
        <w:t>Compliance with forms</w:t>
      </w:r>
      <w:bookmarkEnd w:id="528"/>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5"/>
      </w:pPr>
      <w:bookmarkStart w:id="529" w:name="_Toc80612160"/>
      <w:r>
        <w:rPr>
          <w:rStyle w:val="CharSClsNo"/>
        </w:rPr>
        <w:lastRenderedPageBreak/>
        <w:t>11A</w:t>
      </w:r>
      <w:r>
        <w:t>.</w:t>
      </w:r>
      <w:r>
        <w:tab/>
        <w:t>Penalty at end of provision</w:t>
      </w:r>
      <w:bookmarkEnd w:id="529"/>
    </w:p>
    <w:p>
      <w:pPr>
        <w:pStyle w:val="ySubsection"/>
      </w:pPr>
      <w:r>
        <w:tab/>
      </w:r>
      <w:r>
        <w:tab/>
        <w:t>In this Law, a penalty specified at the end of a provision indicates that a contravention of the provision is an offence the penalty on conviction for which is the penalty specified.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11A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530" w:name="_Toc80609346"/>
      <w:bookmarkStart w:id="531" w:name="_Toc80612161"/>
      <w:r>
        <w:t>Part 3</w:t>
      </w:r>
      <w:r>
        <w:rPr>
          <w:b w:val="0"/>
        </w:rPr>
        <w:t xml:space="preserve"> — </w:t>
      </w:r>
      <w:r>
        <w:t>Terms and references</w:t>
      </w:r>
      <w:bookmarkEnd w:id="530"/>
      <w:bookmarkEnd w:id="531"/>
    </w:p>
    <w:p>
      <w:pPr>
        <w:pStyle w:val="yHeading5"/>
      </w:pPr>
      <w:bookmarkStart w:id="532" w:name="_Toc80612162"/>
      <w:r>
        <w:rPr>
          <w:rStyle w:val="CharSClsNo"/>
        </w:rPr>
        <w:t>12</w:t>
      </w:r>
      <w:r>
        <w:t>.</w:t>
      </w:r>
      <w:r>
        <w:tab/>
        <w:t>Definitions</w:t>
      </w:r>
      <w:bookmarkEnd w:id="532"/>
    </w:p>
    <w:p>
      <w:pPr>
        <w:pStyle w:val="ySubsection"/>
      </w:pPr>
      <w:r>
        <w:tab/>
        <w:t>(1)</w:t>
      </w:r>
      <w:r>
        <w:tab/>
        <w:t>In this Law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lastRenderedPageBreak/>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lastRenderedPageBreak/>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rPr>
        <w:t>Government Gazette</w:t>
      </w:r>
      <w:r>
        <w:t xml:space="preserv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(Cwlth);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lastRenderedPageBreak/>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w:t>
      </w:r>
    </w:p>
    <w:p>
      <w:pPr>
        <w:pStyle w:val="yDefpara"/>
        <w:keepNext/>
      </w:pPr>
      <w:r>
        <w:tab/>
        <w:t>(a)</w:t>
      </w:r>
      <w:r>
        <w:tab/>
        <w:t>revoke or rescind; or</w:t>
      </w:r>
    </w:p>
    <w:p>
      <w:pPr>
        <w:pStyle w:val="yDefpara"/>
      </w:pPr>
      <w:r>
        <w:tab/>
        <w:t>(b)</w:t>
      </w:r>
      <w:r>
        <w:tab/>
        <w:t>repeal by implication; or</w:t>
      </w:r>
    </w:p>
    <w:p>
      <w:pPr>
        <w:pStyle w:val="yDefpara"/>
      </w:pPr>
      <w:r>
        <w:lastRenderedPageBreak/>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533" w:name="_Toc80612163"/>
      <w:r>
        <w:rPr>
          <w:rStyle w:val="CharSClsNo"/>
        </w:rPr>
        <w:t>13</w:t>
      </w:r>
      <w:r>
        <w:t>.</w:t>
      </w:r>
      <w:r>
        <w:tab/>
        <w:t>Provisions relating to defined terms and gender and number</w:t>
      </w:r>
      <w:bookmarkEnd w:id="533"/>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534" w:name="_Toc80612164"/>
      <w:r>
        <w:rPr>
          <w:rStyle w:val="CharSClsNo"/>
        </w:rPr>
        <w:lastRenderedPageBreak/>
        <w:t>14</w:t>
      </w:r>
      <w:r>
        <w:t>.</w:t>
      </w:r>
      <w:r>
        <w:tab/>
        <w:t>Meaning of “may” and “must” etc.</w:t>
      </w:r>
      <w:bookmarkEnd w:id="534"/>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535" w:name="_Toc80612165"/>
      <w:r>
        <w:rPr>
          <w:rStyle w:val="CharSClsNo"/>
        </w:rPr>
        <w:t>15</w:t>
      </w:r>
      <w:r>
        <w:t>.</w:t>
      </w:r>
      <w:r>
        <w:tab/>
        <w:t>Words and expressions used in statutory instruments</w:t>
      </w:r>
      <w:bookmarkEnd w:id="535"/>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536" w:name="_Toc80612166"/>
      <w:r>
        <w:rPr>
          <w:rStyle w:val="CharSClsNo"/>
        </w:rPr>
        <w:t>16</w:t>
      </w:r>
      <w:r>
        <w:t>.</w:t>
      </w:r>
      <w:r>
        <w:tab/>
        <w:t>Effect of express references to bodies corporate and individuals</w:t>
      </w:r>
      <w:bookmarkEnd w:id="536"/>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537" w:name="_Toc80612167"/>
      <w:r>
        <w:rPr>
          <w:rStyle w:val="CharSClsNo"/>
        </w:rPr>
        <w:t>17</w:t>
      </w:r>
      <w:r>
        <w:t>.</w:t>
      </w:r>
      <w:r>
        <w:tab/>
        <w:t>Production of records kept in computers etc.</w:t>
      </w:r>
      <w:bookmarkEnd w:id="537"/>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lastRenderedPageBreak/>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538" w:name="_Toc80612168"/>
      <w:r>
        <w:rPr>
          <w:rStyle w:val="CharSClsNo"/>
        </w:rPr>
        <w:t>18</w:t>
      </w:r>
      <w:r>
        <w:t>.</w:t>
      </w:r>
      <w:r>
        <w:tab/>
        <w:t>References to this jurisdiction to be implied</w:t>
      </w:r>
      <w:bookmarkEnd w:id="538"/>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539" w:name="_Toc80612169"/>
      <w:r>
        <w:rPr>
          <w:rStyle w:val="CharSClsNo"/>
        </w:rPr>
        <w:t>19</w:t>
      </w:r>
      <w:r>
        <w:t>.</w:t>
      </w:r>
      <w:r>
        <w:tab/>
        <w:t>References to officers and holders of offices</w:t>
      </w:r>
      <w:bookmarkEnd w:id="539"/>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540" w:name="_Toc80612170"/>
      <w:r>
        <w:rPr>
          <w:rStyle w:val="CharSClsNo"/>
        </w:rPr>
        <w:t>20</w:t>
      </w:r>
      <w:r>
        <w:t>.</w:t>
      </w:r>
      <w:r>
        <w:tab/>
        <w:t>Reference to certain provisions of Law</w:t>
      </w:r>
      <w:bookmarkEnd w:id="540"/>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 xml:space="preserve">subparagraph, clause, subclause, item, </w:t>
      </w:r>
      <w:r>
        <w:lastRenderedPageBreak/>
        <w:t>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541" w:name="_Toc80612171"/>
      <w:r>
        <w:rPr>
          <w:rStyle w:val="CharSClsNo"/>
        </w:rPr>
        <w:t>21</w:t>
      </w:r>
      <w:r>
        <w:t>.</w:t>
      </w:r>
      <w:r>
        <w:tab/>
        <w:t>Reference to provisions of this Law or an Act is inclusive</w:t>
      </w:r>
      <w:bookmarkEnd w:id="541"/>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It is not necessary to refer to “sections 5 to 9 (both inclusive)” to ensure that the reference is given an inclusive interpretation.</w:t>
      </w:r>
    </w:p>
    <w:p>
      <w:pPr>
        <w:pStyle w:val="yHeading4"/>
      </w:pPr>
      <w:bookmarkStart w:id="542" w:name="_Toc80609357"/>
      <w:bookmarkStart w:id="543" w:name="_Toc80612172"/>
      <w:r>
        <w:lastRenderedPageBreak/>
        <w:t>Part 4</w:t>
      </w:r>
      <w:r>
        <w:rPr>
          <w:b w:val="0"/>
        </w:rPr>
        <w:t xml:space="preserve"> — </w:t>
      </w:r>
      <w:r>
        <w:t>Functions and powers</w:t>
      </w:r>
      <w:bookmarkEnd w:id="542"/>
      <w:bookmarkEnd w:id="543"/>
    </w:p>
    <w:p>
      <w:pPr>
        <w:pStyle w:val="yHeading5"/>
      </w:pPr>
      <w:bookmarkStart w:id="544" w:name="_Toc80612173"/>
      <w:r>
        <w:rPr>
          <w:rStyle w:val="CharSClsNo"/>
        </w:rPr>
        <w:t>22</w:t>
      </w:r>
      <w:r>
        <w:t>.</w:t>
      </w:r>
      <w:r>
        <w:tab/>
        <w:t>Performance of statutory functions</w:t>
      </w:r>
      <w:bookmarkEnd w:id="544"/>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545" w:name="_Toc80612174"/>
      <w:r>
        <w:rPr>
          <w:rStyle w:val="CharSClsNo"/>
        </w:rPr>
        <w:t>23</w:t>
      </w:r>
      <w:r>
        <w:t>.</w:t>
      </w:r>
      <w:r>
        <w:tab/>
        <w:t>Power to make instrument or decision includes power to amend or repeal</w:t>
      </w:r>
      <w:bookmarkEnd w:id="545"/>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546" w:name="_Toc80612175"/>
      <w:r>
        <w:rPr>
          <w:rStyle w:val="CharSClsNo"/>
        </w:rPr>
        <w:t>24</w:t>
      </w:r>
      <w:r>
        <w:t>.</w:t>
      </w:r>
      <w:r>
        <w:tab/>
        <w:t>Matters for which statutory instruments may make provision</w:t>
      </w:r>
      <w:bookmarkEnd w:id="546"/>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 xml:space="preserve">If a statutory instrument applies, adopts or incorporates the provisions of a document, the statutory instrument applies, adopts or incorporates </w:t>
      </w:r>
      <w:r>
        <w:lastRenderedPageBreak/>
        <w:t>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 xml:space="preserve">A statutory instrument may require a form prescribed by or under the statutory instrument, or information or documents included in, </w:t>
      </w:r>
      <w:r>
        <w:lastRenderedPageBreak/>
        <w:t>attached to or given with the form, to be verified by statutory declaration.</w:t>
      </w:r>
    </w:p>
    <w:p>
      <w:pPr>
        <w:pStyle w:val="yHeading5"/>
      </w:pPr>
      <w:bookmarkStart w:id="547" w:name="_Toc80612176"/>
      <w:r>
        <w:rPr>
          <w:rStyle w:val="CharSClsNo"/>
        </w:rPr>
        <w:t>25</w:t>
      </w:r>
      <w:r>
        <w:t>.</w:t>
      </w:r>
      <w:r>
        <w:tab/>
        <w:t>Presumption of validity and power to make</w:t>
      </w:r>
      <w:bookmarkEnd w:id="547"/>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548" w:name="_Toc80612177"/>
      <w:r>
        <w:rPr>
          <w:rStyle w:val="CharSClsNo"/>
        </w:rPr>
        <w:t>26</w:t>
      </w:r>
      <w:r>
        <w:t>.</w:t>
      </w:r>
      <w:r>
        <w:tab/>
        <w:t>Appointments may be made by name or office</w:t>
      </w:r>
      <w:bookmarkEnd w:id="548"/>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549" w:name="_Toc80612178"/>
      <w:r>
        <w:rPr>
          <w:rStyle w:val="CharSClsNo"/>
        </w:rPr>
        <w:t>27</w:t>
      </w:r>
      <w:r>
        <w:t>.</w:t>
      </w:r>
      <w:r>
        <w:tab/>
        <w:t>Acting appointments</w:t>
      </w:r>
      <w:bookmarkEnd w:id="549"/>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lastRenderedPageBreak/>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550" w:name="_Toc80612179"/>
      <w:r>
        <w:rPr>
          <w:rStyle w:val="CharSClsNo"/>
        </w:rPr>
        <w:lastRenderedPageBreak/>
        <w:t>28</w:t>
      </w:r>
      <w:r>
        <w:t>.</w:t>
      </w:r>
      <w:r>
        <w:tab/>
        <w:t>Powers of appointment imply certain incidental powers</w:t>
      </w:r>
      <w:bookmarkEnd w:id="550"/>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551" w:name="_Toc80612180"/>
      <w:r>
        <w:rPr>
          <w:rStyle w:val="CharSClsNo"/>
        </w:rPr>
        <w:t>29</w:t>
      </w:r>
      <w:r>
        <w:t>.</w:t>
      </w:r>
      <w:r>
        <w:tab/>
        <w:t>Delegation of functions</w:t>
      </w:r>
      <w:bookmarkEnd w:id="551"/>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lastRenderedPageBreak/>
        <w:tab/>
        <w:t>(b)</w:t>
      </w:r>
      <w:r>
        <w:tab/>
        <w:t>a specified officer, or the holder of a specified office, by reference to the title of the office concerned.</w:t>
      </w:r>
    </w:p>
    <w:p>
      <w:pPr>
        <w:pStyle w:val="ySubsection"/>
      </w:pPr>
      <w:r>
        <w:tab/>
        <w:t>(2)</w:t>
      </w:r>
      <w:r>
        <w:tab/>
        <w:t>The delegation may be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lastRenderedPageBreak/>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552" w:name="_Toc80612181"/>
      <w:r>
        <w:rPr>
          <w:rStyle w:val="CharSClsNo"/>
        </w:rPr>
        <w:t>30</w:t>
      </w:r>
      <w:r>
        <w:t>.</w:t>
      </w:r>
      <w:r>
        <w:tab/>
        <w:t>Exercise of powers between enactment and commencement</w:t>
      </w:r>
      <w:bookmarkEnd w:id="552"/>
    </w:p>
    <w:p>
      <w:pPr>
        <w:pStyle w:val="ySubsection"/>
      </w:pPr>
      <w:r>
        <w:tab/>
        <w:t>(1)</w:t>
      </w:r>
      <w:r>
        <w:tab/>
        <w:t>If a provision of this Law (the empowering provision)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lastRenderedPageBreak/>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If a provision of a Western Australian Act (the empowering provision)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this Law has commenced and confers a power to make a statutory instrument (the basic instrument</w:t>
      </w:r>
      <w:r>
        <w:noBreakHyphen/>
        <w:t>making power); and</w:t>
      </w:r>
    </w:p>
    <w:p>
      <w:pPr>
        <w:pStyle w:val="y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ySubsection"/>
        <w:keepNext/>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lastRenderedPageBreak/>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lastRenderedPageBreak/>
        <w:tab/>
        <w:t>(8)</w:t>
      </w:r>
      <w:r>
        <w:tab/>
        <w:t>In the application of this clause to a statutory instrument, a reference to the enactment of the instrument is a reference to the making of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30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553" w:name="_Toc80609367"/>
      <w:bookmarkStart w:id="554" w:name="_Toc80612182"/>
      <w:r>
        <w:t>Part 5</w:t>
      </w:r>
      <w:r>
        <w:rPr>
          <w:b w:val="0"/>
        </w:rPr>
        <w:t xml:space="preserve"> — </w:t>
      </w:r>
      <w:r>
        <w:t>Distance, time and age</w:t>
      </w:r>
      <w:bookmarkEnd w:id="553"/>
      <w:bookmarkEnd w:id="554"/>
    </w:p>
    <w:p>
      <w:pPr>
        <w:pStyle w:val="yHeading5"/>
      </w:pPr>
      <w:bookmarkStart w:id="555" w:name="_Toc80612183"/>
      <w:r>
        <w:rPr>
          <w:rStyle w:val="CharSClsNo"/>
        </w:rPr>
        <w:t>31</w:t>
      </w:r>
      <w:r>
        <w:t>.</w:t>
      </w:r>
      <w:r>
        <w:tab/>
        <w:t>Matters relating to distance, time and age</w:t>
      </w:r>
      <w:bookmarkEnd w:id="555"/>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lastRenderedPageBreak/>
        <w:tab/>
        <w:t>(7)</w:t>
      </w:r>
      <w:r>
        <w:tab/>
        <w:t>For the purposes of this Law, a person attains an age in years at the beginning of the person’s birthday for the age.</w:t>
      </w:r>
    </w:p>
    <w:p>
      <w:pPr>
        <w:pStyle w:val="yHeading4"/>
      </w:pPr>
      <w:bookmarkStart w:id="556" w:name="_Toc80609369"/>
      <w:bookmarkStart w:id="557" w:name="_Toc80612184"/>
      <w:r>
        <w:t>Part 6</w:t>
      </w:r>
      <w:r>
        <w:rPr>
          <w:b w:val="0"/>
        </w:rPr>
        <w:t xml:space="preserve"> — </w:t>
      </w:r>
      <w:r>
        <w:t>Effect of repeal, amendment or expiration</w:t>
      </w:r>
      <w:bookmarkEnd w:id="556"/>
      <w:bookmarkEnd w:id="557"/>
    </w:p>
    <w:p>
      <w:pPr>
        <w:pStyle w:val="yHeading5"/>
      </w:pPr>
      <w:bookmarkStart w:id="558" w:name="_Toc80612185"/>
      <w:r>
        <w:rPr>
          <w:rStyle w:val="CharSClsNo"/>
        </w:rPr>
        <w:t>32</w:t>
      </w:r>
      <w:r>
        <w:t>.</w:t>
      </w:r>
      <w:r>
        <w:tab/>
        <w:t>Time of Law ceasing to have effect</w:t>
      </w:r>
      <w:bookmarkEnd w:id="558"/>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559" w:name="_Toc80612186"/>
      <w:r>
        <w:rPr>
          <w:rStyle w:val="CharSClsNo"/>
        </w:rPr>
        <w:t>33</w:t>
      </w:r>
      <w:r>
        <w:t>.</w:t>
      </w:r>
      <w:r>
        <w:tab/>
        <w:t>Repealed Law provisions not revived</w:t>
      </w:r>
      <w:bookmarkEnd w:id="559"/>
    </w:p>
    <w:p>
      <w:pPr>
        <w:pStyle w:val="y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yIndenta"/>
      </w:pPr>
      <w:r>
        <w:tab/>
        <w:t>(a)</w:t>
      </w:r>
      <w:r>
        <w:tab/>
        <w:t>is later repealed or amended; or</w:t>
      </w:r>
    </w:p>
    <w:p>
      <w:pPr>
        <w:pStyle w:val="yIndenta"/>
      </w:pPr>
      <w:r>
        <w:tab/>
        <w:t>(b)</w:t>
      </w:r>
      <w:r>
        <w:tab/>
        <w:t>later expires.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33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60" w:name="_Toc80612187"/>
      <w:r>
        <w:rPr>
          <w:rStyle w:val="CharSClsNo"/>
        </w:rPr>
        <w:t>34</w:t>
      </w:r>
      <w:r>
        <w:t>.</w:t>
      </w:r>
      <w:r>
        <w:tab/>
        <w:t>Saving of operation of repealed Law provisions</w:t>
      </w:r>
      <w:bookmarkEnd w:id="560"/>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lastRenderedPageBreak/>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561" w:name="_Toc80612188"/>
      <w:r>
        <w:rPr>
          <w:rStyle w:val="CharSClsNo"/>
        </w:rPr>
        <w:t>35</w:t>
      </w:r>
      <w:r>
        <w:t>.</w:t>
      </w:r>
      <w:r>
        <w:tab/>
        <w:t>Continuance of repealed provisions</w:t>
      </w:r>
      <w:bookmarkEnd w:id="561"/>
    </w:p>
    <w:p>
      <w:pPr>
        <w:pStyle w:val="ySubsection"/>
      </w:pPr>
      <w:r>
        <w:tab/>
      </w:r>
      <w:r>
        <w:tab/>
        <w:t>If a Western Australian Act repeals some provisions of this Law and enacts new provisions in substitution for the repealed provisions, the repealed provisions continue in force until the new provisions commence.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35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62" w:name="_Toc80612189"/>
      <w:r>
        <w:rPr>
          <w:rStyle w:val="CharSClsNo"/>
        </w:rPr>
        <w:t>36</w:t>
      </w:r>
      <w:r>
        <w:t>.</w:t>
      </w:r>
      <w:r>
        <w:tab/>
        <w:t>Law and amending Acts to be read as one</w:t>
      </w:r>
      <w:bookmarkEnd w:id="562"/>
    </w:p>
    <w:p>
      <w:pPr>
        <w:pStyle w:val="ySubsection"/>
      </w:pPr>
      <w:r>
        <w:tab/>
      </w:r>
      <w:r>
        <w:tab/>
        <w:t>This Law and all Western Australian Acts amending this Law are to be read as one.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36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563" w:name="_Toc80609375"/>
      <w:bookmarkStart w:id="564" w:name="_Toc80612190"/>
      <w:r>
        <w:t>Part 7</w:t>
      </w:r>
      <w:r>
        <w:rPr>
          <w:b w:val="0"/>
        </w:rPr>
        <w:t xml:space="preserve"> — </w:t>
      </w:r>
      <w:r>
        <w:t>Instruments under Law</w:t>
      </w:r>
      <w:bookmarkEnd w:id="563"/>
      <w:bookmarkEnd w:id="564"/>
    </w:p>
    <w:p>
      <w:pPr>
        <w:pStyle w:val="yHeading5"/>
      </w:pPr>
      <w:bookmarkStart w:id="565" w:name="_Toc80612191"/>
      <w:r>
        <w:rPr>
          <w:rStyle w:val="CharSClsNo"/>
        </w:rPr>
        <w:t>37</w:t>
      </w:r>
      <w:r>
        <w:t>.</w:t>
      </w:r>
      <w:r>
        <w:tab/>
        <w:t>Schedule applies to statutory instruments</w:t>
      </w:r>
      <w:bookmarkEnd w:id="565"/>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pPr>
      <w:bookmarkStart w:id="566" w:name="_Toc80609377"/>
      <w:bookmarkStart w:id="567" w:name="_Toc80612192"/>
      <w:r>
        <w:t>Part 8</w:t>
      </w:r>
      <w:r>
        <w:rPr>
          <w:b w:val="0"/>
        </w:rPr>
        <w:t xml:space="preserve"> — </w:t>
      </w:r>
      <w:r>
        <w:t>Application to coastal sea</w:t>
      </w:r>
      <w:bookmarkEnd w:id="566"/>
      <w:bookmarkEnd w:id="567"/>
    </w:p>
    <w:p>
      <w:pPr>
        <w:pStyle w:val="yHeading5"/>
      </w:pPr>
      <w:bookmarkStart w:id="568" w:name="_Toc80612193"/>
      <w:r>
        <w:rPr>
          <w:rStyle w:val="CharSClsNo"/>
        </w:rPr>
        <w:t>38</w:t>
      </w:r>
      <w:r>
        <w:t>.</w:t>
      </w:r>
      <w:r>
        <w:tab/>
        <w:t>Application</w:t>
      </w:r>
      <w:bookmarkEnd w:id="568"/>
    </w:p>
    <w:p>
      <w:pPr>
        <w:pStyle w:val="ySubsection"/>
      </w:pPr>
      <w:r>
        <w:tab/>
      </w:r>
      <w:r>
        <w:tab/>
        <w:t>This Law has effect in and relation to the coastal sea of this jurisdiction as if that coastal sea were part of this jurisdiction.</w:t>
      </w:r>
    </w:p>
    <w:p>
      <w:pPr>
        <w:pStyle w:val="yHeading3"/>
        <w:spacing w:before="160"/>
      </w:pPr>
      <w:bookmarkStart w:id="569" w:name="_Toc80609379"/>
      <w:bookmarkStart w:id="570" w:name="_Toc80612194"/>
      <w:r>
        <w:rPr>
          <w:rStyle w:val="CharSDivNo"/>
        </w:rPr>
        <w:lastRenderedPageBreak/>
        <w:t>Schedule 2</w:t>
      </w:r>
      <w:r>
        <w:t xml:space="preserve"> — </w:t>
      </w:r>
      <w:r>
        <w:rPr>
          <w:rStyle w:val="CharSDivText"/>
        </w:rPr>
        <w:t>Powers of entry by search warrant</w:t>
      </w:r>
      <w:bookmarkEnd w:id="569"/>
      <w:bookmarkEnd w:id="570"/>
    </w:p>
    <w:p>
      <w:pPr>
        <w:pStyle w:val="yHeading5"/>
      </w:pPr>
      <w:bookmarkStart w:id="571" w:name="_Toc80612195"/>
      <w:r>
        <w:rPr>
          <w:rStyle w:val="CharSClsNo"/>
        </w:rPr>
        <w:t>1</w:t>
      </w:r>
      <w:r>
        <w:t>.</w:t>
      </w:r>
      <w:r>
        <w:tab/>
        <w:t>Application for warrant</w:t>
      </w:r>
      <w:bookmarkEnd w:id="571"/>
    </w:p>
    <w:p>
      <w:pPr>
        <w:pStyle w:val="ySubsection"/>
      </w:pPr>
      <w:r>
        <w:tab/>
        <w:t>(1)</w:t>
      </w:r>
      <w:r>
        <w:tab/>
        <w:t>An authorised officer may apply to a magistrate of a participating jurisdiction for a search warrant in relation to premises if the officer believes on reasonable grounds that —</w:t>
      </w:r>
    </w:p>
    <w:p>
      <w:pPr>
        <w:pStyle w:val="yIndenta"/>
      </w:pPr>
      <w:r>
        <w:tab/>
        <w:t>(a)</w:t>
      </w:r>
      <w:r>
        <w:tab/>
        <w:t>a person is or has been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authorised officer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authorised officer gives the magistrate all the information the magistrate requires about the application in the way the magistrate requires.</w:t>
      </w:r>
    </w:p>
    <w:p>
      <w:pPr>
        <w:pStyle w:val="yHeading5"/>
      </w:pPr>
      <w:bookmarkStart w:id="572" w:name="_Toc80612196"/>
      <w:r>
        <w:rPr>
          <w:rStyle w:val="CharSClsNo"/>
        </w:rPr>
        <w:t>2</w:t>
      </w:r>
      <w:r>
        <w:t>.</w:t>
      </w:r>
      <w:r>
        <w:tab/>
        <w:t>Issue of warrant</w:t>
      </w:r>
      <w:bookmarkEnd w:id="572"/>
    </w:p>
    <w:p>
      <w:pPr>
        <w:pStyle w:val="ySubsection"/>
      </w:pPr>
      <w:r>
        <w:tab/>
        <w:t>(1)</w:t>
      </w:r>
      <w:r>
        <w:tab/>
        <w:t>The magistrate may issue the warrant in respect of premises only if the magistrate is satisfied there are reasonable grounds to believe that —</w:t>
      </w:r>
    </w:p>
    <w:p>
      <w:pPr>
        <w:pStyle w:val="yIndenta"/>
      </w:pPr>
      <w:r>
        <w:tab/>
        <w:t>(a)</w:t>
      </w:r>
      <w:r>
        <w:tab/>
        <w:t>a person is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warrant must state —</w:t>
      </w:r>
    </w:p>
    <w:p>
      <w:pPr>
        <w:pStyle w:val="yIndenta"/>
      </w:pPr>
      <w:r>
        <w:tab/>
        <w:t>(a)</w:t>
      </w:r>
      <w:r>
        <w:tab/>
        <w:t>that a stated authorised officer may, with necessary and reasonable help and force —</w:t>
      </w:r>
    </w:p>
    <w:p>
      <w:pPr>
        <w:pStyle w:val="yIndenti0"/>
      </w:pPr>
      <w:r>
        <w:tab/>
        <w:t>(i)</w:t>
      </w:r>
      <w:r>
        <w:tab/>
        <w:t>enter the premises and any other premises necessary for entry; and</w:t>
      </w:r>
    </w:p>
    <w:p>
      <w:pPr>
        <w:pStyle w:val="yIndenti0"/>
      </w:pPr>
      <w:r>
        <w:tab/>
        <w:t>(ii)</w:t>
      </w:r>
      <w:r>
        <w:tab/>
        <w:t>exercise the authorised officer’s powers under this Schedule; and</w:t>
      </w:r>
    </w:p>
    <w:p>
      <w:pPr>
        <w:pStyle w:val="yIndenta"/>
      </w:pPr>
      <w:r>
        <w:lastRenderedPageBreak/>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premises may be entered; and</w:t>
      </w:r>
    </w:p>
    <w:p>
      <w:pPr>
        <w:pStyle w:val="yIndenta"/>
      </w:pPr>
      <w:r>
        <w:tab/>
        <w:t>(e)</w:t>
      </w:r>
      <w:r>
        <w:tab/>
        <w:t>the date, within 14 days after the warrant’s issue, the warrant ends.</w:t>
      </w:r>
    </w:p>
    <w:p>
      <w:pPr>
        <w:pStyle w:val="yHeading5"/>
      </w:pPr>
      <w:bookmarkStart w:id="573" w:name="_Toc80612197"/>
      <w:r>
        <w:rPr>
          <w:rStyle w:val="CharSClsNo"/>
        </w:rPr>
        <w:t>3</w:t>
      </w:r>
      <w:r>
        <w:t>.</w:t>
      </w:r>
      <w:r>
        <w:tab/>
        <w:t>Application by electronic communication</w:t>
      </w:r>
      <w:bookmarkEnd w:id="573"/>
    </w:p>
    <w:p>
      <w:pPr>
        <w:pStyle w:val="ySubsection"/>
      </w:pPr>
      <w:r>
        <w:tab/>
        <w:t>(1)</w:t>
      </w:r>
      <w:r>
        <w:tab/>
        <w:t>An authorised officer may apply for a warrant by phone, facsimile, email, radio, video conferencing or another form of communication if the authorised officer considers it necessary because of —</w:t>
      </w:r>
    </w:p>
    <w:p>
      <w:pPr>
        <w:pStyle w:val="yIndenta"/>
      </w:pPr>
      <w:r>
        <w:tab/>
        <w:t>(a)</w:t>
      </w:r>
      <w:r>
        <w:tab/>
        <w:t>urgent circumstances; or</w:t>
      </w:r>
    </w:p>
    <w:p>
      <w:pPr>
        <w:pStyle w:val="yIndenta"/>
      </w:pPr>
      <w:r>
        <w:tab/>
        <w:t>(b)</w:t>
      </w:r>
      <w:r>
        <w:tab/>
        <w:t>other special circumstances, including the authorised officer’s remote location.</w:t>
      </w:r>
    </w:p>
    <w:p>
      <w:pPr>
        <w:pStyle w:val="ySubsection"/>
      </w:pPr>
      <w:r>
        <w:tab/>
        <w:t>(2)</w:t>
      </w:r>
      <w:r>
        <w:tab/>
        <w:t>The application —</w:t>
      </w:r>
    </w:p>
    <w:p>
      <w:pPr>
        <w:pStyle w:val="yIndenta"/>
      </w:pPr>
      <w:r>
        <w:tab/>
        <w:t>(a)</w:t>
      </w:r>
      <w:r>
        <w:tab/>
        <w:t>may not be made before the authorised officer prepares the written application under clause 1(2); but</w:t>
      </w:r>
    </w:p>
    <w:p>
      <w:pPr>
        <w:pStyle w:val="yIndenta"/>
      </w:pPr>
      <w:r>
        <w:tab/>
        <w:t>(b)</w:t>
      </w:r>
      <w:r>
        <w:tab/>
        <w:t>may be made before the written application is sworn.</w:t>
      </w:r>
    </w:p>
    <w:p>
      <w:pPr>
        <w:pStyle w:val="ySubsection"/>
      </w:pPr>
      <w:r>
        <w:tab/>
        <w:t>(3)</w:t>
      </w:r>
      <w:r>
        <w:tab/>
        <w:t>The magistrate may issue the warrant (the original warrant) only if the magistrate is satisfied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After the magistrate issues the original warrant —</w:t>
      </w:r>
    </w:p>
    <w:p>
      <w:pPr>
        <w:pStyle w:val="y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yIndenta"/>
      </w:pPr>
      <w:r>
        <w:tab/>
        <w:t>(b)</w:t>
      </w:r>
      <w:r>
        <w:tab/>
        <w:t>otherwise —</w:t>
      </w:r>
    </w:p>
    <w:p>
      <w:pPr>
        <w:pStyle w:val="yIndenti0"/>
      </w:pPr>
      <w:r>
        <w:tab/>
        <w:t>(i)</w:t>
      </w:r>
      <w:r>
        <w:tab/>
        <w:t>the magistrate must tell the authorised officer the date and time the warrant is issued and the other terms of the warrant; and</w:t>
      </w:r>
    </w:p>
    <w:p>
      <w:pPr>
        <w:pStyle w:val="yIndenti0"/>
      </w:pPr>
      <w:r>
        <w:lastRenderedPageBreak/>
        <w:tab/>
        <w:t>(ii)</w:t>
      </w:r>
      <w:r>
        <w:tab/>
        <w:t>the authorised officer must complete a form of warrant including by writing on it —</w:t>
      </w:r>
    </w:p>
    <w:p>
      <w:pPr>
        <w:pStyle w:val="yIndentI"/>
      </w:pPr>
      <w:r>
        <w:tab/>
        <w:t>(A)</w:t>
      </w:r>
      <w:r>
        <w:tab/>
        <w:t>the magistrate’s name; and</w:t>
      </w:r>
    </w:p>
    <w:p>
      <w:pPr>
        <w:pStyle w:val="yIndentI"/>
      </w:pPr>
      <w:r>
        <w:tab/>
        <w:t>(B)</w:t>
      </w:r>
      <w:r>
        <w:tab/>
        <w:t>the date and time the magistrate issued the warrant; and</w:t>
      </w:r>
    </w:p>
    <w:p>
      <w:pPr>
        <w:pStyle w:val="yIndentI"/>
      </w:pPr>
      <w:r>
        <w:tab/>
        <w:t>(C)</w:t>
      </w:r>
      <w:r>
        <w:tab/>
        <w:t>the other terms of the warrant.</w:t>
      </w:r>
    </w:p>
    <w:p>
      <w:pPr>
        <w:pStyle w:val="ySubsection"/>
      </w:pPr>
      <w:r>
        <w:tab/>
        <w:t>(5)</w:t>
      </w:r>
      <w:r>
        <w:tab/>
        <w:t>The copy of the warrant referred to in subclause (4)(a), or the form of warrant completed under subclause (4)(b) (in either case the duplicate warrant), is a duplicate of, and as effectual as, the original warrant.</w:t>
      </w:r>
    </w:p>
    <w:p>
      <w:pPr>
        <w:pStyle w:val="ySubsection"/>
      </w:pPr>
      <w:r>
        <w:tab/>
        <w:t>(6)</w:t>
      </w:r>
      <w:r>
        <w:tab/>
        <w:t>The authorised officer must, at the first reasonable opportunity, send to the magistrate —</w:t>
      </w:r>
    </w:p>
    <w:p>
      <w:pPr>
        <w:pStyle w:val="yIndenta"/>
      </w:pPr>
      <w:r>
        <w:tab/>
        <w:t>(a)</w:t>
      </w:r>
      <w:r>
        <w:tab/>
        <w:t>the written application complying with clause 1(2) and (3); and</w:t>
      </w:r>
    </w:p>
    <w:p>
      <w:pPr>
        <w:pStyle w:val="yIndenta"/>
      </w:pPr>
      <w:r>
        <w:tab/>
        <w:t>(b)</w:t>
      </w:r>
      <w:r>
        <w:tab/>
        <w:t>if the authorised officer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Despite subclause (5), if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 —</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1.</w:t>
      </w:r>
    </w:p>
    <w:p>
      <w:pPr>
        <w:pStyle w:val="yHeading5"/>
      </w:pPr>
      <w:bookmarkStart w:id="574" w:name="_Toc80612198"/>
      <w:r>
        <w:rPr>
          <w:rStyle w:val="CharSClsNo"/>
        </w:rPr>
        <w:t>4</w:t>
      </w:r>
      <w:r>
        <w:t>.</w:t>
      </w:r>
      <w:r>
        <w:tab/>
        <w:t>Procedure before entry under warrant</w:t>
      </w:r>
      <w:bookmarkEnd w:id="574"/>
    </w:p>
    <w:p>
      <w:pPr>
        <w:pStyle w:val="ySubsection"/>
      </w:pPr>
      <w:r>
        <w:tab/>
        <w:t>(1)</w:t>
      </w:r>
      <w:r>
        <w:tab/>
        <w:t>Before entering premises under a warrant, an authorised officer must do or make a reasonable attempt to do the following —</w:t>
      </w:r>
    </w:p>
    <w:p>
      <w:pPr>
        <w:pStyle w:val="yIndenta"/>
      </w:pPr>
      <w:r>
        <w:tab/>
        <w:t>(a)</w:t>
      </w:r>
      <w:r>
        <w:tab/>
        <w:t>identify himself or herself to a person present at the premises who is an occupier of the premises by producing the authorised officer’s identity card;</w:t>
      </w:r>
    </w:p>
    <w:p>
      <w:pPr>
        <w:pStyle w:val="yIndenta"/>
      </w:pPr>
      <w:r>
        <w:lastRenderedPageBreak/>
        <w:tab/>
        <w:t>(b)</w:t>
      </w:r>
      <w:r>
        <w:tab/>
        <w:t>give the person a copy of the warrant;</w:t>
      </w:r>
    </w:p>
    <w:p>
      <w:pPr>
        <w:pStyle w:val="yIndenta"/>
      </w:pPr>
      <w:r>
        <w:tab/>
        <w:t>(c)</w:t>
      </w:r>
      <w:r>
        <w:tab/>
        <w:t>tell the person the authorised officer is permitted by the warrant to enter the premises;</w:t>
      </w:r>
    </w:p>
    <w:p>
      <w:pPr>
        <w:pStyle w:val="yIndenta"/>
      </w:pPr>
      <w:r>
        <w:tab/>
        <w:t>(d)</w:t>
      </w:r>
      <w:r>
        <w:tab/>
        <w:t>give the person an opportunity to allow the authorised officer immediate entry to the premises without using force.</w:t>
      </w:r>
    </w:p>
    <w:p>
      <w:pPr>
        <w:pStyle w:val="ySubsection"/>
      </w:pPr>
      <w:r>
        <w:tab/>
        <w:t>(2)</w:t>
      </w:r>
      <w:r>
        <w:tab/>
        <w:t>However, the authorised officer need not comply with subclause (1) if the authorised officer reasonably believes that immediate entry to the premises is required to ensure the effective execution of the warrant is not frustrated.</w:t>
      </w:r>
    </w:p>
    <w:p>
      <w:pPr>
        <w:pStyle w:val="yHeading5"/>
      </w:pPr>
      <w:bookmarkStart w:id="575" w:name="_Toc80612199"/>
      <w:r>
        <w:rPr>
          <w:rStyle w:val="CharSClsNo"/>
        </w:rPr>
        <w:t>5</w:t>
      </w:r>
      <w:r>
        <w:t>.</w:t>
      </w:r>
      <w:r>
        <w:tab/>
        <w:t>Powers after entering premises</w:t>
      </w:r>
      <w:bookmarkEnd w:id="575"/>
    </w:p>
    <w:p>
      <w:pPr>
        <w:pStyle w:val="ySubsection"/>
      </w:pPr>
      <w:r>
        <w:tab/>
        <w:t>(1)</w:t>
      </w:r>
      <w:r>
        <w:tab/>
        <w:t>This clause applies if an authorised officer enters premises under clause 4.</w:t>
      </w:r>
    </w:p>
    <w:p>
      <w:pPr>
        <w:pStyle w:val="ySubsection"/>
      </w:pPr>
      <w:r>
        <w:tab/>
        <w:t>(2)</w:t>
      </w:r>
      <w:r>
        <w:tab/>
        <w:t>The authorised officer may for the purposes of the investigation do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Schedule;</w:t>
      </w:r>
    </w:p>
    <w:p>
      <w:pPr>
        <w:pStyle w:val="yIndenta"/>
      </w:pPr>
      <w:r>
        <w:tab/>
        <w:t>(f)</w:t>
      </w:r>
      <w:r>
        <w:tab/>
        <w:t>require the occupier of the premises, or a person at the premises, to give the authorised officer reasonable help to exercise the authorised officer’s powers under paragraphs (a) to (e);</w:t>
      </w:r>
    </w:p>
    <w:p>
      <w:pPr>
        <w:pStyle w:val="yIndenta"/>
      </w:pPr>
      <w:r>
        <w:tab/>
        <w:t>(g)</w:t>
      </w:r>
      <w:r>
        <w:tab/>
        <w:t>require the occupier of the premises, or a person at the premises, to give the authorised officer information to help the authorised officer in conducting the investigation.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7"/>
          <w:headerReference w:type="default" r:id="rId28"/>
          <w:pgSz w:w="11907" w:h="16840" w:code="9"/>
          <w:pgMar w:top="2376" w:right="2405" w:bottom="3542" w:left="2405" w:header="706" w:footer="3380" w:gutter="0"/>
          <w:cols w:space="720"/>
          <w:noEndnote/>
          <w:docGrid w:linePitch="78"/>
        </w:sectPr>
      </w:pPr>
    </w:p>
    <w:p>
      <w:pPr>
        <w:pStyle w:val="nHeading2"/>
      </w:pPr>
      <w:bookmarkStart w:id="576" w:name="_Toc80609385"/>
      <w:bookmarkStart w:id="577" w:name="_Toc80612200"/>
      <w:r>
        <w:lastRenderedPageBreak/>
        <w:t>Notes</w:t>
      </w:r>
      <w:bookmarkEnd w:id="576"/>
      <w:bookmarkEnd w:id="577"/>
    </w:p>
    <w:p>
      <w:pPr>
        <w:pStyle w:val="nStatement"/>
      </w:pPr>
      <w:r>
        <w:t xml:space="preserve">This is a compilation of the </w:t>
      </w:r>
      <w:r>
        <w:rPr>
          <w:i/>
          <w:noProof/>
        </w:rPr>
        <w:t>Education and Care Services National Law (WA) Act 2012</w:t>
      </w:r>
      <w:r>
        <w:t xml:space="preserve"> and includes amendments made by other written laws. For provisions that have come into operation, and for information about any reprints, see the compilation table.</w:t>
      </w:r>
    </w:p>
    <w:p>
      <w:pPr>
        <w:pStyle w:val="nHeading3"/>
      </w:pPr>
      <w:bookmarkStart w:id="578" w:name="_Toc80612201"/>
      <w:r>
        <w:t>Compilation table</w:t>
      </w:r>
      <w:bookmarkEnd w:id="57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nil"/>
            </w:tcBorders>
          </w:tcPr>
          <w:p>
            <w:pPr>
              <w:pStyle w:val="nTable"/>
              <w:spacing w:after="40"/>
              <w:rPr>
                <w:b/>
              </w:rPr>
            </w:pPr>
            <w:r>
              <w:rPr>
                <w:b/>
              </w:rPr>
              <w:t>Short title</w:t>
            </w:r>
          </w:p>
        </w:tc>
        <w:tc>
          <w:tcPr>
            <w:tcW w:w="1134" w:type="dxa"/>
            <w:tcBorders>
              <w:top w:val="nil"/>
            </w:tcBorders>
          </w:tcPr>
          <w:p>
            <w:pPr>
              <w:pStyle w:val="nTable"/>
              <w:spacing w:after="40"/>
              <w:rPr>
                <w:b/>
              </w:rPr>
            </w:pPr>
            <w:r>
              <w:rPr>
                <w:b/>
              </w:rPr>
              <w:t>Number and year</w:t>
            </w:r>
          </w:p>
        </w:tc>
        <w:tc>
          <w:tcPr>
            <w:tcW w:w="1134" w:type="dxa"/>
            <w:tcBorders>
              <w:top w:val="nil"/>
            </w:tcBorders>
          </w:tcPr>
          <w:p>
            <w:pPr>
              <w:pStyle w:val="nTable"/>
              <w:spacing w:after="40"/>
              <w:rPr>
                <w:b/>
              </w:rPr>
            </w:pPr>
            <w:r>
              <w:rPr>
                <w:b/>
              </w:rPr>
              <w:t>Assent</w:t>
            </w:r>
          </w:p>
        </w:tc>
        <w:tc>
          <w:tcPr>
            <w:tcW w:w="2552" w:type="dxa"/>
            <w:tcBorders>
              <w:top w:val="nil"/>
            </w:tcBorders>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Education and Care Services National Law (WA) Act 2012</w:t>
            </w:r>
            <w:r>
              <w:rPr>
                <w:noProof/>
                <w:snapToGrid w:val="0"/>
              </w:rPr>
              <w:t xml:space="preserve"> </w:t>
            </w:r>
          </w:p>
        </w:tc>
        <w:tc>
          <w:tcPr>
            <w:tcW w:w="1134" w:type="dxa"/>
            <w:tcBorders>
              <w:bottom w:val="nil"/>
            </w:tcBorders>
          </w:tcPr>
          <w:p>
            <w:pPr>
              <w:pStyle w:val="nTable"/>
              <w:spacing w:after="40"/>
            </w:pPr>
            <w:r>
              <w:t>11 of 2012</w:t>
            </w:r>
          </w:p>
        </w:tc>
        <w:tc>
          <w:tcPr>
            <w:tcW w:w="1134" w:type="dxa"/>
            <w:tcBorders>
              <w:bottom w:val="nil"/>
            </w:tcBorders>
          </w:tcPr>
          <w:p>
            <w:pPr>
              <w:pStyle w:val="nTable"/>
              <w:spacing w:after="40"/>
            </w:pPr>
            <w:r>
              <w:t>20 Jun 2012</w:t>
            </w:r>
          </w:p>
        </w:tc>
        <w:tc>
          <w:tcPr>
            <w:tcW w:w="2552" w:type="dxa"/>
            <w:tcBorders>
              <w:bottom w:val="nil"/>
            </w:tcBorders>
          </w:tcPr>
          <w:p>
            <w:pPr>
              <w:pStyle w:val="nTable"/>
              <w:spacing w:after="40"/>
            </w:pPr>
            <w:r>
              <w:t>s. 1 and 2: 20 Jun 2012 (see s. 2(a));</w:t>
            </w:r>
            <w:r>
              <w:br/>
              <w:t>Act other than s. 1, 2, Pt. 4 Div. 3, Schedule (s. 70(1)(d), 152, 153(2)-(4), 154-159, Pt. 5 Div. 6 (s. 160), s. 172(d), 266</w:t>
            </w:r>
            <w:r>
              <w:noBreakHyphen/>
              <w:t>268 and 270(1)(d) and (2)</w:t>
            </w:r>
            <w:r>
              <w:noBreakHyphen/>
              <w:t xml:space="preserve">(4)): 1 Aug 2012 (see s. 2(c) and </w:t>
            </w:r>
            <w:r>
              <w:rPr>
                <w:i/>
              </w:rPr>
              <w:t>Gazette</w:t>
            </w:r>
            <w:r>
              <w:t xml:space="preserve"> 25 Jul 2012 p. 3411);</w:t>
            </w:r>
            <w:r>
              <w:br/>
              <w:t xml:space="preserve">Pt. 4 Div. 3: 1 Jan 2013 (see s. 2(b)(ii) and </w:t>
            </w:r>
            <w:r>
              <w:rPr>
                <w:i/>
              </w:rPr>
              <w:t>Gazette</w:t>
            </w:r>
            <w:r>
              <w:t xml:space="preserve"> 14 Dec 2012 p. 6195);</w:t>
            </w:r>
            <w:r>
              <w:br/>
              <w:t>Schedule (s. 70(1)(d), 152, 153(2)-(4), 154</w:t>
            </w:r>
            <w:r>
              <w:noBreakHyphen/>
              <w:t>159, Pt. 5 Div. 6 (s. 160), s. 172(d), 266</w:t>
            </w:r>
            <w:r>
              <w:noBreakHyphen/>
              <w:t>268 and 270(1)(d) and (2)</w:t>
            </w:r>
            <w:r>
              <w:noBreakHyphen/>
              <w:t xml:space="preserve">(4): 1 May 2013 (see s. 2(c) and </w:t>
            </w:r>
            <w:r>
              <w:rPr>
                <w:i/>
              </w:rPr>
              <w:t>Gazette</w:t>
            </w:r>
            <w:r>
              <w:t xml:space="preserve"> 1 May 2013 p. 1697)</w:t>
            </w:r>
          </w:p>
        </w:tc>
      </w:tr>
      <w:tr>
        <w:tc>
          <w:tcPr>
            <w:tcW w:w="2268" w:type="dxa"/>
            <w:tcBorders>
              <w:top w:val="nil"/>
              <w:bottom w:val="nil"/>
              <w:right w:val="nil"/>
            </w:tcBorders>
          </w:tcPr>
          <w:p>
            <w:pPr>
              <w:pStyle w:val="nTable"/>
              <w:spacing w:after="40"/>
              <w:rPr>
                <w:i/>
                <w:noProof/>
                <w:snapToGrid w:val="0"/>
              </w:rPr>
            </w:pPr>
            <w:r>
              <w:rPr>
                <w:i/>
                <w:noProof/>
                <w:snapToGrid w:val="0"/>
              </w:rPr>
              <w:t>Education and Care Services National Law (WA) Amendment Act 2018 Pt. 2</w:t>
            </w:r>
          </w:p>
        </w:tc>
        <w:tc>
          <w:tcPr>
            <w:tcW w:w="1134" w:type="dxa"/>
            <w:tcBorders>
              <w:top w:val="nil"/>
              <w:left w:val="nil"/>
              <w:bottom w:val="nil"/>
              <w:right w:val="nil"/>
            </w:tcBorders>
          </w:tcPr>
          <w:p>
            <w:pPr>
              <w:pStyle w:val="nTable"/>
              <w:spacing w:after="40"/>
            </w:pPr>
            <w:r>
              <w:t>18 of 2018</w:t>
            </w:r>
          </w:p>
        </w:tc>
        <w:tc>
          <w:tcPr>
            <w:tcW w:w="1134" w:type="dxa"/>
            <w:tcBorders>
              <w:top w:val="nil"/>
              <w:left w:val="nil"/>
              <w:bottom w:val="nil"/>
              <w:right w:val="nil"/>
            </w:tcBorders>
          </w:tcPr>
          <w:p>
            <w:pPr>
              <w:pStyle w:val="nTable"/>
              <w:spacing w:after="40"/>
            </w:pPr>
            <w:r>
              <w:t>7 Sep 2018</w:t>
            </w:r>
          </w:p>
        </w:tc>
        <w:tc>
          <w:tcPr>
            <w:tcW w:w="2552" w:type="dxa"/>
            <w:tcBorders>
              <w:top w:val="nil"/>
              <w:left w:val="nil"/>
              <w:bottom w:val="nil"/>
            </w:tcBorders>
          </w:tcPr>
          <w:p>
            <w:pPr>
              <w:pStyle w:val="nTable"/>
              <w:spacing w:after="40"/>
            </w:pPr>
            <w:r>
              <w:t>1 Oct 2018 (see s. 2(b)(i))</w:t>
            </w:r>
          </w:p>
        </w:tc>
      </w:tr>
      <w:tr>
        <w:tc>
          <w:tcPr>
            <w:tcW w:w="7088" w:type="dxa"/>
            <w:gridSpan w:val="4"/>
            <w:tcBorders>
              <w:top w:val="nil"/>
              <w:bottom w:val="single" w:sz="8" w:space="0" w:color="auto"/>
            </w:tcBorders>
            <w:shd w:val="clear" w:color="auto" w:fill="auto"/>
          </w:tcPr>
          <w:p>
            <w:pPr>
              <w:pStyle w:val="nTable"/>
              <w:spacing w:after="40"/>
            </w:pPr>
            <w:r>
              <w:rPr>
                <w:b/>
              </w:rPr>
              <w:t xml:space="preserve">Reprint 1: The </w:t>
            </w:r>
            <w:r>
              <w:rPr>
                <w:b/>
                <w:i/>
                <w:noProof/>
              </w:rPr>
              <w:t>Education and Care Services National Law (WA) Act 2012</w:t>
            </w:r>
            <w:r>
              <w:rPr>
                <w:b/>
              </w:rPr>
              <w:t xml:space="preserve"> as at 18 Jan 2019</w:t>
            </w:r>
            <w:r>
              <w:t xml:space="preserve"> (includes amendments listed above)</w:t>
            </w:r>
          </w:p>
        </w:tc>
      </w:tr>
    </w:tbl>
    <w:p>
      <w:pPr>
        <w:pStyle w:val="nHeading3"/>
      </w:pPr>
      <w:bookmarkStart w:id="579" w:name="_Toc56672443"/>
      <w:bookmarkStart w:id="580" w:name="_Toc80612202"/>
      <w:r>
        <w:t>Other notes</w:t>
      </w:r>
      <w:bookmarkEnd w:id="579"/>
      <w:bookmarkEnd w:id="580"/>
    </w:p>
    <w:p>
      <w:pPr>
        <w:pStyle w:val="nNote"/>
        <w:spacing w:before="120"/>
      </w:pPr>
      <w:r>
        <w:rPr>
          <w:vertAlign w:val="superscript"/>
        </w:rPr>
        <w:t>1</w:t>
      </w:r>
      <w:r>
        <w:rPr>
          <w:vertAlign w:val="superscript"/>
        </w:rPr>
        <w:tab/>
      </w:r>
      <w:r>
        <w:t xml:space="preserve">See the </w:t>
      </w:r>
      <w:r>
        <w:rPr>
          <w:rStyle w:val="CharSchText"/>
          <w:i/>
        </w:rPr>
        <w:t>Education and Care Services National Law (Transitional) Regulations 2012</w:t>
      </w:r>
      <w:r>
        <w:rPr>
          <w:rStyle w:val="CharSchText"/>
        </w:rPr>
        <w:t xml:space="preserve"> published in </w:t>
      </w:r>
      <w:r>
        <w:rPr>
          <w:rStyle w:val="CharSchText"/>
          <w:i/>
        </w:rPr>
        <w:t>Gazette</w:t>
      </w:r>
      <w:r>
        <w:rPr>
          <w:rStyle w:val="CharSchText"/>
        </w:rPr>
        <w:t xml:space="preserve"> 25 Jul 2012 p. 3413-15 made under the </w:t>
      </w:r>
      <w:r>
        <w:rPr>
          <w:rStyle w:val="CharSchText"/>
          <w:i/>
        </w:rPr>
        <w:t>Education and Care Services National Law (WA) Act 2012</w:t>
      </w:r>
      <w:r>
        <w:rPr>
          <w:rStyle w:val="CharSchText"/>
        </w:rPr>
        <w:t xml:space="preserve"> section 19.</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582" w:name="_Toc80609388"/>
      <w:bookmarkStart w:id="583" w:name="_Toc80612203"/>
      <w:r>
        <w:rPr>
          <w:sz w:val="28"/>
        </w:rPr>
        <w:lastRenderedPageBreak/>
        <w:t>Defined terms</w:t>
      </w:r>
      <w:bookmarkEnd w:id="582"/>
      <w:bookmarkEnd w:id="583"/>
    </w:p>
    <w:p>
      <w:pPr>
        <w:ind w:left="850" w:right="850"/>
        <w:jc w:val="center"/>
        <w:rPr>
          <w:i/>
          <w:sz w:val="18"/>
        </w:rPr>
      </w:pPr>
    </w:p>
    <w:p>
      <w:pPr>
        <w:ind w:left="850" w:right="850"/>
        <w:jc w:val="center"/>
        <w:rPr>
          <w:i/>
          <w:sz w:val="18"/>
        </w:rPr>
      </w:pPr>
      <w:r>
        <w:rPr>
          <w:i/>
          <w:sz w:val="18"/>
        </w:rPr>
        <w:t>[This is a list of terms defined and the provisions where they are defined.  Unless otherwise indicated references are to provisions in the National Law set out in the Schedule to this Act.</w:t>
      </w:r>
    </w:p>
    <w:p>
      <w:pPr>
        <w:ind w:left="850" w:right="850"/>
        <w:jc w:val="center"/>
        <w:rPr>
          <w:i/>
          <w:sz w:val="18"/>
        </w:rPr>
      </w:pPr>
      <w:r>
        <w:rPr>
          <w:i/>
          <w:sz w:val="18"/>
        </w:rPr>
        <w:t>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2018 Act</w:t>
      </w:r>
      <w:r>
        <w:tab/>
        <w:t>325, 332</w:t>
      </w:r>
    </w:p>
    <w:p>
      <w:pPr>
        <w:pStyle w:val="DefinedTerms"/>
      </w:pPr>
      <w:r>
        <w:t>Act</w:t>
      </w:r>
      <w:r>
        <w:tab/>
        <w:t>Sch. 1 cl. 12(1)</w:t>
      </w:r>
    </w:p>
    <w:p>
      <w:pPr>
        <w:pStyle w:val="DefinedTerms"/>
      </w:pPr>
      <w:r>
        <w:t>adult</w:t>
      </w:r>
      <w:r>
        <w:tab/>
        <w:t>Sch. 1 cl. 12(1)</w:t>
      </w:r>
    </w:p>
    <w:p>
      <w:pPr>
        <w:pStyle w:val="DefinedTerms"/>
      </w:pPr>
      <w:r>
        <w:t>affidavit</w:t>
      </w:r>
      <w:r>
        <w:tab/>
        <w:t>Sch. 1 cl. 12(1)</w:t>
      </w:r>
    </w:p>
    <w:p>
      <w:pPr>
        <w:pStyle w:val="DefinedTerms"/>
      </w:pPr>
      <w:r>
        <w:t>amend</w:t>
      </w:r>
      <w:r>
        <w:tab/>
        <w:t>Sch. 1 cl. 12(1)</w:t>
      </w:r>
    </w:p>
    <w:p>
      <w:pPr>
        <w:pStyle w:val="DefinedTerms"/>
      </w:pPr>
      <w:r>
        <w:t>application period</w:t>
      </w:r>
      <w:r>
        <w:tab/>
        <w:t>330C(1)</w:t>
      </w:r>
    </w:p>
    <w:p>
      <w:pPr>
        <w:pStyle w:val="DefinedTerms"/>
      </w:pPr>
      <w:r>
        <w:t>appoint</w:t>
      </w:r>
      <w:r>
        <w:tab/>
        <w:t>Sch. 1 cl. 12(1)</w:t>
      </w:r>
    </w:p>
    <w:p>
      <w:pPr>
        <w:pStyle w:val="DefinedTerms"/>
      </w:pPr>
      <w:r>
        <w:t>appointed day</w:t>
      </w:r>
      <w:r>
        <w:tab/>
        <w:t>326(1), 328(1)</w:t>
      </w:r>
    </w:p>
    <w:p>
      <w:pPr>
        <w:pStyle w:val="DefinedTerms"/>
      </w:pPr>
      <w:r>
        <w:t>approved education and care service</w:t>
      </w:r>
      <w:r>
        <w:tab/>
        <w:t>5(1)</w:t>
      </w:r>
    </w:p>
    <w:p>
      <w:pPr>
        <w:pStyle w:val="DefinedTerms"/>
      </w:pPr>
      <w:r>
        <w:t>approved family day care service</w:t>
      </w:r>
      <w:r>
        <w:tab/>
        <w:t>5(1)</w:t>
      </w:r>
    </w:p>
    <w:p>
      <w:pPr>
        <w:pStyle w:val="DefinedTerms"/>
      </w:pPr>
      <w:r>
        <w:t>approved family day care venue</w:t>
      </w:r>
      <w:r>
        <w:tab/>
        <w:t>5(1)</w:t>
      </w:r>
    </w:p>
    <w:p>
      <w:pPr>
        <w:pStyle w:val="DefinedTerms"/>
      </w:pPr>
      <w:r>
        <w:t>approved learning framework</w:t>
      </w:r>
      <w:r>
        <w:tab/>
        <w:t>5(1)</w:t>
      </w:r>
    </w:p>
    <w:p>
      <w:pPr>
        <w:pStyle w:val="DefinedTerms"/>
      </w:pPr>
      <w:r>
        <w:t>approved provider</w:t>
      </w:r>
      <w:r>
        <w:tab/>
        <w:t>5(1)</w:t>
      </w:r>
    </w:p>
    <w:p>
      <w:pPr>
        <w:pStyle w:val="DefinedTerms"/>
      </w:pPr>
      <w:r>
        <w:t>assent day</w:t>
      </w:r>
      <w:r>
        <w:tab/>
        <w:t>Act s. 2(a)</w:t>
      </w:r>
    </w:p>
    <w:p>
      <w:pPr>
        <w:pStyle w:val="DefinedTerms"/>
      </w:pPr>
      <w:r>
        <w:t>associated children’s service</w:t>
      </w:r>
      <w:r>
        <w:tab/>
        <w:t>5(1)</w:t>
      </w:r>
    </w:p>
    <w:p>
      <w:pPr>
        <w:pStyle w:val="DefinedTerms"/>
      </w:pPr>
      <w:r>
        <w:t>Australia</w:t>
      </w:r>
      <w:r>
        <w:tab/>
        <w:t>Sch. 1 cl. 12(1)</w:t>
      </w:r>
    </w:p>
    <w:p>
      <w:pPr>
        <w:pStyle w:val="DefinedTerms"/>
      </w:pPr>
      <w:r>
        <w:t>Australian Accounting Standards</w:t>
      </w:r>
      <w:r>
        <w:tab/>
        <w:t>5(1)</w:t>
      </w:r>
    </w:p>
    <w:p>
      <w:pPr>
        <w:pStyle w:val="DefinedTerms"/>
      </w:pPr>
      <w:r>
        <w:t>authorised nominee</w:t>
      </w:r>
      <w:r>
        <w:tab/>
        <w:t>165A(5), 170(5)</w:t>
      </w:r>
    </w:p>
    <w:p>
      <w:pPr>
        <w:pStyle w:val="DefinedTerms"/>
      </w:pPr>
      <w:r>
        <w:t>authorised officer</w:t>
      </w:r>
      <w:r>
        <w:tab/>
        <w:t>5(1)</w:t>
      </w:r>
    </w:p>
    <w:p>
      <w:pPr>
        <w:pStyle w:val="DefinedTerms"/>
      </w:pPr>
      <w:r>
        <w:t>authorised person</w:t>
      </w:r>
      <w:r>
        <w:tab/>
        <w:t>170(5)</w:t>
      </w:r>
    </w:p>
    <w:p>
      <w:pPr>
        <w:pStyle w:val="DefinedTerms"/>
      </w:pPr>
      <w:r>
        <w:t>Authority Fund</w:t>
      </w:r>
      <w:r>
        <w:tab/>
        <w:t>5(1)</w:t>
      </w:r>
    </w:p>
    <w:p>
      <w:pPr>
        <w:pStyle w:val="DefinedTerms"/>
      </w:pPr>
      <w:r>
        <w:t>Board</w:t>
      </w:r>
      <w:r>
        <w:tab/>
        <w:t>5(1)</w:t>
      </w:r>
    </w:p>
    <w:p>
      <w:pPr>
        <w:pStyle w:val="DefinedTerms"/>
      </w:pPr>
      <w:r>
        <w:t>business day</w:t>
      </w:r>
      <w:r>
        <w:tab/>
        <w:t>Sch. 1 cl. 12(1)</w:t>
      </w:r>
    </w:p>
    <w:p>
      <w:pPr>
        <w:pStyle w:val="DefinedTerms"/>
      </w:pPr>
      <w:r>
        <w:t>calendar month</w:t>
      </w:r>
      <w:r>
        <w:tab/>
        <w:t>Sch. 1 cl. 12(1)</w:t>
      </w:r>
    </w:p>
    <w:p>
      <w:pPr>
        <w:pStyle w:val="DefinedTerms"/>
      </w:pPr>
      <w:r>
        <w:t>calendar year</w:t>
      </w:r>
      <w:r>
        <w:tab/>
        <w:t>Sch. 1 cl. 12(1)</w:t>
      </w:r>
    </w:p>
    <w:p>
      <w:pPr>
        <w:pStyle w:val="DefinedTerms"/>
      </w:pPr>
      <w:r>
        <w:t>chief executive officer</w:t>
      </w:r>
      <w:r>
        <w:tab/>
        <w:t>5(1)</w:t>
      </w:r>
    </w:p>
    <w:p>
      <w:pPr>
        <w:pStyle w:val="DefinedTerms"/>
      </w:pPr>
      <w:r>
        <w:t>child protection law</w:t>
      </w:r>
      <w:r>
        <w:tab/>
        <w:t>Act s. 6</w:t>
      </w:r>
    </w:p>
    <w:p>
      <w:pPr>
        <w:pStyle w:val="DefinedTerms"/>
      </w:pPr>
      <w:r>
        <w:t>children’s service</w:t>
      </w:r>
      <w:r>
        <w:tab/>
        <w:t>5(1)</w:t>
      </w:r>
    </w:p>
    <w:p>
      <w:pPr>
        <w:pStyle w:val="DefinedTerms"/>
      </w:pPr>
      <w:r>
        <w:t>children’s services law</w:t>
      </w:r>
      <w:r>
        <w:tab/>
        <w:t>5(1)</w:t>
      </w:r>
    </w:p>
    <w:p>
      <w:pPr>
        <w:pStyle w:val="DefinedTerms"/>
      </w:pPr>
      <w:r>
        <w:t>children’s services regulator</w:t>
      </w:r>
      <w:r>
        <w:tab/>
        <w:t>5(1)</w:t>
      </w:r>
    </w:p>
    <w:p>
      <w:pPr>
        <w:pStyle w:val="DefinedTerms"/>
      </w:pPr>
      <w:r>
        <w:t>commencement</w:t>
      </w:r>
      <w:r>
        <w:tab/>
        <w:t>Sch. 1 cl. 12(1)</w:t>
      </w:r>
    </w:p>
    <w:p>
      <w:pPr>
        <w:pStyle w:val="DefinedTerms"/>
      </w:pPr>
      <w:r>
        <w:t>commencement day</w:t>
      </w:r>
      <w:r>
        <w:tab/>
        <w:t>325, 332</w:t>
      </w:r>
    </w:p>
    <w:p>
      <w:pPr>
        <w:pStyle w:val="DefinedTerms"/>
      </w:pPr>
      <w:r>
        <w:t>Commonwealth</w:t>
      </w:r>
      <w:r>
        <w:tab/>
        <w:t>Sch. 1 cl. 12(1)</w:t>
      </w:r>
    </w:p>
    <w:p>
      <w:pPr>
        <w:pStyle w:val="DefinedTerms"/>
      </w:pPr>
      <w:r>
        <w:t>Commonwealth Minister</w:t>
      </w:r>
      <w:r>
        <w:tab/>
        <w:t>5(1)</w:t>
      </w:r>
    </w:p>
    <w:p>
      <w:pPr>
        <w:pStyle w:val="DefinedTerms"/>
      </w:pPr>
      <w:r>
        <w:t>community kindergarten</w:t>
      </w:r>
      <w:r>
        <w:tab/>
        <w:t>5(1)</w:t>
      </w:r>
    </w:p>
    <w:p>
      <w:pPr>
        <w:pStyle w:val="DefinedTerms"/>
      </w:pPr>
      <w:r>
        <w:t>compliance direction</w:t>
      </w:r>
      <w:r>
        <w:tab/>
        <w:t>5(1)</w:t>
      </w:r>
    </w:p>
    <w:p>
      <w:pPr>
        <w:pStyle w:val="DefinedTerms"/>
      </w:pPr>
      <w:r>
        <w:t>compliance notice</w:t>
      </w:r>
      <w:r>
        <w:tab/>
        <w:t>5(1)</w:t>
      </w:r>
    </w:p>
    <w:p>
      <w:pPr>
        <w:pStyle w:val="DefinedTerms"/>
      </w:pPr>
      <w:r>
        <w:t>confer</w:t>
      </w:r>
      <w:r>
        <w:tab/>
        <w:t>Sch. 1 cl. 12(1)</w:t>
      </w:r>
    </w:p>
    <w:p>
      <w:pPr>
        <w:pStyle w:val="DefinedTerms"/>
      </w:pPr>
      <w:r>
        <w:lastRenderedPageBreak/>
        <w:t>contravene</w:t>
      </w:r>
      <w:r>
        <w:tab/>
        <w:t>Sch. 1 cl. 12(1)</w:t>
      </w:r>
    </w:p>
    <w:p>
      <w:pPr>
        <w:pStyle w:val="DefinedTerms"/>
      </w:pPr>
      <w:r>
        <w:t>country</w:t>
      </w:r>
      <w:r>
        <w:tab/>
        <w:t>Sch. 1 cl. 12(1)</w:t>
      </w:r>
    </w:p>
    <w:p>
      <w:pPr>
        <w:pStyle w:val="DefinedTerms"/>
      </w:pPr>
      <w:r>
        <w:t>court</w:t>
      </w:r>
      <w:r>
        <w:tab/>
        <w:t>Act s. 6</w:t>
      </w:r>
    </w:p>
    <w:p>
      <w:pPr>
        <w:pStyle w:val="DefinedTerms"/>
      </w:pPr>
      <w:r>
        <w:t>date of assent</w:t>
      </w:r>
      <w:r>
        <w:tab/>
        <w:t>Sch. 1 cl. 12(1)</w:t>
      </w:r>
    </w:p>
    <w:p>
      <w:pPr>
        <w:pStyle w:val="DefinedTerms"/>
      </w:pPr>
      <w:r>
        <w:t>de facto relationship</w:t>
      </w:r>
      <w:r>
        <w:tab/>
        <w:t>Act s. 6</w:t>
      </w:r>
    </w:p>
    <w:p>
      <w:pPr>
        <w:pStyle w:val="DefinedTerms"/>
      </w:pPr>
      <w:r>
        <w:t>declared approved family day care service</w:t>
      </w:r>
      <w:r>
        <w:tab/>
        <w:t>305</w:t>
      </w:r>
    </w:p>
    <w:p>
      <w:pPr>
        <w:pStyle w:val="DefinedTerms"/>
      </w:pPr>
      <w:r>
        <w:t>declared approved family day care venue</w:t>
      </w:r>
      <w:r>
        <w:tab/>
        <w:t>305</w:t>
      </w:r>
    </w:p>
    <w:p>
      <w:pPr>
        <w:pStyle w:val="DefinedTerms"/>
      </w:pPr>
      <w:r>
        <w:t>declared approved provider</w:t>
      </w:r>
      <w:r>
        <w:tab/>
        <w:t>305</w:t>
      </w:r>
    </w:p>
    <w:p>
      <w:pPr>
        <w:pStyle w:val="DefinedTerms"/>
      </w:pPr>
      <w:r>
        <w:t>declared approved service</w:t>
      </w:r>
      <w:r>
        <w:tab/>
        <w:t>305</w:t>
      </w:r>
    </w:p>
    <w:p>
      <w:pPr>
        <w:pStyle w:val="DefinedTerms"/>
      </w:pPr>
      <w:r>
        <w:t>declared compliance notice</w:t>
      </w:r>
      <w:r>
        <w:tab/>
        <w:t>305</w:t>
      </w:r>
    </w:p>
    <w:p>
      <w:pPr>
        <w:pStyle w:val="DefinedTerms"/>
      </w:pPr>
      <w:r>
        <w:t>declared enforceable undertaking</w:t>
      </w:r>
      <w:r>
        <w:tab/>
        <w:t>305</w:t>
      </w:r>
    </w:p>
    <w:p>
      <w:pPr>
        <w:pStyle w:val="DefinedTerms"/>
      </w:pPr>
      <w:r>
        <w:t>declared nominated supervisor</w:t>
      </w:r>
      <w:r>
        <w:tab/>
        <w:t>305</w:t>
      </w:r>
    </w:p>
    <w:p>
      <w:pPr>
        <w:pStyle w:val="DefinedTerms"/>
      </w:pPr>
      <w:r>
        <w:t>declared out of scope service</w:t>
      </w:r>
      <w:r>
        <w:tab/>
        <w:t>305</w:t>
      </w:r>
    </w:p>
    <w:p>
      <w:pPr>
        <w:pStyle w:val="DefinedTerms"/>
      </w:pPr>
      <w:r>
        <w:t>definition</w:t>
      </w:r>
      <w:r>
        <w:tab/>
        <w:t>Sch. 1 cl. 12(1)</w:t>
      </w:r>
    </w:p>
    <w:p>
      <w:pPr>
        <w:pStyle w:val="DefinedTerms"/>
      </w:pPr>
      <w:r>
        <w:t>disciplinary action</w:t>
      </w:r>
      <w:r>
        <w:tab/>
        <w:t>5(1)</w:t>
      </w:r>
    </w:p>
    <w:p>
      <w:pPr>
        <w:pStyle w:val="DefinedTerms"/>
      </w:pPr>
      <w:r>
        <w:t>disclosed information</w:t>
      </w:r>
      <w:r>
        <w:tab/>
        <w:t>219(4)</w:t>
      </w:r>
    </w:p>
    <w:p>
      <w:pPr>
        <w:pStyle w:val="DefinedTerms"/>
      </w:pPr>
      <w:r>
        <w:t>document</w:t>
      </w:r>
      <w:r>
        <w:tab/>
        <w:t>Sch. 1 cl. 12(1)</w:t>
      </w:r>
    </w:p>
    <w:p>
      <w:pPr>
        <w:pStyle w:val="DefinedTerms"/>
      </w:pPr>
      <w:r>
        <w:t>education and care service</w:t>
      </w:r>
      <w:r>
        <w:tab/>
        <w:t>5(1)</w:t>
      </w:r>
    </w:p>
    <w:p>
      <w:pPr>
        <w:pStyle w:val="DefinedTerms"/>
      </w:pPr>
      <w:r>
        <w:t>education and care service premises</w:t>
      </w:r>
      <w:r>
        <w:tab/>
        <w:t>5(1)</w:t>
      </w:r>
    </w:p>
    <w:p>
      <w:pPr>
        <w:pStyle w:val="DefinedTerms"/>
      </w:pPr>
      <w:r>
        <w:t>Education and Care Services National Law (Western Australia)</w:t>
      </w:r>
      <w:r>
        <w:tab/>
        <w:t>Act s. 3(2)</w:t>
      </w:r>
    </w:p>
    <w:p>
      <w:pPr>
        <w:pStyle w:val="DefinedTerms"/>
      </w:pPr>
      <w:r>
        <w:t>education law</w:t>
      </w:r>
      <w:r>
        <w:tab/>
        <w:t>5(1)</w:t>
      </w:r>
    </w:p>
    <w:p>
      <w:pPr>
        <w:pStyle w:val="DefinedTerms"/>
      </w:pPr>
      <w:r>
        <w:t>educational program</w:t>
      </w:r>
      <w:r>
        <w:tab/>
        <w:t>5(1)</w:t>
      </w:r>
    </w:p>
    <w:p>
      <w:pPr>
        <w:pStyle w:val="DefinedTerms"/>
      </w:pPr>
      <w:r>
        <w:t>educator</w:t>
      </w:r>
      <w:r>
        <w:tab/>
        <w:t>5(1)</w:t>
      </w:r>
    </w:p>
    <w:p>
      <w:pPr>
        <w:pStyle w:val="DefinedTerms"/>
      </w:pPr>
      <w:r>
        <w:t>electronic communication</w:t>
      </w:r>
      <w:r>
        <w:tab/>
        <w:t>Sch. 1 cl. 12(1)</w:t>
      </w:r>
    </w:p>
    <w:p>
      <w:pPr>
        <w:pStyle w:val="DefinedTerms"/>
      </w:pPr>
      <w:r>
        <w:t>eligible association</w:t>
      </w:r>
      <w:r>
        <w:tab/>
        <w:t>5(1)</w:t>
      </w:r>
    </w:p>
    <w:p>
      <w:pPr>
        <w:pStyle w:val="DefinedTerms"/>
      </w:pPr>
      <w:r>
        <w:t>estate</w:t>
      </w:r>
      <w:r>
        <w:tab/>
        <w:t>Sch. 1 cl. 12(1)</w:t>
      </w:r>
    </w:p>
    <w:p>
      <w:pPr>
        <w:pStyle w:val="DefinedTerms"/>
      </w:pPr>
      <w:r>
        <w:t>executor</w:t>
      </w:r>
      <w:r>
        <w:tab/>
        <w:t>5(1)</w:t>
      </w:r>
    </w:p>
    <w:p>
      <w:pPr>
        <w:pStyle w:val="DefinedTerms"/>
      </w:pPr>
      <w:r>
        <w:t>expire</w:t>
      </w:r>
      <w:r>
        <w:tab/>
        <w:t>Sch. 1 cl. 12(1)</w:t>
      </w:r>
    </w:p>
    <w:p>
      <w:pPr>
        <w:pStyle w:val="DefinedTerms"/>
      </w:pPr>
      <w:r>
        <w:t>external Territory</w:t>
      </w:r>
      <w:r>
        <w:tab/>
        <w:t>Sch. 1 cl. 12(1)</w:t>
      </w:r>
    </w:p>
    <w:p>
      <w:pPr>
        <w:pStyle w:val="DefinedTerms"/>
      </w:pPr>
      <w:r>
        <w:t>extrinsic material</w:t>
      </w:r>
      <w:r>
        <w:tab/>
        <w:t>Sch. 1 cl. 8(1)</w:t>
      </w:r>
    </w:p>
    <w:p>
      <w:pPr>
        <w:pStyle w:val="DefinedTerms"/>
      </w:pPr>
      <w:r>
        <w:t>fail</w:t>
      </w:r>
      <w:r>
        <w:tab/>
        <w:t>Sch. 1 cl. 12(1)</w:t>
      </w:r>
    </w:p>
    <w:p>
      <w:pPr>
        <w:pStyle w:val="DefinedTerms"/>
      </w:pPr>
      <w:r>
        <w:t>family day care co</w:t>
      </w:r>
      <w:r>
        <w:noBreakHyphen/>
        <w:t>ordinator</w:t>
      </w:r>
      <w:r>
        <w:tab/>
        <w:t>5(1)</w:t>
      </w:r>
    </w:p>
    <w:p>
      <w:pPr>
        <w:pStyle w:val="DefinedTerms"/>
      </w:pPr>
      <w:r>
        <w:t>family day care educator</w:t>
      </w:r>
      <w:r>
        <w:tab/>
        <w:t>5(1)</w:t>
      </w:r>
    </w:p>
    <w:p>
      <w:pPr>
        <w:pStyle w:val="DefinedTerms"/>
      </w:pPr>
      <w:r>
        <w:t>family day care educator assistant</w:t>
      </w:r>
      <w:r>
        <w:tab/>
        <w:t>5(1)</w:t>
      </w:r>
    </w:p>
    <w:p>
      <w:pPr>
        <w:pStyle w:val="DefinedTerms"/>
      </w:pPr>
      <w:r>
        <w:t>family day care residence</w:t>
      </w:r>
      <w:r>
        <w:tab/>
        <w:t>5(1)</w:t>
      </w:r>
    </w:p>
    <w:p>
      <w:pPr>
        <w:pStyle w:val="DefinedTerms"/>
      </w:pPr>
      <w:r>
        <w:t>family day care service</w:t>
      </w:r>
      <w:r>
        <w:tab/>
        <w:t>5(1)</w:t>
      </w:r>
    </w:p>
    <w:p>
      <w:pPr>
        <w:pStyle w:val="DefinedTerms"/>
      </w:pPr>
      <w:r>
        <w:t>family member</w:t>
      </w:r>
      <w:r>
        <w:tab/>
        <w:t>5(1)</w:t>
      </w:r>
    </w:p>
    <w:p>
      <w:pPr>
        <w:pStyle w:val="DefinedTerms"/>
      </w:pPr>
      <w:r>
        <w:t>financial year</w:t>
      </w:r>
      <w:r>
        <w:tab/>
        <w:t>Sch. 1 cl. 12(1)</w:t>
      </w:r>
    </w:p>
    <w:p>
      <w:pPr>
        <w:pStyle w:val="DefinedTerms"/>
      </w:pPr>
      <w:r>
        <w:t>FOI Act</w:t>
      </w:r>
      <w:r>
        <w:tab/>
        <w:t>264(4)</w:t>
      </w:r>
    </w:p>
    <w:p>
      <w:pPr>
        <w:pStyle w:val="DefinedTerms"/>
      </w:pPr>
      <w:r>
        <w:t>foreign country</w:t>
      </w:r>
      <w:r>
        <w:tab/>
        <w:t>Sch. 1 cl. 12(1)</w:t>
      </w:r>
    </w:p>
    <w:p>
      <w:pPr>
        <w:pStyle w:val="DefinedTerms"/>
      </w:pPr>
      <w:r>
        <w:t>former approval</w:t>
      </w:r>
      <w:r>
        <w:tab/>
        <w:t>305</w:t>
      </w:r>
    </w:p>
    <w:p>
      <w:pPr>
        <w:pStyle w:val="DefinedTerms"/>
      </w:pPr>
      <w:r>
        <w:t>former education and care services law</w:t>
      </w:r>
      <w:r>
        <w:tab/>
        <w:t>5(1)</w:t>
      </w:r>
    </w:p>
    <w:p>
      <w:pPr>
        <w:pStyle w:val="DefinedTerms"/>
      </w:pPr>
      <w:r>
        <w:t>formerly approved family day care venue</w:t>
      </w:r>
      <w:r>
        <w:tab/>
        <w:t>326(1)</w:t>
      </w:r>
    </w:p>
    <w:p>
      <w:pPr>
        <w:pStyle w:val="DefinedTerms"/>
      </w:pPr>
      <w:r>
        <w:t>function</w:t>
      </w:r>
      <w:r>
        <w:tab/>
        <w:t>Sch. 1 cl. 12(1)</w:t>
      </w:r>
    </w:p>
    <w:p>
      <w:pPr>
        <w:pStyle w:val="DefinedTerms"/>
      </w:pPr>
      <w:r>
        <w:t>Gazette</w:t>
      </w:r>
      <w:r>
        <w:tab/>
        <w:t>Sch. 1 cl. 12(1)</w:t>
      </w:r>
    </w:p>
    <w:p>
      <w:pPr>
        <w:pStyle w:val="DefinedTerms"/>
      </w:pPr>
      <w:r>
        <w:lastRenderedPageBreak/>
        <w:t>Gazette notice</w:t>
      </w:r>
      <w:r>
        <w:tab/>
        <w:t>Sch. 1 cl. 12(1)</w:t>
      </w:r>
    </w:p>
    <w:p>
      <w:pPr>
        <w:pStyle w:val="DefinedTerms"/>
      </w:pPr>
      <w:r>
        <w:t>gazetted</w:t>
      </w:r>
      <w:r>
        <w:tab/>
        <w:t>Sch. 1 cl. 12(1)</w:t>
      </w:r>
    </w:p>
    <w:p>
      <w:pPr>
        <w:pStyle w:val="DefinedTerms"/>
      </w:pPr>
      <w:r>
        <w:t>Government Printer</w:t>
      </w:r>
      <w:r>
        <w:tab/>
        <w:t>Sch. 1 cl. 12(1)</w:t>
      </w:r>
    </w:p>
    <w:p>
      <w:pPr>
        <w:pStyle w:val="DefinedTerms"/>
      </w:pPr>
      <w:r>
        <w:t>grade 1</w:t>
      </w:r>
      <w:r>
        <w:tab/>
        <w:t>5(1)</w:t>
      </w:r>
    </w:p>
    <w:p>
      <w:pPr>
        <w:pStyle w:val="DefinedTerms"/>
      </w:pPr>
      <w:r>
        <w:t>guardian</w:t>
      </w:r>
      <w:r>
        <w:tab/>
        <w:t>5(1)</w:t>
      </w:r>
    </w:p>
    <w:p>
      <w:pPr>
        <w:pStyle w:val="DefinedTerms"/>
      </w:pPr>
      <w:r>
        <w:t>inappropriate person</w:t>
      </w:r>
      <w:r>
        <w:tab/>
        <w:t>171(3)</w:t>
      </w:r>
    </w:p>
    <w:p>
      <w:pPr>
        <w:pStyle w:val="DefinedTerms"/>
      </w:pPr>
      <w:r>
        <w:t>individual</w:t>
      </w:r>
      <w:r>
        <w:tab/>
        <w:t>Sch. 1 cl. 12(1)</w:t>
      </w:r>
    </w:p>
    <w:p>
      <w:pPr>
        <w:pStyle w:val="DefinedTerms"/>
      </w:pPr>
      <w:r>
        <w:t>information system</w:t>
      </w:r>
      <w:r>
        <w:tab/>
        <w:t>Sch. 1 cl. 12(1)</w:t>
      </w:r>
    </w:p>
    <w:p>
      <w:pPr>
        <w:pStyle w:val="DefinedTerms"/>
      </w:pPr>
      <w:r>
        <w:t>infringements law</w:t>
      </w:r>
      <w:r>
        <w:tab/>
        <w:t>5(1)</w:t>
      </w:r>
    </w:p>
    <w:p>
      <w:pPr>
        <w:pStyle w:val="DefinedTerms"/>
      </w:pPr>
      <w:r>
        <w:t>insert</w:t>
      </w:r>
      <w:r>
        <w:tab/>
        <w:t>Sch. 1 cl. 12(1)</w:t>
      </w:r>
    </w:p>
    <w:p>
      <w:pPr>
        <w:pStyle w:val="DefinedTerms"/>
      </w:pPr>
      <w:r>
        <w:t>instrument</w:t>
      </w:r>
      <w:r>
        <w:tab/>
        <w:t>Sch. 1 cl. 12(1)</w:t>
      </w:r>
    </w:p>
    <w:p>
      <w:pPr>
        <w:pStyle w:val="DefinedTerms"/>
      </w:pPr>
      <w:r>
        <w:t>interest</w:t>
      </w:r>
      <w:r>
        <w:tab/>
        <w:t>Sch. 1 cl. 12(1)</w:t>
      </w:r>
    </w:p>
    <w:p>
      <w:pPr>
        <w:pStyle w:val="DefinedTerms"/>
      </w:pPr>
      <w:r>
        <w:t>internal Territory</w:t>
      </w:r>
      <w:r>
        <w:tab/>
        <w:t>Sch. 1 cl. 12(1)</w:t>
      </w:r>
    </w:p>
    <w:p>
      <w:pPr>
        <w:pStyle w:val="DefinedTerms"/>
      </w:pPr>
      <w:r>
        <w:t>Jervis Bay Territory</w:t>
      </w:r>
      <w:r>
        <w:tab/>
        <w:t>Sch. 1 cl. 12(1)</w:t>
      </w:r>
    </w:p>
    <w:p>
      <w:pPr>
        <w:pStyle w:val="DefinedTerms"/>
      </w:pPr>
      <w:r>
        <w:t>local application provisions of this Act</w:t>
      </w:r>
      <w:r>
        <w:tab/>
        <w:t>Act s. 3(1)</w:t>
      </w:r>
    </w:p>
    <w:p>
      <w:pPr>
        <w:pStyle w:val="DefinedTerms"/>
      </w:pPr>
      <w:r>
        <w:t>local authority</w:t>
      </w:r>
      <w:r>
        <w:tab/>
        <w:t>Act s. 6</w:t>
      </w:r>
    </w:p>
    <w:p>
      <w:pPr>
        <w:pStyle w:val="DefinedTerms"/>
      </w:pPr>
      <w:r>
        <w:t>magistrate</w:t>
      </w:r>
      <w:r>
        <w:tab/>
        <w:t>Act s. 6</w:t>
      </w:r>
    </w:p>
    <w:p>
      <w:pPr>
        <w:pStyle w:val="DefinedTerms"/>
      </w:pPr>
      <w:r>
        <w:t>make</w:t>
      </w:r>
      <w:r>
        <w:tab/>
        <w:t>Sch. 1 cl. 12(1)</w:t>
      </w:r>
    </w:p>
    <w:p>
      <w:pPr>
        <w:pStyle w:val="DefinedTerms"/>
      </w:pPr>
      <w:r>
        <w:t>Ministerial Council</w:t>
      </w:r>
      <w:r>
        <w:tab/>
        <w:t>5(1)</w:t>
      </w:r>
    </w:p>
    <w:p>
      <w:pPr>
        <w:pStyle w:val="DefinedTerms"/>
      </w:pPr>
      <w:r>
        <w:t>minor</w:t>
      </w:r>
      <w:r>
        <w:tab/>
        <w:t>Sch. 1 cl. 12(1)</w:t>
      </w:r>
    </w:p>
    <w:p>
      <w:pPr>
        <w:pStyle w:val="DefinedTerms"/>
      </w:pPr>
      <w:r>
        <w:t>modification</w:t>
      </w:r>
      <w:r>
        <w:tab/>
        <w:t>Sch. 1 cl. 12(1)</w:t>
      </w:r>
    </w:p>
    <w:p>
      <w:pPr>
        <w:pStyle w:val="DefinedTerms"/>
      </w:pPr>
      <w:r>
        <w:t>monetary order</w:t>
      </w:r>
      <w:r>
        <w:tab/>
        <w:t>25(2), 70(2)</w:t>
      </w:r>
    </w:p>
    <w:p>
      <w:pPr>
        <w:pStyle w:val="DefinedTerms"/>
      </w:pPr>
      <w:r>
        <w:t>month</w:t>
      </w:r>
      <w:r>
        <w:tab/>
        <w:t>Sch. 1 cl. 12(1)</w:t>
      </w:r>
    </w:p>
    <w:p>
      <w:pPr>
        <w:pStyle w:val="DefinedTerms"/>
      </w:pPr>
      <w:r>
        <w:t>named month</w:t>
      </w:r>
      <w:r>
        <w:tab/>
        <w:t>Sch. 1 cl. 12(1)</w:t>
      </w:r>
    </w:p>
    <w:p>
      <w:pPr>
        <w:pStyle w:val="DefinedTerms"/>
      </w:pPr>
      <w:r>
        <w:t>National Authority</w:t>
      </w:r>
      <w:r>
        <w:tab/>
        <w:t>5(1)</w:t>
      </w:r>
    </w:p>
    <w:p>
      <w:pPr>
        <w:pStyle w:val="DefinedTerms"/>
      </w:pPr>
      <w:r>
        <w:t>national education and care services quality framework</w:t>
      </w:r>
      <w:r>
        <w:tab/>
        <w:t>5(1)</w:t>
      </w:r>
    </w:p>
    <w:p>
      <w:pPr>
        <w:pStyle w:val="DefinedTerms"/>
      </w:pPr>
      <w:r>
        <w:t>National Partnership Agreement</w:t>
      </w:r>
      <w:r>
        <w:tab/>
        <w:t>5(1)</w:t>
      </w:r>
    </w:p>
    <w:p>
      <w:pPr>
        <w:pStyle w:val="DefinedTerms"/>
      </w:pPr>
      <w:r>
        <w:t>National Quality Framework</w:t>
      </w:r>
      <w:r>
        <w:tab/>
        <w:t>5(1)</w:t>
      </w:r>
    </w:p>
    <w:p>
      <w:pPr>
        <w:pStyle w:val="DefinedTerms"/>
      </w:pPr>
      <w:r>
        <w:t>National Quality Standard</w:t>
      </w:r>
      <w:r>
        <w:tab/>
        <w:t>5(1)</w:t>
      </w:r>
    </w:p>
    <w:p>
      <w:pPr>
        <w:pStyle w:val="DefinedTerms"/>
      </w:pPr>
      <w:r>
        <w:t>national regulations</w:t>
      </w:r>
      <w:r>
        <w:tab/>
        <w:t>5(1)</w:t>
      </w:r>
    </w:p>
    <w:p>
      <w:pPr>
        <w:pStyle w:val="DefinedTerms"/>
      </w:pPr>
      <w:r>
        <w:t>nominated supervisor</w:t>
      </w:r>
      <w:r>
        <w:tab/>
        <w:t>5(1)</w:t>
      </w:r>
    </w:p>
    <w:p>
      <w:pPr>
        <w:pStyle w:val="DefinedTerms"/>
      </w:pPr>
      <w:r>
        <w:t>Northern Territory</w:t>
      </w:r>
      <w:r>
        <w:tab/>
        <w:t>Sch. 1 cl. 12(1)</w:t>
      </w:r>
    </w:p>
    <w:p>
      <w:pPr>
        <w:pStyle w:val="DefinedTerms"/>
      </w:pPr>
      <w:r>
        <w:t>number</w:t>
      </w:r>
      <w:r>
        <w:tab/>
        <w:t>Sch. 1 cl. 12(1)</w:t>
      </w:r>
    </w:p>
    <w:p>
      <w:pPr>
        <w:pStyle w:val="DefinedTerms"/>
      </w:pPr>
      <w:r>
        <w:t>oath</w:t>
      </w:r>
      <w:r>
        <w:tab/>
        <w:t>Sch. 1 cl. 12(1)</w:t>
      </w:r>
    </w:p>
    <w:p>
      <w:pPr>
        <w:pStyle w:val="DefinedTerms"/>
      </w:pPr>
      <w:r>
        <w:t>office</w:t>
      </w:r>
      <w:r>
        <w:tab/>
        <w:t>5(1), Sch.1 cl. 12(1)</w:t>
      </w:r>
    </w:p>
    <w:p>
      <w:pPr>
        <w:pStyle w:val="DefinedTerms"/>
      </w:pPr>
      <w:r>
        <w:t>Ombudsman Act</w:t>
      </w:r>
      <w:r>
        <w:tab/>
        <w:t>282(4)</w:t>
      </w:r>
    </w:p>
    <w:p>
      <w:pPr>
        <w:pStyle w:val="DefinedTerms"/>
      </w:pPr>
      <w:r>
        <w:t>omit</w:t>
      </w:r>
      <w:r>
        <w:tab/>
        <w:t>Sch. 1 cl. 12(1)</w:t>
      </w:r>
    </w:p>
    <w:p>
      <w:pPr>
        <w:pStyle w:val="DefinedTerms"/>
      </w:pPr>
      <w:r>
        <w:t>ordinary meaning</w:t>
      </w:r>
      <w:r>
        <w:tab/>
        <w:t>Sch. 1 cl. 8(1)</w:t>
      </w:r>
    </w:p>
    <w:p>
      <w:pPr>
        <w:pStyle w:val="DefinedTerms"/>
      </w:pPr>
      <w:r>
        <w:t>parent</w:t>
      </w:r>
      <w:r>
        <w:tab/>
        <w:t>5(1), 165A(5)</w:t>
      </w:r>
    </w:p>
    <w:p>
      <w:pPr>
        <w:pStyle w:val="DefinedTerms"/>
      </w:pPr>
      <w:r>
        <w:t>Part 2</w:t>
      </w:r>
      <w:r>
        <w:tab/>
        <w:t>Act s. 2(b)(ii)</w:t>
      </w:r>
    </w:p>
    <w:p>
      <w:pPr>
        <w:pStyle w:val="DefinedTerms"/>
      </w:pPr>
      <w:r>
        <w:t>participating jurisdiction</w:t>
      </w:r>
      <w:r>
        <w:tab/>
        <w:t>5(1)</w:t>
      </w:r>
    </w:p>
    <w:p>
      <w:pPr>
        <w:pStyle w:val="DefinedTerms"/>
      </w:pPr>
      <w:r>
        <w:t>party</w:t>
      </w:r>
      <w:r>
        <w:tab/>
        <w:t>Sch. 1 cl. 12(1)</w:t>
      </w:r>
    </w:p>
    <w:p>
      <w:pPr>
        <w:pStyle w:val="DefinedTerms"/>
      </w:pPr>
      <w:r>
        <w:t>payment</w:t>
      </w:r>
      <w:r>
        <w:tab/>
        <w:t>5(1)</w:t>
      </w:r>
    </w:p>
    <w:p>
      <w:pPr>
        <w:pStyle w:val="DefinedTerms"/>
      </w:pPr>
      <w:r>
        <w:t>penalty</w:t>
      </w:r>
      <w:r>
        <w:tab/>
        <w:t>Sch. 1 cl. 12(1)</w:t>
      </w:r>
    </w:p>
    <w:p>
      <w:pPr>
        <w:pStyle w:val="DefinedTerms"/>
      </w:pPr>
      <w:r>
        <w:t>person</w:t>
      </w:r>
      <w:r>
        <w:tab/>
        <w:t>5(1)</w:t>
      </w:r>
    </w:p>
    <w:p>
      <w:pPr>
        <w:pStyle w:val="DefinedTerms"/>
      </w:pPr>
      <w:r>
        <w:lastRenderedPageBreak/>
        <w:t>person in day</w:t>
      </w:r>
      <w:r>
        <w:noBreakHyphen/>
        <w:t>to</w:t>
      </w:r>
      <w:r>
        <w:noBreakHyphen/>
        <w:t>day charge</w:t>
      </w:r>
      <w:r>
        <w:tab/>
        <w:t>5(1)</w:t>
      </w:r>
    </w:p>
    <w:p>
      <w:pPr>
        <w:pStyle w:val="DefinedTerms"/>
      </w:pPr>
      <w:r>
        <w:t>person linked to a WA service</w:t>
      </w:r>
      <w:r>
        <w:tab/>
        <w:t>188AA</w:t>
      </w:r>
    </w:p>
    <w:p>
      <w:pPr>
        <w:pStyle w:val="DefinedTerms"/>
      </w:pPr>
      <w:r>
        <w:t>person with management or control</w:t>
      </w:r>
      <w:r>
        <w:tab/>
        <w:t>5(1)</w:t>
      </w:r>
    </w:p>
    <w:p>
      <w:pPr>
        <w:pStyle w:val="DefinedTerms"/>
      </w:pPr>
      <w:r>
        <w:t>personal arrangement</w:t>
      </w:r>
      <w:r>
        <w:tab/>
        <w:t>5(1)</w:t>
      </w:r>
    </w:p>
    <w:p>
      <w:pPr>
        <w:pStyle w:val="DefinedTerms"/>
      </w:pPr>
      <w:r>
        <w:t>power</w:t>
      </w:r>
      <w:r>
        <w:tab/>
        <w:t>Sch. 1 cl. 12(1)</w:t>
      </w:r>
    </w:p>
    <w:p>
      <w:pPr>
        <w:pStyle w:val="DefinedTerms"/>
      </w:pPr>
      <w:r>
        <w:t>prescribed</w:t>
      </w:r>
      <w:r>
        <w:tab/>
        <w:t>Sch. 1 cl. 12(1)</w:t>
      </w:r>
    </w:p>
    <w:p>
      <w:pPr>
        <w:pStyle w:val="DefinedTerms"/>
      </w:pPr>
      <w:r>
        <w:t>prescribed ineligible person</w:t>
      </w:r>
      <w:r>
        <w:tab/>
        <w:t>5(1)</w:t>
      </w:r>
    </w:p>
    <w:p>
      <w:pPr>
        <w:pStyle w:val="DefinedTerms"/>
      </w:pPr>
      <w:r>
        <w:t>printed</w:t>
      </w:r>
      <w:r>
        <w:tab/>
        <w:t>Sch. 1 cl. 12(1)</w:t>
      </w:r>
    </w:p>
    <w:p>
      <w:pPr>
        <w:pStyle w:val="DefinedTerms"/>
      </w:pPr>
      <w:r>
        <w:t>Privacy Act</w:t>
      </w:r>
      <w:r>
        <w:tab/>
        <w:t>263(4)</w:t>
      </w:r>
    </w:p>
    <w:p>
      <w:pPr>
        <w:pStyle w:val="DefinedTerms"/>
      </w:pPr>
      <w:r>
        <w:t>proceeding</w:t>
      </w:r>
      <w:r>
        <w:tab/>
        <w:t>Sch. 1 cl. 12(1)</w:t>
      </w:r>
    </w:p>
    <w:p>
      <w:pPr>
        <w:pStyle w:val="DefinedTerms"/>
      </w:pPr>
      <w:r>
        <w:t>prohibition notice</w:t>
      </w:r>
      <w:r>
        <w:tab/>
        <w:t>5(1)</w:t>
      </w:r>
    </w:p>
    <w:p>
      <w:pPr>
        <w:pStyle w:val="DefinedTerms"/>
      </w:pPr>
      <w:r>
        <w:t>property</w:t>
      </w:r>
      <w:r>
        <w:tab/>
        <w:t>Sch. 1 cl. 12(1)</w:t>
      </w:r>
    </w:p>
    <w:p>
      <w:pPr>
        <w:pStyle w:val="DefinedTerms"/>
      </w:pPr>
      <w:r>
        <w:t>protected disclosure</w:t>
      </w:r>
      <w:r>
        <w:tab/>
        <w:t>5(1), 296</w:t>
      </w:r>
    </w:p>
    <w:p>
      <w:pPr>
        <w:pStyle w:val="DefinedTerms"/>
      </w:pPr>
      <w:r>
        <w:t>protected information</w:t>
      </w:r>
      <w:r>
        <w:tab/>
        <w:t>273(3)</w:t>
      </w:r>
    </w:p>
    <w:p>
      <w:pPr>
        <w:pStyle w:val="DefinedTerms"/>
      </w:pPr>
      <w:r>
        <w:t>provider approval</w:t>
      </w:r>
      <w:r>
        <w:tab/>
        <w:t>5(1)</w:t>
      </w:r>
    </w:p>
    <w:p>
      <w:pPr>
        <w:pStyle w:val="DefinedTerms"/>
      </w:pPr>
      <w:r>
        <w:t>provision</w:t>
      </w:r>
      <w:r>
        <w:tab/>
        <w:t>Sch. 1 cl. 12(1)</w:t>
      </w:r>
    </w:p>
    <w:p>
      <w:pPr>
        <w:pStyle w:val="DefinedTerms"/>
      </w:pPr>
      <w:r>
        <w:t>public authority</w:t>
      </w:r>
      <w:r>
        <w:tab/>
        <w:t>Act s. 6</w:t>
      </w:r>
    </w:p>
    <w:p>
      <w:pPr>
        <w:pStyle w:val="DefinedTerms"/>
      </w:pPr>
      <w:r>
        <w:t>public sector auditor</w:t>
      </w:r>
      <w:r>
        <w:tab/>
        <w:t>279(6)</w:t>
      </w:r>
    </w:p>
    <w:p>
      <w:pPr>
        <w:pStyle w:val="DefinedTerms"/>
      </w:pPr>
      <w:r>
        <w:t>public sector law</w:t>
      </w:r>
      <w:r>
        <w:tab/>
        <w:t>5(1)</w:t>
      </w:r>
    </w:p>
    <w:p>
      <w:pPr>
        <w:pStyle w:val="DefinedTerms"/>
      </w:pPr>
      <w:r>
        <w:t>rating assessment</w:t>
      </w:r>
      <w:r>
        <w:tab/>
        <w:t>5(1)</w:t>
      </w:r>
    </w:p>
    <w:p>
      <w:pPr>
        <w:pStyle w:val="DefinedTerms"/>
      </w:pPr>
      <w:r>
        <w:t>Ratings Review Panel</w:t>
      </w:r>
      <w:r>
        <w:tab/>
        <w:t>5(1)</w:t>
      </w:r>
    </w:p>
    <w:p>
      <w:pPr>
        <w:pStyle w:val="DefinedTerms"/>
      </w:pPr>
      <w:r>
        <w:t>receiving approved provider</w:t>
      </w:r>
      <w:r>
        <w:tab/>
        <w:t>5(1)</w:t>
      </w:r>
    </w:p>
    <w:p>
      <w:pPr>
        <w:pStyle w:val="DefinedTerms"/>
      </w:pPr>
      <w:r>
        <w:t>record</w:t>
      </w:r>
      <w:r>
        <w:tab/>
        <w:t>Sch. 1 cl. 12(1)</w:t>
      </w:r>
    </w:p>
    <w:p>
      <w:pPr>
        <w:pStyle w:val="DefinedTerms"/>
      </w:pPr>
      <w:r>
        <w:t>registered teacher</w:t>
      </w:r>
      <w:r>
        <w:tab/>
        <w:t>Act s. 6</w:t>
      </w:r>
    </w:p>
    <w:p>
      <w:pPr>
        <w:pStyle w:val="DefinedTerms"/>
      </w:pPr>
      <w:r>
        <w:t>Regulatory Authority</w:t>
      </w:r>
      <w:r>
        <w:tab/>
        <w:t>5(1)</w:t>
      </w:r>
    </w:p>
    <w:p>
      <w:pPr>
        <w:pStyle w:val="DefinedTerms"/>
      </w:pPr>
      <w:r>
        <w:t>relevant Commonwealth Department</w:t>
      </w:r>
      <w:r>
        <w:tab/>
        <w:t>5(1)</w:t>
      </w:r>
    </w:p>
    <w:p>
      <w:pPr>
        <w:pStyle w:val="DefinedTerms"/>
      </w:pPr>
      <w:r>
        <w:t>relevant maximum fine</w:t>
      </w:r>
      <w:r>
        <w:tab/>
        <w:t>188AC(3)</w:t>
      </w:r>
    </w:p>
    <w:p>
      <w:pPr>
        <w:pStyle w:val="DefinedTerms"/>
      </w:pPr>
      <w:r>
        <w:t>relevant period</w:t>
      </w:r>
      <w:r>
        <w:tab/>
        <w:t>39(7)</w:t>
      </w:r>
    </w:p>
    <w:p>
      <w:pPr>
        <w:pStyle w:val="DefinedTerms"/>
      </w:pPr>
      <w:r>
        <w:t>relevant tribunal or court</w:t>
      </w:r>
      <w:r>
        <w:tab/>
        <w:t>5(1)</w:t>
      </w:r>
    </w:p>
    <w:p>
      <w:pPr>
        <w:pStyle w:val="DefinedTerms"/>
      </w:pPr>
      <w:r>
        <w:t>repeal</w:t>
      </w:r>
      <w:r>
        <w:tab/>
        <w:t>Sch. 1 cl. 12(1)</w:t>
      </w:r>
    </w:p>
    <w:p>
      <w:pPr>
        <w:pStyle w:val="DefinedTerms"/>
      </w:pPr>
      <w:r>
        <w:t>repealed</w:t>
      </w:r>
      <w:r>
        <w:tab/>
        <w:t>325</w:t>
      </w:r>
    </w:p>
    <w:p>
      <w:pPr>
        <w:pStyle w:val="DefinedTerms"/>
      </w:pPr>
      <w:r>
        <w:t>residence</w:t>
      </w:r>
      <w:r>
        <w:tab/>
        <w:t>5(1)</w:t>
      </w:r>
    </w:p>
    <w:p>
      <w:pPr>
        <w:pStyle w:val="DefinedTerms"/>
      </w:pPr>
      <w:r>
        <w:t>scheme commencement day</w:t>
      </w:r>
      <w:r>
        <w:tab/>
        <w:t>305</w:t>
      </w:r>
    </w:p>
    <w:p>
      <w:pPr>
        <w:pStyle w:val="DefinedTerms"/>
      </w:pPr>
      <w:r>
        <w:t>school</w:t>
      </w:r>
      <w:r>
        <w:tab/>
        <w:t>5(1)</w:t>
      </w:r>
    </w:p>
    <w:p>
      <w:pPr>
        <w:pStyle w:val="DefinedTerms"/>
      </w:pPr>
      <w:r>
        <w:t>school children</w:t>
      </w:r>
      <w:r>
        <w:tab/>
        <w:t>5(1)</w:t>
      </w:r>
    </w:p>
    <w:p>
      <w:pPr>
        <w:pStyle w:val="DefinedTerms"/>
      </w:pPr>
      <w:r>
        <w:t>serious detrimental action</w:t>
      </w:r>
      <w:r>
        <w:tab/>
        <w:t>5(1), 296</w:t>
      </w:r>
    </w:p>
    <w:p>
      <w:pPr>
        <w:pStyle w:val="DefinedTerms"/>
      </w:pPr>
      <w:r>
        <w:t>serious incident</w:t>
      </w:r>
      <w:r>
        <w:tab/>
        <w:t>5(1)</w:t>
      </w:r>
    </w:p>
    <w:p>
      <w:pPr>
        <w:pStyle w:val="DefinedTerms"/>
      </w:pPr>
      <w:r>
        <w:t>service approval</w:t>
      </w:r>
      <w:r>
        <w:tab/>
        <w:t>5(1)</w:t>
      </w:r>
    </w:p>
    <w:p>
      <w:pPr>
        <w:pStyle w:val="DefinedTerms"/>
      </w:pPr>
      <w:r>
        <w:t>sign</w:t>
      </w:r>
      <w:r>
        <w:tab/>
        <w:t>Sch. 1 cl. 12(1)</w:t>
      </w:r>
    </w:p>
    <w:p>
      <w:pPr>
        <w:pStyle w:val="DefinedTerms"/>
      </w:pPr>
      <w:r>
        <w:t>specified person</w:t>
      </w:r>
      <w:r>
        <w:tab/>
        <w:t>197(6), 206(4)</w:t>
      </w:r>
    </w:p>
    <w:p>
      <w:pPr>
        <w:pStyle w:val="DefinedTerms"/>
      </w:pPr>
      <w:r>
        <w:t>staff member</w:t>
      </w:r>
      <w:r>
        <w:tab/>
        <w:t>5(1)</w:t>
      </w:r>
    </w:p>
    <w:p>
      <w:pPr>
        <w:pStyle w:val="DefinedTerms"/>
      </w:pPr>
      <w:r>
        <w:t>State</w:t>
      </w:r>
      <w:r>
        <w:tab/>
        <w:t>9(2)</w:t>
      </w:r>
    </w:p>
    <w:p>
      <w:pPr>
        <w:pStyle w:val="DefinedTerms"/>
      </w:pPr>
      <w:r>
        <w:t>State Records Act</w:t>
      </w:r>
      <w:r>
        <w:tab/>
        <w:t>265(4)</w:t>
      </w:r>
    </w:p>
    <w:p>
      <w:pPr>
        <w:pStyle w:val="DefinedTerms"/>
      </w:pPr>
      <w:r>
        <w:t>statutory declaration</w:t>
      </w:r>
      <w:r>
        <w:tab/>
        <w:t>Sch. 1 cl. 12(1)</w:t>
      </w:r>
    </w:p>
    <w:p>
      <w:pPr>
        <w:pStyle w:val="DefinedTerms"/>
      </w:pPr>
      <w:r>
        <w:t>statutory instrument</w:t>
      </w:r>
      <w:r>
        <w:tab/>
        <w:t>Sch. 1 cl. 12(1)</w:t>
      </w:r>
    </w:p>
    <w:p>
      <w:pPr>
        <w:pStyle w:val="DefinedTerms"/>
      </w:pPr>
      <w:r>
        <w:lastRenderedPageBreak/>
        <w:t>superior court</w:t>
      </w:r>
      <w:r>
        <w:tab/>
        <w:t>Act s. 6</w:t>
      </w:r>
    </w:p>
    <w:p>
      <w:pPr>
        <w:pStyle w:val="DefinedTerms"/>
      </w:pPr>
      <w:r>
        <w:t>swear</w:t>
      </w:r>
      <w:r>
        <w:tab/>
        <w:t>Sch. 1 cl. 12(1)</w:t>
      </w:r>
    </w:p>
    <w:p>
      <w:pPr>
        <w:pStyle w:val="DefinedTerms"/>
      </w:pPr>
      <w:r>
        <w:t>the Law</w:t>
      </w:r>
      <w:r>
        <w:tab/>
        <w:t>Sch. 1 cl. 12(2)</w:t>
      </w:r>
    </w:p>
    <w:p>
      <w:pPr>
        <w:pStyle w:val="DefinedTerms"/>
      </w:pPr>
      <w:r>
        <w:t>this jurisdiction</w:t>
      </w:r>
      <w:r>
        <w:tab/>
        <w:t>Act s. 6</w:t>
      </w:r>
    </w:p>
    <w:p>
      <w:pPr>
        <w:pStyle w:val="DefinedTerms"/>
      </w:pPr>
      <w:r>
        <w:t>transferring approved provider</w:t>
      </w:r>
      <w:r>
        <w:tab/>
        <w:t>5(1)</w:t>
      </w:r>
    </w:p>
    <w:p>
      <w:pPr>
        <w:pStyle w:val="DefinedTerms"/>
      </w:pPr>
      <w:r>
        <w:t>WA service</w:t>
      </w:r>
      <w:r>
        <w:tab/>
        <w:t>188AA</w:t>
      </w:r>
    </w:p>
    <w:p>
      <w:pPr>
        <w:pStyle w:val="DefinedTerms"/>
      </w:pPr>
      <w:r>
        <w:t>word</w:t>
      </w:r>
      <w:r>
        <w:tab/>
        <w:t>Sch. 1 cl. 12(1)</w:t>
      </w:r>
    </w:p>
    <w:p>
      <w:pPr>
        <w:pStyle w:val="DefinedTerms"/>
      </w:pPr>
      <w:r>
        <w:t>working with children card</w:t>
      </w:r>
      <w:r>
        <w:tab/>
        <w:t>5(1)</w:t>
      </w:r>
    </w:p>
    <w:p>
      <w:pPr>
        <w:pStyle w:val="DefinedTerms"/>
      </w:pPr>
      <w:r>
        <w:t>working with children check</w:t>
      </w:r>
      <w:r>
        <w:tab/>
        <w:t>5(1)</w:t>
      </w:r>
    </w:p>
    <w:p>
      <w:pPr>
        <w:pStyle w:val="DefinedTerms"/>
      </w:pPr>
      <w:r>
        <w:t>working with children law</w:t>
      </w:r>
      <w:r>
        <w:tab/>
        <w:t>5(1)</w:t>
      </w:r>
    </w:p>
    <w:p>
      <w:pPr>
        <w:pStyle w:val="DefinedTerms"/>
      </w:pPr>
      <w:r>
        <w:t>working with vulnerable people law</w:t>
      </w:r>
      <w:r>
        <w:tab/>
        <w:t>5(1)</w:t>
      </w:r>
    </w:p>
    <w:p>
      <w:pPr>
        <w:pStyle w:val="DefinedTerms"/>
      </w:pPr>
      <w:r>
        <w:t>writing</w:t>
      </w:r>
      <w:r>
        <w:tab/>
        <w:t>Sch. 1 cl. 12(1)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11" w:name="Schedule"/>
    <w:bookmarkEnd w:id="5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Education and Care Services National Law</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c>
        <w:tcPr>
          <w:tcW w:w="5715" w:type="dxa"/>
        </w:tcPr>
        <w:p>
          <w:pPr>
            <w:pStyle w:val="Header"/>
            <w:spacing w:before="40"/>
          </w:pPr>
          <w:r>
            <w:fldChar w:fldCharType="begin"/>
          </w:r>
          <w:r>
            <w:instrText>styleref CharSDivText</w:instrText>
          </w:r>
          <w:r>
            <w:fldChar w:fldCharType="separate"/>
          </w:r>
          <w:r>
            <w:t>Transitional provisions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Education and Care Services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Transitional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81" w:name="Compilation"/>
    <w:bookmarkEnd w:id="58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4" w:name="DefinedTerms"/>
    <w:bookmarkEnd w:id="58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5" w:name="Coversheet"/>
    <w:bookmarkEnd w:id="58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3</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C5B1F5D"/>
    <w:multiLevelType w:val="hybridMultilevel"/>
    <w:tmpl w:val="C160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13"/>
  </w:num>
  <w:num w:numId="17">
    <w:abstractNumId w:val="19"/>
  </w:num>
  <w:num w:numId="18">
    <w:abstractNumId w:val="18"/>
  </w:num>
  <w:num w:numId="19">
    <w:abstractNumId w:val="21"/>
  </w:num>
  <w:num w:numId="20">
    <w:abstractNumId w:val="22"/>
  </w:num>
  <w:num w:numId="21">
    <w:abstractNumId w:val="11"/>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3104018"/>
    <w:docVar w:name="WAFER_20131218113138" w:val="RemoveTocBookmarks,RemoveUnusedBookmarks,RemoveLanguageTags,UsedStyles,ResetPageSize,UpdateArrangement"/>
    <w:docVar w:name="WAFER_20131218113138_GUID" w:val="fae8e100-0237-417a-91c2-cac35cebd0c1"/>
    <w:docVar w:name="WAFER_20140115104042" w:val="RemoveTocBookmarks,RemoveUnusedBookmarks,RemoveLanguageTags,UsedStyles,ResetPageSize,UpdateArrangement"/>
    <w:docVar w:name="WAFER_20140115104042_GUID" w:val="be879ed5-0616-48f2-adc2-d1661c7ba26b"/>
    <w:docVar w:name="WAFER_20140115104145" w:val="RemoveTocBookmarks,RunningHeaders"/>
    <w:docVar w:name="WAFER_20140115104145_GUID" w:val="e5dd7359-e32c-4286-9445-9bde061579ed"/>
    <w:docVar w:name="WAFER_20140115104738" w:val="RemoveTocBookmarks,RunningHeaders"/>
    <w:docVar w:name="WAFER_20140115104738_GUID" w:val="d377d818-bf39-46fd-84ce-400e90c498e1"/>
    <w:docVar w:name="WAFER_20150413093656" w:val="ResetPageSize,UpdateArrangement,UpdateNTable"/>
    <w:docVar w:name="WAFER_20150413093656_GUID" w:val="9f0c43c4-2791-404e-847c-ade29c46bd59"/>
    <w:docVar w:name="WAFER_20151119132029" w:val="UpdateStyles"/>
    <w:docVar w:name="WAFER_20151119132029_GUID" w:val="1da6970b-c748-47fd-8a27-b797f4ef9ab5"/>
    <w:docVar w:name="WAFER_20151120125756" w:val="UsedStyles"/>
    <w:docVar w:name="WAFER_20151120125756_GUID" w:val="eb219b05-59a7-404b-8790-c95ca1ce2350"/>
    <w:docVar w:name="WAFER_20151124113000" w:val="UpdateStyles"/>
    <w:docVar w:name="WAFER_20151124113000_GUID" w:val="5c7276a9-2771-4a02-be4a-65b5655e9b9a"/>
    <w:docVar w:name="WAFER_20151124151332" w:val="UsedStyles"/>
    <w:docVar w:name="WAFER_20151124151332_GUID" w:val="d235b4f5-a482-4ed3-8cbe-d535fdae77ef"/>
    <w:docVar w:name="WAFER_20180927094523" w:val="RemoveTocBookmarks,RemoveUnusedBookmarks,RemoveLanguageTags,UsedStyles,ResetPageSize"/>
    <w:docVar w:name="WAFER_20180927094523_GUID" w:val="2803d745-4667-4712-8ef7-c430c238b2b4"/>
    <w:docVar w:name="WAFER_20181009160807" w:val="RemoveTocBookmarks,RemoveUnusedBookmarks,RemoveLanguageTags,UsedStyles,ResetPageSize,RemoveCustomizations"/>
    <w:docVar w:name="WAFER_20181009160807_GUID" w:val="172a0c2d-1419-41eb-ae04-88ca4fd6720c"/>
    <w:docVar w:name="WAFER_20190122153126" w:val="RemoveTocBookmarks,RemoveUnusedBookmarks,RemoveLanguageTags,UpdateStyles,UsedStyles,ResetPageSize,RemoveCustomizations"/>
    <w:docVar w:name="WAFER_20190122153126_GUID" w:val="bb78eabd-efb4-4ceb-ac2c-a38443e3d963"/>
    <w:docVar w:name="WAFER_20210823103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3103831_GUID" w:val="0f01d9e0-f5cc-4f7c-9121-a386b1b5945f"/>
    <w:docVar w:name="WAFER_20210823104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3104018_GUID" w:val="1fd6c260-6180-4a80-b0e5-1d0543ba58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16E21B49-BD71-444F-A44C-87A92666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496A-D879-44FB-AB74-38C5FE48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67843</Words>
  <Characters>339898</Characters>
  <Application>Microsoft Office Word</Application>
  <DocSecurity>0</DocSecurity>
  <Lines>8290</Lines>
  <Paragraphs>5161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402580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2012 - 01-a0-03</dc:title>
  <dc:subject/>
  <dc:creator/>
  <cp:keywords/>
  <dc:description/>
  <cp:lastModifiedBy>Master Repository Process</cp:lastModifiedBy>
  <cp:revision>4</cp:revision>
  <cp:lastPrinted>2018-11-06T03:09:00Z</cp:lastPrinted>
  <dcterms:created xsi:type="dcterms:W3CDTF">2021-08-24T06:26:00Z</dcterms:created>
  <dcterms:modified xsi:type="dcterms:W3CDTF">2021-08-24T06:26:00Z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DocumentType">
    <vt:lpwstr>Act</vt:lpwstr>
  </property>
  <property fmtid="{D5CDD505-2E9C-101B-9397-08002B2CF9AE}" pid="4" name="ReprintedAsAt">
    <vt:filetime>2019-01-17T16:00:00Z</vt:filetime>
  </property>
  <property fmtid="{D5CDD505-2E9C-101B-9397-08002B2CF9AE}" pid="5" name="ReprintNo">
    <vt:lpwstr>1</vt:lpwstr>
  </property>
  <property fmtid="{D5CDD505-2E9C-101B-9397-08002B2CF9AE}" pid="6" name="AsAtDate">
    <vt:lpwstr>18 Jan 2019</vt:lpwstr>
  </property>
  <property fmtid="{D5CDD505-2E9C-101B-9397-08002B2CF9AE}" pid="7" name="Suffix">
    <vt:lpwstr>01-a0-03</vt:lpwstr>
  </property>
  <property fmtid="{D5CDD505-2E9C-101B-9397-08002B2CF9AE}" pid="8" name="CommencementDate">
    <vt:lpwstr>20190118</vt:lpwstr>
  </property>
</Properties>
</file>