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Coroners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Coroners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_Toc536708545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_Toc536708546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_Toc536708547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Pathologist</w:t>
      </w:r>
      <w:r>
        <w:tab/>
      </w:r>
      <w:r>
        <w:fldChar w:fldCharType="begin"/>
      </w:r>
      <w:r>
        <w:instrText xml:space="preserve"> PAGEREF _Toc536708548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 Coroner — form of oath of office</w:t>
      </w:r>
      <w:r>
        <w:tab/>
      </w:r>
      <w:r>
        <w:fldChar w:fldCharType="begin"/>
      </w:r>
      <w:r>
        <w:instrText xml:space="preserve"> PAGEREF _Toc536708549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w:t>
      </w:r>
      <w:r>
        <w:t>i</w:t>
      </w:r>
      <w:r>
        <w:rPr>
          <w:snapToGrid w:val="0"/>
        </w:rPr>
        <w:t>on on delegation</w:t>
      </w:r>
      <w:r>
        <w:tab/>
      </w:r>
      <w:r>
        <w:fldChar w:fldCharType="begin"/>
      </w:r>
      <w:r>
        <w:instrText xml:space="preserve"> PAGEREF _Toc536708550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record of investigation into a death</w:t>
      </w:r>
      <w:r>
        <w:tab/>
      </w:r>
      <w:r>
        <w:fldChar w:fldCharType="begin"/>
      </w:r>
      <w:r>
        <w:instrText xml:space="preserve"> PAGEREF _Toc536708551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 of disposal of body</w:t>
      </w:r>
      <w:r>
        <w:tab/>
      </w:r>
      <w:r>
        <w:fldChar w:fldCharType="begin"/>
      </w:r>
      <w:r>
        <w:instrText xml:space="preserve"> PAGEREF _Toc536708552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Request that post mortem be performed</w:t>
      </w:r>
      <w:r>
        <w:tab/>
      </w:r>
      <w:r>
        <w:fldChar w:fldCharType="begin"/>
      </w:r>
      <w:r>
        <w:instrText xml:space="preserve"> PAGEREF _Toc536708553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 to perform post mortem</w:t>
      </w:r>
      <w:r>
        <w:tab/>
      </w:r>
      <w:r>
        <w:fldChar w:fldCharType="begin"/>
      </w:r>
      <w:r>
        <w:instrText xml:space="preserve"> PAGEREF _Toc536708554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order for exhumation</w:t>
      </w:r>
      <w:r>
        <w:tab/>
      </w:r>
      <w:r>
        <w:fldChar w:fldCharType="begin"/>
      </w:r>
      <w:r>
        <w:instrText xml:space="preserve"> PAGEREF _Toc536708555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not to exhume</w:t>
      </w:r>
      <w:r>
        <w:tab/>
      </w:r>
      <w:r>
        <w:fldChar w:fldCharType="begin"/>
      </w:r>
      <w:r>
        <w:instrText xml:space="preserve"> PAGEREF _Toc536708556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of notice of restriction of access to area</w:t>
      </w:r>
      <w:r>
        <w:tab/>
      </w:r>
      <w:r>
        <w:fldChar w:fldCharType="begin"/>
      </w:r>
      <w:r>
        <w:instrText xml:space="preserve"> PAGEREF _Toc536708557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agreement of coroner to restricted access to area</w:t>
      </w:r>
      <w:r>
        <w:tab/>
      </w:r>
      <w:r>
        <w:fldChar w:fldCharType="begin"/>
      </w:r>
      <w:r>
        <w:instrText xml:space="preserve"> PAGEREF _Toc536708558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authorisation, form of undertaking and requests for release of things</w:t>
      </w:r>
      <w:r>
        <w:tab/>
      </w:r>
      <w:r>
        <w:fldChar w:fldCharType="begin"/>
      </w:r>
      <w:r>
        <w:instrText xml:space="preserve"> PAGEREF _Toc536708559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Request for an inquest into a death</w:t>
      </w:r>
      <w:r>
        <w:tab/>
      </w:r>
      <w:r>
        <w:fldChar w:fldCharType="begin"/>
      </w:r>
      <w:r>
        <w:instrText xml:space="preserve"> PAGEREF _Toc536708560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summons and warrant, and service of summons</w:t>
      </w:r>
      <w:r>
        <w:tab/>
      </w:r>
      <w:r>
        <w:fldChar w:fldCharType="begin"/>
      </w:r>
      <w:r>
        <w:instrText xml:space="preserve"> PAGEREF _Toc536708561 \h </w:instrText>
      </w:r>
      <w:r>
        <w:fldChar w:fldCharType="separate"/>
      </w:r>
      <w:r>
        <w:t>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Interested persons for the purposes of section 44(3)</w:t>
      </w:r>
      <w:r>
        <w:tab/>
      </w:r>
      <w:r>
        <w:fldChar w:fldCharType="begin"/>
      </w:r>
      <w:r>
        <w:instrText xml:space="preserve"> PAGEREF _Toc536708562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order of exclusion from an inquest</w:t>
      </w:r>
      <w:r>
        <w:tab/>
      </w:r>
      <w:r>
        <w:fldChar w:fldCharType="begin"/>
      </w:r>
      <w:r>
        <w:instrText xml:space="preserve"> PAGEREF _Toc536708563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records</w:t>
      </w:r>
      <w:r>
        <w:tab/>
      </w:r>
      <w:r>
        <w:fldChar w:fldCharType="begin"/>
      </w:r>
      <w:r>
        <w:instrText xml:space="preserve"> PAGEREF _Toc536708564 \h </w:instrText>
      </w:r>
      <w:r>
        <w:fldChar w:fldCharType="separate"/>
      </w:r>
      <w:r>
        <w:t>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oath or affirmation for witness</w:t>
      </w:r>
      <w:r>
        <w:tab/>
      </w:r>
      <w:r>
        <w:fldChar w:fldCharType="begin"/>
      </w:r>
      <w:r>
        <w:instrText xml:space="preserve"> PAGEREF _Toc536708565 \h </w:instrText>
      </w:r>
      <w:r>
        <w:fldChar w:fldCharType="separate"/>
      </w:r>
      <w:r>
        <w:t>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post mortem services</w:t>
      </w:r>
      <w:r>
        <w:tab/>
      </w:r>
      <w:r>
        <w:fldChar w:fldCharType="begin"/>
      </w:r>
      <w:r>
        <w:instrText xml:space="preserve"> PAGEREF _Toc536708566 \h </w:instrText>
      </w:r>
      <w:r>
        <w:fldChar w:fldCharType="separate"/>
      </w:r>
      <w:r>
        <w:t>5</w:t>
      </w:r>
      <w:r>
        <w:fldChar w:fldCharType="end"/>
      </w:r>
    </w:p>
    <w:p>
      <w:pPr>
        <w:pStyle w:val="TOC8"/>
        <w:rPr>
          <w:rFonts w:asciiTheme="minorHAnsi" w:eastAsiaTheme="minorEastAsia" w:hAnsiTheme="minorHAnsi" w:cstheme="minorBidi"/>
          <w:szCs w:val="22"/>
        </w:rPr>
      </w:pPr>
      <w:r>
        <w:t>22.</w:t>
      </w:r>
      <w:r>
        <w:tab/>
        <w:t>Other fees</w:t>
      </w:r>
      <w:r>
        <w:tab/>
      </w:r>
      <w:r>
        <w:fldChar w:fldCharType="begin"/>
      </w:r>
      <w:r>
        <w:instrText xml:space="preserve"> PAGEREF _Toc536708567 \h </w:instrText>
      </w:r>
      <w:r>
        <w:fldChar w:fldCharType="separate"/>
      </w:r>
      <w:r>
        <w:t>6</w:t>
      </w:r>
      <w:r>
        <w:fldChar w:fldCharType="end"/>
      </w:r>
    </w:p>
    <w:p>
      <w:pPr>
        <w:pStyle w:val="TOC8"/>
        <w:rPr>
          <w:rFonts w:asciiTheme="minorHAnsi" w:eastAsiaTheme="minorEastAsia" w:hAnsiTheme="minorHAnsi" w:cstheme="minorBidi"/>
          <w:szCs w:val="22"/>
        </w:rPr>
      </w:pPr>
      <w:r>
        <w:t>23A.</w:t>
      </w:r>
      <w:r>
        <w:tab/>
        <w:t>Fee exemptions</w:t>
      </w:r>
      <w:r>
        <w:tab/>
      </w:r>
      <w:r>
        <w:fldChar w:fldCharType="begin"/>
      </w:r>
      <w:r>
        <w:instrText xml:space="preserve"> PAGEREF _Toc536708568 \h </w:instrText>
      </w:r>
      <w:r>
        <w:fldChar w:fldCharType="separate"/>
      </w:r>
      <w:r>
        <w:t>6</w:t>
      </w:r>
      <w:r>
        <w:fldChar w:fldCharType="end"/>
      </w:r>
    </w:p>
    <w:p>
      <w:pPr>
        <w:pStyle w:val="TOC8"/>
        <w:rPr>
          <w:rFonts w:asciiTheme="minorHAnsi" w:eastAsiaTheme="minorEastAsia" w:hAnsiTheme="minorHAnsi" w:cstheme="minorBidi"/>
          <w:szCs w:val="22"/>
        </w:rPr>
      </w:pPr>
      <w:r>
        <w:t>23B.</w:t>
      </w:r>
      <w:r>
        <w:tab/>
        <w:t>Who is an eligible individual</w:t>
      </w:r>
      <w:r>
        <w:tab/>
      </w:r>
      <w:r>
        <w:fldChar w:fldCharType="begin"/>
      </w:r>
      <w:r>
        <w:instrText xml:space="preserve"> PAGEREF _Toc536708569 \h </w:instrText>
      </w:r>
      <w:r>
        <w:fldChar w:fldCharType="separate"/>
      </w:r>
      <w:r>
        <w:t>6</w:t>
      </w:r>
      <w:r>
        <w:fldChar w:fldCharType="end"/>
      </w:r>
    </w:p>
    <w:p>
      <w:pPr>
        <w:pStyle w:val="TOC8"/>
        <w:rPr>
          <w:rFonts w:asciiTheme="minorHAnsi" w:eastAsiaTheme="minorEastAsia" w:hAnsiTheme="minorHAnsi" w:cstheme="minorBidi"/>
          <w:szCs w:val="22"/>
        </w:rPr>
      </w:pPr>
      <w:r>
        <w:t>23C.</w:t>
      </w:r>
      <w:r>
        <w:tab/>
        <w:t>Application to be recognised as eligible individual</w:t>
      </w:r>
      <w:r>
        <w:tab/>
      </w:r>
      <w:r>
        <w:fldChar w:fldCharType="begin"/>
      </w:r>
      <w:r>
        <w:instrText xml:space="preserve"> PAGEREF _Toc536708570 \h </w:instrText>
      </w:r>
      <w:r>
        <w:fldChar w:fldCharType="separate"/>
      </w:r>
      <w:r>
        <w:t>7</w:t>
      </w:r>
      <w:r>
        <w:fldChar w:fldCharType="end"/>
      </w:r>
    </w:p>
    <w:p>
      <w:pPr>
        <w:pStyle w:val="TOC8"/>
        <w:rPr>
          <w:rFonts w:asciiTheme="minorHAnsi" w:eastAsiaTheme="minorEastAsia" w:hAnsiTheme="minorHAnsi" w:cstheme="minorBidi"/>
          <w:szCs w:val="22"/>
        </w:rPr>
      </w:pPr>
      <w:r>
        <w:t>23D.</w:t>
      </w:r>
      <w:r>
        <w:tab/>
        <w:t>Recognition as eligible individual</w:t>
      </w:r>
      <w:r>
        <w:tab/>
      </w:r>
      <w:r>
        <w:fldChar w:fldCharType="begin"/>
      </w:r>
      <w:r>
        <w:instrText xml:space="preserve"> PAGEREF _Toc536708571 \h </w:instrText>
      </w:r>
      <w:r>
        <w:fldChar w:fldCharType="separate"/>
      </w:r>
      <w:r>
        <w:t>8</w:t>
      </w:r>
      <w:r>
        <w:fldChar w:fldCharType="end"/>
      </w:r>
    </w:p>
    <w:p>
      <w:pPr>
        <w:pStyle w:val="TOC8"/>
        <w:rPr>
          <w:rFonts w:asciiTheme="minorHAnsi" w:eastAsiaTheme="minorEastAsia" w:hAnsiTheme="minorHAnsi" w:cstheme="minorBidi"/>
          <w:szCs w:val="22"/>
        </w:rPr>
      </w:pPr>
      <w:r>
        <w:t>23E.</w:t>
      </w:r>
      <w:r>
        <w:tab/>
        <w:t>False or misleading statements</w:t>
      </w:r>
      <w:r>
        <w:tab/>
      </w:r>
      <w:r>
        <w:fldChar w:fldCharType="begin"/>
      </w:r>
      <w:r>
        <w:instrText xml:space="preserve"> PAGEREF _Toc536708572 \h </w:instrText>
      </w:r>
      <w:r>
        <w:fldChar w:fldCharType="separate"/>
      </w:r>
      <w:r>
        <w:t>8</w:t>
      </w:r>
      <w:r>
        <w:fldChar w:fldCharType="end"/>
      </w:r>
    </w:p>
    <w:p>
      <w:pPr>
        <w:pStyle w:val="TOC8"/>
        <w:rPr>
          <w:rFonts w:asciiTheme="minorHAnsi" w:eastAsiaTheme="minorEastAsia" w:hAnsiTheme="minorHAnsi" w:cstheme="minorBidi"/>
          <w:szCs w:val="22"/>
        </w:rPr>
      </w:pPr>
      <w:r>
        <w:t>23.</w:t>
      </w:r>
      <w:r>
        <w:tab/>
        <w:t>Refunds</w:t>
      </w:r>
      <w:r>
        <w:tab/>
      </w:r>
      <w:r>
        <w:fldChar w:fldCharType="begin"/>
      </w:r>
      <w:r>
        <w:instrText xml:space="preserve"> PAGEREF _Toc536708573 \h </w:instrText>
      </w:r>
      <w:r>
        <w:fldChar w:fldCharType="separate"/>
      </w:r>
      <w:r>
        <w:t>9</w:t>
      </w:r>
      <w:r>
        <w:fldChar w:fldCharType="end"/>
      </w:r>
    </w:p>
    <w:p>
      <w:pPr>
        <w:pStyle w:val="TOC8"/>
        <w:rPr>
          <w:rFonts w:asciiTheme="minorHAnsi" w:eastAsiaTheme="minorEastAsia" w:hAnsiTheme="minorHAnsi" w:cstheme="minorBidi"/>
          <w:szCs w:val="22"/>
        </w:rPr>
      </w:pPr>
      <w:r>
        <w:t>23A.</w:t>
      </w:r>
      <w:r>
        <w:tab/>
        <w:t>Waiving fee for copy of document or transcript</w:t>
      </w:r>
      <w:r>
        <w:tab/>
      </w:r>
      <w:r>
        <w:fldChar w:fldCharType="begin"/>
      </w:r>
      <w:r>
        <w:instrText xml:space="preserve"> PAGEREF _Toc536708574 \h </w:instrText>
      </w:r>
      <w:r>
        <w:fldChar w:fldCharType="separate"/>
      </w:r>
      <w:r>
        <w:t>9</w:t>
      </w:r>
      <w:r>
        <w:fldChar w:fldCharType="end"/>
      </w:r>
    </w:p>
    <w:p>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_Toc536708575 \h </w:instrText>
      </w:r>
      <w:r>
        <w:fldChar w:fldCharType="separate"/>
      </w:r>
      <w:r>
        <w:t>10</w:t>
      </w:r>
      <w:r>
        <w:fldChar w:fldCharType="end"/>
      </w:r>
    </w:p>
    <w:p>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_Toc536708576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w:t>
      </w:r>
      <w:r>
        <w:rPr>
          <w:bCs/>
        </w:rPr>
        <w:t>—</w:t>
      </w:r>
      <w:r>
        <w:t> Fees for post mortem services</w:t>
      </w:r>
    </w:p>
    <w:p>
      <w:pPr>
        <w:pStyle w:val="TOC2"/>
        <w:tabs>
          <w:tab w:val="right" w:leader="dot" w:pos="7077"/>
        </w:tabs>
        <w:rPr>
          <w:rFonts w:asciiTheme="minorHAnsi" w:eastAsiaTheme="minorEastAsia" w:hAnsiTheme="minorHAnsi" w:cstheme="minorBidi"/>
          <w:b w:val="0"/>
          <w:sz w:val="22"/>
          <w:szCs w:val="22"/>
        </w:rPr>
      </w:pPr>
      <w:r>
        <w:t>Schedule 3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_Toc536708581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3" w:name="_Toc536708545"/>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53670854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5" w:name="_Toc536708547"/>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Gazette 4 Sep 2009 p. 3491; amended: Gazette 14 Jun 2016 p. 1872.]</w:t>
      </w:r>
    </w:p>
    <w:p>
      <w:pPr>
        <w:pStyle w:val="Heading5"/>
        <w:rPr>
          <w:snapToGrid w:val="0"/>
        </w:rPr>
      </w:pPr>
      <w:bookmarkStart w:id="6" w:name="_Toc536708548"/>
      <w:r>
        <w:rPr>
          <w:rStyle w:val="CharSectno"/>
        </w:rPr>
        <w:t>3</w:t>
      </w:r>
      <w:r>
        <w:rPr>
          <w:snapToGrid w:val="0"/>
        </w:rPr>
        <w:t>.</w:t>
      </w:r>
      <w:r>
        <w:rPr>
          <w:snapToGrid w:val="0"/>
        </w:rPr>
        <w:tab/>
        <w:t>Pathologist</w:t>
      </w:r>
      <w:bookmarkEnd w:id="6"/>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7" w:name="_Toc536708549"/>
      <w:r>
        <w:rPr>
          <w:rStyle w:val="CharSectno"/>
        </w:rPr>
        <w:t>4</w:t>
      </w:r>
      <w:r>
        <w:rPr>
          <w:snapToGrid w:val="0"/>
        </w:rPr>
        <w:t>.</w:t>
      </w:r>
      <w:r>
        <w:rPr>
          <w:snapToGrid w:val="0"/>
        </w:rPr>
        <w:tab/>
        <w:t>State Coroner — form of oath of office</w:t>
      </w:r>
      <w:bookmarkEnd w:id="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8" w:name="_Toc536708550"/>
      <w:r>
        <w:rPr>
          <w:rStyle w:val="CharSectno"/>
        </w:rPr>
        <w:t>5</w:t>
      </w:r>
      <w:r>
        <w:rPr>
          <w:snapToGrid w:val="0"/>
        </w:rPr>
        <w:t>.</w:t>
      </w:r>
      <w:r>
        <w:rPr>
          <w:snapToGrid w:val="0"/>
        </w:rPr>
        <w:tab/>
        <w:t>Restrict</w:t>
      </w:r>
      <w:r>
        <w:t>i</w:t>
      </w:r>
      <w:r>
        <w:rPr>
          <w:snapToGrid w:val="0"/>
        </w:rPr>
        <w:t>on on delegation</w:t>
      </w:r>
      <w:bookmarkEnd w:id="8"/>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Gazette 11 Mar 2008 p. 816.]</w:t>
      </w:r>
    </w:p>
    <w:p>
      <w:pPr>
        <w:pStyle w:val="Heading5"/>
        <w:rPr>
          <w:snapToGrid w:val="0"/>
        </w:rPr>
      </w:pPr>
      <w:bookmarkStart w:id="9" w:name="_Toc536708551"/>
      <w:r>
        <w:rPr>
          <w:rStyle w:val="CharSectno"/>
        </w:rPr>
        <w:t>6</w:t>
      </w:r>
      <w:r>
        <w:rPr>
          <w:snapToGrid w:val="0"/>
        </w:rPr>
        <w:t>.</w:t>
      </w:r>
      <w:r>
        <w:rPr>
          <w:snapToGrid w:val="0"/>
        </w:rPr>
        <w:tab/>
        <w:t>Form of record of investigation into a death</w:t>
      </w:r>
      <w:bookmarkEnd w:id="9"/>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0" w:name="_Toc536708552"/>
      <w:r>
        <w:rPr>
          <w:rStyle w:val="CharSectno"/>
        </w:rPr>
        <w:t>7</w:t>
      </w:r>
      <w:r>
        <w:rPr>
          <w:snapToGrid w:val="0"/>
        </w:rPr>
        <w:t>.</w:t>
      </w:r>
      <w:r>
        <w:rPr>
          <w:snapToGrid w:val="0"/>
        </w:rPr>
        <w:tab/>
        <w:t>Form of certificate of disposal of body</w:t>
      </w:r>
      <w:bookmarkEnd w:id="10"/>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1" w:name="_Toc536708553"/>
      <w:r>
        <w:rPr>
          <w:rStyle w:val="CharSectno"/>
        </w:rPr>
        <w:t>8</w:t>
      </w:r>
      <w:r>
        <w:rPr>
          <w:snapToGrid w:val="0"/>
        </w:rPr>
        <w:t>.</w:t>
      </w:r>
      <w:r>
        <w:rPr>
          <w:snapToGrid w:val="0"/>
        </w:rPr>
        <w:tab/>
        <w:t>Request that post mortem be performed</w:t>
      </w:r>
      <w:bookmarkEnd w:id="11"/>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12" w:name="_Toc536708554"/>
      <w:r>
        <w:rPr>
          <w:rStyle w:val="CharSectno"/>
        </w:rPr>
        <w:t>9</w:t>
      </w:r>
      <w:r>
        <w:rPr>
          <w:snapToGrid w:val="0"/>
        </w:rPr>
        <w:t>.</w:t>
      </w:r>
      <w:r>
        <w:rPr>
          <w:snapToGrid w:val="0"/>
        </w:rPr>
        <w:tab/>
        <w:t>Direction to perform post mortem</w:t>
      </w:r>
      <w:bookmarkEnd w:id="12"/>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13" w:name="_Toc536708555"/>
      <w:r>
        <w:rPr>
          <w:rStyle w:val="CharSectno"/>
        </w:rPr>
        <w:t>10</w:t>
      </w:r>
      <w:r>
        <w:rPr>
          <w:snapToGrid w:val="0"/>
        </w:rPr>
        <w:t>.</w:t>
      </w:r>
      <w:r>
        <w:rPr>
          <w:snapToGrid w:val="0"/>
        </w:rPr>
        <w:tab/>
        <w:t>Form of order for exhumation</w:t>
      </w:r>
      <w:bookmarkEnd w:id="1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14" w:name="_Toc536708556"/>
      <w:r>
        <w:rPr>
          <w:rStyle w:val="CharSectno"/>
        </w:rPr>
        <w:t>11</w:t>
      </w:r>
      <w:r>
        <w:rPr>
          <w:snapToGrid w:val="0"/>
        </w:rPr>
        <w:t>.</w:t>
      </w:r>
      <w:r>
        <w:rPr>
          <w:snapToGrid w:val="0"/>
        </w:rPr>
        <w:tab/>
        <w:t>Request not to exhume</w:t>
      </w:r>
      <w:bookmarkEnd w:id="14"/>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15" w:name="_Toc536708557"/>
      <w:r>
        <w:rPr>
          <w:rStyle w:val="CharSectno"/>
        </w:rPr>
        <w:t>12</w:t>
      </w:r>
      <w:r>
        <w:rPr>
          <w:snapToGrid w:val="0"/>
        </w:rPr>
        <w:t>.</w:t>
      </w:r>
      <w:r>
        <w:rPr>
          <w:snapToGrid w:val="0"/>
        </w:rPr>
        <w:tab/>
        <w:t>Form of notice of restriction of access to area</w:t>
      </w:r>
      <w:bookmarkEnd w:id="15"/>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16" w:name="_Toc536708558"/>
      <w:r>
        <w:rPr>
          <w:rStyle w:val="CharSectno"/>
        </w:rPr>
        <w:t>13</w:t>
      </w:r>
      <w:r>
        <w:rPr>
          <w:snapToGrid w:val="0"/>
        </w:rPr>
        <w:t>.</w:t>
      </w:r>
      <w:r>
        <w:rPr>
          <w:snapToGrid w:val="0"/>
        </w:rPr>
        <w:tab/>
        <w:t>Form of agreement of coroner to restricted access to area</w:t>
      </w:r>
      <w:bookmarkEnd w:id="16"/>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17" w:name="_Toc536708559"/>
      <w:r>
        <w:rPr>
          <w:rStyle w:val="CharSectno"/>
        </w:rPr>
        <w:t>14</w:t>
      </w:r>
      <w:r>
        <w:rPr>
          <w:snapToGrid w:val="0"/>
        </w:rPr>
        <w:t>.</w:t>
      </w:r>
      <w:r>
        <w:rPr>
          <w:snapToGrid w:val="0"/>
        </w:rPr>
        <w:tab/>
        <w:t>Form of authorisation, form of undertaking and requests for release of things</w:t>
      </w:r>
      <w:bookmarkEnd w:id="1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18" w:name="_Toc536708560"/>
      <w:r>
        <w:rPr>
          <w:rStyle w:val="CharSectno"/>
        </w:rPr>
        <w:t>15</w:t>
      </w:r>
      <w:r>
        <w:rPr>
          <w:snapToGrid w:val="0"/>
        </w:rPr>
        <w:t>.</w:t>
      </w:r>
      <w:r>
        <w:rPr>
          <w:snapToGrid w:val="0"/>
        </w:rPr>
        <w:tab/>
        <w:t>Request for an inquest into a death</w:t>
      </w:r>
      <w:bookmarkEnd w:id="18"/>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19" w:name="_Toc536708561"/>
      <w:r>
        <w:rPr>
          <w:rStyle w:val="CharSectno"/>
        </w:rPr>
        <w:t>16</w:t>
      </w:r>
      <w:r>
        <w:rPr>
          <w:snapToGrid w:val="0"/>
        </w:rPr>
        <w:t>.</w:t>
      </w:r>
      <w:r>
        <w:rPr>
          <w:snapToGrid w:val="0"/>
        </w:rPr>
        <w:tab/>
        <w:t>Form of summons and warrant, and service of summons</w:t>
      </w:r>
      <w:bookmarkEnd w:id="19"/>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20" w:name="_Toc536708562"/>
      <w:r>
        <w:rPr>
          <w:rStyle w:val="CharSectno"/>
        </w:rPr>
        <w:t>17</w:t>
      </w:r>
      <w:r>
        <w:rPr>
          <w:snapToGrid w:val="0"/>
        </w:rPr>
        <w:t>.</w:t>
      </w:r>
      <w:r>
        <w:rPr>
          <w:snapToGrid w:val="0"/>
        </w:rPr>
        <w:tab/>
        <w:t>Interested persons for the purposes of section 44(3)</w:t>
      </w:r>
      <w:bookmarkEnd w:id="20"/>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Gazette 30 Jun 2003 p. 2600.]</w:t>
      </w:r>
    </w:p>
    <w:p>
      <w:pPr>
        <w:pStyle w:val="Heading5"/>
        <w:rPr>
          <w:snapToGrid w:val="0"/>
        </w:rPr>
      </w:pPr>
      <w:bookmarkStart w:id="21" w:name="_Toc536708563"/>
      <w:r>
        <w:rPr>
          <w:rStyle w:val="CharSectno"/>
        </w:rPr>
        <w:t>18</w:t>
      </w:r>
      <w:r>
        <w:rPr>
          <w:snapToGrid w:val="0"/>
        </w:rPr>
        <w:t>.</w:t>
      </w:r>
      <w:r>
        <w:rPr>
          <w:snapToGrid w:val="0"/>
        </w:rPr>
        <w:tab/>
        <w:t>Form of order of exclusion from an inquest</w:t>
      </w:r>
      <w:bookmarkEnd w:id="21"/>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22" w:name="_Toc536708564"/>
      <w:r>
        <w:rPr>
          <w:rStyle w:val="CharSectno"/>
        </w:rPr>
        <w:t>19</w:t>
      </w:r>
      <w:r>
        <w:rPr>
          <w:snapToGrid w:val="0"/>
        </w:rPr>
        <w:t>.</w:t>
      </w:r>
      <w:r>
        <w:rPr>
          <w:snapToGrid w:val="0"/>
        </w:rPr>
        <w:tab/>
        <w:t>Access to records</w:t>
      </w:r>
      <w:bookmarkEnd w:id="22"/>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23" w:name="_Toc536708565"/>
      <w:r>
        <w:rPr>
          <w:rStyle w:val="CharSectno"/>
        </w:rPr>
        <w:t>20</w:t>
      </w:r>
      <w:r>
        <w:rPr>
          <w:snapToGrid w:val="0"/>
        </w:rPr>
        <w:t>.</w:t>
      </w:r>
      <w:r>
        <w:rPr>
          <w:snapToGrid w:val="0"/>
        </w:rPr>
        <w:tab/>
        <w:t>Form of oath or affirmation for witness</w:t>
      </w:r>
      <w:bookmarkEnd w:id="2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24" w:name="_Toc536708566"/>
      <w:r>
        <w:rPr>
          <w:rStyle w:val="CharSectno"/>
        </w:rPr>
        <w:t>21</w:t>
      </w:r>
      <w:r>
        <w:rPr>
          <w:snapToGrid w:val="0"/>
        </w:rPr>
        <w:t>.</w:t>
      </w:r>
      <w:r>
        <w:rPr>
          <w:snapToGrid w:val="0"/>
        </w:rPr>
        <w:tab/>
        <w:t>Fees for post mortem services</w:t>
      </w:r>
      <w:bookmarkEnd w:id="24"/>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Gazette 4 Sep 2009 p. 3491.]</w:t>
      </w:r>
    </w:p>
    <w:p>
      <w:pPr>
        <w:pStyle w:val="Heading5"/>
      </w:pPr>
      <w:bookmarkStart w:id="25" w:name="_Toc536708567"/>
      <w:r>
        <w:rPr>
          <w:rStyle w:val="CharSectno"/>
        </w:rPr>
        <w:t>22</w:t>
      </w:r>
      <w:r>
        <w:t>.</w:t>
      </w:r>
      <w:r>
        <w:tab/>
        <w:t>Other fees</w:t>
      </w:r>
      <w:bookmarkEnd w:id="25"/>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Gazette 14 Jun 2016 p. 1872.]</w:t>
      </w:r>
    </w:p>
    <w:p>
      <w:pPr>
        <w:pStyle w:val="Heading5"/>
      </w:pPr>
      <w:bookmarkStart w:id="26" w:name="_Toc536708568"/>
      <w:r>
        <w:rPr>
          <w:rStyle w:val="CharSectno"/>
        </w:rPr>
        <w:t>23A</w:t>
      </w:r>
      <w:r>
        <w:t>.</w:t>
      </w:r>
      <w:r>
        <w:tab/>
        <w:t>Fee exemptions</w:t>
      </w:r>
      <w:bookmarkEnd w:id="26"/>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Gazette 14 Jun 2016 p. 1873.]</w:t>
      </w:r>
    </w:p>
    <w:p>
      <w:pPr>
        <w:pStyle w:val="Heading5"/>
      </w:pPr>
      <w:bookmarkStart w:id="27" w:name="_Toc536708569"/>
      <w:r>
        <w:rPr>
          <w:rStyle w:val="CharSectno"/>
        </w:rPr>
        <w:t>23B</w:t>
      </w:r>
      <w:r>
        <w:t>.</w:t>
      </w:r>
      <w:r>
        <w:tab/>
        <w:t>Who is an eligible individual</w:t>
      </w:r>
      <w:bookmarkEnd w:id="2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Gazette 14 Jun 2016 p. 1873</w:t>
      </w:r>
      <w:r>
        <w:noBreakHyphen/>
        <w:t>4; amended: Gazette 20 Jul 2018 p. 2624.]</w:t>
      </w:r>
    </w:p>
    <w:p>
      <w:pPr>
        <w:pStyle w:val="Heading5"/>
      </w:pPr>
      <w:bookmarkStart w:id="28" w:name="_Toc536708570"/>
      <w:r>
        <w:rPr>
          <w:rStyle w:val="CharSectno"/>
        </w:rPr>
        <w:t>23C</w:t>
      </w:r>
      <w:r>
        <w:t>.</w:t>
      </w:r>
      <w:r>
        <w:tab/>
        <w:t>Application to be recognised as eligible individual</w:t>
      </w:r>
      <w:bookmarkEnd w:id="28"/>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Gazette 14 Jun 2016 p. 1874; amended: Gazette 20 Jul 2018 p. 2624.]</w:t>
      </w:r>
    </w:p>
    <w:p>
      <w:pPr>
        <w:pStyle w:val="Heading5"/>
      </w:pPr>
      <w:bookmarkStart w:id="29" w:name="_Toc536708571"/>
      <w:r>
        <w:rPr>
          <w:rStyle w:val="CharSectno"/>
        </w:rPr>
        <w:t>23D</w:t>
      </w:r>
      <w:r>
        <w:t>.</w:t>
      </w:r>
      <w:r>
        <w:tab/>
        <w:t>Recognition as eligible individual</w:t>
      </w:r>
      <w:bookmarkEnd w:id="29"/>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Gazette 14 Jun 2016 p. 1874</w:t>
      </w:r>
      <w:r>
        <w:noBreakHyphen/>
        <w:t>5; amended: Gazette 20 Jul 2018 p. 2624.]</w:t>
      </w:r>
    </w:p>
    <w:p>
      <w:pPr>
        <w:pStyle w:val="Heading5"/>
      </w:pPr>
      <w:bookmarkStart w:id="30" w:name="_Toc536708572"/>
      <w:r>
        <w:rPr>
          <w:rStyle w:val="CharSectno"/>
        </w:rPr>
        <w:t>23E</w:t>
      </w:r>
      <w:r>
        <w:t>.</w:t>
      </w:r>
      <w:r>
        <w:tab/>
        <w:t>False or misleading statements</w:t>
      </w:r>
      <w:bookmarkEnd w:id="30"/>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Gazette 14 Jun 2016 p. 1875</w:t>
      </w:r>
      <w:r>
        <w:noBreakHyphen/>
        <w:t>6.]</w:t>
      </w:r>
    </w:p>
    <w:p>
      <w:pPr>
        <w:pStyle w:val="Heading5"/>
      </w:pPr>
      <w:bookmarkStart w:id="31" w:name="_Toc536708573"/>
      <w:r>
        <w:rPr>
          <w:rStyle w:val="CharSectno"/>
        </w:rPr>
        <w:t>23</w:t>
      </w:r>
      <w:r>
        <w:t>.</w:t>
      </w:r>
      <w:r>
        <w:tab/>
        <w:t>Refunds</w:t>
      </w:r>
      <w:bookmarkEnd w:id="31"/>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Gazette 14 Jun 2016 p. 1876.]</w:t>
      </w:r>
    </w:p>
    <w:p>
      <w:pPr>
        <w:pStyle w:val="Heading5"/>
      </w:pPr>
      <w:bookmarkStart w:id="32" w:name="_Toc536708574"/>
      <w:r>
        <w:rPr>
          <w:rStyle w:val="CharSectno"/>
        </w:rPr>
        <w:t>23A</w:t>
      </w:r>
      <w:r>
        <w:t>.</w:t>
      </w:r>
      <w:r>
        <w:tab/>
        <w:t>Waiving fee for copy of document or transcript</w:t>
      </w:r>
      <w:bookmarkEnd w:id="32"/>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Gazette 14 Jun 2016 p. 1876.]</w:t>
      </w:r>
    </w:p>
    <w:p>
      <w:pPr>
        <w:pStyle w:val="Heading5"/>
      </w:pPr>
      <w:bookmarkStart w:id="33" w:name="_Toc536708575"/>
      <w:r>
        <w:rPr>
          <w:rStyle w:val="CharSectno"/>
        </w:rPr>
        <w:t>24</w:t>
      </w:r>
      <w:r>
        <w:t>.</w:t>
      </w:r>
      <w:r>
        <w:tab/>
        <w:t>Resolution of disputes as to fees</w:t>
      </w:r>
      <w:bookmarkEnd w:id="3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Gazette 4 Sep 2009 p. 3492.]</w:t>
      </w:r>
    </w:p>
    <w:p>
      <w:pPr>
        <w:pStyle w:val="Heading5"/>
      </w:pPr>
      <w:bookmarkStart w:id="34" w:name="_Toc536708576"/>
      <w:r>
        <w:rPr>
          <w:rStyle w:val="CharSectno"/>
        </w:rPr>
        <w:t>25</w:t>
      </w:r>
      <w:r>
        <w:t>.</w:t>
      </w:r>
      <w:r>
        <w:tab/>
        <w:t>Recovery of unpaid fees</w:t>
      </w:r>
      <w:bookmarkEnd w:id="34"/>
    </w:p>
    <w:p>
      <w:pPr>
        <w:pStyle w:val="Subsection"/>
      </w:pPr>
      <w:r>
        <w:tab/>
      </w:r>
      <w:r>
        <w:tab/>
        <w:t>Any unpaid fee is a debt due to the State and may be recovered by action in a court of competent jurisdiction.</w:t>
      </w:r>
    </w:p>
    <w:p>
      <w:pPr>
        <w:pStyle w:val="Footnotesection"/>
      </w:pPr>
      <w:r>
        <w:tab/>
        <w:t>[Regulation 25 inserted: Gazette 4 Sep 2009 p. 3492.]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5" w:name="_Toc536707433"/>
      <w:bookmarkStart w:id="36" w:name="_Toc536708577"/>
      <w:r>
        <w:rPr>
          <w:rStyle w:val="CharSchNo"/>
        </w:rPr>
        <w:t>Schedule 1</w:t>
      </w:r>
      <w:r>
        <w:t> — </w:t>
      </w:r>
      <w:r>
        <w:rPr>
          <w:rStyle w:val="CharSchText"/>
        </w:rPr>
        <w:t>Forms</w:t>
      </w:r>
      <w:bookmarkEnd w:id="35"/>
      <w:bookmarkEnd w:id="36"/>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pPr>
      <w:r>
        <w:t>3.</w:t>
      </w:r>
      <w:r>
        <w:tab/>
        <w:t>*Find that — </w:t>
      </w:r>
    </w:p>
    <w:p>
      <w:pPr>
        <w:pStyle w:val="yMiscellaneousBody"/>
        <w:tabs>
          <w:tab w:val="left" w:pos="567"/>
          <w:tab w:val="right" w:leader="dot" w:pos="7087"/>
        </w:tabs>
        <w:spacing w:line="360" w:lineRule="auto"/>
        <w:ind w:left="567" w:hanging="567"/>
      </w:pPr>
      <w:r>
        <w:tab/>
        <w:t xml:space="preserve">*The identity of the deceased person was </w:t>
      </w:r>
      <w:r>
        <w:tab/>
      </w:r>
      <w:r>
        <w:br/>
        <w:t xml:space="preserve">and that death occurred on   /  /  at </w:t>
      </w:r>
      <w:r>
        <w:tab/>
      </w:r>
      <w:r>
        <w:br/>
        <w:t>from (</w:t>
      </w:r>
      <w:r>
        <w:rPr>
          <w:i/>
        </w:rPr>
        <w:t>state cause of death</w:t>
      </w:r>
      <w:r>
        <w:t xml:space="preserve">) </w:t>
      </w:r>
      <w:r>
        <w:tab/>
      </w:r>
      <w:r>
        <w:br/>
        <w:t xml:space="preserve">*in the following circumstances </w:t>
      </w:r>
      <w:r>
        <w:tab/>
      </w:r>
      <w:r>
        <w:br/>
      </w:r>
      <w:r>
        <w:tab/>
      </w:r>
      <w:r>
        <w:br/>
      </w:r>
      <w:r>
        <w:tab/>
      </w:r>
      <w:r>
        <w:br/>
      </w:r>
      <w:r>
        <w:tab/>
      </w:r>
    </w:p>
    <w:p>
      <w:pPr>
        <w:pStyle w:val="yMiscellaneousBody"/>
        <w:ind w:left="567" w:hanging="567"/>
      </w:pPr>
      <w:r>
        <w:t>4.</w:t>
      </w:r>
      <w:r>
        <w:tab/>
        <w:t xml:space="preserve">*Decide not to continue to investigate the death having determined under section 19A(1) of the </w:t>
      </w:r>
      <w:r>
        <w:rPr>
          <w:i/>
        </w:rPr>
        <w:t>Coroners Act 1996</w:t>
      </w:r>
      <w:r>
        <w:t xml:space="preserve"> that the death was due to natural causes and was a reportable death solely because it appears to have been unexpected.</w:t>
      </w:r>
    </w:p>
    <w:p>
      <w:pPr>
        <w:pStyle w:val="yMiscellaneousBody"/>
        <w:ind w:left="567" w:hanging="567"/>
      </w:pPr>
      <w:r>
        <w:t>5.</w:t>
      </w:r>
      <w:r>
        <w:tab/>
        <w:t xml:space="preserve">*Make no finding as to how the death occurred having determined under section 25(1A)(b) of the </w:t>
      </w:r>
      <w:r>
        <w:rPr>
          <w:i/>
        </w:rPr>
        <w:t>Coroners Act 1996</w:t>
      </w:r>
      <w:r>
        <w:t xml:space="preserve"> that there is no public interest to be served in making such a finding.</w:t>
      </w:r>
    </w:p>
    <w:p>
      <w:pPr>
        <w:pStyle w:val="yMiscellaneousBody"/>
        <w:keepNext/>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Footnotesection"/>
      </w:pPr>
      <w:r>
        <w:tab/>
        <w:t>[Form 3 amended: Gazette 1 Feb 2019 p. 225</w:t>
      </w:r>
      <w:r>
        <w:noBreakHyphen/>
        <w:t>6.]</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8" w:name="_Toc536707434"/>
      <w:bookmarkStart w:id="39" w:name="_Toc536708578"/>
      <w:r>
        <w:rPr>
          <w:rStyle w:val="CharSchNo"/>
        </w:rPr>
        <w:t>Schedule 2</w:t>
      </w:r>
      <w:r>
        <w:rPr>
          <w:rStyle w:val="CharSDivNo"/>
        </w:rPr>
        <w:t> </w:t>
      </w:r>
      <w:r>
        <w:rPr>
          <w:bCs/>
        </w:rPr>
        <w:t>—</w:t>
      </w:r>
      <w:r>
        <w:rPr>
          <w:rStyle w:val="CharSDivText"/>
        </w:rPr>
        <w:t> </w:t>
      </w:r>
      <w:r>
        <w:rPr>
          <w:rStyle w:val="CharSchText"/>
        </w:rPr>
        <w:t>Fees for post mortem services</w:t>
      </w:r>
      <w:bookmarkEnd w:id="38"/>
      <w:bookmarkEnd w:id="39"/>
    </w:p>
    <w:p>
      <w:pPr>
        <w:pStyle w:val="yShoulderClause"/>
      </w:pPr>
      <w:r>
        <w:t>[r. 21]</w:t>
      </w:r>
    </w:p>
    <w:p>
      <w:pPr>
        <w:pStyle w:val="yFootnoteheading"/>
        <w:spacing w:after="120"/>
      </w:pPr>
      <w:r>
        <w:tab/>
        <w:t>[Heading inserted: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40" w:name="_Toc536707435"/>
      <w:bookmarkStart w:id="41" w:name="_Toc536708579"/>
      <w:r>
        <w:rPr>
          <w:rStyle w:val="CharSchNo"/>
        </w:rPr>
        <w:t>Schedule 3</w:t>
      </w:r>
      <w:r>
        <w:t> — </w:t>
      </w:r>
      <w:r>
        <w:rPr>
          <w:rStyle w:val="CharSchText"/>
        </w:rPr>
        <w:t>Other fees</w:t>
      </w:r>
      <w:bookmarkEnd w:id="40"/>
      <w:bookmarkEnd w:id="41"/>
    </w:p>
    <w:p>
      <w:pPr>
        <w:pStyle w:val="yShoulderClause"/>
      </w:pPr>
      <w:r>
        <w:t>[r. 22]</w:t>
      </w:r>
    </w:p>
    <w:p>
      <w:pPr>
        <w:pStyle w:val="yFootnoteheading"/>
      </w:pPr>
      <w:r>
        <w:tab/>
        <w:t>[Heading inserted: Gazette 15 Jun 2018 p. 1983.]</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jc w:val="center"/>
            </w:pPr>
            <w:r>
              <w:rPr>
                <w:b/>
              </w:rPr>
              <w:t>Item</w:t>
            </w:r>
          </w:p>
        </w:tc>
        <w:tc>
          <w:tcPr>
            <w:tcW w:w="3118" w:type="dxa"/>
            <w:tcBorders>
              <w:bottom w:val="single" w:sz="4" w:space="0" w:color="auto"/>
            </w:tcBorders>
          </w:tcPr>
          <w:p>
            <w:pPr>
              <w:pStyle w:val="yTableNAm"/>
              <w:jc w:val="center"/>
            </w:pPr>
            <w:r>
              <w:rPr>
                <w:b/>
                <w:bCs/>
              </w:rPr>
              <w:t>Matter</w:t>
            </w:r>
          </w:p>
        </w:tc>
        <w:tc>
          <w:tcPr>
            <w:tcW w:w="1559" w:type="dxa"/>
            <w:tcBorders>
              <w:bottom w:val="single" w:sz="4" w:space="0" w:color="auto"/>
            </w:tcBorders>
            <w:vAlign w:val="center"/>
          </w:tcPr>
          <w:p>
            <w:pPr>
              <w:pStyle w:val="yTableNAm"/>
              <w:jc w:val="cente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pPr>
            <w:r>
              <w:br/>
              <w:t>1.85</w:t>
            </w:r>
          </w:p>
        </w:tc>
        <w:tc>
          <w:tcPr>
            <w:tcW w:w="1560" w:type="dxa"/>
            <w:tcBorders>
              <w:bottom w:val="nil"/>
            </w:tcBorders>
          </w:tcPr>
          <w:p>
            <w:pPr>
              <w:pStyle w:val="yTableNAm"/>
            </w:pPr>
            <w:r>
              <w:br/>
              <w:t>0.55</w:t>
            </w:r>
          </w:p>
        </w:tc>
      </w:tr>
      <w:tr>
        <w:trPr>
          <w:cantSplit/>
        </w:trPr>
        <w:tc>
          <w:tcPr>
            <w:tcW w:w="709" w:type="dxa"/>
            <w:tcBorders>
              <w:top w:val="nil"/>
              <w:bottom w:val="nil"/>
            </w:tcBorders>
          </w:tcPr>
          <w:p>
            <w:pPr>
              <w:pStyle w:val="yTableNAm"/>
            </w:pPr>
            <w:r>
              <w:t>2.</w:t>
            </w:r>
          </w:p>
        </w:tc>
        <w:tc>
          <w:tcPr>
            <w:tcW w:w="3118" w:type="dxa"/>
            <w:tcBorders>
              <w:top w:val="nil"/>
              <w:bottom w:val="nil"/>
            </w:tcBorders>
          </w:tcPr>
          <w:p>
            <w:pPr>
              <w:pStyle w:val="yTableNAm"/>
            </w:pPr>
            <w:r>
              <w:t xml:space="preserve">Copy of record of investigation into a death — </w:t>
            </w:r>
          </w:p>
          <w:p>
            <w:pPr>
              <w:pStyle w:val="yTableNAm"/>
              <w:ind w:left="601" w:hanging="601"/>
              <w:rPr>
                <w:rStyle w:val="DraftersNotes"/>
              </w:rPr>
            </w:pPr>
            <w:r>
              <w:t>(a)</w:t>
            </w:r>
            <w:r>
              <w:tab/>
              <w:t>for 1 copy on the request of a person who is an interested person under regulation 17(a) or (b)</w:t>
            </w:r>
          </w:p>
        </w:tc>
        <w:tc>
          <w:tcPr>
            <w:tcW w:w="1559" w:type="dxa"/>
            <w:tcBorders>
              <w:top w:val="nil"/>
              <w:bottom w:val="nil"/>
            </w:tcBorders>
          </w:tcPr>
          <w:p>
            <w:pPr>
              <w:pStyle w:val="yTableNAm"/>
            </w:pPr>
            <w:r>
              <w:br/>
            </w:r>
          </w:p>
          <w:p>
            <w:pPr>
              <w:pStyle w:val="yTableNAm"/>
            </w:pPr>
            <w:r>
              <w:br/>
            </w:r>
            <w:r>
              <w:br/>
            </w:r>
            <w:r>
              <w:br/>
              <w:t>Nil</w:t>
            </w:r>
          </w:p>
        </w:tc>
        <w:tc>
          <w:tcPr>
            <w:tcW w:w="1560" w:type="dxa"/>
            <w:tcBorders>
              <w:top w:val="nil"/>
              <w:bottom w:val="nil"/>
            </w:tcBorders>
          </w:tcPr>
          <w:p>
            <w:pPr>
              <w:pStyle w:val="yTableNAm"/>
            </w:pPr>
            <w:r>
              <w:br/>
            </w:r>
          </w:p>
          <w:p>
            <w:pPr>
              <w:pStyle w:val="yTableNAm"/>
            </w:pPr>
            <w:r>
              <w:br/>
            </w:r>
            <w:r>
              <w:br/>
            </w:r>
            <w:r>
              <w:br/>
              <w:t>Nil</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pPr>
            <w:r>
              <w:br/>
            </w:r>
            <w:r>
              <w:rPr>
                <w:szCs w:val="22"/>
              </w:rPr>
              <w:br/>
            </w:r>
            <w:r>
              <w:rPr>
                <w:szCs w:val="22"/>
              </w:rPr>
              <w:br/>
            </w:r>
            <w:r>
              <w:rPr>
                <w:szCs w:val="22"/>
              </w:rPr>
              <w:br/>
            </w:r>
            <w:r>
              <w:rPr>
                <w:szCs w:val="22"/>
              </w:rPr>
              <w:br/>
              <w:t>1.50</w:t>
            </w:r>
          </w:p>
        </w:tc>
        <w:tc>
          <w:tcPr>
            <w:tcW w:w="1560" w:type="dxa"/>
            <w:tcBorders>
              <w:top w:val="nil"/>
              <w:bottom w:val="nil"/>
            </w:tcBorders>
          </w:tcPr>
          <w:p>
            <w:pPr>
              <w:pStyle w:val="yTableNAm"/>
            </w:pPr>
            <w:r>
              <w:br/>
            </w:r>
            <w:r>
              <w:rPr>
                <w:szCs w:val="22"/>
              </w:rPr>
              <w:br/>
            </w:r>
            <w:r>
              <w:rPr>
                <w:szCs w:val="22"/>
              </w:rPr>
              <w:br/>
            </w:r>
            <w:r>
              <w:rPr>
                <w:szCs w:val="22"/>
              </w:rPr>
              <w:br/>
            </w:r>
            <w:r>
              <w:rPr>
                <w:szCs w:val="22"/>
              </w:rPr>
              <w:br/>
              <w:t>0.50</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(c)</w:t>
            </w:r>
            <w:r>
              <w:tab/>
              <w:t>for each copy on the request of any other person, for each page or part of a page</w:t>
            </w:r>
          </w:p>
        </w:tc>
        <w:tc>
          <w:tcPr>
            <w:tcW w:w="1559" w:type="dxa"/>
            <w:tcBorders>
              <w:top w:val="nil"/>
              <w:bottom w:val="nil"/>
            </w:tcBorders>
          </w:tcPr>
          <w:p>
            <w:pPr>
              <w:pStyle w:val="yTableNAm"/>
            </w:pPr>
            <w:r>
              <w:rPr>
                <w:szCs w:val="22"/>
              </w:rPr>
              <w:br/>
            </w:r>
            <w:r>
              <w:rPr>
                <w:szCs w:val="22"/>
              </w:rPr>
              <w:br/>
            </w:r>
            <w:r>
              <w:rPr>
                <w:szCs w:val="22"/>
              </w:rPr>
              <w:br/>
              <w:t>1.50</w:t>
            </w:r>
          </w:p>
        </w:tc>
        <w:tc>
          <w:tcPr>
            <w:tcW w:w="1560" w:type="dxa"/>
            <w:tcBorders>
              <w:top w:val="nil"/>
              <w:bottom w:val="nil"/>
            </w:tcBorders>
          </w:tcPr>
          <w:p>
            <w:pPr>
              <w:pStyle w:val="yTableNAm"/>
            </w:pPr>
            <w:r>
              <w:rPr>
                <w:szCs w:val="22"/>
              </w:rPr>
              <w:br/>
            </w:r>
            <w:r>
              <w:rPr>
                <w:szCs w:val="22"/>
              </w:rPr>
              <w:br/>
            </w:r>
            <w:r>
              <w:rPr>
                <w:szCs w:val="22"/>
              </w:rPr>
              <w:br/>
              <w:t>0.50</w:t>
            </w:r>
          </w:p>
        </w:tc>
      </w:tr>
      <w:tr>
        <w:trPr>
          <w:cantSplit/>
        </w:trPr>
        <w:tc>
          <w:tcPr>
            <w:tcW w:w="709" w:type="dxa"/>
            <w:tcBorders>
              <w:top w:val="nil"/>
              <w:bottom w:val="nil"/>
            </w:tcBorders>
          </w:tcPr>
          <w:p>
            <w:pPr>
              <w:pStyle w:val="yTableNAm"/>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pPr>
            <w:r>
              <w:rPr>
                <w:szCs w:val="22"/>
              </w:rPr>
              <w:br/>
              <w:t>21.40</w:t>
            </w:r>
          </w:p>
        </w:tc>
        <w:tc>
          <w:tcPr>
            <w:tcW w:w="1560" w:type="dxa"/>
            <w:tcBorders>
              <w:top w:val="nil"/>
              <w:bottom w:val="nil"/>
            </w:tcBorders>
          </w:tcPr>
          <w:p>
            <w:pPr>
              <w:pStyle w:val="yTableNAm"/>
            </w:pPr>
            <w:r>
              <w:rPr>
                <w:szCs w:val="22"/>
              </w:rPr>
              <w:br/>
              <w:t>6.45</w:t>
            </w:r>
          </w:p>
        </w:tc>
      </w:tr>
      <w:tr>
        <w:trPr>
          <w:cantSplit/>
        </w:trPr>
        <w:tc>
          <w:tcPr>
            <w:tcW w:w="709" w:type="dxa"/>
            <w:tcBorders>
              <w:top w:val="nil"/>
              <w:bottom w:val="nil"/>
              <w:right w:val="nil"/>
            </w:tcBorders>
          </w:tcPr>
          <w:p>
            <w:pPr>
              <w:pStyle w:val="yTableNAm"/>
            </w:pPr>
            <w:r>
              <w:t>4.</w:t>
            </w:r>
          </w:p>
        </w:tc>
        <w:tc>
          <w:tcPr>
            <w:tcW w:w="3118" w:type="dxa"/>
            <w:tcBorders>
              <w:top w:val="nil"/>
              <w:left w:val="nil"/>
              <w:bottom w:val="nil"/>
              <w:right w:val="nil"/>
            </w:tcBorders>
          </w:tcPr>
          <w:p>
            <w:pPr>
              <w:pStyle w:val="yTableNAm"/>
              <w:ind w:left="601" w:hanging="601"/>
            </w:pPr>
            <w:r>
              <w:t>(a)</w:t>
            </w:r>
            <w:r>
              <w:tab/>
              <w:t xml:space="preserve">For the preparation of a transcript, or part of a transcript, or notes of evidence — </w:t>
            </w:r>
          </w:p>
        </w:tc>
        <w:tc>
          <w:tcPr>
            <w:tcW w:w="1559" w:type="dxa"/>
            <w:tcBorders>
              <w:top w:val="nil"/>
              <w:left w:val="nil"/>
              <w:bottom w:val="nil"/>
              <w:right w:val="nil"/>
            </w:tcBorders>
          </w:tcPr>
          <w:p>
            <w:pPr>
              <w:pStyle w:val="yTableNAm"/>
              <w:rPr>
                <w:szCs w:val="22"/>
              </w:rPr>
            </w:pPr>
          </w:p>
        </w:tc>
        <w:tc>
          <w:tcPr>
            <w:tcW w:w="1560" w:type="dxa"/>
            <w:tcBorders>
              <w:top w:val="nil"/>
              <w:left w:val="nil"/>
              <w:bottom w:val="nil"/>
            </w:tcBorders>
          </w:tcPr>
          <w:p>
            <w:pPr>
              <w:pStyle w:val="yTableNAm"/>
              <w:rPr>
                <w:szCs w:val="22"/>
              </w:rPr>
            </w:pP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w:t>
            </w:r>
            <w:r>
              <w:tab/>
              <w:t xml:space="preserve">provided within 1 day after the day on which the fee is paid </w:t>
            </w:r>
          </w:p>
        </w:tc>
        <w:tc>
          <w:tcPr>
            <w:tcW w:w="1559" w:type="dxa"/>
            <w:tcBorders>
              <w:top w:val="nil"/>
              <w:left w:val="nil"/>
              <w:bottom w:val="nil"/>
              <w:right w:val="nil"/>
            </w:tcBorders>
          </w:tcPr>
          <w:p>
            <w:pPr>
              <w:pStyle w:val="yTableNAm"/>
              <w:rPr>
                <w:szCs w:val="22"/>
              </w:rPr>
            </w:pPr>
            <w:r>
              <w:rPr>
                <w:szCs w:val="22"/>
              </w:rPr>
              <w:t>20.50 plus</w:t>
            </w:r>
            <w:r>
              <w:rPr>
                <w:szCs w:val="22"/>
              </w:rPr>
              <w:br/>
              <w:t>8.45 per page</w:t>
            </w:r>
          </w:p>
        </w:tc>
        <w:tc>
          <w:tcPr>
            <w:tcW w:w="1560" w:type="dxa"/>
            <w:tcBorders>
              <w:top w:val="nil"/>
              <w:left w:val="nil"/>
              <w:bottom w:val="nil"/>
            </w:tcBorders>
          </w:tcPr>
          <w:p>
            <w:pPr>
              <w:pStyle w:val="yTableNAm"/>
              <w:rPr>
                <w:szCs w:val="22"/>
              </w:rPr>
            </w:pPr>
            <w:r>
              <w:rPr>
                <w:szCs w:val="22"/>
              </w:rPr>
              <w:t xml:space="preserve">6.15 plus </w:t>
            </w:r>
            <w:r>
              <w:rPr>
                <w:szCs w:val="22"/>
              </w:rPr>
              <w:br/>
              <w:t>2.55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(ii)</w:t>
            </w:r>
            <w:r>
              <w:tab/>
              <w:t xml:space="preserve">provided within 2 days after the day on which the fee is paid </w:t>
            </w:r>
          </w:p>
        </w:tc>
        <w:tc>
          <w:tcPr>
            <w:tcW w:w="1559" w:type="dxa"/>
            <w:tcBorders>
              <w:top w:val="nil"/>
              <w:left w:val="nil"/>
              <w:bottom w:val="nil"/>
              <w:right w:val="nil"/>
            </w:tcBorders>
          </w:tcPr>
          <w:p>
            <w:pPr>
              <w:pStyle w:val="yTableNAm"/>
              <w:rPr>
                <w:szCs w:val="22"/>
              </w:rPr>
            </w:pPr>
            <w:r>
              <w:rPr>
                <w:szCs w:val="22"/>
              </w:rPr>
              <w:t>20.50 plus</w:t>
            </w:r>
            <w:r>
              <w:rPr>
                <w:szCs w:val="22"/>
              </w:rPr>
              <w:br/>
              <w:t>7.75 per page</w:t>
            </w:r>
          </w:p>
        </w:tc>
        <w:tc>
          <w:tcPr>
            <w:tcW w:w="1560" w:type="dxa"/>
            <w:tcBorders>
              <w:top w:val="nil"/>
              <w:left w:val="nil"/>
              <w:bottom w:val="nil"/>
            </w:tcBorders>
          </w:tcPr>
          <w:p>
            <w:pPr>
              <w:pStyle w:val="yTableNAm"/>
              <w:rPr>
                <w:szCs w:val="22"/>
              </w:rPr>
            </w:pPr>
            <w:r>
              <w:rPr>
                <w:szCs w:val="22"/>
              </w:rPr>
              <w:t xml:space="preserve">6.15 plus </w:t>
            </w:r>
            <w:r>
              <w:rPr>
                <w:szCs w:val="22"/>
              </w:rPr>
              <w:br/>
              <w:t>2.35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(iii)</w:t>
            </w:r>
            <w:r>
              <w:tab/>
              <w:t xml:space="preserve">provided within 4 days after the day on which the fee is paid </w:t>
            </w:r>
          </w:p>
        </w:tc>
        <w:tc>
          <w:tcPr>
            <w:tcW w:w="1559" w:type="dxa"/>
            <w:tcBorders>
              <w:top w:val="nil"/>
              <w:left w:val="nil"/>
              <w:bottom w:val="nil"/>
              <w:right w:val="nil"/>
            </w:tcBorders>
          </w:tcPr>
          <w:p>
            <w:pPr>
              <w:pStyle w:val="yTableNAm"/>
              <w:rPr>
                <w:szCs w:val="22"/>
              </w:rPr>
            </w:pPr>
            <w:r>
              <w:rPr>
                <w:szCs w:val="22"/>
              </w:rPr>
              <w:t>20.50 plus</w:t>
            </w:r>
            <w:r>
              <w:rPr>
                <w:szCs w:val="22"/>
              </w:rPr>
              <w:br/>
              <w:t>7.30 per page</w:t>
            </w:r>
          </w:p>
        </w:tc>
        <w:tc>
          <w:tcPr>
            <w:tcW w:w="1560" w:type="dxa"/>
            <w:tcBorders>
              <w:top w:val="nil"/>
              <w:left w:val="nil"/>
              <w:bottom w:val="nil"/>
            </w:tcBorders>
          </w:tcPr>
          <w:p>
            <w:pPr>
              <w:pStyle w:val="yTableNAm"/>
              <w:rPr>
                <w:szCs w:val="22"/>
              </w:rPr>
            </w:pPr>
            <w:r>
              <w:rPr>
                <w:szCs w:val="22"/>
              </w:rPr>
              <w:t xml:space="preserve">6.15 plus </w:t>
            </w:r>
            <w:r>
              <w:rPr>
                <w:szCs w:val="22"/>
              </w:rPr>
              <w:br/>
              <w:t>2.20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(iv)</w:t>
            </w:r>
            <w:r>
              <w:tab/>
              <w:t xml:space="preserve">provided within 7 days after the day on which the fee is paid </w:t>
            </w:r>
          </w:p>
        </w:tc>
        <w:tc>
          <w:tcPr>
            <w:tcW w:w="1559"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560" w:type="dxa"/>
            <w:tcBorders>
              <w:top w:val="nil"/>
              <w:left w:val="nil"/>
              <w:bottom w:val="nil"/>
            </w:tcBorders>
          </w:tcPr>
          <w:p>
            <w:pPr>
              <w:pStyle w:val="yTableNAm"/>
              <w:rPr>
                <w:szCs w:val="22"/>
              </w:rPr>
            </w:pPr>
            <w:r>
              <w:rPr>
                <w:szCs w:val="22"/>
              </w:rPr>
              <w:t xml:space="preserve">6.15 plus </w:t>
            </w:r>
            <w:r>
              <w:rPr>
                <w:szCs w:val="22"/>
              </w:rPr>
              <w:br/>
              <w:t>2.15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(v)</w:t>
            </w:r>
            <w:r>
              <w:tab/>
              <w:t xml:space="preserve">provided within 14 days after the day on which the fee is paid </w:t>
            </w:r>
          </w:p>
        </w:tc>
        <w:tc>
          <w:tcPr>
            <w:tcW w:w="1559" w:type="dxa"/>
            <w:tcBorders>
              <w:top w:val="nil"/>
              <w:left w:val="nil"/>
              <w:bottom w:val="nil"/>
              <w:right w:val="nil"/>
            </w:tcBorders>
          </w:tcPr>
          <w:p>
            <w:pPr>
              <w:pStyle w:val="yTableNAm"/>
              <w:rPr>
                <w:szCs w:val="22"/>
              </w:rPr>
            </w:pPr>
            <w:r>
              <w:rPr>
                <w:szCs w:val="22"/>
              </w:rPr>
              <w:t xml:space="preserve">20.50 plus </w:t>
            </w:r>
            <w:r>
              <w:rPr>
                <w:szCs w:val="22"/>
              </w:rPr>
              <w:br/>
              <w:t>6.00 per page</w:t>
            </w:r>
          </w:p>
        </w:tc>
        <w:tc>
          <w:tcPr>
            <w:tcW w:w="1560" w:type="dxa"/>
            <w:tcBorders>
              <w:top w:val="nil"/>
              <w:left w:val="nil"/>
              <w:bottom w:val="nil"/>
            </w:tcBorders>
          </w:tcPr>
          <w:p>
            <w:pPr>
              <w:pStyle w:val="yTableNAm"/>
              <w:rPr>
                <w:szCs w:val="22"/>
              </w:rPr>
            </w:pPr>
            <w:r>
              <w:rPr>
                <w:szCs w:val="22"/>
              </w:rPr>
              <w:t xml:space="preserve">6.15 plus </w:t>
            </w:r>
            <w:r>
              <w:rPr>
                <w:szCs w:val="22"/>
              </w:rPr>
              <w:br/>
              <w:t>2.00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(vi)</w:t>
            </w:r>
            <w:r>
              <w:tab/>
              <w:t>provided on a running basis (i.e. periodically throughout or following the day of the proceedings)</w:t>
            </w:r>
          </w:p>
        </w:tc>
        <w:tc>
          <w:tcPr>
            <w:tcW w:w="1559" w:type="dxa"/>
            <w:tcBorders>
              <w:top w:val="nil"/>
              <w:left w:val="nil"/>
              <w:bottom w:val="nil"/>
              <w:right w:val="nil"/>
            </w:tcBorders>
          </w:tcPr>
          <w:p>
            <w:pPr>
              <w:pStyle w:val="yTableNAm"/>
              <w:rPr>
                <w:szCs w:val="22"/>
              </w:rPr>
            </w:pPr>
            <w:r>
              <w:rPr>
                <w:szCs w:val="22"/>
              </w:rPr>
              <w:t xml:space="preserve">20.50 plus </w:t>
            </w:r>
            <w:r>
              <w:rPr>
                <w:szCs w:val="22"/>
              </w:rPr>
              <w:br/>
              <w:t>9.00 per page</w:t>
            </w:r>
          </w:p>
        </w:tc>
        <w:tc>
          <w:tcPr>
            <w:tcW w:w="1560" w:type="dxa"/>
            <w:tcBorders>
              <w:top w:val="nil"/>
              <w:left w:val="nil"/>
              <w:bottom w:val="nil"/>
            </w:tcBorders>
          </w:tcPr>
          <w:p>
            <w:pPr>
              <w:pStyle w:val="yTableNAm"/>
              <w:rPr>
                <w:szCs w:val="22"/>
              </w:rPr>
            </w:pPr>
            <w:r>
              <w:rPr>
                <w:szCs w:val="22"/>
              </w:rPr>
              <w:t xml:space="preserve">6.15 plus </w:t>
            </w:r>
            <w:r>
              <w:rPr>
                <w:szCs w:val="22"/>
              </w:rPr>
              <w:br/>
              <w:t>3.00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601" w:hanging="601"/>
            </w:pPr>
            <w:r>
              <w:t>(b)</w:t>
            </w:r>
            <w:r>
              <w:tab/>
              <w:t xml:space="preserve">For a copy of a transcript, or part of a transcript, or notes of evidence, that has or have already been prepared — </w:t>
            </w:r>
          </w:p>
        </w:tc>
        <w:tc>
          <w:tcPr>
            <w:tcW w:w="1559" w:type="dxa"/>
            <w:tcBorders>
              <w:top w:val="nil"/>
              <w:left w:val="nil"/>
              <w:bottom w:val="nil"/>
              <w:right w:val="nil"/>
            </w:tcBorders>
          </w:tcPr>
          <w:p>
            <w:pPr>
              <w:pStyle w:val="yTableNAm"/>
              <w:rPr>
                <w:szCs w:val="22"/>
              </w:rPr>
            </w:pPr>
          </w:p>
        </w:tc>
        <w:tc>
          <w:tcPr>
            <w:tcW w:w="1560" w:type="dxa"/>
            <w:tcBorders>
              <w:top w:val="nil"/>
              <w:left w:val="nil"/>
              <w:bottom w:val="nil"/>
            </w:tcBorders>
          </w:tcPr>
          <w:p>
            <w:pPr>
              <w:pStyle w:val="yTableNAm"/>
              <w:rPr>
                <w:szCs w:val="22"/>
              </w:rPr>
            </w:pP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w:t>
            </w:r>
            <w:r>
              <w:tab/>
              <w:t xml:space="preserve">electronic format </w:t>
            </w:r>
          </w:p>
        </w:tc>
        <w:tc>
          <w:tcPr>
            <w:tcW w:w="1559" w:type="dxa"/>
            <w:tcBorders>
              <w:top w:val="nil"/>
              <w:left w:val="nil"/>
              <w:bottom w:val="nil"/>
              <w:right w:val="nil"/>
            </w:tcBorders>
          </w:tcPr>
          <w:p>
            <w:pPr>
              <w:pStyle w:val="yTableNAm"/>
              <w:rPr>
                <w:szCs w:val="22"/>
              </w:rPr>
            </w:pPr>
            <w:r>
              <w:rPr>
                <w:szCs w:val="22"/>
              </w:rPr>
              <w:t>21.40 per copy</w:t>
            </w:r>
          </w:p>
        </w:tc>
        <w:tc>
          <w:tcPr>
            <w:tcW w:w="1560" w:type="dxa"/>
            <w:tcBorders>
              <w:top w:val="nil"/>
              <w:left w:val="nil"/>
              <w:bottom w:val="nil"/>
            </w:tcBorders>
          </w:tcPr>
          <w:p>
            <w:pPr>
              <w:pStyle w:val="yTableNAm"/>
              <w:rPr>
                <w:szCs w:val="22"/>
              </w:rPr>
            </w:pPr>
            <w:r>
              <w:rPr>
                <w:szCs w:val="22"/>
              </w:rPr>
              <w:t>6.45 per copy</w:t>
            </w:r>
          </w:p>
        </w:tc>
      </w:tr>
      <w:tr>
        <w:trPr>
          <w:cantSplit/>
        </w:trPr>
        <w:tc>
          <w:tcPr>
            <w:tcW w:w="709" w:type="dxa"/>
            <w:tcBorders>
              <w:top w:val="nil"/>
              <w:bottom w:val="single" w:sz="4" w:space="0" w:color="auto"/>
              <w:right w:val="nil"/>
            </w:tcBorders>
          </w:tcPr>
          <w:p>
            <w:pPr>
              <w:pStyle w:val="yTableNAm"/>
            </w:pPr>
          </w:p>
        </w:tc>
        <w:tc>
          <w:tcPr>
            <w:tcW w:w="3118" w:type="dxa"/>
            <w:tcBorders>
              <w:top w:val="nil"/>
              <w:left w:val="nil"/>
              <w:bottom w:val="single" w:sz="4" w:space="0" w:color="auto"/>
              <w:right w:val="nil"/>
            </w:tcBorders>
          </w:tcPr>
          <w:p>
            <w:pPr>
              <w:pStyle w:val="yTableNAm"/>
              <w:ind w:left="1015" w:hanging="1015"/>
            </w:pPr>
            <w:r>
              <w:tab/>
              <w:t>(ii)</w:t>
            </w:r>
            <w:r>
              <w:tab/>
              <w:t xml:space="preserve">paper copy </w:t>
            </w:r>
          </w:p>
        </w:tc>
        <w:tc>
          <w:tcPr>
            <w:tcW w:w="1559" w:type="dxa"/>
            <w:tcBorders>
              <w:top w:val="nil"/>
              <w:left w:val="nil"/>
              <w:bottom w:val="single" w:sz="4" w:space="0" w:color="auto"/>
              <w:right w:val="nil"/>
            </w:tcBorders>
          </w:tcPr>
          <w:p>
            <w:pPr>
              <w:pStyle w:val="yTableNAm"/>
              <w:rPr>
                <w:szCs w:val="22"/>
              </w:rPr>
            </w:pPr>
            <w:r>
              <w:rPr>
                <w:szCs w:val="22"/>
              </w:rPr>
              <w:t>2.10 per page</w:t>
            </w:r>
          </w:p>
        </w:tc>
        <w:tc>
          <w:tcPr>
            <w:tcW w:w="1560" w:type="dxa"/>
            <w:tcBorders>
              <w:top w:val="nil"/>
              <w:left w:val="nil"/>
              <w:bottom w:val="single" w:sz="4" w:space="0" w:color="auto"/>
            </w:tcBorders>
          </w:tcPr>
          <w:p>
            <w:pPr>
              <w:pStyle w:val="yTableNAm"/>
              <w:rPr>
                <w:szCs w:val="22"/>
              </w:rPr>
            </w:pPr>
            <w:r>
              <w:rPr>
                <w:szCs w:val="22"/>
              </w:rPr>
              <w:t>0.60 per page</w:t>
            </w:r>
          </w:p>
        </w:tc>
      </w:tr>
    </w:tbl>
    <w:p>
      <w:pPr>
        <w:pStyle w:val="yFootnotesection"/>
      </w:pPr>
      <w:r>
        <w:tab/>
        <w:t>[Schedule 3 inserted: Gazette 15 Jun 2018 p. 1983</w:t>
      </w:r>
      <w:r>
        <w:noBreakHyphen/>
        <w:t>5; amended: Gazette 7 Dec 2018 p. 4668</w:t>
      </w:r>
      <w:r>
        <w:noBreakHyphen/>
        <w:t>9.]</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2" w:name="_Toc536707436"/>
      <w:bookmarkStart w:id="43" w:name="_Toc536708580"/>
      <w:r>
        <w:t>Notes</w:t>
      </w:r>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44" w:name="_Toc536708581"/>
      <w:r>
        <w:t>Compilation table</w:t>
      </w:r>
      <w:bookmarkEnd w:id="44"/>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693"/>
        <w:gridCol w:w="57"/>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750" w:type="dxa"/>
            <w:gridSpan w:val="2"/>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750" w:type="dxa"/>
            <w:gridSpan w:val="2"/>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144" w:type="dxa"/>
            <w:gridSpan w:val="4"/>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750" w:type="dxa"/>
            <w:gridSpan w:val="2"/>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750" w:type="dxa"/>
            <w:gridSpan w:val="2"/>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750" w:type="dxa"/>
            <w:gridSpan w:val="2"/>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144" w:type="dxa"/>
            <w:gridSpan w:val="4"/>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750"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750"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750"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750" w:type="dxa"/>
            <w:gridSpan w:val="2"/>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750" w:type="dxa"/>
            <w:gridSpan w:val="2"/>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144" w:type="dxa"/>
            <w:gridSpan w:val="4"/>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750" w:type="dxa"/>
            <w:gridSpan w:val="2"/>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2015</w:t>
            </w:r>
          </w:p>
        </w:tc>
        <w:tc>
          <w:tcPr>
            <w:tcW w:w="1276" w:type="dxa"/>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750" w:type="dxa"/>
            <w:gridSpan w:val="2"/>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keepNext/>
              <w:spacing w:after="40"/>
              <w:rPr>
                <w:rFonts w:ascii="Times" w:hAnsi="Times"/>
                <w:i/>
              </w:rPr>
            </w:pPr>
            <w:r>
              <w:rPr>
                <w:i/>
              </w:rPr>
              <w:t>Attorney General Regulations Amendment (Fees) Regulations 2016</w:t>
            </w:r>
            <w:r>
              <w:t xml:space="preserve"> Pt. 4</w:t>
            </w:r>
          </w:p>
        </w:tc>
        <w:tc>
          <w:tcPr>
            <w:tcW w:w="1276" w:type="dxa"/>
            <w:shd w:val="clear" w:color="auto" w:fill="auto"/>
          </w:tcPr>
          <w:p>
            <w:pPr>
              <w:pStyle w:val="nTable"/>
              <w:keepNext/>
              <w:spacing w:after="40"/>
              <w:rPr>
                <w:rFonts w:ascii="Times" w:hAnsi="Times"/>
              </w:rPr>
            </w:pPr>
            <w:r>
              <w:t>14 Jun 2016 p. 1849</w:t>
            </w:r>
            <w:r>
              <w:noBreakHyphen/>
              <w:t>986</w:t>
            </w:r>
          </w:p>
        </w:tc>
        <w:tc>
          <w:tcPr>
            <w:tcW w:w="2750" w:type="dxa"/>
            <w:gridSpan w:val="2"/>
            <w:shd w:val="clear" w:color="auto" w:fill="auto"/>
          </w:tcPr>
          <w:p>
            <w:pPr>
              <w:pStyle w:val="nTable"/>
              <w:keepNext/>
              <w:spacing w:after="40"/>
              <w:rPr>
                <w:rFonts w:ascii="Times" w:hAnsi="Times"/>
                <w:bCs/>
                <w:snapToGrid w:val="0"/>
              </w:rPr>
            </w:pPr>
            <w:r>
              <w:t>4 Jul 2016 (see r. 2(b))</w:t>
            </w:r>
          </w:p>
        </w:tc>
      </w:tr>
      <w:tr>
        <w:trPr>
          <w:gridAfter w:val="1"/>
          <w:wAfter w:w="57" w:type="dxa"/>
        </w:trPr>
        <w:tc>
          <w:tcPr>
            <w:tcW w:w="3118"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57" w:type="dxa"/>
        </w:trPr>
        <w:tc>
          <w:tcPr>
            <w:tcW w:w="3118"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rPr>
          <w:gridAfter w:val="1"/>
          <w:wAfter w:w="57" w:type="dxa"/>
        </w:trPr>
        <w:tc>
          <w:tcPr>
            <w:tcW w:w="3123" w:type="dxa"/>
            <w:shd w:val="clear" w:color="auto" w:fill="auto"/>
          </w:tcPr>
          <w:p>
            <w:pPr>
              <w:pStyle w:val="nTable"/>
              <w:keepNext/>
              <w:spacing w:after="40"/>
            </w:pPr>
            <w:r>
              <w:rPr>
                <w:i/>
              </w:rPr>
              <w:t>Justice Regulations Amendment (Fee Relief) Regulations 2018</w:t>
            </w:r>
            <w:r>
              <w:t xml:space="preserve"> Pt. 4</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rFonts w:ascii="Times" w:hAnsi="Times"/>
                <w:bCs/>
                <w:snapToGrid w:val="0"/>
              </w:rPr>
              <w:t>21 Jul 2018 (see r. 2(b))</w:t>
            </w:r>
          </w:p>
        </w:tc>
      </w:tr>
      <w:tr>
        <w:trPr>
          <w:gridAfter w:val="1"/>
          <w:wAfter w:w="57" w:type="dxa"/>
        </w:trPr>
        <w:tc>
          <w:tcPr>
            <w:tcW w:w="3123" w:type="dxa"/>
            <w:shd w:val="clear" w:color="auto" w:fill="auto"/>
          </w:tcPr>
          <w:p>
            <w:pPr>
              <w:pStyle w:val="nTable"/>
              <w:spacing w:after="40"/>
              <w:rPr>
                <w:i/>
              </w:rPr>
            </w:pPr>
            <w:r>
              <w:rPr>
                <w:i/>
              </w:rPr>
              <w:t xml:space="preserve">Attorney General Regulations Amendment (Transcript Fees) Regulations 2018 </w:t>
            </w:r>
            <w:r>
              <w:t>Pt. 3</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rFonts w:ascii="Times" w:hAnsi="Times"/>
                <w:bCs/>
                <w:snapToGrid w:val="0"/>
              </w:rPr>
            </w:pPr>
            <w:r>
              <w:t>18 Dec 2018 (see r. 2(b)(i))</w:t>
            </w:r>
          </w:p>
        </w:tc>
      </w:tr>
      <w:tr>
        <w:trPr>
          <w:gridAfter w:val="1"/>
          <w:wAfter w:w="57" w:type="dxa"/>
        </w:trPr>
        <w:tc>
          <w:tcPr>
            <w:tcW w:w="3123" w:type="dxa"/>
            <w:tcBorders>
              <w:bottom w:val="single" w:sz="4" w:space="0" w:color="auto"/>
            </w:tcBorders>
            <w:shd w:val="clear" w:color="auto" w:fill="auto"/>
          </w:tcPr>
          <w:p>
            <w:pPr>
              <w:pStyle w:val="nTable"/>
              <w:spacing w:after="40"/>
              <w:rPr>
                <w:i/>
              </w:rPr>
            </w:pPr>
            <w:r>
              <w:rPr>
                <w:i/>
              </w:rPr>
              <w:t>Coroners Amendment Regulations 2019</w:t>
            </w:r>
          </w:p>
        </w:tc>
        <w:tc>
          <w:tcPr>
            <w:tcW w:w="1276" w:type="dxa"/>
            <w:tcBorders>
              <w:bottom w:val="single" w:sz="4" w:space="0" w:color="auto"/>
            </w:tcBorders>
            <w:shd w:val="clear" w:color="auto" w:fill="auto"/>
          </w:tcPr>
          <w:p>
            <w:pPr>
              <w:pStyle w:val="nTable"/>
              <w:spacing w:after="40"/>
            </w:pPr>
            <w:r>
              <w:t>1 Feb 2019 p. 225</w:t>
            </w:r>
            <w:r>
              <w:noBreakHyphen/>
              <w:t>6</w:t>
            </w:r>
          </w:p>
        </w:tc>
        <w:tc>
          <w:tcPr>
            <w:tcW w:w="2693" w:type="dxa"/>
            <w:tcBorders>
              <w:bottom w:val="single" w:sz="4" w:space="0" w:color="auto"/>
            </w:tcBorders>
            <w:shd w:val="clear" w:color="auto" w:fill="auto"/>
          </w:tcPr>
          <w:p>
            <w:pPr>
              <w:pStyle w:val="nTable"/>
              <w:spacing w:after="40"/>
            </w:pPr>
            <w:r>
              <w:rPr>
                <w:rFonts w:ascii="Times" w:hAnsi="Times"/>
                <w:bCs/>
                <w:snapToGrid w:val="0"/>
              </w:rPr>
              <w:t>r. 1 and 2: 1 Feb 2019 (see r. 2(a));</w:t>
            </w:r>
            <w:r>
              <w:rPr>
                <w:rFonts w:ascii="Times" w:hAnsi="Times"/>
                <w:bCs/>
                <w:snapToGrid w:val="0"/>
              </w:rPr>
              <w:br/>
              <w:t>Regulations other than r. 1 and 2: 2 Feb 2019 (see r. 2(b))</w:t>
            </w:r>
          </w:p>
        </w:tc>
      </w:tr>
    </w:tbl>
    <w:p/>
    <w:p>
      <w:pPr>
        <w:rPr>
          <w:i/>
          <w:sz w:val="19"/>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6" w:name="_Toc536707438"/>
      <w:bookmarkStart w:id="47" w:name="_Toc536708582"/>
      <w:r>
        <w:rPr>
          <w:sz w:val="28"/>
        </w:rPr>
        <w:t>Defined terms</w:t>
      </w:r>
      <w:bookmarkEnd w:id="46"/>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3A</w:t>
      </w:r>
    </w:p>
    <w:p>
      <w:pPr>
        <w:pStyle w:val="DefinedTerms"/>
      </w:pPr>
      <w:r>
        <w:t>Centrelink</w:t>
      </w:r>
      <w:r>
        <w:tab/>
        <w:t>23B(1)</w:t>
      </w:r>
    </w:p>
    <w:p>
      <w:pPr>
        <w:pStyle w:val="DefinedTerms"/>
      </w:pPr>
      <w:r>
        <w:t>eligible individual</w:t>
      </w:r>
      <w:r>
        <w:tab/>
        <w:t>3A</w:t>
      </w:r>
    </w:p>
    <w:p>
      <w:pPr>
        <w:pStyle w:val="DefinedTerms"/>
      </w:pPr>
      <w:r>
        <w:t>eligible individual fee</w:t>
      </w:r>
      <w:r>
        <w:tab/>
        <w:t>3A</w:t>
      </w:r>
    </w:p>
    <w:p>
      <w:pPr>
        <w:pStyle w:val="DefinedTerms"/>
      </w:pPr>
      <w:r>
        <w:t>fee</w:t>
      </w:r>
      <w:r>
        <w:tab/>
        <w:t>3A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131124554"/>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 w:name="WAFER_20190131124554" w:val="RemoveTocBookmarks,RemoveUnusedBookmarks,RemoveLanguageTags,UsedStyles,ResetPageSize"/>
    <w:docVar w:name="WAFER_20190131124554_GUID" w:val="01f9c48a-6449-4ecc-8100-305c1247e2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5365</Words>
  <Characters>27952</Characters>
  <Application>Microsoft Office Word</Application>
  <DocSecurity>0</DocSecurity>
  <Lines>1035</Lines>
  <Paragraphs>653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1997 - 03-l0-00</dc:title>
  <dc:subject/>
  <dc:creator/>
  <cp:keywords/>
  <dc:description/>
  <cp:lastModifiedBy>svcMRProcess</cp:lastModifiedBy>
  <cp:revision>4</cp:revision>
  <cp:lastPrinted>2014-05-19T03:28:00Z</cp:lastPrinted>
  <dcterms:created xsi:type="dcterms:W3CDTF">2019-02-01T04:38:00Z</dcterms:created>
  <dcterms:modified xsi:type="dcterms:W3CDTF">2019-02-01T04:38:00Z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AsAtDate">
    <vt:lpwstr>02 Feb 2019</vt:lpwstr>
  </property>
  <property fmtid="{D5CDD505-2E9C-101B-9397-08002B2CF9AE}" pid="8" name="Suffix">
    <vt:lpwstr>03-l0-00</vt:lpwstr>
  </property>
  <property fmtid="{D5CDD505-2E9C-101B-9397-08002B2CF9AE}" pid="9" name="CommencementDate">
    <vt:lpwstr>20190202</vt:lpwstr>
  </property>
</Properties>
</file>